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9.xml" ContentType="application/vnd.openxmlformats-officedocument.wordprocessingml.header+xml"/>
  <Override PartName="/word/footer1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2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2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2.xml" ContentType="application/vnd.openxmlformats-officedocument.wordprocessingml.footer+xml"/>
  <Override PartName="/word/header1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17.xml" ContentType="application/vnd.openxmlformats-officedocument.wordprocessingml.header+xml"/>
  <Override PartName="/word/footer3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3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3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3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3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65E780" w14:textId="77777777" w:rsidR="00FF6F90" w:rsidRDefault="00FF6F90" w:rsidP="0088196B">
      <w:pPr>
        <w:jc w:val="center"/>
      </w:pPr>
      <w:r w:rsidRPr="002B70F0">
        <w:rPr>
          <w:noProof/>
          <w:lang w:val="en-US" w:eastAsia="en-US"/>
        </w:rPr>
        <w:drawing>
          <wp:anchor distT="0" distB="0" distL="114300" distR="114300" simplePos="0" relativeHeight="251660288" behindDoc="1" locked="0" layoutInCell="1" allowOverlap="1" wp14:anchorId="729E7FEC" wp14:editId="459E77CC">
            <wp:simplePos x="0" y="0"/>
            <wp:positionH relativeFrom="margin">
              <wp:posOffset>346075</wp:posOffset>
            </wp:positionH>
            <wp:positionV relativeFrom="paragraph">
              <wp:posOffset>-89011</wp:posOffset>
            </wp:positionV>
            <wp:extent cx="2091690" cy="479536"/>
            <wp:effectExtent l="0" t="0" r="0" b="3175"/>
            <wp:wrapNone/>
            <wp:docPr id="183" name="Picture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is-logo-rgb-pos-sml.png"/>
                    <pic:cNvPicPr/>
                  </pic:nvPicPr>
                  <pic:blipFill>
                    <a:blip r:embed="rId8" cstate="screen">
                      <a:extLst>
                        <a:ext uri="{28A0092B-C50C-407E-A947-70E740481C1C}">
                          <a14:useLocalDpi xmlns:a14="http://schemas.microsoft.com/office/drawing/2010/main"/>
                        </a:ext>
                      </a:extLst>
                    </a:blip>
                    <a:stretch>
                      <a:fillRect/>
                    </a:stretch>
                  </pic:blipFill>
                  <pic:spPr>
                    <a:xfrm>
                      <a:off x="0" y="0"/>
                      <a:ext cx="2091690" cy="47953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6B6698B6" wp14:editId="59FD6285">
            <wp:simplePos x="0" y="0"/>
            <wp:positionH relativeFrom="column">
              <wp:posOffset>-11878</wp:posOffset>
            </wp:positionH>
            <wp:positionV relativeFrom="paragraph">
              <wp:posOffset>-615017</wp:posOffset>
            </wp:positionV>
            <wp:extent cx="7606665" cy="10744200"/>
            <wp:effectExtent l="0" t="0" r="0" b="0"/>
            <wp:wrapNone/>
            <wp:docPr id="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report-cover"/>
                    <pic:cNvPicPr>
                      <a:picLocks/>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7606665"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6F13EE" w14:textId="77777777" w:rsidR="00FF6F90" w:rsidRDefault="00FF6F90" w:rsidP="00806EB7"/>
    <w:p w14:paraId="7C5C8A2B" w14:textId="77777777" w:rsidR="00FF6F90" w:rsidRDefault="00FF6F90" w:rsidP="00806EB7"/>
    <w:p w14:paraId="052D8571" w14:textId="425B6E58" w:rsidR="00FF6F90" w:rsidRPr="003F36B6" w:rsidRDefault="00FF6F90" w:rsidP="00806EB7">
      <w:pPr>
        <w:pStyle w:val="Reportdateclient"/>
      </w:pPr>
      <w:r>
        <w:t>MA</w:t>
      </w:r>
      <w:r w:rsidR="00FA184C">
        <w:t>Y</w:t>
      </w:r>
      <w:r>
        <w:t xml:space="preserve"> 2023</w:t>
      </w:r>
    </w:p>
    <w:p w14:paraId="3E64F03B" w14:textId="77777777" w:rsidR="00FF6F90" w:rsidRPr="00362323" w:rsidRDefault="00FF6F90" w:rsidP="00806EB7"/>
    <w:p w14:paraId="4160D968" w14:textId="77777777" w:rsidR="00FF6F90" w:rsidRPr="00362323" w:rsidRDefault="00FF6F90" w:rsidP="00806EB7"/>
    <w:p w14:paraId="3B8139AE" w14:textId="77777777" w:rsidR="00FF6F90" w:rsidRPr="00DA74E6" w:rsidRDefault="00FF6F90" w:rsidP="00806EB7">
      <w:pPr>
        <w:pStyle w:val="Reporttitle"/>
      </w:pPr>
      <w:r>
        <w:t xml:space="preserve">DRAFT NWGGA STRATEGIC ASSESSMENT REPORT </w:t>
      </w:r>
    </w:p>
    <w:p w14:paraId="678EAC50" w14:textId="36D0E6EE" w:rsidR="00FF6F90" w:rsidRDefault="00FA184C" w:rsidP="00806EB7">
      <w:pPr>
        <w:pStyle w:val="Reporttitle2"/>
      </w:pPr>
      <w:r>
        <w:t>PUBLIC EXHIBITION VERSION</w:t>
      </w:r>
    </w:p>
    <w:p w14:paraId="67756CAD" w14:textId="77777777" w:rsidR="00FF6F90" w:rsidRDefault="00FF6F90" w:rsidP="00806EB7">
      <w:pPr>
        <w:pStyle w:val="Reporttitle2"/>
      </w:pPr>
    </w:p>
    <w:p w14:paraId="1ED70D1B" w14:textId="77777777" w:rsidR="00FF6F90" w:rsidRPr="000242C9" w:rsidRDefault="00FF6F90" w:rsidP="00935058">
      <w:pPr>
        <w:pStyle w:val="Reporttitle2"/>
        <w:rPr>
          <w:sz w:val="36"/>
          <w:szCs w:val="36"/>
        </w:rPr>
      </w:pPr>
      <w:r w:rsidRPr="000242C9">
        <w:rPr>
          <w:sz w:val="36"/>
          <w:szCs w:val="36"/>
        </w:rPr>
        <w:t>PART 4: IMPACT ASSESSMENT</w:t>
      </w:r>
    </w:p>
    <w:p w14:paraId="3B1E79A2" w14:textId="77777777" w:rsidR="00FF6F90" w:rsidRDefault="00FF6F90" w:rsidP="00935058">
      <w:pPr>
        <w:pStyle w:val="Reporttitle2"/>
        <w:rPr>
          <w:szCs w:val="24"/>
        </w:rPr>
      </w:pPr>
      <w:r>
        <w:rPr>
          <w:szCs w:val="24"/>
        </w:rPr>
        <w:t>CHAPTER 15 – INTRODUCTION</w:t>
      </w:r>
    </w:p>
    <w:p w14:paraId="1B2D17DE" w14:textId="77777777" w:rsidR="00FF6F90" w:rsidRDefault="00FF6F90" w:rsidP="00935058">
      <w:pPr>
        <w:pStyle w:val="Reporttitle2"/>
        <w:rPr>
          <w:szCs w:val="24"/>
        </w:rPr>
      </w:pPr>
      <w:r>
        <w:rPr>
          <w:szCs w:val="24"/>
        </w:rPr>
        <w:t>CHAPTER 16 – AVOIDANCE OF IMPACTS</w:t>
      </w:r>
    </w:p>
    <w:p w14:paraId="2BF95539" w14:textId="77777777" w:rsidR="00FF6F90" w:rsidRDefault="00FF6F90" w:rsidP="00935058">
      <w:pPr>
        <w:pStyle w:val="Reporttitle2"/>
        <w:rPr>
          <w:szCs w:val="24"/>
        </w:rPr>
      </w:pPr>
      <w:r>
        <w:rPr>
          <w:szCs w:val="24"/>
        </w:rPr>
        <w:t>CHAPTER 17 – MANAGING INDIRECT IMPACTS</w:t>
      </w:r>
    </w:p>
    <w:p w14:paraId="174740AE" w14:textId="77777777" w:rsidR="00FF6F90" w:rsidRPr="00935058" w:rsidRDefault="00FF6F90" w:rsidP="00935058">
      <w:pPr>
        <w:pStyle w:val="Reporttitle2"/>
        <w:rPr>
          <w:szCs w:val="24"/>
        </w:rPr>
      </w:pPr>
      <w:r>
        <w:rPr>
          <w:szCs w:val="24"/>
        </w:rPr>
        <w:t>CHAPTER 18 – RELEVANT PROTECTED MATTERS</w:t>
      </w:r>
    </w:p>
    <w:p w14:paraId="238905F1" w14:textId="77777777" w:rsidR="00FF6F90" w:rsidRPr="00DA74E6" w:rsidRDefault="00FF6F90" w:rsidP="00806EB7"/>
    <w:p w14:paraId="5AB5A0E7" w14:textId="77777777" w:rsidR="00FF6F90" w:rsidRPr="00DA74E6" w:rsidRDefault="00FF6F90" w:rsidP="00806EB7"/>
    <w:p w14:paraId="04EA9A29" w14:textId="77777777" w:rsidR="00FF6F90" w:rsidRPr="00DA74E6" w:rsidRDefault="00FF6F90" w:rsidP="00806EB7"/>
    <w:p w14:paraId="3728BB03" w14:textId="77777777" w:rsidR="00FF6F90" w:rsidRPr="00DA74E6" w:rsidRDefault="00FF6F90" w:rsidP="00806EB7"/>
    <w:p w14:paraId="309B2AB2" w14:textId="77777777" w:rsidR="00FF6F90" w:rsidRPr="00DA74E6" w:rsidRDefault="00FF6F90" w:rsidP="00806EB7"/>
    <w:p w14:paraId="4BC1C8E1" w14:textId="77777777" w:rsidR="00FF6F90" w:rsidRPr="00DA74E6" w:rsidRDefault="00FF6F90" w:rsidP="00806EB7"/>
    <w:p w14:paraId="64442DE3" w14:textId="77777777" w:rsidR="00FF6F90" w:rsidRDefault="00FF6F90" w:rsidP="00806EB7"/>
    <w:p w14:paraId="26A1489D" w14:textId="77777777" w:rsidR="00FF6F90" w:rsidRDefault="00FF6F90" w:rsidP="00806EB7"/>
    <w:p w14:paraId="146B7F23" w14:textId="77777777" w:rsidR="00FF6F90" w:rsidRDefault="00FF6F90" w:rsidP="00806EB7"/>
    <w:p w14:paraId="7AF91BDB" w14:textId="77777777" w:rsidR="00FF6F90" w:rsidRDefault="00FF6F90" w:rsidP="00806EB7"/>
    <w:p w14:paraId="41AE9EF6" w14:textId="77777777" w:rsidR="00FF6F90" w:rsidRDefault="00FF6F90" w:rsidP="00806EB7"/>
    <w:p w14:paraId="63152DB0" w14:textId="77777777" w:rsidR="00FF6F90" w:rsidRDefault="00FF6F90" w:rsidP="00806EB7"/>
    <w:p w14:paraId="66B4B00B" w14:textId="77777777" w:rsidR="00920230" w:rsidRDefault="00920230" w:rsidP="00806EB7"/>
    <w:p w14:paraId="50069C6F" w14:textId="77777777" w:rsidR="00FF6F90" w:rsidRDefault="00FF6F90" w:rsidP="00806EB7"/>
    <w:p w14:paraId="28AC223F" w14:textId="77777777" w:rsidR="00FF6F90" w:rsidRDefault="00FF6F90" w:rsidP="003F1976">
      <w:pPr>
        <w:pStyle w:val="Reportdateclient"/>
      </w:pPr>
      <w:r w:rsidRPr="003F36B6">
        <w:t>PREPARED FOR</w:t>
      </w:r>
      <w:r>
        <w:t xml:space="preserve"> THE CITY OF GREATER GEELONG</w:t>
      </w:r>
    </w:p>
    <w:p w14:paraId="1F05318F" w14:textId="77777777" w:rsidR="00E51769" w:rsidRDefault="00E51769" w:rsidP="003F1976">
      <w:pPr>
        <w:pStyle w:val="Reportdateclient"/>
      </w:pPr>
    </w:p>
    <w:p w14:paraId="20426A7E" w14:textId="77777777" w:rsidR="008F4C3D" w:rsidRDefault="008F4C3D" w:rsidP="00290626">
      <w:pPr>
        <w:sectPr w:rsidR="008F4C3D" w:rsidSect="009E1D0C">
          <w:headerReference w:type="even" r:id="rId10"/>
          <w:headerReference w:type="default" r:id="rId11"/>
          <w:footerReference w:type="default" r:id="rId12"/>
          <w:headerReference w:type="first" r:id="rId13"/>
          <w:pgSz w:w="11900" w:h="16840"/>
          <w:pgMar w:top="0" w:right="0" w:bottom="0" w:left="0" w:header="709" w:footer="709" w:gutter="0"/>
          <w:cols w:space="708"/>
          <w:titlePg/>
          <w:docGrid w:linePitch="360"/>
        </w:sectPr>
      </w:pPr>
    </w:p>
    <w:p w14:paraId="2EFC148E" w14:textId="77777777" w:rsidR="00FF6F90" w:rsidRDefault="00FF6F90" w:rsidP="00E93280">
      <w:pPr>
        <w:pStyle w:val="Documenttracking"/>
        <w:spacing w:before="120" w:after="120"/>
      </w:pPr>
      <w:bookmarkStart w:id="0" w:name="_Toc6411958"/>
    </w:p>
    <w:p w14:paraId="17AD4895" w14:textId="77777777" w:rsidR="00FF6F90" w:rsidRDefault="00FF6F90" w:rsidP="00E93280">
      <w:pPr>
        <w:pStyle w:val="Documenttracking"/>
        <w:spacing w:before="120" w:after="120"/>
      </w:pPr>
    </w:p>
    <w:p w14:paraId="6DC62A0F" w14:textId="77777777" w:rsidR="00FF6F90" w:rsidRDefault="00FF6F90" w:rsidP="00E93280">
      <w:pPr>
        <w:pStyle w:val="Documenttracking"/>
        <w:spacing w:before="120" w:after="120"/>
      </w:pPr>
    </w:p>
    <w:p w14:paraId="6648688C" w14:textId="77777777" w:rsidR="00FF6F90" w:rsidRDefault="00FF6F90" w:rsidP="00E93280">
      <w:pPr>
        <w:pStyle w:val="Documenttracking"/>
        <w:spacing w:before="120" w:after="120"/>
      </w:pPr>
    </w:p>
    <w:p w14:paraId="02DFC0AB" w14:textId="77777777" w:rsidR="00FF6F90" w:rsidRDefault="00FF6F90" w:rsidP="00E93280">
      <w:pPr>
        <w:pStyle w:val="Documenttracking"/>
        <w:spacing w:before="120" w:after="120"/>
      </w:pPr>
    </w:p>
    <w:p w14:paraId="5CEF129F" w14:textId="77777777" w:rsidR="00FF6F90" w:rsidRDefault="00FF6F90" w:rsidP="00E93280">
      <w:pPr>
        <w:pStyle w:val="Documenttracking"/>
        <w:spacing w:before="120" w:after="120"/>
      </w:pPr>
    </w:p>
    <w:p w14:paraId="5AAA47F0" w14:textId="77777777" w:rsidR="00FF6F90" w:rsidRDefault="00FF6F90" w:rsidP="00E93280">
      <w:pPr>
        <w:pStyle w:val="Documenttracking"/>
        <w:spacing w:before="120" w:after="120"/>
      </w:pPr>
    </w:p>
    <w:p w14:paraId="51969B6D" w14:textId="77777777" w:rsidR="00FF6F90" w:rsidRDefault="00FF6F90" w:rsidP="00E93280">
      <w:pPr>
        <w:pStyle w:val="Documenttracking"/>
        <w:spacing w:before="120" w:after="120"/>
      </w:pPr>
    </w:p>
    <w:p w14:paraId="19D58B41" w14:textId="77777777" w:rsidR="00FF6F90" w:rsidRDefault="00FF6F90" w:rsidP="00E93280">
      <w:pPr>
        <w:pStyle w:val="Documenttracking"/>
        <w:spacing w:before="120" w:after="120"/>
      </w:pPr>
    </w:p>
    <w:p w14:paraId="304BEA3F" w14:textId="77777777" w:rsidR="00FF6F90" w:rsidRDefault="00FF6F90" w:rsidP="00E93280">
      <w:pPr>
        <w:pStyle w:val="Documenttracking"/>
        <w:spacing w:before="120" w:after="120"/>
      </w:pPr>
    </w:p>
    <w:p w14:paraId="6B663E1D" w14:textId="77777777" w:rsidR="00FF6F90" w:rsidRDefault="00FF6F90" w:rsidP="00E93280">
      <w:pPr>
        <w:pStyle w:val="Documenttracking"/>
        <w:spacing w:before="120" w:after="120"/>
      </w:pPr>
    </w:p>
    <w:p w14:paraId="4C69C676" w14:textId="77777777" w:rsidR="00FF6F90" w:rsidRDefault="00FF6F90" w:rsidP="00E93280">
      <w:pPr>
        <w:pStyle w:val="Documenttracking"/>
        <w:spacing w:before="120" w:after="120"/>
      </w:pPr>
    </w:p>
    <w:p w14:paraId="10EF7450" w14:textId="77777777" w:rsidR="00FF6F90" w:rsidRDefault="00FF6F90" w:rsidP="00E93280">
      <w:pPr>
        <w:pStyle w:val="Documenttracking"/>
        <w:spacing w:before="120" w:after="120"/>
      </w:pPr>
    </w:p>
    <w:p w14:paraId="4D4DD390" w14:textId="77777777" w:rsidR="00FF6F90" w:rsidRDefault="00FF6F90" w:rsidP="00E93280">
      <w:pPr>
        <w:pStyle w:val="Documenttracking"/>
        <w:spacing w:before="120" w:after="120"/>
      </w:pPr>
    </w:p>
    <w:p w14:paraId="3DBA257D" w14:textId="77777777" w:rsidR="00FF6F90" w:rsidRDefault="00FF6F90" w:rsidP="00E93280">
      <w:pPr>
        <w:pStyle w:val="Documenttracking"/>
        <w:spacing w:before="120" w:after="120"/>
      </w:pPr>
    </w:p>
    <w:p w14:paraId="293CEEA6" w14:textId="77777777" w:rsidR="00FF6F90" w:rsidRDefault="00FF6F90" w:rsidP="00E93280">
      <w:pPr>
        <w:pStyle w:val="Documenttracking"/>
        <w:spacing w:before="120" w:after="120"/>
      </w:pPr>
    </w:p>
    <w:p w14:paraId="219C1FA9" w14:textId="77777777" w:rsidR="00FF6F90" w:rsidRDefault="00FF6F90" w:rsidP="00E93280">
      <w:pPr>
        <w:pStyle w:val="Documenttracking"/>
        <w:spacing w:before="120" w:after="120"/>
      </w:pPr>
    </w:p>
    <w:p w14:paraId="7D776990" w14:textId="77777777" w:rsidR="00FF6F90" w:rsidRDefault="00FF6F90" w:rsidP="00E93280">
      <w:pPr>
        <w:pStyle w:val="Documenttracking"/>
        <w:spacing w:before="120" w:after="120"/>
      </w:pPr>
    </w:p>
    <w:p w14:paraId="6919AAFA" w14:textId="77777777" w:rsidR="00FF6F90" w:rsidRDefault="00FF6F90" w:rsidP="00E93280">
      <w:pPr>
        <w:pStyle w:val="Documenttracking"/>
        <w:spacing w:before="120" w:after="120"/>
      </w:pPr>
    </w:p>
    <w:p w14:paraId="18C127CB" w14:textId="77777777" w:rsidR="00FF6F90" w:rsidRDefault="00FF6F90" w:rsidP="00E93280">
      <w:pPr>
        <w:pStyle w:val="Documenttracking"/>
        <w:spacing w:before="120" w:after="120"/>
      </w:pPr>
    </w:p>
    <w:p w14:paraId="45204A99" w14:textId="77777777" w:rsidR="00FF6F90" w:rsidRDefault="00FF6F90" w:rsidP="00E93280">
      <w:pPr>
        <w:pStyle w:val="Documenttracking"/>
        <w:spacing w:before="120" w:after="120"/>
      </w:pPr>
    </w:p>
    <w:p w14:paraId="02DA9DBC" w14:textId="77777777" w:rsidR="00FF6F90" w:rsidRDefault="00FF6F90" w:rsidP="00E93280">
      <w:pPr>
        <w:pStyle w:val="Documenttracking"/>
        <w:spacing w:before="120" w:after="120"/>
      </w:pPr>
    </w:p>
    <w:p w14:paraId="17E1FA15" w14:textId="77777777" w:rsidR="00FF6F90" w:rsidRDefault="00FF6F90" w:rsidP="00E93280">
      <w:pPr>
        <w:pStyle w:val="Documenttracking"/>
        <w:spacing w:before="120" w:after="120"/>
      </w:pPr>
    </w:p>
    <w:p w14:paraId="5343C7BB" w14:textId="77777777" w:rsidR="00FF6F90" w:rsidRDefault="00FF6F90" w:rsidP="00E93280">
      <w:pPr>
        <w:pStyle w:val="Documenttracking"/>
        <w:spacing w:before="120" w:after="120"/>
      </w:pPr>
    </w:p>
    <w:p w14:paraId="605F3427" w14:textId="77777777" w:rsidR="00FA184C" w:rsidRDefault="00FA184C" w:rsidP="00E93280">
      <w:pPr>
        <w:pStyle w:val="Documenttracking"/>
        <w:spacing w:before="120" w:after="120"/>
      </w:pPr>
    </w:p>
    <w:p w14:paraId="7802D569" w14:textId="77777777" w:rsidR="00FA184C" w:rsidRDefault="00FA184C" w:rsidP="00E93280">
      <w:pPr>
        <w:pStyle w:val="Documenttracking"/>
        <w:spacing w:before="120" w:after="120"/>
      </w:pPr>
    </w:p>
    <w:p w14:paraId="6A522214" w14:textId="77777777" w:rsidR="00FF6F90" w:rsidRDefault="00FF6F90" w:rsidP="00E93280">
      <w:pPr>
        <w:pStyle w:val="Documenttracking"/>
        <w:spacing w:before="120" w:after="120"/>
      </w:pPr>
    </w:p>
    <w:p w14:paraId="6BF24E9A" w14:textId="77777777" w:rsidR="00FF6F90" w:rsidRPr="00375EE0" w:rsidRDefault="00FF6F90" w:rsidP="00E93280">
      <w:pPr>
        <w:pStyle w:val="Documenttracking"/>
        <w:spacing w:before="120" w:after="120"/>
      </w:pPr>
      <w:r w:rsidRPr="00D97CAB">
        <w:t>DOCUMENT TRACKING</w:t>
      </w:r>
      <w:bookmarkEnd w:id="0"/>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firstRow="1" w:lastRow="0" w:firstColumn="1" w:lastColumn="0" w:noHBand="0" w:noVBand="0"/>
      </w:tblPr>
      <w:tblGrid>
        <w:gridCol w:w="2600"/>
        <w:gridCol w:w="7022"/>
      </w:tblGrid>
      <w:tr w:rsidR="00FF6F90" w:rsidRPr="00362323" w14:paraId="25D06A06" w14:textId="77777777" w:rsidTr="00723C7F">
        <w:tc>
          <w:tcPr>
            <w:tcW w:w="5000" w:type="pct"/>
            <w:gridSpan w:val="2"/>
            <w:shd w:val="clear" w:color="auto" w:fill="B4C6E7" w:themeFill="accent1" w:themeFillTint="66"/>
          </w:tcPr>
          <w:p w14:paraId="49BE5505" w14:textId="77777777" w:rsidR="00FF6F90" w:rsidRPr="00EC3979" w:rsidRDefault="00FF6F90" w:rsidP="00EB475B">
            <w:pPr>
              <w:pStyle w:val="Documenttracking"/>
              <w:spacing w:before="120" w:after="120"/>
            </w:pPr>
            <w:r w:rsidRPr="003612D2">
              <w:t>PREPARED BY:</w:t>
            </w:r>
          </w:p>
        </w:tc>
      </w:tr>
      <w:tr w:rsidR="00FA184C" w:rsidRPr="00362323" w14:paraId="0F5D53DF" w14:textId="77777777" w:rsidTr="00FA184C">
        <w:tc>
          <w:tcPr>
            <w:tcW w:w="5000" w:type="pct"/>
            <w:gridSpan w:val="2"/>
          </w:tcPr>
          <w:p w14:paraId="1B5B0F0E" w14:textId="32BE7417" w:rsidR="00FA184C" w:rsidRPr="00EC3979" w:rsidRDefault="00FA184C" w:rsidP="00EB475B">
            <w:pPr>
              <w:spacing w:before="120" w:after="120"/>
            </w:pPr>
            <w:r w:rsidRPr="00706F10">
              <w:t>Heather Tolley, Heidi Birkby</w:t>
            </w:r>
            <w:r>
              <w:t>,</w:t>
            </w:r>
            <w:r w:rsidRPr="00706F10">
              <w:t xml:space="preserve"> </w:t>
            </w:r>
            <w:r>
              <w:t xml:space="preserve">Peter Hemphill, </w:t>
            </w:r>
            <w:r w:rsidRPr="00706F10">
              <w:t>Natasha Buckingham</w:t>
            </w:r>
            <w:r>
              <w:t xml:space="preserve"> (Open Lines)</w:t>
            </w:r>
          </w:p>
        </w:tc>
      </w:tr>
      <w:tr w:rsidR="00FF6F90" w:rsidRPr="001E638D" w14:paraId="36F2DD4F" w14:textId="77777777" w:rsidTr="00723C7F">
        <w:tc>
          <w:tcPr>
            <w:tcW w:w="5000" w:type="pct"/>
            <w:gridSpan w:val="2"/>
            <w:shd w:val="clear" w:color="auto" w:fill="B4C6E7" w:themeFill="accent1" w:themeFillTint="66"/>
          </w:tcPr>
          <w:p w14:paraId="0A6745F1" w14:textId="77777777" w:rsidR="00FF6F90" w:rsidRPr="001E638D" w:rsidRDefault="00FF6F90" w:rsidP="00EB475B">
            <w:pPr>
              <w:spacing w:before="120" w:after="120"/>
              <w:rPr>
                <w:b/>
              </w:rPr>
            </w:pPr>
            <w:r w:rsidRPr="001E638D">
              <w:rPr>
                <w:b/>
              </w:rPr>
              <w:t>REVIEWED BY:</w:t>
            </w:r>
          </w:p>
        </w:tc>
      </w:tr>
      <w:tr w:rsidR="00FA184C" w:rsidRPr="00362323" w14:paraId="0701CAF7" w14:textId="77777777" w:rsidTr="00FA184C">
        <w:tc>
          <w:tcPr>
            <w:tcW w:w="5000" w:type="pct"/>
            <w:gridSpan w:val="2"/>
          </w:tcPr>
          <w:p w14:paraId="172691F8" w14:textId="77777777" w:rsidR="00FA184C" w:rsidRDefault="00FA184C" w:rsidP="00EB475B">
            <w:pPr>
              <w:spacing w:before="120" w:after="120"/>
            </w:pPr>
            <w:r w:rsidRPr="00706F10">
              <w:t>Heather Tolley, Peter Hemphill</w:t>
            </w:r>
            <w:r>
              <w:t xml:space="preserve"> (Open Lines)</w:t>
            </w:r>
          </w:p>
          <w:p w14:paraId="30CEC254" w14:textId="4641EEB5" w:rsidR="00EC3DB7" w:rsidRPr="00131D45" w:rsidRDefault="00EC3DB7" w:rsidP="00EB475B">
            <w:pPr>
              <w:spacing w:before="120" w:after="120"/>
              <w:rPr>
                <w:highlight w:val="yellow"/>
              </w:rPr>
            </w:pPr>
            <w:r w:rsidRPr="00EC3DB7">
              <w:t>Mitchell Deaves (Biosis)</w:t>
            </w:r>
          </w:p>
        </w:tc>
      </w:tr>
      <w:tr w:rsidR="00FF6F90" w:rsidRPr="001E638D" w14:paraId="6628544D" w14:textId="77777777" w:rsidTr="00723C7F">
        <w:tc>
          <w:tcPr>
            <w:tcW w:w="5000" w:type="pct"/>
            <w:gridSpan w:val="2"/>
            <w:shd w:val="clear" w:color="auto" w:fill="B4C6E7" w:themeFill="accent1" w:themeFillTint="66"/>
          </w:tcPr>
          <w:p w14:paraId="6AD41B4D" w14:textId="77777777" w:rsidR="00FF6F90" w:rsidRPr="001E638D" w:rsidRDefault="00FF6F90" w:rsidP="00EB475B">
            <w:pPr>
              <w:spacing w:before="120" w:after="120"/>
              <w:rPr>
                <w:b/>
              </w:rPr>
            </w:pPr>
            <w:r w:rsidRPr="001E638D">
              <w:rPr>
                <w:b/>
              </w:rPr>
              <w:t>VERSION CONTROL:</w:t>
            </w:r>
          </w:p>
        </w:tc>
      </w:tr>
      <w:tr w:rsidR="00FF6F90" w:rsidRPr="00362323" w14:paraId="7CE59814" w14:textId="77777777" w:rsidTr="00723C7F">
        <w:tc>
          <w:tcPr>
            <w:tcW w:w="1351" w:type="pct"/>
          </w:tcPr>
          <w:p w14:paraId="34370D94" w14:textId="77777777" w:rsidR="00FF6F90" w:rsidRPr="004C61F4" w:rsidRDefault="00FF6F90" w:rsidP="00EB475B">
            <w:pPr>
              <w:pStyle w:val="Documenttracking"/>
              <w:spacing w:before="120" w:after="120"/>
            </w:pPr>
            <w:r w:rsidRPr="004C61F4">
              <w:t>VERSION:</w:t>
            </w:r>
          </w:p>
        </w:tc>
        <w:tc>
          <w:tcPr>
            <w:tcW w:w="3649" w:type="pct"/>
            <w:shd w:val="clear" w:color="auto" w:fill="auto"/>
          </w:tcPr>
          <w:p w14:paraId="3F10A70E" w14:textId="2504AB9B" w:rsidR="00FF6F90" w:rsidRPr="00EC3979" w:rsidRDefault="00FA184C" w:rsidP="00EB475B">
            <w:pPr>
              <w:spacing w:before="120" w:after="120"/>
            </w:pPr>
            <w:r>
              <w:t>Public exhibition version</w:t>
            </w:r>
          </w:p>
        </w:tc>
      </w:tr>
      <w:tr w:rsidR="00FF6F90" w:rsidRPr="00362323" w14:paraId="6F210969" w14:textId="77777777" w:rsidTr="00723C7F">
        <w:tc>
          <w:tcPr>
            <w:tcW w:w="1351" w:type="pct"/>
          </w:tcPr>
          <w:p w14:paraId="0F0828DC" w14:textId="77777777" w:rsidR="00FF6F90" w:rsidRPr="004C61F4" w:rsidRDefault="00FF6F90" w:rsidP="00EB475B">
            <w:pPr>
              <w:pStyle w:val="Documenttracking"/>
              <w:spacing w:before="120" w:after="120"/>
            </w:pPr>
            <w:r w:rsidRPr="004C61F4">
              <w:t>DATE:</w:t>
            </w:r>
          </w:p>
        </w:tc>
        <w:tc>
          <w:tcPr>
            <w:tcW w:w="3649" w:type="pct"/>
          </w:tcPr>
          <w:p w14:paraId="4714417C" w14:textId="653B0216" w:rsidR="00FF6F90" w:rsidRPr="00EC3979" w:rsidRDefault="00FF6F90" w:rsidP="00EB475B">
            <w:pPr>
              <w:spacing w:before="120" w:after="120"/>
            </w:pPr>
            <w:r>
              <w:t>Ma</w:t>
            </w:r>
            <w:r w:rsidR="00FA184C">
              <w:t>y</w:t>
            </w:r>
            <w:r>
              <w:t xml:space="preserve"> 2023</w:t>
            </w:r>
          </w:p>
        </w:tc>
      </w:tr>
    </w:tbl>
    <w:p w14:paraId="6172F967" w14:textId="77777777" w:rsidR="00FF6F90" w:rsidRDefault="00FF6F90">
      <w:pPr>
        <w:tabs>
          <w:tab w:val="clear" w:pos="4962"/>
        </w:tabs>
        <w:spacing w:before="0" w:after="0" w:line="240" w:lineRule="auto"/>
      </w:pPr>
      <w:bookmarkStart w:id="1" w:name="_Toc87883176"/>
      <w:r>
        <w:br w:type="page"/>
      </w:r>
    </w:p>
    <w:p w14:paraId="12D6D2CA" w14:textId="77777777" w:rsidR="00FF6F90" w:rsidRDefault="00FF6F90" w:rsidP="00706F10">
      <w:pPr>
        <w:pStyle w:val="Contents"/>
      </w:pPr>
      <w:r w:rsidRPr="006E333F">
        <w:lastRenderedPageBreak/>
        <w:t>Contents</w:t>
      </w:r>
      <w:bookmarkStart w:id="2" w:name="_Toc509911066"/>
      <w:bookmarkStart w:id="3" w:name="_Toc384052480"/>
      <w:bookmarkStart w:id="4" w:name="_Toc384197091"/>
      <w:bookmarkStart w:id="5" w:name="_Toc384407233"/>
      <w:bookmarkEnd w:id="1"/>
    </w:p>
    <w:p w14:paraId="0894DAB7" w14:textId="5F1A01DF" w:rsidR="0080031C" w:rsidRDefault="00FF6F90">
      <w:pPr>
        <w:pStyle w:val="TOC1"/>
        <w:rPr>
          <w:rFonts w:asciiTheme="minorHAnsi" w:eastAsiaTheme="minorEastAsia" w:hAnsiTheme="minorHAnsi" w:cstheme="minorBidi"/>
          <w:b w:val="0"/>
          <w:bCs w:val="0"/>
          <w:caps w:val="0"/>
          <w:noProof/>
          <w:kern w:val="2"/>
          <w:sz w:val="24"/>
          <w:szCs w:val="24"/>
          <w:lang w:eastAsia="en-GB"/>
          <w14:ligatures w14:val="standardContextual"/>
        </w:rPr>
      </w:pPr>
      <w:r>
        <w:rPr>
          <w:b w:val="0"/>
          <w:bCs w:val="0"/>
          <w:caps w:val="0"/>
          <w:color w:val="3FA297"/>
        </w:rPr>
        <w:fldChar w:fldCharType="begin"/>
      </w:r>
      <w:r>
        <w:rPr>
          <w:b w:val="0"/>
          <w:bCs w:val="0"/>
          <w:caps w:val="0"/>
          <w:color w:val="3FA297"/>
        </w:rPr>
        <w:instrText xml:space="preserve"> TOC \o "1-2" \h \z \u </w:instrText>
      </w:r>
      <w:r>
        <w:rPr>
          <w:b w:val="0"/>
          <w:bCs w:val="0"/>
          <w:caps w:val="0"/>
          <w:color w:val="3FA297"/>
        </w:rPr>
        <w:fldChar w:fldCharType="separate"/>
      </w:r>
      <w:hyperlink w:anchor="_Toc134706934" w:history="1">
        <w:r w:rsidR="0080031C" w:rsidRPr="00412243">
          <w:rPr>
            <w:rStyle w:val="Hyperlink"/>
            <w:noProof/>
          </w:rPr>
          <w:t>List of Tables</w:t>
        </w:r>
        <w:r w:rsidR="0080031C">
          <w:rPr>
            <w:noProof/>
            <w:webHidden/>
          </w:rPr>
          <w:tab/>
        </w:r>
        <w:r w:rsidR="0080031C">
          <w:rPr>
            <w:noProof/>
            <w:webHidden/>
          </w:rPr>
          <w:fldChar w:fldCharType="begin"/>
        </w:r>
        <w:r w:rsidR="0080031C">
          <w:rPr>
            <w:noProof/>
            <w:webHidden/>
          </w:rPr>
          <w:instrText xml:space="preserve"> PAGEREF _Toc134706934 \h </w:instrText>
        </w:r>
        <w:r w:rsidR="0080031C">
          <w:rPr>
            <w:noProof/>
            <w:webHidden/>
          </w:rPr>
        </w:r>
        <w:r w:rsidR="0080031C">
          <w:rPr>
            <w:noProof/>
            <w:webHidden/>
          </w:rPr>
          <w:fldChar w:fldCharType="separate"/>
        </w:r>
        <w:r w:rsidR="0080031C">
          <w:rPr>
            <w:noProof/>
            <w:webHidden/>
          </w:rPr>
          <w:t>ii</w:t>
        </w:r>
        <w:r w:rsidR="0080031C">
          <w:rPr>
            <w:noProof/>
            <w:webHidden/>
          </w:rPr>
          <w:fldChar w:fldCharType="end"/>
        </w:r>
      </w:hyperlink>
    </w:p>
    <w:p w14:paraId="51974DC2" w14:textId="7FCD5EAD" w:rsidR="0080031C"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706935" w:history="1">
        <w:r w:rsidR="0080031C" w:rsidRPr="00412243">
          <w:rPr>
            <w:rStyle w:val="Hyperlink"/>
            <w:noProof/>
          </w:rPr>
          <w:t>PART 4: IMPACT ASSESSMENT</w:t>
        </w:r>
        <w:r w:rsidR="0080031C">
          <w:rPr>
            <w:noProof/>
            <w:webHidden/>
          </w:rPr>
          <w:tab/>
        </w:r>
        <w:r w:rsidR="0080031C">
          <w:rPr>
            <w:noProof/>
            <w:webHidden/>
          </w:rPr>
          <w:fldChar w:fldCharType="begin"/>
        </w:r>
        <w:r w:rsidR="0080031C">
          <w:rPr>
            <w:noProof/>
            <w:webHidden/>
          </w:rPr>
          <w:instrText xml:space="preserve"> PAGEREF _Toc134706935 \h </w:instrText>
        </w:r>
        <w:r w:rsidR="0080031C">
          <w:rPr>
            <w:noProof/>
            <w:webHidden/>
          </w:rPr>
        </w:r>
        <w:r w:rsidR="0080031C">
          <w:rPr>
            <w:noProof/>
            <w:webHidden/>
          </w:rPr>
          <w:fldChar w:fldCharType="separate"/>
        </w:r>
        <w:r w:rsidR="0080031C">
          <w:rPr>
            <w:noProof/>
            <w:webHidden/>
          </w:rPr>
          <w:t>15-1</w:t>
        </w:r>
        <w:r w:rsidR="0080031C">
          <w:rPr>
            <w:noProof/>
            <w:webHidden/>
          </w:rPr>
          <w:fldChar w:fldCharType="end"/>
        </w:r>
      </w:hyperlink>
    </w:p>
    <w:p w14:paraId="348EFCEB" w14:textId="35D9ABE2" w:rsidR="0080031C"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706936" w:history="1">
        <w:r w:rsidR="0080031C" w:rsidRPr="00412243">
          <w:rPr>
            <w:rStyle w:val="Hyperlink"/>
            <w:noProof/>
          </w:rPr>
          <w:t>15</w:t>
        </w:r>
        <w:r w:rsidR="0080031C">
          <w:rPr>
            <w:rFonts w:asciiTheme="minorHAnsi" w:eastAsiaTheme="minorEastAsia" w:hAnsiTheme="minorHAnsi" w:cstheme="minorBidi"/>
            <w:b w:val="0"/>
            <w:bCs w:val="0"/>
            <w:caps w:val="0"/>
            <w:noProof/>
            <w:kern w:val="2"/>
            <w:sz w:val="24"/>
            <w:szCs w:val="24"/>
            <w:lang w:eastAsia="en-GB"/>
            <w14:ligatures w14:val="standardContextual"/>
          </w:rPr>
          <w:tab/>
        </w:r>
        <w:r w:rsidR="0080031C" w:rsidRPr="00412243">
          <w:rPr>
            <w:rStyle w:val="Hyperlink"/>
            <w:noProof/>
          </w:rPr>
          <w:t>Introduction</w:t>
        </w:r>
        <w:r w:rsidR="0080031C">
          <w:rPr>
            <w:noProof/>
            <w:webHidden/>
          </w:rPr>
          <w:tab/>
        </w:r>
        <w:r w:rsidR="0080031C">
          <w:rPr>
            <w:noProof/>
            <w:webHidden/>
          </w:rPr>
          <w:fldChar w:fldCharType="begin"/>
        </w:r>
        <w:r w:rsidR="0080031C">
          <w:rPr>
            <w:noProof/>
            <w:webHidden/>
          </w:rPr>
          <w:instrText xml:space="preserve"> PAGEREF _Toc134706936 \h </w:instrText>
        </w:r>
        <w:r w:rsidR="0080031C">
          <w:rPr>
            <w:noProof/>
            <w:webHidden/>
          </w:rPr>
        </w:r>
        <w:r w:rsidR="0080031C">
          <w:rPr>
            <w:noProof/>
            <w:webHidden/>
          </w:rPr>
          <w:fldChar w:fldCharType="separate"/>
        </w:r>
        <w:r w:rsidR="0080031C">
          <w:rPr>
            <w:noProof/>
            <w:webHidden/>
          </w:rPr>
          <w:t>15-1</w:t>
        </w:r>
        <w:r w:rsidR="0080031C">
          <w:rPr>
            <w:noProof/>
            <w:webHidden/>
          </w:rPr>
          <w:fldChar w:fldCharType="end"/>
        </w:r>
      </w:hyperlink>
    </w:p>
    <w:p w14:paraId="6C899D5C" w14:textId="3B4C64BE" w:rsidR="0080031C"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706937" w:history="1">
        <w:r w:rsidR="0080031C" w:rsidRPr="00412243">
          <w:rPr>
            <w:rStyle w:val="Hyperlink"/>
            <w:noProof/>
          </w:rPr>
          <w:t>16</w:t>
        </w:r>
        <w:r w:rsidR="0080031C">
          <w:rPr>
            <w:rFonts w:asciiTheme="minorHAnsi" w:eastAsiaTheme="minorEastAsia" w:hAnsiTheme="minorHAnsi" w:cstheme="minorBidi"/>
            <w:b w:val="0"/>
            <w:bCs w:val="0"/>
            <w:caps w:val="0"/>
            <w:noProof/>
            <w:kern w:val="2"/>
            <w:sz w:val="24"/>
            <w:szCs w:val="24"/>
            <w:lang w:eastAsia="en-GB"/>
            <w14:ligatures w14:val="standardContextual"/>
          </w:rPr>
          <w:tab/>
        </w:r>
        <w:r w:rsidR="0080031C" w:rsidRPr="00412243">
          <w:rPr>
            <w:rStyle w:val="Hyperlink"/>
            <w:noProof/>
          </w:rPr>
          <w:t>Avoidance of impacts</w:t>
        </w:r>
        <w:r w:rsidR="0080031C">
          <w:rPr>
            <w:noProof/>
            <w:webHidden/>
          </w:rPr>
          <w:tab/>
        </w:r>
        <w:r w:rsidR="0080031C">
          <w:rPr>
            <w:noProof/>
            <w:webHidden/>
          </w:rPr>
          <w:fldChar w:fldCharType="begin"/>
        </w:r>
        <w:r w:rsidR="0080031C">
          <w:rPr>
            <w:noProof/>
            <w:webHidden/>
          </w:rPr>
          <w:instrText xml:space="preserve"> PAGEREF _Toc134706937 \h </w:instrText>
        </w:r>
        <w:r w:rsidR="0080031C">
          <w:rPr>
            <w:noProof/>
            <w:webHidden/>
          </w:rPr>
        </w:r>
        <w:r w:rsidR="0080031C">
          <w:rPr>
            <w:noProof/>
            <w:webHidden/>
          </w:rPr>
          <w:fldChar w:fldCharType="separate"/>
        </w:r>
        <w:r w:rsidR="0080031C">
          <w:rPr>
            <w:noProof/>
            <w:webHidden/>
          </w:rPr>
          <w:t>16-1</w:t>
        </w:r>
        <w:r w:rsidR="0080031C">
          <w:rPr>
            <w:noProof/>
            <w:webHidden/>
          </w:rPr>
          <w:fldChar w:fldCharType="end"/>
        </w:r>
      </w:hyperlink>
    </w:p>
    <w:p w14:paraId="7666B207" w14:textId="3DBE24A9"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38" w:history="1">
        <w:r w:rsidR="0080031C" w:rsidRPr="00412243">
          <w:rPr>
            <w:rStyle w:val="Hyperlink"/>
            <w:noProof/>
          </w:rPr>
          <w:t>16.1</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Introduction</w:t>
        </w:r>
        <w:r w:rsidR="0080031C">
          <w:rPr>
            <w:noProof/>
            <w:webHidden/>
          </w:rPr>
          <w:tab/>
        </w:r>
        <w:r w:rsidR="0080031C">
          <w:rPr>
            <w:noProof/>
            <w:webHidden/>
          </w:rPr>
          <w:fldChar w:fldCharType="begin"/>
        </w:r>
        <w:r w:rsidR="0080031C">
          <w:rPr>
            <w:noProof/>
            <w:webHidden/>
          </w:rPr>
          <w:instrText xml:space="preserve"> PAGEREF _Toc134706938 \h </w:instrText>
        </w:r>
        <w:r w:rsidR="0080031C">
          <w:rPr>
            <w:noProof/>
            <w:webHidden/>
          </w:rPr>
        </w:r>
        <w:r w:rsidR="0080031C">
          <w:rPr>
            <w:noProof/>
            <w:webHidden/>
          </w:rPr>
          <w:fldChar w:fldCharType="separate"/>
        </w:r>
        <w:r w:rsidR="0080031C">
          <w:rPr>
            <w:noProof/>
            <w:webHidden/>
          </w:rPr>
          <w:t>16-1</w:t>
        </w:r>
        <w:r w:rsidR="0080031C">
          <w:rPr>
            <w:noProof/>
            <w:webHidden/>
          </w:rPr>
          <w:fldChar w:fldCharType="end"/>
        </w:r>
      </w:hyperlink>
    </w:p>
    <w:p w14:paraId="5CC8AE0D" w14:textId="7DEB8B35"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39" w:history="1">
        <w:r w:rsidR="0080031C" w:rsidRPr="00412243">
          <w:rPr>
            <w:rStyle w:val="Hyperlink"/>
            <w:noProof/>
          </w:rPr>
          <w:t>16.2</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How avoidance is defined for the purposes of the strategic assessment</w:t>
        </w:r>
        <w:r w:rsidR="0080031C">
          <w:rPr>
            <w:noProof/>
            <w:webHidden/>
          </w:rPr>
          <w:tab/>
        </w:r>
        <w:r w:rsidR="0080031C">
          <w:rPr>
            <w:noProof/>
            <w:webHidden/>
          </w:rPr>
          <w:fldChar w:fldCharType="begin"/>
        </w:r>
        <w:r w:rsidR="0080031C">
          <w:rPr>
            <w:noProof/>
            <w:webHidden/>
          </w:rPr>
          <w:instrText xml:space="preserve"> PAGEREF _Toc134706939 \h </w:instrText>
        </w:r>
        <w:r w:rsidR="0080031C">
          <w:rPr>
            <w:noProof/>
            <w:webHidden/>
          </w:rPr>
        </w:r>
        <w:r w:rsidR="0080031C">
          <w:rPr>
            <w:noProof/>
            <w:webHidden/>
          </w:rPr>
          <w:fldChar w:fldCharType="separate"/>
        </w:r>
        <w:r w:rsidR="0080031C">
          <w:rPr>
            <w:noProof/>
            <w:webHidden/>
          </w:rPr>
          <w:t>16-1</w:t>
        </w:r>
        <w:r w:rsidR="0080031C">
          <w:rPr>
            <w:noProof/>
            <w:webHidden/>
          </w:rPr>
          <w:fldChar w:fldCharType="end"/>
        </w:r>
      </w:hyperlink>
    </w:p>
    <w:p w14:paraId="19CA1E23" w14:textId="6AA1EFBA"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0" w:history="1">
        <w:r w:rsidR="0080031C" w:rsidRPr="00412243">
          <w:rPr>
            <w:rStyle w:val="Hyperlink"/>
            <w:noProof/>
          </w:rPr>
          <w:t>16.3</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Steps to avoid and minimise impacts</w:t>
        </w:r>
        <w:r w:rsidR="0080031C">
          <w:rPr>
            <w:noProof/>
            <w:webHidden/>
          </w:rPr>
          <w:tab/>
        </w:r>
        <w:r w:rsidR="0080031C">
          <w:rPr>
            <w:noProof/>
            <w:webHidden/>
          </w:rPr>
          <w:fldChar w:fldCharType="begin"/>
        </w:r>
        <w:r w:rsidR="0080031C">
          <w:rPr>
            <w:noProof/>
            <w:webHidden/>
          </w:rPr>
          <w:instrText xml:space="preserve"> PAGEREF _Toc134706940 \h </w:instrText>
        </w:r>
        <w:r w:rsidR="0080031C">
          <w:rPr>
            <w:noProof/>
            <w:webHidden/>
          </w:rPr>
        </w:r>
        <w:r w:rsidR="0080031C">
          <w:rPr>
            <w:noProof/>
            <w:webHidden/>
          </w:rPr>
          <w:fldChar w:fldCharType="separate"/>
        </w:r>
        <w:r w:rsidR="0080031C">
          <w:rPr>
            <w:noProof/>
            <w:webHidden/>
          </w:rPr>
          <w:t>16-1</w:t>
        </w:r>
        <w:r w:rsidR="0080031C">
          <w:rPr>
            <w:noProof/>
            <w:webHidden/>
          </w:rPr>
          <w:fldChar w:fldCharType="end"/>
        </w:r>
      </w:hyperlink>
    </w:p>
    <w:p w14:paraId="79F2F064" w14:textId="37CA31EE"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1" w:history="1">
        <w:r w:rsidR="0080031C" w:rsidRPr="00412243">
          <w:rPr>
            <w:rStyle w:val="Hyperlink"/>
            <w:noProof/>
          </w:rPr>
          <w:t>16.4</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Commitments and measures for avoidance</w:t>
        </w:r>
        <w:r w:rsidR="0080031C">
          <w:rPr>
            <w:noProof/>
            <w:webHidden/>
          </w:rPr>
          <w:tab/>
        </w:r>
        <w:r w:rsidR="0080031C">
          <w:rPr>
            <w:noProof/>
            <w:webHidden/>
          </w:rPr>
          <w:fldChar w:fldCharType="begin"/>
        </w:r>
        <w:r w:rsidR="0080031C">
          <w:rPr>
            <w:noProof/>
            <w:webHidden/>
          </w:rPr>
          <w:instrText xml:space="preserve"> PAGEREF _Toc134706941 \h </w:instrText>
        </w:r>
        <w:r w:rsidR="0080031C">
          <w:rPr>
            <w:noProof/>
            <w:webHidden/>
          </w:rPr>
        </w:r>
        <w:r w:rsidR="0080031C">
          <w:rPr>
            <w:noProof/>
            <w:webHidden/>
          </w:rPr>
          <w:fldChar w:fldCharType="separate"/>
        </w:r>
        <w:r w:rsidR="0080031C">
          <w:rPr>
            <w:noProof/>
            <w:webHidden/>
          </w:rPr>
          <w:t>16-2</w:t>
        </w:r>
        <w:r w:rsidR="0080031C">
          <w:rPr>
            <w:noProof/>
            <w:webHidden/>
          </w:rPr>
          <w:fldChar w:fldCharType="end"/>
        </w:r>
      </w:hyperlink>
    </w:p>
    <w:p w14:paraId="77FD17B3" w14:textId="44E69E40"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2" w:history="1">
        <w:r w:rsidR="0080031C" w:rsidRPr="00412243">
          <w:rPr>
            <w:rStyle w:val="Hyperlink"/>
            <w:noProof/>
          </w:rPr>
          <w:t>16.5</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Avoidance outcomes for MNES</w:t>
        </w:r>
        <w:r w:rsidR="0080031C">
          <w:rPr>
            <w:noProof/>
            <w:webHidden/>
          </w:rPr>
          <w:tab/>
        </w:r>
        <w:r w:rsidR="0080031C">
          <w:rPr>
            <w:noProof/>
            <w:webHidden/>
          </w:rPr>
          <w:fldChar w:fldCharType="begin"/>
        </w:r>
        <w:r w:rsidR="0080031C">
          <w:rPr>
            <w:noProof/>
            <w:webHidden/>
          </w:rPr>
          <w:instrText xml:space="preserve"> PAGEREF _Toc134706942 \h </w:instrText>
        </w:r>
        <w:r w:rsidR="0080031C">
          <w:rPr>
            <w:noProof/>
            <w:webHidden/>
          </w:rPr>
        </w:r>
        <w:r w:rsidR="0080031C">
          <w:rPr>
            <w:noProof/>
            <w:webHidden/>
          </w:rPr>
          <w:fldChar w:fldCharType="separate"/>
        </w:r>
        <w:r w:rsidR="0080031C">
          <w:rPr>
            <w:noProof/>
            <w:webHidden/>
          </w:rPr>
          <w:t>16-3</w:t>
        </w:r>
        <w:r w:rsidR="0080031C">
          <w:rPr>
            <w:noProof/>
            <w:webHidden/>
          </w:rPr>
          <w:fldChar w:fldCharType="end"/>
        </w:r>
      </w:hyperlink>
    </w:p>
    <w:p w14:paraId="4383131B" w14:textId="195A0281" w:rsidR="0080031C"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706943" w:history="1">
        <w:r w:rsidR="0080031C" w:rsidRPr="00412243">
          <w:rPr>
            <w:rStyle w:val="Hyperlink"/>
            <w:noProof/>
          </w:rPr>
          <w:t>17</w:t>
        </w:r>
        <w:r w:rsidR="0080031C">
          <w:rPr>
            <w:rFonts w:asciiTheme="minorHAnsi" w:eastAsiaTheme="minorEastAsia" w:hAnsiTheme="minorHAnsi" w:cstheme="minorBidi"/>
            <w:b w:val="0"/>
            <w:bCs w:val="0"/>
            <w:caps w:val="0"/>
            <w:noProof/>
            <w:kern w:val="2"/>
            <w:sz w:val="24"/>
            <w:szCs w:val="24"/>
            <w:lang w:eastAsia="en-GB"/>
            <w14:ligatures w14:val="standardContextual"/>
          </w:rPr>
          <w:tab/>
        </w:r>
        <w:r w:rsidR="0080031C" w:rsidRPr="00412243">
          <w:rPr>
            <w:rStyle w:val="Hyperlink"/>
            <w:noProof/>
          </w:rPr>
          <w:t>Managing indirect impacts</w:t>
        </w:r>
        <w:r w:rsidR="0080031C">
          <w:rPr>
            <w:noProof/>
            <w:webHidden/>
          </w:rPr>
          <w:tab/>
        </w:r>
        <w:r w:rsidR="0080031C">
          <w:rPr>
            <w:noProof/>
            <w:webHidden/>
          </w:rPr>
          <w:fldChar w:fldCharType="begin"/>
        </w:r>
        <w:r w:rsidR="0080031C">
          <w:rPr>
            <w:noProof/>
            <w:webHidden/>
          </w:rPr>
          <w:instrText xml:space="preserve"> PAGEREF _Toc134706943 \h </w:instrText>
        </w:r>
        <w:r w:rsidR="0080031C">
          <w:rPr>
            <w:noProof/>
            <w:webHidden/>
          </w:rPr>
        </w:r>
        <w:r w:rsidR="0080031C">
          <w:rPr>
            <w:noProof/>
            <w:webHidden/>
          </w:rPr>
          <w:fldChar w:fldCharType="separate"/>
        </w:r>
        <w:r w:rsidR="0080031C">
          <w:rPr>
            <w:noProof/>
            <w:webHidden/>
          </w:rPr>
          <w:t>17-1</w:t>
        </w:r>
        <w:r w:rsidR="0080031C">
          <w:rPr>
            <w:noProof/>
            <w:webHidden/>
          </w:rPr>
          <w:fldChar w:fldCharType="end"/>
        </w:r>
      </w:hyperlink>
    </w:p>
    <w:p w14:paraId="1680CE00" w14:textId="267178F3"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4" w:history="1">
        <w:r w:rsidR="0080031C" w:rsidRPr="00412243">
          <w:rPr>
            <w:rStyle w:val="Hyperlink"/>
            <w:noProof/>
          </w:rPr>
          <w:t>17.1</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Introduction</w:t>
        </w:r>
        <w:r w:rsidR="0080031C">
          <w:rPr>
            <w:noProof/>
            <w:webHidden/>
          </w:rPr>
          <w:tab/>
        </w:r>
        <w:r w:rsidR="0080031C">
          <w:rPr>
            <w:noProof/>
            <w:webHidden/>
          </w:rPr>
          <w:fldChar w:fldCharType="begin"/>
        </w:r>
        <w:r w:rsidR="0080031C">
          <w:rPr>
            <w:noProof/>
            <w:webHidden/>
          </w:rPr>
          <w:instrText xml:space="preserve"> PAGEREF _Toc134706944 \h </w:instrText>
        </w:r>
        <w:r w:rsidR="0080031C">
          <w:rPr>
            <w:noProof/>
            <w:webHidden/>
          </w:rPr>
        </w:r>
        <w:r w:rsidR="0080031C">
          <w:rPr>
            <w:noProof/>
            <w:webHidden/>
          </w:rPr>
          <w:fldChar w:fldCharType="separate"/>
        </w:r>
        <w:r w:rsidR="0080031C">
          <w:rPr>
            <w:noProof/>
            <w:webHidden/>
          </w:rPr>
          <w:t>17-1</w:t>
        </w:r>
        <w:r w:rsidR="0080031C">
          <w:rPr>
            <w:noProof/>
            <w:webHidden/>
          </w:rPr>
          <w:fldChar w:fldCharType="end"/>
        </w:r>
      </w:hyperlink>
    </w:p>
    <w:p w14:paraId="666B8BA6" w14:textId="6CE3EF33"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5" w:history="1">
        <w:r w:rsidR="0080031C" w:rsidRPr="00412243">
          <w:rPr>
            <w:rStyle w:val="Hyperlink"/>
            <w:noProof/>
          </w:rPr>
          <w:t>17.2</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Analysis of indirect impacts</w:t>
        </w:r>
        <w:r w:rsidR="0080031C">
          <w:rPr>
            <w:noProof/>
            <w:webHidden/>
          </w:rPr>
          <w:tab/>
        </w:r>
        <w:r w:rsidR="0080031C">
          <w:rPr>
            <w:noProof/>
            <w:webHidden/>
          </w:rPr>
          <w:fldChar w:fldCharType="begin"/>
        </w:r>
        <w:r w:rsidR="0080031C">
          <w:rPr>
            <w:noProof/>
            <w:webHidden/>
          </w:rPr>
          <w:instrText xml:space="preserve"> PAGEREF _Toc134706945 \h </w:instrText>
        </w:r>
        <w:r w:rsidR="0080031C">
          <w:rPr>
            <w:noProof/>
            <w:webHidden/>
          </w:rPr>
        </w:r>
        <w:r w:rsidR="0080031C">
          <w:rPr>
            <w:noProof/>
            <w:webHidden/>
          </w:rPr>
          <w:fldChar w:fldCharType="separate"/>
        </w:r>
        <w:r w:rsidR="0080031C">
          <w:rPr>
            <w:noProof/>
            <w:webHidden/>
          </w:rPr>
          <w:t>17-2</w:t>
        </w:r>
        <w:r w:rsidR="0080031C">
          <w:rPr>
            <w:noProof/>
            <w:webHidden/>
          </w:rPr>
          <w:fldChar w:fldCharType="end"/>
        </w:r>
      </w:hyperlink>
    </w:p>
    <w:p w14:paraId="46D93B3E" w14:textId="3116DC5F"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6" w:history="1">
        <w:r w:rsidR="0080031C" w:rsidRPr="00412243">
          <w:rPr>
            <w:rStyle w:val="Hyperlink"/>
            <w:noProof/>
          </w:rPr>
          <w:t>17.3</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Analysis of Threat Abatement Plans</w:t>
        </w:r>
        <w:r w:rsidR="0080031C">
          <w:rPr>
            <w:noProof/>
            <w:webHidden/>
          </w:rPr>
          <w:tab/>
        </w:r>
        <w:r w:rsidR="0080031C">
          <w:rPr>
            <w:noProof/>
            <w:webHidden/>
          </w:rPr>
          <w:fldChar w:fldCharType="begin"/>
        </w:r>
        <w:r w:rsidR="0080031C">
          <w:rPr>
            <w:noProof/>
            <w:webHidden/>
          </w:rPr>
          <w:instrText xml:space="preserve"> PAGEREF _Toc134706946 \h </w:instrText>
        </w:r>
        <w:r w:rsidR="0080031C">
          <w:rPr>
            <w:noProof/>
            <w:webHidden/>
          </w:rPr>
        </w:r>
        <w:r w:rsidR="0080031C">
          <w:rPr>
            <w:noProof/>
            <w:webHidden/>
          </w:rPr>
          <w:fldChar w:fldCharType="separate"/>
        </w:r>
        <w:r w:rsidR="0080031C">
          <w:rPr>
            <w:noProof/>
            <w:webHidden/>
          </w:rPr>
          <w:t>17-12</w:t>
        </w:r>
        <w:r w:rsidR="0080031C">
          <w:rPr>
            <w:noProof/>
            <w:webHidden/>
          </w:rPr>
          <w:fldChar w:fldCharType="end"/>
        </w:r>
      </w:hyperlink>
    </w:p>
    <w:p w14:paraId="16C28E7F" w14:textId="3230F4A5" w:rsidR="0080031C"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706947" w:history="1">
        <w:r w:rsidR="0080031C" w:rsidRPr="00412243">
          <w:rPr>
            <w:rStyle w:val="Hyperlink"/>
            <w:noProof/>
          </w:rPr>
          <w:t>18</w:t>
        </w:r>
        <w:r w:rsidR="0080031C">
          <w:rPr>
            <w:rFonts w:asciiTheme="minorHAnsi" w:eastAsiaTheme="minorEastAsia" w:hAnsiTheme="minorHAnsi" w:cstheme="minorBidi"/>
            <w:b w:val="0"/>
            <w:bCs w:val="0"/>
            <w:caps w:val="0"/>
            <w:noProof/>
            <w:kern w:val="2"/>
            <w:sz w:val="24"/>
            <w:szCs w:val="24"/>
            <w:lang w:eastAsia="en-GB"/>
            <w14:ligatures w14:val="standardContextual"/>
          </w:rPr>
          <w:tab/>
        </w:r>
        <w:r w:rsidR="0080031C" w:rsidRPr="00412243">
          <w:rPr>
            <w:rStyle w:val="Hyperlink"/>
            <w:noProof/>
          </w:rPr>
          <w:t>Relevant protected matters</w:t>
        </w:r>
        <w:r w:rsidR="0080031C">
          <w:rPr>
            <w:noProof/>
            <w:webHidden/>
          </w:rPr>
          <w:tab/>
        </w:r>
        <w:r w:rsidR="0080031C">
          <w:rPr>
            <w:noProof/>
            <w:webHidden/>
          </w:rPr>
          <w:fldChar w:fldCharType="begin"/>
        </w:r>
        <w:r w:rsidR="0080031C">
          <w:rPr>
            <w:noProof/>
            <w:webHidden/>
          </w:rPr>
          <w:instrText xml:space="preserve"> PAGEREF _Toc134706947 \h </w:instrText>
        </w:r>
        <w:r w:rsidR="0080031C">
          <w:rPr>
            <w:noProof/>
            <w:webHidden/>
          </w:rPr>
        </w:r>
        <w:r w:rsidR="0080031C">
          <w:rPr>
            <w:noProof/>
            <w:webHidden/>
          </w:rPr>
          <w:fldChar w:fldCharType="separate"/>
        </w:r>
        <w:r w:rsidR="0080031C">
          <w:rPr>
            <w:noProof/>
            <w:webHidden/>
          </w:rPr>
          <w:t>18-1</w:t>
        </w:r>
        <w:r w:rsidR="0080031C">
          <w:rPr>
            <w:noProof/>
            <w:webHidden/>
          </w:rPr>
          <w:fldChar w:fldCharType="end"/>
        </w:r>
      </w:hyperlink>
    </w:p>
    <w:p w14:paraId="40E150DD" w14:textId="2D0A3D68"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8" w:history="1">
        <w:r w:rsidR="0080031C" w:rsidRPr="00412243">
          <w:rPr>
            <w:rStyle w:val="Hyperlink"/>
            <w:noProof/>
          </w:rPr>
          <w:t>18.1</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Introduction</w:t>
        </w:r>
        <w:r w:rsidR="0080031C">
          <w:rPr>
            <w:noProof/>
            <w:webHidden/>
          </w:rPr>
          <w:tab/>
        </w:r>
        <w:r w:rsidR="0080031C">
          <w:rPr>
            <w:noProof/>
            <w:webHidden/>
          </w:rPr>
          <w:fldChar w:fldCharType="begin"/>
        </w:r>
        <w:r w:rsidR="0080031C">
          <w:rPr>
            <w:noProof/>
            <w:webHidden/>
          </w:rPr>
          <w:instrText xml:space="preserve"> PAGEREF _Toc134706948 \h </w:instrText>
        </w:r>
        <w:r w:rsidR="0080031C">
          <w:rPr>
            <w:noProof/>
            <w:webHidden/>
          </w:rPr>
        </w:r>
        <w:r w:rsidR="0080031C">
          <w:rPr>
            <w:noProof/>
            <w:webHidden/>
          </w:rPr>
          <w:fldChar w:fldCharType="separate"/>
        </w:r>
        <w:r w:rsidR="0080031C">
          <w:rPr>
            <w:noProof/>
            <w:webHidden/>
          </w:rPr>
          <w:t>18-1</w:t>
        </w:r>
        <w:r w:rsidR="0080031C">
          <w:rPr>
            <w:noProof/>
            <w:webHidden/>
          </w:rPr>
          <w:fldChar w:fldCharType="end"/>
        </w:r>
      </w:hyperlink>
    </w:p>
    <w:p w14:paraId="1EE80701" w14:textId="4F6CD63E" w:rsidR="0080031C"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34706949" w:history="1">
        <w:r w:rsidR="0080031C" w:rsidRPr="00412243">
          <w:rPr>
            <w:rStyle w:val="Hyperlink"/>
            <w:noProof/>
          </w:rPr>
          <w:t>18.2</w:t>
        </w:r>
        <w:r w:rsidR="0080031C">
          <w:rPr>
            <w:rFonts w:asciiTheme="minorHAnsi" w:eastAsiaTheme="minorEastAsia" w:hAnsiTheme="minorHAnsi" w:cstheme="minorBidi"/>
            <w:noProof/>
            <w:kern w:val="2"/>
            <w:sz w:val="24"/>
            <w:szCs w:val="24"/>
            <w:lang w:eastAsia="en-GB"/>
            <w14:ligatures w14:val="standardContextual"/>
          </w:rPr>
          <w:tab/>
        </w:r>
        <w:r w:rsidR="0080031C" w:rsidRPr="00412243">
          <w:rPr>
            <w:rStyle w:val="Hyperlink"/>
            <w:noProof/>
          </w:rPr>
          <w:t>Categorisation results</w:t>
        </w:r>
        <w:r w:rsidR="0080031C">
          <w:rPr>
            <w:noProof/>
            <w:webHidden/>
          </w:rPr>
          <w:tab/>
        </w:r>
        <w:r w:rsidR="0080031C">
          <w:rPr>
            <w:noProof/>
            <w:webHidden/>
          </w:rPr>
          <w:fldChar w:fldCharType="begin"/>
        </w:r>
        <w:r w:rsidR="0080031C">
          <w:rPr>
            <w:noProof/>
            <w:webHidden/>
          </w:rPr>
          <w:instrText xml:space="preserve"> PAGEREF _Toc134706949 \h </w:instrText>
        </w:r>
        <w:r w:rsidR="0080031C">
          <w:rPr>
            <w:noProof/>
            <w:webHidden/>
          </w:rPr>
        </w:r>
        <w:r w:rsidR="0080031C">
          <w:rPr>
            <w:noProof/>
            <w:webHidden/>
          </w:rPr>
          <w:fldChar w:fldCharType="separate"/>
        </w:r>
        <w:r w:rsidR="0080031C">
          <w:rPr>
            <w:noProof/>
            <w:webHidden/>
          </w:rPr>
          <w:t>18-1</w:t>
        </w:r>
        <w:r w:rsidR="0080031C">
          <w:rPr>
            <w:noProof/>
            <w:webHidden/>
          </w:rPr>
          <w:fldChar w:fldCharType="end"/>
        </w:r>
      </w:hyperlink>
    </w:p>
    <w:p w14:paraId="4661673D" w14:textId="6B95A2F0" w:rsidR="0080031C" w:rsidRDefault="00000000">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4706950" w:history="1">
        <w:r w:rsidR="0080031C" w:rsidRPr="00412243">
          <w:rPr>
            <w:rStyle w:val="Hyperlink"/>
            <w:noProof/>
          </w:rPr>
          <w:t>References</w:t>
        </w:r>
        <w:r w:rsidR="0080031C">
          <w:rPr>
            <w:noProof/>
            <w:webHidden/>
          </w:rPr>
          <w:tab/>
        </w:r>
        <w:r w:rsidR="0080031C">
          <w:rPr>
            <w:noProof/>
            <w:webHidden/>
          </w:rPr>
          <w:fldChar w:fldCharType="begin"/>
        </w:r>
        <w:r w:rsidR="0080031C">
          <w:rPr>
            <w:noProof/>
            <w:webHidden/>
          </w:rPr>
          <w:instrText xml:space="preserve"> PAGEREF _Toc134706950 \h </w:instrText>
        </w:r>
        <w:r w:rsidR="0080031C">
          <w:rPr>
            <w:noProof/>
            <w:webHidden/>
          </w:rPr>
        </w:r>
        <w:r w:rsidR="0080031C">
          <w:rPr>
            <w:noProof/>
            <w:webHidden/>
          </w:rPr>
          <w:fldChar w:fldCharType="separate"/>
        </w:r>
        <w:r w:rsidR="0080031C">
          <w:rPr>
            <w:noProof/>
            <w:webHidden/>
          </w:rPr>
          <w:t>A</w:t>
        </w:r>
        <w:r w:rsidR="0080031C">
          <w:rPr>
            <w:noProof/>
            <w:webHidden/>
          </w:rPr>
          <w:fldChar w:fldCharType="end"/>
        </w:r>
      </w:hyperlink>
    </w:p>
    <w:p w14:paraId="2FCA3E55" w14:textId="21C259A4" w:rsidR="00FF6F90" w:rsidRDefault="00FF6F90" w:rsidP="00706F10">
      <w:r>
        <w:fldChar w:fldCharType="end"/>
      </w:r>
    </w:p>
    <w:p w14:paraId="7CC60244" w14:textId="77777777" w:rsidR="00FF6F90" w:rsidRDefault="00FF6F90" w:rsidP="00417E97">
      <w:pPr>
        <w:pStyle w:val="Contentsacronymsreferences"/>
      </w:pPr>
      <w:bookmarkStart w:id="6" w:name="_Toc134706934"/>
      <w:r>
        <w:t>List of Tables</w:t>
      </w:r>
      <w:bookmarkEnd w:id="6"/>
    </w:p>
    <w:bookmarkEnd w:id="2"/>
    <w:bookmarkEnd w:id="3"/>
    <w:bookmarkEnd w:id="4"/>
    <w:bookmarkEnd w:id="5"/>
    <w:p w14:paraId="51506BF0" w14:textId="22343DE5" w:rsidR="0080031C" w:rsidRDefault="00FF6F9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\h \z \c "Table" </w:instrText>
      </w:r>
      <w:r>
        <w:fldChar w:fldCharType="separate"/>
      </w:r>
      <w:hyperlink w:anchor="_Toc134706951" w:history="1">
        <w:r w:rsidR="0080031C" w:rsidRPr="00810D17">
          <w:rPr>
            <w:rStyle w:val="Hyperlink"/>
            <w:noProof/>
          </w:rPr>
          <w:t>Table 16</w:t>
        </w:r>
        <w:r w:rsidR="0080031C" w:rsidRPr="00810D17">
          <w:rPr>
            <w:rStyle w:val="Hyperlink"/>
            <w:noProof/>
          </w:rPr>
          <w:noBreakHyphen/>
          <w:t>1: MNES that will be avoided entirely from being impacted directly by implementation of the Plan</w:t>
        </w:r>
        <w:r w:rsidR="0080031C">
          <w:rPr>
            <w:noProof/>
            <w:webHidden/>
          </w:rPr>
          <w:tab/>
        </w:r>
        <w:r w:rsidR="0080031C">
          <w:rPr>
            <w:noProof/>
            <w:webHidden/>
          </w:rPr>
          <w:fldChar w:fldCharType="begin"/>
        </w:r>
        <w:r w:rsidR="0080031C">
          <w:rPr>
            <w:noProof/>
            <w:webHidden/>
          </w:rPr>
          <w:instrText xml:space="preserve"> PAGEREF _Toc134706951 \h </w:instrText>
        </w:r>
        <w:r w:rsidR="0080031C">
          <w:rPr>
            <w:noProof/>
            <w:webHidden/>
          </w:rPr>
        </w:r>
        <w:r w:rsidR="0080031C">
          <w:rPr>
            <w:noProof/>
            <w:webHidden/>
          </w:rPr>
          <w:fldChar w:fldCharType="separate"/>
        </w:r>
        <w:r w:rsidR="0080031C">
          <w:rPr>
            <w:noProof/>
            <w:webHidden/>
          </w:rPr>
          <w:t>16-4</w:t>
        </w:r>
        <w:r w:rsidR="0080031C">
          <w:rPr>
            <w:noProof/>
            <w:webHidden/>
          </w:rPr>
          <w:fldChar w:fldCharType="end"/>
        </w:r>
      </w:hyperlink>
    </w:p>
    <w:p w14:paraId="1549C77B" w14:textId="6DD92CDA" w:rsidR="0080031C"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706952" w:history="1">
        <w:r w:rsidR="0080031C" w:rsidRPr="00810D17">
          <w:rPr>
            <w:rStyle w:val="Hyperlink"/>
            <w:noProof/>
          </w:rPr>
          <w:t>Table 17</w:t>
        </w:r>
        <w:r w:rsidR="0080031C" w:rsidRPr="00810D17">
          <w:rPr>
            <w:rStyle w:val="Hyperlink"/>
            <w:noProof/>
          </w:rPr>
          <w:noBreakHyphen/>
          <w:t>1: Sites within the Geelong region with existing management in place to minimise human disturbance</w:t>
        </w:r>
        <w:r w:rsidR="0080031C">
          <w:rPr>
            <w:noProof/>
            <w:webHidden/>
          </w:rPr>
          <w:tab/>
        </w:r>
        <w:r w:rsidR="0080031C">
          <w:rPr>
            <w:noProof/>
            <w:webHidden/>
          </w:rPr>
          <w:fldChar w:fldCharType="begin"/>
        </w:r>
        <w:r w:rsidR="0080031C">
          <w:rPr>
            <w:noProof/>
            <w:webHidden/>
          </w:rPr>
          <w:instrText xml:space="preserve"> PAGEREF _Toc134706952 \h </w:instrText>
        </w:r>
        <w:r w:rsidR="0080031C">
          <w:rPr>
            <w:noProof/>
            <w:webHidden/>
          </w:rPr>
        </w:r>
        <w:r w:rsidR="0080031C">
          <w:rPr>
            <w:noProof/>
            <w:webHidden/>
          </w:rPr>
          <w:fldChar w:fldCharType="separate"/>
        </w:r>
        <w:r w:rsidR="0080031C">
          <w:rPr>
            <w:noProof/>
            <w:webHidden/>
          </w:rPr>
          <w:t>17-8</w:t>
        </w:r>
        <w:r w:rsidR="0080031C">
          <w:rPr>
            <w:noProof/>
            <w:webHidden/>
          </w:rPr>
          <w:fldChar w:fldCharType="end"/>
        </w:r>
      </w:hyperlink>
    </w:p>
    <w:p w14:paraId="4A7685BC" w14:textId="29FF894B" w:rsidR="0080031C"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706953" w:history="1">
        <w:r w:rsidR="0080031C" w:rsidRPr="00810D17">
          <w:rPr>
            <w:rStyle w:val="Hyperlink"/>
            <w:noProof/>
          </w:rPr>
          <w:t>Table 17</w:t>
        </w:r>
        <w:r w:rsidR="0080031C" w:rsidRPr="00810D17">
          <w:rPr>
            <w:rStyle w:val="Hyperlink"/>
            <w:noProof/>
          </w:rPr>
          <w:noBreakHyphen/>
          <w:t>2: Key Threatening Processes (KTPs) associated with potential impacts under the Plan</w:t>
        </w:r>
        <w:r w:rsidR="0080031C">
          <w:rPr>
            <w:noProof/>
            <w:webHidden/>
          </w:rPr>
          <w:tab/>
        </w:r>
        <w:r w:rsidR="0080031C">
          <w:rPr>
            <w:noProof/>
            <w:webHidden/>
          </w:rPr>
          <w:fldChar w:fldCharType="begin"/>
        </w:r>
        <w:r w:rsidR="0080031C">
          <w:rPr>
            <w:noProof/>
            <w:webHidden/>
          </w:rPr>
          <w:instrText xml:space="preserve"> PAGEREF _Toc134706953 \h </w:instrText>
        </w:r>
        <w:r w:rsidR="0080031C">
          <w:rPr>
            <w:noProof/>
            <w:webHidden/>
          </w:rPr>
        </w:r>
        <w:r w:rsidR="0080031C">
          <w:rPr>
            <w:noProof/>
            <w:webHidden/>
          </w:rPr>
          <w:fldChar w:fldCharType="separate"/>
        </w:r>
        <w:r w:rsidR="0080031C">
          <w:rPr>
            <w:noProof/>
            <w:webHidden/>
          </w:rPr>
          <w:t>17-13</w:t>
        </w:r>
        <w:r w:rsidR="0080031C">
          <w:rPr>
            <w:noProof/>
            <w:webHidden/>
          </w:rPr>
          <w:fldChar w:fldCharType="end"/>
        </w:r>
      </w:hyperlink>
    </w:p>
    <w:p w14:paraId="3FF56526" w14:textId="2F522875" w:rsidR="0080031C" w:rsidRDefault="00000000">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706954" w:history="1">
        <w:r w:rsidR="0080031C" w:rsidRPr="00810D17">
          <w:rPr>
            <w:rStyle w:val="Hyperlink"/>
            <w:noProof/>
          </w:rPr>
          <w:t>Table 17</w:t>
        </w:r>
        <w:r w:rsidR="0080031C" w:rsidRPr="00810D17">
          <w:rPr>
            <w:rStyle w:val="Hyperlink"/>
            <w:noProof/>
          </w:rPr>
          <w:noBreakHyphen/>
          <w:t>3: Threat Abatement Plans associated with potentially relevant Key Threatening Processes</w:t>
        </w:r>
        <w:r w:rsidR="0080031C">
          <w:rPr>
            <w:noProof/>
            <w:webHidden/>
          </w:rPr>
          <w:tab/>
        </w:r>
        <w:r w:rsidR="0080031C">
          <w:rPr>
            <w:noProof/>
            <w:webHidden/>
          </w:rPr>
          <w:fldChar w:fldCharType="begin"/>
        </w:r>
        <w:r w:rsidR="0080031C">
          <w:rPr>
            <w:noProof/>
            <w:webHidden/>
          </w:rPr>
          <w:instrText xml:space="preserve"> PAGEREF _Toc134706954 \h </w:instrText>
        </w:r>
        <w:r w:rsidR="0080031C">
          <w:rPr>
            <w:noProof/>
            <w:webHidden/>
          </w:rPr>
        </w:r>
        <w:r w:rsidR="0080031C">
          <w:rPr>
            <w:noProof/>
            <w:webHidden/>
          </w:rPr>
          <w:fldChar w:fldCharType="separate"/>
        </w:r>
        <w:r w:rsidR="0080031C">
          <w:rPr>
            <w:noProof/>
            <w:webHidden/>
          </w:rPr>
          <w:t>17-13</w:t>
        </w:r>
        <w:r w:rsidR="0080031C">
          <w:rPr>
            <w:noProof/>
            <w:webHidden/>
          </w:rPr>
          <w:fldChar w:fldCharType="end"/>
        </w:r>
      </w:hyperlink>
    </w:p>
    <w:p w14:paraId="38CBAFA8" w14:textId="44363334" w:rsidR="00FF6F90" w:rsidRPr="005C72DD" w:rsidRDefault="00FF6F90" w:rsidP="005C72DD">
      <w:pPr>
        <w:sectPr w:rsidR="00FF6F90" w:rsidRPr="005C72DD" w:rsidSect="00C22F3F">
          <w:headerReference w:type="default" r:id="rId14"/>
          <w:footerReference w:type="default" r:id="rId15"/>
          <w:pgSz w:w="11900" w:h="16840"/>
          <w:pgMar w:top="1247" w:right="1134" w:bottom="1247" w:left="1134" w:header="708" w:footer="708" w:gutter="0"/>
          <w:pgNumType w:fmt="lowerRoman" w:start="1"/>
          <w:cols w:space="708"/>
          <w:docGrid w:linePitch="360"/>
        </w:sectPr>
      </w:pPr>
      <w:r>
        <w:fldChar w:fldCharType="end"/>
      </w:r>
      <w:bookmarkStart w:id="7" w:name="_Toc87883233"/>
    </w:p>
    <w:p w14:paraId="791E9BF7" w14:textId="77777777" w:rsidR="00FF6F90" w:rsidRDefault="00FF6F90" w:rsidP="00791A91">
      <w:pPr>
        <w:pStyle w:val="Partheading"/>
        <w:rPr>
          <w:caps w:val="0"/>
        </w:rPr>
      </w:pPr>
      <w:bookmarkStart w:id="8" w:name="_Toc116639548"/>
      <w:bookmarkStart w:id="9" w:name="_Toc134706935"/>
      <w:r w:rsidRPr="007406D0">
        <w:rPr>
          <w:caps w:val="0"/>
        </w:rPr>
        <w:lastRenderedPageBreak/>
        <w:t xml:space="preserve">PART </w:t>
      </w:r>
      <w:r>
        <w:rPr>
          <w:caps w:val="0"/>
        </w:rPr>
        <w:t>4</w:t>
      </w:r>
      <w:r w:rsidRPr="007406D0">
        <w:rPr>
          <w:caps w:val="0"/>
        </w:rPr>
        <w:t xml:space="preserve">: </w:t>
      </w:r>
      <w:bookmarkEnd w:id="8"/>
      <w:r>
        <w:rPr>
          <w:caps w:val="0"/>
        </w:rPr>
        <w:t>IMPACT ASSESSMENT</w:t>
      </w:r>
      <w:bookmarkEnd w:id="9"/>
    </w:p>
    <w:p w14:paraId="26524E10" w14:textId="77777777" w:rsidR="00FF6F90" w:rsidRDefault="00FF6F90" w:rsidP="001B6C1A">
      <w:pPr>
        <w:pStyle w:val="Heading1"/>
      </w:pPr>
      <w:bookmarkStart w:id="10" w:name="_Toc134706936"/>
      <w:r>
        <w:t>Introduction</w:t>
      </w:r>
      <w:bookmarkEnd w:id="10"/>
    </w:p>
    <w:p w14:paraId="3E89950D" w14:textId="77777777" w:rsidR="00FF6F90" w:rsidRPr="00871466" w:rsidRDefault="00FF6F90" w:rsidP="004E73F9">
      <w:r w:rsidRPr="00871466">
        <w:t>This part of the Assessment Report provides the detailed assessments for the relevant protected matters. As defined in the Terms of Reference (ToR), the relevant protected matters are those matters that may be impacted directly, indirectly and/or cumulatively by actions proposed to be taken under the Plan</w:t>
      </w:r>
      <w:r>
        <w:t>.</w:t>
      </w:r>
    </w:p>
    <w:p w14:paraId="3F27FA60" w14:textId="58A70AE9" w:rsidR="00FF6F90" w:rsidRPr="00871466" w:rsidRDefault="00FF6F90" w:rsidP="004E73F9">
      <w:r w:rsidRPr="00871466">
        <w:t xml:space="preserve">The </w:t>
      </w:r>
      <w:r w:rsidR="0086788A">
        <w:t xml:space="preserve">detailed </w:t>
      </w:r>
      <w:r w:rsidRPr="00871466">
        <w:t>assessments are presented in the following chapters:</w:t>
      </w:r>
    </w:p>
    <w:p w14:paraId="7BBD08DE" w14:textId="77777777" w:rsidR="00FF6F90" w:rsidRPr="00871466" w:rsidRDefault="00FF6F90" w:rsidP="0028231F">
      <w:pPr>
        <w:pStyle w:val="Bullet1"/>
      </w:pPr>
      <w:r w:rsidRPr="00B66932">
        <w:t>Chapter 19</w:t>
      </w:r>
      <w:r w:rsidRPr="00871466">
        <w:t xml:space="preserve"> – Listed threatened fauna species</w:t>
      </w:r>
    </w:p>
    <w:p w14:paraId="1E0A1E3E" w14:textId="77777777" w:rsidR="00FF6F90" w:rsidRPr="00871466" w:rsidRDefault="00FF6F90" w:rsidP="0028231F">
      <w:pPr>
        <w:pStyle w:val="Bullet1"/>
      </w:pPr>
      <w:r w:rsidRPr="00B66932">
        <w:t>Chapter 20</w:t>
      </w:r>
      <w:r w:rsidRPr="00871466">
        <w:t xml:space="preserve"> – Listed threatened flora species</w:t>
      </w:r>
    </w:p>
    <w:p w14:paraId="0536F217" w14:textId="77777777" w:rsidR="00FF6F90" w:rsidRPr="00871466" w:rsidRDefault="00FF6F90" w:rsidP="0028231F">
      <w:pPr>
        <w:pStyle w:val="Bullet1"/>
      </w:pPr>
      <w:r w:rsidRPr="00B66932">
        <w:t>Chapter 21</w:t>
      </w:r>
      <w:r w:rsidRPr="00871466">
        <w:t xml:space="preserve"> – Listed threatened ecological communities</w:t>
      </w:r>
    </w:p>
    <w:p w14:paraId="27F20D5C" w14:textId="77777777" w:rsidR="00FF6F90" w:rsidRPr="00871466" w:rsidRDefault="00FF6F90" w:rsidP="0028231F">
      <w:pPr>
        <w:pStyle w:val="Bullet1"/>
      </w:pPr>
      <w:r w:rsidRPr="00B66932">
        <w:t>Chapter 22</w:t>
      </w:r>
      <w:r w:rsidRPr="00871466">
        <w:t xml:space="preserve"> – Ramsar wetlands</w:t>
      </w:r>
    </w:p>
    <w:p w14:paraId="0BF75452" w14:textId="77777777" w:rsidR="00FF6F90" w:rsidRPr="00871466" w:rsidRDefault="00FF6F90" w:rsidP="0028231F">
      <w:pPr>
        <w:pStyle w:val="Bullet1"/>
      </w:pPr>
      <w:r w:rsidRPr="00B66932">
        <w:t>Chapter 23</w:t>
      </w:r>
      <w:r w:rsidRPr="00871466">
        <w:t xml:space="preserve"> – Listed migratory species</w:t>
      </w:r>
    </w:p>
    <w:p w14:paraId="2A6A95B9" w14:textId="77777777" w:rsidR="00FF6F90" w:rsidRDefault="00FF6F90" w:rsidP="0028231F">
      <w:pPr>
        <w:pStyle w:val="Bullet1"/>
      </w:pPr>
      <w:r w:rsidRPr="00B66932">
        <w:t>Chapter 24</w:t>
      </w:r>
      <w:r w:rsidRPr="00871466">
        <w:t xml:space="preserve"> – Species on the Finalised Priority Assessment List</w:t>
      </w:r>
    </w:p>
    <w:p w14:paraId="55FE9C11" w14:textId="77777777" w:rsidR="00FF6F90" w:rsidRDefault="00FF6F90" w:rsidP="0028231F">
      <w:pPr>
        <w:pStyle w:val="Bullet1"/>
      </w:pPr>
      <w:r w:rsidRPr="00B66932">
        <w:t>Chapter 25</w:t>
      </w:r>
      <w:r>
        <w:t xml:space="preserve"> – Cumulative impact assessment</w:t>
      </w:r>
    </w:p>
    <w:p w14:paraId="23B62B6B" w14:textId="77777777" w:rsidR="00FF6F90" w:rsidRPr="00871466" w:rsidRDefault="00FF6F90" w:rsidP="0028231F">
      <w:pPr>
        <w:pStyle w:val="Bullet1"/>
      </w:pPr>
      <w:r>
        <w:t>Chapter 26 – Social and economic impact assessment</w:t>
      </w:r>
    </w:p>
    <w:p w14:paraId="1EAC6949" w14:textId="77777777" w:rsidR="00FF6F90" w:rsidRPr="00871466" w:rsidRDefault="00FF6F90" w:rsidP="0028231F">
      <w:r w:rsidRPr="00871466">
        <w:t>These assessments address many of the requirements of the ToR; in particular, sections 3.2, 4.1, 4.3, 4.4, 4.6 and 4.9.</w:t>
      </w:r>
    </w:p>
    <w:p w14:paraId="574FDEF3" w14:textId="77777777" w:rsidR="00FF6F90" w:rsidRPr="00871466" w:rsidRDefault="00FF6F90" w:rsidP="0028231F">
      <w:r w:rsidRPr="00871466">
        <w:t>There are a number of supporting chapters leading into these assessments that provide important background and context. These include:</w:t>
      </w:r>
    </w:p>
    <w:p w14:paraId="2E28EA6B" w14:textId="77777777" w:rsidR="00FF6F90" w:rsidRPr="00871466" w:rsidRDefault="00FF6F90" w:rsidP="0028231F">
      <w:pPr>
        <w:pStyle w:val="Bullet1"/>
      </w:pPr>
      <w:r w:rsidRPr="00B66932">
        <w:t>Chapter 16</w:t>
      </w:r>
      <w:r w:rsidRPr="00871466">
        <w:t xml:space="preserve"> – Avoidance, which describes the avoidance process and decision making that underpins the Plan and led to the key avoidance outcomes for MNES</w:t>
      </w:r>
    </w:p>
    <w:p w14:paraId="72B5D20D" w14:textId="77777777" w:rsidR="00FF6F90" w:rsidRPr="00871466" w:rsidRDefault="00FF6F90" w:rsidP="0028231F">
      <w:pPr>
        <w:pStyle w:val="Bullet1"/>
      </w:pPr>
      <w:r w:rsidRPr="00B66932">
        <w:t>Chapter 17</w:t>
      </w:r>
      <w:r w:rsidRPr="00871466">
        <w:t xml:space="preserve"> – Managing indirect impacts, which describes the relevant potential indirect impacts associated with development under the Plan and how these impacts will be mitigated and managed</w:t>
      </w:r>
    </w:p>
    <w:p w14:paraId="44482BFE" w14:textId="77777777" w:rsidR="00FF6F90" w:rsidRPr="00871466" w:rsidRDefault="00FF6F90" w:rsidP="0028231F">
      <w:pPr>
        <w:pStyle w:val="Bullet1"/>
      </w:pPr>
      <w:r w:rsidRPr="00B66932">
        <w:t>Chapter 18</w:t>
      </w:r>
      <w:r w:rsidRPr="00B41310">
        <w:t xml:space="preserve"> –</w:t>
      </w:r>
      <w:r w:rsidRPr="00871466">
        <w:t xml:space="preserve"> Relevant protected matters, which lists the relevant protected matters that were identified through the categorisation method described in </w:t>
      </w:r>
      <w:r w:rsidRPr="00B66932">
        <w:t>Chapter 12 of Part 3</w:t>
      </w:r>
    </w:p>
    <w:p w14:paraId="1FCC7F13" w14:textId="77777777" w:rsidR="00FF6F90" w:rsidRPr="004E73F9" w:rsidRDefault="00FF6F90" w:rsidP="004E73F9"/>
    <w:p w14:paraId="0333C08A" w14:textId="77777777" w:rsidR="00FF6F90" w:rsidRDefault="00FF6F90" w:rsidP="001B6C1A"/>
    <w:p w14:paraId="736E304B" w14:textId="77777777" w:rsidR="00FF6F90" w:rsidRPr="001B6C1A" w:rsidRDefault="00FF6F90" w:rsidP="001B6C1A">
      <w:pPr>
        <w:sectPr w:rsidR="00FF6F90" w:rsidRPr="001B6C1A" w:rsidSect="00504E94">
          <w:footerReference w:type="default" r:id="rId16"/>
          <w:pgSz w:w="11900" w:h="16840"/>
          <w:pgMar w:top="1247" w:right="1134" w:bottom="1247" w:left="1134" w:header="708" w:footer="708" w:gutter="0"/>
          <w:pgNumType w:start="1" w:chapStyle="1"/>
          <w:cols w:space="708"/>
          <w:docGrid w:linePitch="360"/>
        </w:sectPr>
      </w:pPr>
    </w:p>
    <w:p w14:paraId="653F95FF" w14:textId="77777777" w:rsidR="00FF6F90" w:rsidRDefault="00FF6F90" w:rsidP="00EB475B">
      <w:pPr>
        <w:pStyle w:val="Heading1"/>
      </w:pPr>
      <w:bookmarkStart w:id="11" w:name="_Toc134706937"/>
      <w:r>
        <w:lastRenderedPageBreak/>
        <w:t>Avoidance of impacts</w:t>
      </w:r>
      <w:bookmarkEnd w:id="11"/>
    </w:p>
    <w:p w14:paraId="536A4601" w14:textId="77777777" w:rsidR="00FF6F90" w:rsidRDefault="00FF6F90" w:rsidP="00EB475B">
      <w:pPr>
        <w:pStyle w:val="Heading2"/>
      </w:pPr>
      <w:bookmarkStart w:id="12" w:name="_Toc134706938"/>
      <w:r>
        <w:t>Introduction</w:t>
      </w:r>
      <w:bookmarkEnd w:id="12"/>
    </w:p>
    <w:p w14:paraId="2F0C838F" w14:textId="32B7C939" w:rsidR="00FF6F90" w:rsidRDefault="00FF6F90" w:rsidP="00EA06CB">
      <w:r w:rsidRPr="00EB475B">
        <w:t xml:space="preserve">The ToR requires the SAR to include analysis of how impacts on MNES </w:t>
      </w:r>
      <w:r>
        <w:t>will be</w:t>
      </w:r>
      <w:r w:rsidRPr="00EB475B">
        <w:t xml:space="preserve"> avoided. The relevant ToR </w:t>
      </w:r>
      <w:r w:rsidR="0086788A">
        <w:t xml:space="preserve">is </w:t>
      </w:r>
      <w:r>
        <w:t>outlined in the following text box</w:t>
      </w:r>
      <w:r w:rsidRPr="002202CE">
        <w:t>:</w:t>
      </w:r>
    </w:p>
    <w:tbl>
      <w:tblPr>
        <w:tblStyle w:val="TableGrid"/>
        <w:tblW w:w="0" w:type="auto"/>
        <w:tblLook w:val="04A0" w:firstRow="1" w:lastRow="0" w:firstColumn="1" w:lastColumn="0" w:noHBand="0" w:noVBand="1"/>
      </w:tblPr>
      <w:tblGrid>
        <w:gridCol w:w="9622"/>
      </w:tblGrid>
      <w:tr w:rsidR="00FF6F90" w14:paraId="02F8613D" w14:textId="77777777" w:rsidTr="0003260E">
        <w:tc>
          <w:tcPr>
            <w:tcW w:w="9622" w:type="dxa"/>
          </w:tcPr>
          <w:p w14:paraId="0E1FCDB5" w14:textId="77777777" w:rsidR="00FF6F90" w:rsidRPr="001911CB" w:rsidRDefault="00FF6F90" w:rsidP="001911CB">
            <w:pPr>
              <w:pStyle w:val="Tabletext"/>
              <w:rPr>
                <w:i/>
                <w:iCs/>
              </w:rPr>
            </w:pPr>
            <w:r w:rsidRPr="001911CB">
              <w:rPr>
                <w:i/>
                <w:iCs/>
              </w:rPr>
              <w:t>1.1. The Report must assess the impacts of actions under the Plan on all relevant protected matters</w:t>
            </w:r>
          </w:p>
          <w:p w14:paraId="75235A8A" w14:textId="77777777" w:rsidR="00FF6F90" w:rsidRDefault="00FF6F90" w:rsidP="001911CB">
            <w:pPr>
              <w:pStyle w:val="Tabletext"/>
              <w:rPr>
                <w:i/>
                <w:iCs/>
              </w:rPr>
            </w:pPr>
            <w:r w:rsidRPr="001911CB">
              <w:rPr>
                <w:i/>
                <w:iCs/>
              </w:rPr>
              <w:t>1.2. The Report must address how those impacts will be avoided, mitigated and offset (where necessary or appropriate) to ensure the long-term protection of protected matters.</w:t>
            </w:r>
          </w:p>
          <w:p w14:paraId="68554C67" w14:textId="77777777" w:rsidR="00FF6F90" w:rsidRPr="001911CB" w:rsidRDefault="00FF6F90" w:rsidP="001911CB">
            <w:pPr>
              <w:pStyle w:val="Tabletext"/>
              <w:rPr>
                <w:i/>
                <w:iCs/>
              </w:rPr>
            </w:pPr>
            <w:r>
              <w:rPr>
                <w:i/>
                <w:iCs/>
              </w:rPr>
              <w:t>…</w:t>
            </w:r>
          </w:p>
          <w:p w14:paraId="2B60F764" w14:textId="77777777" w:rsidR="00FF6F90" w:rsidRPr="001911CB" w:rsidRDefault="00FF6F90" w:rsidP="001911CB">
            <w:pPr>
              <w:pStyle w:val="Tabletext"/>
              <w:rPr>
                <w:i/>
                <w:iCs/>
              </w:rPr>
            </w:pPr>
            <w:r w:rsidRPr="001911CB">
              <w:rPr>
                <w:i/>
                <w:iCs/>
              </w:rPr>
              <w:t>4.4. The Report must include analysis of:</w:t>
            </w:r>
          </w:p>
          <w:p w14:paraId="41FF875A" w14:textId="77777777" w:rsidR="00FF6F90" w:rsidRPr="001911CB" w:rsidRDefault="00FF6F90" w:rsidP="001911CB">
            <w:pPr>
              <w:pStyle w:val="Tabletext"/>
              <w:ind w:left="602"/>
            </w:pPr>
            <w:r w:rsidRPr="001911CB">
              <w:rPr>
                <w:i/>
                <w:iCs/>
              </w:rPr>
              <w:t>a) how impacts on protected matters will be avoided…</w:t>
            </w:r>
          </w:p>
        </w:tc>
      </w:tr>
    </w:tbl>
    <w:p w14:paraId="0DB716F6" w14:textId="77777777" w:rsidR="00FF6F90" w:rsidRDefault="00FF6F90" w:rsidP="0066113D">
      <w:r w:rsidRPr="00EB475B">
        <w:t>This Chapter provides an analysis of avoidance and includes:</w:t>
      </w:r>
    </w:p>
    <w:p w14:paraId="43F89EE1" w14:textId="77777777" w:rsidR="00FF6F90" w:rsidRDefault="00FF6F90" w:rsidP="00C22F3F">
      <w:pPr>
        <w:pStyle w:val="Bullet1"/>
      </w:pPr>
      <w:r>
        <w:t>How avoidance is defined for the purposes of the strategic assessment</w:t>
      </w:r>
    </w:p>
    <w:p w14:paraId="33F40178" w14:textId="77777777" w:rsidR="00FF6F90" w:rsidRDefault="00FF6F90" w:rsidP="00C22F3F">
      <w:pPr>
        <w:pStyle w:val="Bullet1"/>
      </w:pPr>
      <w:r>
        <w:t>The steps taken to avoid and minimise impacts</w:t>
      </w:r>
    </w:p>
    <w:p w14:paraId="32E9295E" w14:textId="77777777" w:rsidR="00FF6F90" w:rsidRDefault="00FF6F90" w:rsidP="00C22F3F">
      <w:pPr>
        <w:pStyle w:val="Bullet1"/>
      </w:pPr>
      <w:r>
        <w:t>The avoidance outcomes for MNES</w:t>
      </w:r>
    </w:p>
    <w:p w14:paraId="35E4CDA5" w14:textId="77777777" w:rsidR="00FF6F90" w:rsidRDefault="00FF6F90" w:rsidP="00F14992">
      <w:r>
        <w:t xml:space="preserve">Where applicable, detailed discussion of the avoidance processes for individual MNES are presented in the remaining chapters of Part 4 of the SAR. </w:t>
      </w:r>
    </w:p>
    <w:p w14:paraId="25B20C42" w14:textId="77777777" w:rsidR="00FF6F90" w:rsidRDefault="00FF6F90" w:rsidP="00446AA5">
      <w:pPr>
        <w:pStyle w:val="Heading2"/>
      </w:pPr>
      <w:bookmarkStart w:id="13" w:name="_Toc134706939"/>
      <w:r>
        <w:t>How avoidance is defined for the purposes of the strategic assessment</w:t>
      </w:r>
      <w:bookmarkEnd w:id="13"/>
    </w:p>
    <w:p w14:paraId="3A8D073C" w14:textId="77777777" w:rsidR="00FF6F90" w:rsidRDefault="00FF6F90" w:rsidP="00446AA5">
      <w:r>
        <w:t>There may be a range of reasons why land is avoided and not impacted under the Plan, including because land:</w:t>
      </w:r>
    </w:p>
    <w:p w14:paraId="4F5B58AB" w14:textId="77777777" w:rsidR="00FF6F90" w:rsidRDefault="00FF6F90" w:rsidP="0070162C">
      <w:pPr>
        <w:pStyle w:val="Bullet1"/>
      </w:pPr>
      <w:r>
        <w:t>Has high biodiversity values and is avoided for biodiversity purposes</w:t>
      </w:r>
    </w:p>
    <w:p w14:paraId="7E658A15" w14:textId="77777777" w:rsidR="00FF6F90" w:rsidRDefault="00FF6F90" w:rsidP="0070162C">
      <w:pPr>
        <w:pStyle w:val="Bullet1"/>
      </w:pPr>
      <w:r>
        <w:t>Is not strategically located and is therefore not a priority for development</w:t>
      </w:r>
    </w:p>
    <w:p w14:paraId="186F5266" w14:textId="77777777" w:rsidR="00FF6F90" w:rsidRDefault="00FF6F90" w:rsidP="00446AA5">
      <w:pPr>
        <w:pStyle w:val="Bullet1"/>
      </w:pPr>
      <w:r>
        <w:t>Is not generally suitable for development for another reason such as topography or land use conflict</w:t>
      </w:r>
    </w:p>
    <w:p w14:paraId="01B8D5D2" w14:textId="77777777" w:rsidR="00FF6F90" w:rsidRDefault="00FF6F90" w:rsidP="00446AA5">
      <w:r>
        <w:t>To simplify the analysis in this chapter, avoidance is defined as any land that will not be impacted directly under the Plan. This land may occur in the Growth Areas, Strategic Assessment Area, or Study Area. Where it is possible to do so, avoidance decisions that were influenced by biodiversity are identified.</w:t>
      </w:r>
    </w:p>
    <w:p w14:paraId="2AEF86B2" w14:textId="77777777" w:rsidR="00FF6F90" w:rsidRDefault="00FF6F90" w:rsidP="00446AA5">
      <w:r>
        <w:t xml:space="preserve">This chapter does not attempt to analyse how the Plan avoids and mitigates potential indirect impacts. These issues are addressed in </w:t>
      </w:r>
      <w:r w:rsidRPr="00B66932">
        <w:t>Chapter 17</w:t>
      </w:r>
      <w:r>
        <w:t xml:space="preserve">. </w:t>
      </w:r>
    </w:p>
    <w:p w14:paraId="420F375A" w14:textId="77777777" w:rsidR="00FF6F90" w:rsidRDefault="00FF6F90" w:rsidP="00C22F3F">
      <w:pPr>
        <w:pStyle w:val="Heading2"/>
      </w:pPr>
      <w:bookmarkStart w:id="14" w:name="_Toc134706940"/>
      <w:r>
        <w:t>Steps to avoid and minimise impacts</w:t>
      </w:r>
      <w:bookmarkEnd w:id="14"/>
    </w:p>
    <w:p w14:paraId="5CCB5C9F" w14:textId="77777777" w:rsidR="00FF6F90" w:rsidRDefault="00FF6F90" w:rsidP="00C22F3F">
      <w:r>
        <w:t>This section provides a summary of:</w:t>
      </w:r>
    </w:p>
    <w:p w14:paraId="00AD334E" w14:textId="77777777" w:rsidR="00FF6F90" w:rsidRDefault="00FF6F90" w:rsidP="004C5D11">
      <w:pPr>
        <w:pStyle w:val="Bullet1"/>
      </w:pPr>
      <w:r>
        <w:t>The steps which have occurred to date to avoid impacts to protected matters</w:t>
      </w:r>
    </w:p>
    <w:p w14:paraId="0F95EE43" w14:textId="77777777" w:rsidR="00FF6F90" w:rsidRDefault="00FF6F90" w:rsidP="004C5D11">
      <w:pPr>
        <w:pStyle w:val="Bullet1"/>
      </w:pPr>
      <w:r>
        <w:t>The future processes that will be implemented to avoid and minimise impacts to protected matters</w:t>
      </w:r>
    </w:p>
    <w:p w14:paraId="05E2394A" w14:textId="77777777" w:rsidR="00FF6F90" w:rsidRDefault="00FF6F90" w:rsidP="004C5D11">
      <w:pPr>
        <w:pStyle w:val="Heading3"/>
      </w:pPr>
      <w:r>
        <w:t>The steps taken to date to avoid impacts to protected matters</w:t>
      </w:r>
    </w:p>
    <w:p w14:paraId="52BC8CA8" w14:textId="77777777" w:rsidR="00FF6F90" w:rsidRDefault="00FF6F90" w:rsidP="002D4758">
      <w:r>
        <w:t>Avoidance has occurred in multiple stages and at multiple scales to date, including:</w:t>
      </w:r>
    </w:p>
    <w:p w14:paraId="266CF724" w14:textId="0FFD1CBD" w:rsidR="00FF6F90" w:rsidRDefault="00FF6F90" w:rsidP="002D4758">
      <w:pPr>
        <w:pStyle w:val="Bullet1"/>
      </w:pPr>
      <w:r>
        <w:t xml:space="preserve">Strategic planning to locate </w:t>
      </w:r>
      <w:r w:rsidR="0086788A">
        <w:t xml:space="preserve">the </w:t>
      </w:r>
      <w:r>
        <w:t>Growth Areas</w:t>
      </w:r>
    </w:p>
    <w:p w14:paraId="3D51E3AA" w14:textId="348277CF" w:rsidR="00FF6F90" w:rsidRDefault="00FF6F90" w:rsidP="002D4758">
      <w:pPr>
        <w:pStyle w:val="Bullet1"/>
      </w:pPr>
      <w:r>
        <w:t>Initial avoidance through preparation of</w:t>
      </w:r>
      <w:r w:rsidR="0086788A">
        <w:t xml:space="preserve"> the</w:t>
      </w:r>
      <w:r>
        <w:t xml:space="preserve"> Framework Plan</w:t>
      </w:r>
    </w:p>
    <w:p w14:paraId="0997C475" w14:textId="5A86FC90" w:rsidR="00FF6F90" w:rsidRDefault="00FF6F90" w:rsidP="002D4758">
      <w:pPr>
        <w:pStyle w:val="Bullet1"/>
      </w:pPr>
      <w:r>
        <w:t xml:space="preserve">Evaluation of </w:t>
      </w:r>
      <w:r w:rsidR="0086788A">
        <w:t xml:space="preserve">the </w:t>
      </w:r>
      <w:r>
        <w:t>Framework Plan and consideration of further avoidance as part of the Strategic Assessment Process</w:t>
      </w:r>
    </w:p>
    <w:p w14:paraId="1E586BDC" w14:textId="389A0B9B" w:rsidR="00FF6F90" w:rsidRDefault="00FF6F90" w:rsidP="004C5D11">
      <w:r>
        <w:lastRenderedPageBreak/>
        <w:t xml:space="preserve">The avoidance process started at a landscape scale and informed the location of the Growth Areas. The process was undertaken through a range of regional and State scale processes. Relevant documents associated with this process include the </w:t>
      </w:r>
      <w:r w:rsidRPr="00EF377B">
        <w:t>G21 Regional Growth Plan</w:t>
      </w:r>
      <w:r>
        <w:t xml:space="preserve"> </w:t>
      </w:r>
      <w:sdt>
        <w:sdtPr>
          <w:rPr>
            <w:color w:val="000000"/>
          </w:rPr>
          <w:tag w:val="MENDELEY_CITATION_v3_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"/>
          <w:id w:val="-1926873824"/>
          <w:placeholder>
            <w:docPart w:val="DefaultPlaceholder_-1854013440"/>
          </w:placeholder>
        </w:sdtPr>
        <w:sdtContent>
          <w:r w:rsidR="007E7CCC" w:rsidRPr="007E7CCC">
            <w:rPr>
              <w:color w:val="000000"/>
            </w:rPr>
            <w:t>(Geelong Region Alliance, 2013)</w:t>
          </w:r>
        </w:sdtContent>
      </w:sdt>
      <w:r>
        <w:t xml:space="preserve"> and </w:t>
      </w:r>
      <w:r w:rsidRPr="00EF377B">
        <w:t>Plan Melbourne 2017–2050</w:t>
      </w:r>
      <w:r>
        <w:t xml:space="preserve"> </w:t>
      </w:r>
      <w:sdt>
        <w:sdtPr>
          <w:rPr>
            <w:color w:val="000000"/>
          </w:rPr>
          <w:tag w:val="MENDELEY_CITATION_v3_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"/>
          <w:id w:val="-1251739161"/>
          <w:placeholder>
            <w:docPart w:val="DefaultPlaceholder_-1854013440"/>
          </w:placeholder>
        </w:sdtPr>
        <w:sdtContent>
          <w:r w:rsidR="007E7CCC" w:rsidRPr="007E7CCC">
            <w:rPr>
              <w:color w:val="000000"/>
            </w:rPr>
            <w:t>(Victoria State Government, 2017)</w:t>
          </w:r>
        </w:sdtContent>
      </w:sdt>
      <w:r>
        <w:t>.</w:t>
      </w:r>
    </w:p>
    <w:p w14:paraId="412EA8F8" w14:textId="5B2DD171" w:rsidR="00FF6F90" w:rsidRDefault="00FF6F90" w:rsidP="004C5D11">
      <w:r>
        <w:t xml:space="preserve">This avoidance process involved considering a wide range of factors across the </w:t>
      </w:r>
      <w:r w:rsidR="0086788A">
        <w:t>broader</w:t>
      </w:r>
      <w:r>
        <w:t xml:space="preserve"> region, including:</w:t>
      </w:r>
    </w:p>
    <w:p w14:paraId="361507F6" w14:textId="303D5050" w:rsidR="00FF6F90" w:rsidRDefault="00FF6F90" w:rsidP="002D4758">
      <w:pPr>
        <w:pStyle w:val="Bullet1"/>
      </w:pPr>
      <w:r>
        <w:t>The locations and characteristics</w:t>
      </w:r>
      <w:r w:rsidR="0086788A">
        <w:t xml:space="preserve"> of</w:t>
      </w:r>
      <w:r>
        <w:t xml:space="preserve"> landscape features including protected matters and environmental values</w:t>
      </w:r>
    </w:p>
    <w:p w14:paraId="5FDF4859" w14:textId="77777777" w:rsidR="00FF6F90" w:rsidRDefault="00FF6F90" w:rsidP="00B62390">
      <w:pPr>
        <w:pStyle w:val="Bullet1"/>
      </w:pPr>
      <w:r>
        <w:t>The locations of existing development and infrastructure</w:t>
      </w:r>
    </w:p>
    <w:p w14:paraId="13E77253" w14:textId="3B3ED66B" w:rsidR="00FF6F90" w:rsidRDefault="00FF6F90" w:rsidP="00B62390">
      <w:pPr>
        <w:pStyle w:val="Bullet1"/>
      </w:pPr>
      <w:r>
        <w:t>The overall suitability of the site for delivering development objectives</w:t>
      </w:r>
    </w:p>
    <w:p w14:paraId="31199486" w14:textId="70C1D3EF" w:rsidR="00FF6F90" w:rsidRDefault="00FF6F90" w:rsidP="004C5D11">
      <w:r>
        <w:t xml:space="preserve">Once the location of the Growth Areas was determined, high level planning was completed through preparation of the Framework Plan </w:t>
      </w:r>
      <w:sdt>
        <w:sdtPr>
          <w:rPr>
            <w:color w:val="000000"/>
          </w:rPr>
          <w:tag w:val="MENDELEY_CITATION_v3_eyJjaXRhdGlvbklEIjoiTUVOREVMRVlfQ0lUQVRJT05fMDkzYjE3ZDYtYWUxYi00OGFhLThkZDctYzM2YjJhNDc5NGVl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LCJjb250YWluZXItdGl0bGUtc2hvcnQiOiIifSwiaXNUZW1wb3JhcnkiOmZhbHNlfV19"/>
          <w:id w:val="806744202"/>
          <w:placeholder>
            <w:docPart w:val="DefaultPlaceholder_-1854013440"/>
          </w:placeholder>
        </w:sdtPr>
        <w:sdtContent>
          <w:r w:rsidR="007E7CCC" w:rsidRPr="007E7CCC">
            <w:rPr>
              <w:color w:val="000000"/>
            </w:rPr>
            <w:t>(The City of Greater Geelong, 2021)</w:t>
          </w:r>
        </w:sdtContent>
      </w:sdt>
      <w:r>
        <w:t>. This process was based around urban development objectives and planning themes. Consideration of biodiversity values was one of the factors involved in planning decisions during this process. The Framework Plan includes a range of actions which will be implemented to avoid impacts to biodiversity in each of the Growth Areas.</w:t>
      </w:r>
    </w:p>
    <w:p w14:paraId="3D639F43" w14:textId="0A3B81BE" w:rsidR="00FF6F90" w:rsidRDefault="00FF6F90" w:rsidP="004C5D11">
      <w:r>
        <w:t xml:space="preserve">Once the Framework Plan was prepared, further analysis was completed to refine avoidance outcomes as part of the strategic assessment process. As part of this process, detailed biodiversity investigations (including surveys) were completed for the strategic assessment within the NGGA and the WGGA </w:t>
      </w:r>
      <w:sdt>
        <w:sdtPr>
          <w:rPr>
            <w:color w:val="000000"/>
          </w:rPr>
          <w:tag w:val="MENDELEY_CITATION_v3_eyJjaXRhdGlvbklEIjoiTUVOREVMRVlfQ0lUQVRJT05fYjQ2MzVlMWUtYzliNS00NDQ1LWI4ZWEtMWZkNzZmYzczMzU5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
          <w:id w:val="-1815477143"/>
          <w:placeholder>
            <w:docPart w:val="DefaultPlaceholder_-1854013440"/>
          </w:placeholder>
        </w:sdtPr>
        <w:sdtContent>
          <w:r w:rsidR="007E7CCC" w:rsidRPr="007E7CCC">
            <w:rPr>
              <w:color w:val="000000"/>
            </w:rPr>
            <w:t>(EHP, 2021a)</w:t>
          </w:r>
        </w:sdtContent>
      </w:sdt>
      <w:r>
        <w:t>. The results of these investigations were analysed with regards to the indicative avoidance outcomes from the Framework Plan. This analysis found that:</w:t>
      </w:r>
    </w:p>
    <w:p w14:paraId="31E1AB3A" w14:textId="77777777" w:rsidR="00FF6F90" w:rsidRDefault="00FF6F90" w:rsidP="00CE4945">
      <w:pPr>
        <w:pStyle w:val="Bullet1"/>
      </w:pPr>
      <w:r>
        <w:t>Further avoidance was required within the NGGA to minimise impacts to protected matters</w:t>
      </w:r>
    </w:p>
    <w:p w14:paraId="39729A66" w14:textId="77777777" w:rsidR="00FF6F90" w:rsidRDefault="00FF6F90" w:rsidP="00CE4945">
      <w:pPr>
        <w:pStyle w:val="Bullet1"/>
      </w:pPr>
      <w:r>
        <w:t xml:space="preserve">The indicative avoidance outcomes within the Framework Plan for WGGA were appropriate for protected matters, and no further avoidance was needed </w:t>
      </w:r>
    </w:p>
    <w:p w14:paraId="7C9A1C15" w14:textId="6384A18C" w:rsidR="00FF6F90" w:rsidRDefault="00FF6F90" w:rsidP="00C22F3F">
      <w:r>
        <w:t xml:space="preserve">A Structured Decision Making (SDM) </w:t>
      </w:r>
      <w:sdt>
        <w:sdtPr>
          <w:tag w:val="MENDELEY_CITATION_v3_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"/>
          <w:id w:val="-1308617946"/>
          <w:placeholder>
            <w:docPart w:val="DefaultPlaceholder_-1854013440"/>
          </w:placeholder>
        </w:sdtPr>
        <w:sdtContent>
          <w:r w:rsidR="007E7CCC">
            <w:rPr>
              <w:rFonts w:eastAsia="Times New Roman"/>
            </w:rPr>
            <w:t xml:space="preserve">(Gregory </w:t>
          </w:r>
          <w:r w:rsidR="007E7CCC">
            <w:rPr>
              <w:rFonts w:eastAsia="Times New Roman"/>
              <w:i/>
              <w:iCs/>
            </w:rPr>
            <w:t>et al.</w:t>
          </w:r>
          <w:r w:rsidR="007E7CCC">
            <w:rPr>
              <w:rFonts w:eastAsia="Times New Roman"/>
            </w:rPr>
            <w:t>, 2010)</w:t>
          </w:r>
        </w:sdtContent>
      </w:sdt>
      <w:r>
        <w:t xml:space="preserve"> process was then applied to consider further avoidance within the NGGA. As part of this process, five different layouts were considered within the Growth Areas, and evaluated with regards to how well each layout performed against a range of environmental, social, and economic criteria. The best-performing layout increased the area of avoidance for a range of MNES compared to the Framework Plan.</w:t>
      </w:r>
    </w:p>
    <w:p w14:paraId="3F345A73" w14:textId="77777777" w:rsidR="00FF6F90" w:rsidRDefault="00FF6F90" w:rsidP="004C5D11">
      <w:pPr>
        <w:pStyle w:val="Heading3"/>
      </w:pPr>
      <w:r>
        <w:t>Future processes that will be applied to avoid and minimise impacts to protected matters</w:t>
      </w:r>
    </w:p>
    <w:p w14:paraId="567EBB54" w14:textId="77777777" w:rsidR="00FF6F90" w:rsidRDefault="00FF6F90" w:rsidP="004C5D11">
      <w:r>
        <w:t>A range of future processes will be applied to further avoid impacts to protected matters. These include:</w:t>
      </w:r>
    </w:p>
    <w:p w14:paraId="56E55F47" w14:textId="77777777" w:rsidR="00FF6F90" w:rsidRDefault="00FF6F90" w:rsidP="00B62390">
      <w:pPr>
        <w:pStyle w:val="Bullet1"/>
      </w:pPr>
      <w:r>
        <w:t>PSP processes for the precincts within the SAA</w:t>
      </w:r>
    </w:p>
    <w:p w14:paraId="388517DC" w14:textId="77777777" w:rsidR="00FF6F90" w:rsidRDefault="00FF6F90" w:rsidP="004C5D11">
      <w:pPr>
        <w:pStyle w:val="Bullet1"/>
      </w:pPr>
      <w:r>
        <w:t>Avoidance processes that will be applied to external infrastructure development outside of the Growth Areas</w:t>
      </w:r>
    </w:p>
    <w:p w14:paraId="64F1306E" w14:textId="19852FAF" w:rsidR="00FF6F90" w:rsidRDefault="00FF6F90" w:rsidP="00C22F3F">
      <w:r>
        <w:t xml:space="preserve">The PSP processes will provide an important opportunity to refine and confirm the boundaries of conservation areas, prepare </w:t>
      </w:r>
      <w:r w:rsidR="0086788A">
        <w:t>Conservation Management Plans (C</w:t>
      </w:r>
      <w:r>
        <w:t>MP</w:t>
      </w:r>
      <w:r w:rsidR="00991494">
        <w:t>s</w:t>
      </w:r>
      <w:r w:rsidR="0086788A">
        <w:t>)</w:t>
      </w:r>
      <w:r>
        <w:t xml:space="preserve"> for conservation areas, and confirm the locations of any additional linear corridors for biodiversity linkages. Given the strategic process which has been undertaken for each of the Growth Areas, it is not expected that substantial further avoidance will occur as part of the PSP process. </w:t>
      </w:r>
    </w:p>
    <w:p w14:paraId="13DBE02E" w14:textId="77777777" w:rsidR="00FF6F90" w:rsidRDefault="00FF6F90" w:rsidP="00C22F3F">
      <w:r>
        <w:t>The planning process for external infrastructure development outside of the Growth Areas will involve avoidance mechanisms to minimise impacts to protected matters. This will include site surveys to identify protected matters in potential development areas.</w:t>
      </w:r>
    </w:p>
    <w:p w14:paraId="7533ED9E" w14:textId="77777777" w:rsidR="00FF6F90" w:rsidRDefault="00FF6F90" w:rsidP="0021011B">
      <w:pPr>
        <w:pStyle w:val="Heading2"/>
      </w:pPr>
      <w:bookmarkStart w:id="15" w:name="_Toc134706941"/>
      <w:r>
        <w:t>Commitments and measures for avoidance</w:t>
      </w:r>
      <w:bookmarkEnd w:id="15"/>
    </w:p>
    <w:p w14:paraId="642FCD58" w14:textId="77777777" w:rsidR="00FF6F90" w:rsidRDefault="00FF6F90" w:rsidP="00C22F3F">
      <w:r>
        <w:t>The Plan has a range of commitments and measures for avoidance. A summary is provided here, while a detailed overview of commitments and measures for avoidance is in the BCS.</w:t>
      </w:r>
    </w:p>
    <w:p w14:paraId="18E5880E" w14:textId="2AC90B77" w:rsidR="00FF6F90" w:rsidRDefault="00FF6F90" w:rsidP="00185E82">
      <w:pPr>
        <w:keepNext/>
        <w:keepLines/>
      </w:pPr>
      <w:r>
        <w:lastRenderedPageBreak/>
        <w:t xml:space="preserve">The Plan includes </w:t>
      </w:r>
      <w:r w:rsidR="003D4405">
        <w:t>five</w:t>
      </w:r>
      <w:r>
        <w:t xml:space="preserve"> commitments for avoidance, which relate to avoidance of species’ habitat within the NGGA and the WGGA, the preparation</w:t>
      </w:r>
      <w:r w:rsidR="000A4187">
        <w:t xml:space="preserve"> and implementation</w:t>
      </w:r>
      <w:r>
        <w:t xml:space="preserve"> of</w:t>
      </w:r>
      <w:r w:rsidR="00991494">
        <w:t xml:space="preserve"> </w:t>
      </w:r>
      <w:r>
        <w:t>CMPs for avoided areas to protect environmental values, and the process for designing external infrastructure outside of the Growth Areas to avoid impacts to protected matters. These commitments are supported by a range of measures to deliver the commitments. Examples include measures to:</w:t>
      </w:r>
    </w:p>
    <w:p w14:paraId="38A147D2" w14:textId="77777777" w:rsidR="00FF6F90" w:rsidRDefault="00FF6F90" w:rsidP="004C5D11">
      <w:pPr>
        <w:pStyle w:val="Bullet1"/>
      </w:pPr>
      <w:r>
        <w:t>Update the Framework Plan to show avoided areas as protected land and apply appropriate environmental zoning to avoided areas</w:t>
      </w:r>
    </w:p>
    <w:p w14:paraId="1E4D08C0" w14:textId="77777777" w:rsidR="00FF6F90" w:rsidRDefault="00FF6F90" w:rsidP="004C5D11">
      <w:pPr>
        <w:pStyle w:val="Bullet1"/>
      </w:pPr>
      <w:r>
        <w:t>Acquire avoided land and vest the land in the City</w:t>
      </w:r>
    </w:p>
    <w:p w14:paraId="0C556FD7" w14:textId="77777777" w:rsidR="00FF6F90" w:rsidRDefault="00FF6F90" w:rsidP="004C5D11">
      <w:pPr>
        <w:pStyle w:val="Bullet1"/>
      </w:pPr>
      <w:r>
        <w:t>Fund the management of avoided areas</w:t>
      </w:r>
    </w:p>
    <w:p w14:paraId="44B04686" w14:textId="77777777" w:rsidR="00FF6F90" w:rsidRDefault="00FF6F90" w:rsidP="004C5D11">
      <w:pPr>
        <w:pStyle w:val="Bullet1"/>
      </w:pPr>
      <w:r>
        <w:t>Appropriately prepare CMPs in a manner which protects the protected matters located in each avoided area</w:t>
      </w:r>
    </w:p>
    <w:p w14:paraId="398E5E18" w14:textId="77777777" w:rsidR="00FF6F90" w:rsidRPr="004C5D11" w:rsidRDefault="00FF6F90" w:rsidP="004C5D11">
      <w:pPr>
        <w:pStyle w:val="Bullet1"/>
      </w:pPr>
      <w:r>
        <w:t>Undertake surveys for protected matters within external infrastructure footprints to enable avoidance of protected matters</w:t>
      </w:r>
    </w:p>
    <w:p w14:paraId="25BC8946" w14:textId="77777777" w:rsidR="00FF6F90" w:rsidRDefault="00FF6F90" w:rsidP="00C22F3F">
      <w:pPr>
        <w:pStyle w:val="Heading2"/>
      </w:pPr>
      <w:bookmarkStart w:id="16" w:name="_Toc134706942"/>
      <w:r>
        <w:t>Avoidance outcomes for MNES</w:t>
      </w:r>
      <w:bookmarkEnd w:id="16"/>
    </w:p>
    <w:p w14:paraId="4CEB1201" w14:textId="77777777" w:rsidR="00FF6F90" w:rsidRDefault="00FF6F90" w:rsidP="0066113D">
      <w:r>
        <w:t>This section presents the avoidance outcomes for MNES. It:</w:t>
      </w:r>
    </w:p>
    <w:p w14:paraId="711E8674" w14:textId="77777777" w:rsidR="00FF6F90" w:rsidRDefault="00FF6F90" w:rsidP="0099428D">
      <w:pPr>
        <w:pStyle w:val="Bullet1"/>
      </w:pPr>
      <w:r>
        <w:t>Identifies the MNES that occur in the Strategic Assessment Area and Study Area that will be avoided entirely from being impacted directly</w:t>
      </w:r>
    </w:p>
    <w:p w14:paraId="3B190508" w14:textId="77777777" w:rsidR="00FF6F90" w:rsidRDefault="00FF6F90" w:rsidP="0099428D">
      <w:pPr>
        <w:pStyle w:val="Bullet1"/>
      </w:pPr>
      <w:r>
        <w:t>Quantifies and analyses the avoidance outcomes for the MNES that will be subject to direct impacts</w:t>
      </w:r>
    </w:p>
    <w:p w14:paraId="49E2C52B" w14:textId="77777777" w:rsidR="00FF6F90" w:rsidRDefault="00FF6F90" w:rsidP="002753F6">
      <w:pPr>
        <w:pStyle w:val="Bullet1"/>
      </w:pPr>
      <w:r>
        <w:t>Provides an overall conclusion about the avoidance outcomes</w:t>
      </w:r>
    </w:p>
    <w:p w14:paraId="1BB2E47B" w14:textId="77777777" w:rsidR="00FF6F90" w:rsidRDefault="00FF6F90" w:rsidP="0099428D">
      <w:pPr>
        <w:pStyle w:val="Heading3"/>
      </w:pPr>
      <w:r>
        <w:t>MNES that will be avoided entirely</w:t>
      </w:r>
    </w:p>
    <w:p w14:paraId="38F3FEB4" w14:textId="0E5AA58E" w:rsidR="00FF6F90" w:rsidRPr="004D599D" w:rsidRDefault="00FF6F90" w:rsidP="0066113D">
      <w:r>
        <w:t xml:space="preserve">There is a total of </w:t>
      </w:r>
      <w:r w:rsidRPr="00B66932">
        <w:t>2</w:t>
      </w:r>
      <w:r w:rsidR="0080031C">
        <w:t>9</w:t>
      </w:r>
      <w:r>
        <w:t xml:space="preserve"> Category 1 MNES that are assessed within this Strategic Assessment Report. Of </w:t>
      </w:r>
      <w:r w:rsidRPr="004D599D">
        <w:t xml:space="preserve">these, </w:t>
      </w:r>
      <w:r w:rsidRPr="00B66932">
        <w:t>25</w:t>
      </w:r>
      <w:r w:rsidRPr="004D599D">
        <w:t xml:space="preserve"> will not be subject to direct impacts.</w:t>
      </w:r>
      <w:r w:rsidR="009B3940">
        <w:t xml:space="preserve"> This is an outcome of the early strategic planning decisions </w:t>
      </w:r>
      <w:r w:rsidR="00504839">
        <w:t>in locating</w:t>
      </w:r>
      <w:r w:rsidR="009B3940">
        <w:t xml:space="preserve"> the Growth Areas.</w:t>
      </w:r>
    </w:p>
    <w:p w14:paraId="037F05D4" w14:textId="77777777" w:rsidR="00FF6F90" w:rsidRPr="004D599D" w:rsidRDefault="00FF6F90" w:rsidP="0066113D">
      <w:r w:rsidRPr="004D599D">
        <w:t xml:space="preserve">Of the </w:t>
      </w:r>
      <w:r w:rsidRPr="00B66932">
        <w:t>25</w:t>
      </w:r>
      <w:r w:rsidRPr="004D599D">
        <w:t xml:space="preserve"> Category 1 MNES which will not be subject to direct impacts:</w:t>
      </w:r>
    </w:p>
    <w:p w14:paraId="3B0F3F9A" w14:textId="77777777" w:rsidR="00FF6F90" w:rsidRPr="004D599D" w:rsidRDefault="00FF6F90" w:rsidP="00345B11">
      <w:pPr>
        <w:pStyle w:val="Bullet1"/>
      </w:pPr>
      <w:r w:rsidRPr="004D599D">
        <w:t>5 have records and/or habitat within the Growth Areas and the wider Strategic Assessment Area and Study Area</w:t>
      </w:r>
    </w:p>
    <w:p w14:paraId="5307C984" w14:textId="77777777" w:rsidR="00FF6F90" w:rsidRPr="004D599D" w:rsidRDefault="00FF6F90" w:rsidP="00345B11">
      <w:pPr>
        <w:pStyle w:val="Bullet1"/>
      </w:pPr>
      <w:r w:rsidRPr="00B66932">
        <w:t>11</w:t>
      </w:r>
      <w:r w:rsidRPr="004D599D">
        <w:t xml:space="preserve"> have records and/or habitat within the Strategic Assessment Area outside of the Growth Areas, and the wider Study Area</w:t>
      </w:r>
    </w:p>
    <w:p w14:paraId="6CCAAD3C" w14:textId="77777777" w:rsidR="00FF6F90" w:rsidRDefault="00FF6F90" w:rsidP="002B1B8C">
      <w:pPr>
        <w:pStyle w:val="Bullet1"/>
      </w:pPr>
      <w:r w:rsidRPr="00B66932">
        <w:t>8</w:t>
      </w:r>
      <w:r w:rsidRPr="004D599D">
        <w:t xml:space="preserve"> have</w:t>
      </w:r>
      <w:r>
        <w:t xml:space="preserve"> habitat and/or records in the wider Study Area only</w:t>
      </w:r>
    </w:p>
    <w:p w14:paraId="3664C04C" w14:textId="13FCA0E7" w:rsidR="00FF6F90" w:rsidRDefault="00000000" w:rsidP="002753F6">
      <w:fldSimple w:instr=" REF _Ref116072152  \* MERGEFORMAT ">
        <w:r w:rsidR="0080031C">
          <w:t xml:space="preserve">Table </w:t>
        </w:r>
        <w:r w:rsidR="0080031C">
          <w:rPr>
            <w:noProof/>
          </w:rPr>
          <w:t>16</w:t>
        </w:r>
        <w:r w:rsidR="0080031C">
          <w:rPr>
            <w:noProof/>
          </w:rPr>
          <w:noBreakHyphen/>
          <w:t>1</w:t>
        </w:r>
      </w:fldSimple>
      <w:r w:rsidR="00FF6F90">
        <w:t xml:space="preserve"> identifies the MNES that will be avoided entirely from being impacted directly by implementation of the Plan and indicates where each MNES is located.</w:t>
      </w:r>
    </w:p>
    <w:p w14:paraId="5231F3DB" w14:textId="05F69D45" w:rsidR="00FF6F90" w:rsidRDefault="00FF6F90" w:rsidP="00B66932">
      <w:r>
        <w:t>It is noted that avoidance and protection of the Cowies Creek Conservation Area within WGGA will lead to the complete avoidance of direct impacts to the Growling Grass Frog (</w:t>
      </w:r>
      <w:r>
        <w:rPr>
          <w:i/>
          <w:iCs/>
        </w:rPr>
        <w:t>Litoria raniformis</w:t>
      </w:r>
      <w:r>
        <w:t xml:space="preserve">) </w:t>
      </w:r>
      <w:r w:rsidR="00785723">
        <w:t xml:space="preserve">and </w:t>
      </w:r>
      <w:r>
        <w:t>Adamson’s Blown-grass (</w:t>
      </w:r>
      <w:r>
        <w:rPr>
          <w:i/>
          <w:iCs/>
        </w:rPr>
        <w:t>Lachnagrostis adamsonii</w:t>
      </w:r>
      <w:r>
        <w:t>).</w:t>
      </w:r>
    </w:p>
    <w:p w14:paraId="61650700" w14:textId="2870C942" w:rsidR="00FF6F90" w:rsidRDefault="00FF6F90" w:rsidP="00B66932">
      <w:r w:rsidRPr="00785723">
        <w:t>The Moorabool River within the WGGA support</w:t>
      </w:r>
      <w:r w:rsidR="00785723" w:rsidRPr="00785723">
        <w:t>s</w:t>
      </w:r>
      <w:r w:rsidRPr="00785723">
        <w:t xml:space="preserve"> suitable habitat for the three threatened fish species. Avoidance and protection of the riparian corridor of th</w:t>
      </w:r>
      <w:r w:rsidR="00785723" w:rsidRPr="00785723">
        <w:t>is</w:t>
      </w:r>
      <w:r w:rsidRPr="00785723">
        <w:t xml:space="preserve"> waterway will help to minimise potential impacts to these species.</w:t>
      </w:r>
      <w:r>
        <w:t xml:space="preserve"> </w:t>
      </w:r>
    </w:p>
    <w:p w14:paraId="7BCA8129" w14:textId="77777777" w:rsidR="00FF6F90" w:rsidRDefault="00FF6F90" w:rsidP="00B66932">
      <w:r>
        <w:t>Further, future avoidance processes associated with the design of infrastructure outside of the Growth Areas (outlined above) will minimise potential direct impacts to protected matters which are present within the wider Strategic Assessment Area.</w:t>
      </w:r>
    </w:p>
    <w:p w14:paraId="22C9ECE5" w14:textId="77777777" w:rsidR="00FF6F90" w:rsidRDefault="00FF6F90" w:rsidP="002753F6">
      <w:pPr>
        <w:rPr>
          <w:highlight w:val="yellow"/>
        </w:rPr>
      </w:pPr>
      <w:r>
        <w:t xml:space="preserve">Further information regarding the avoidance outcomes for each of the protected matters identified above is provided in Part 4, </w:t>
      </w:r>
      <w:r w:rsidRPr="00B66932">
        <w:t>Chapters 19, 20, 21 and 23.</w:t>
      </w:r>
    </w:p>
    <w:p w14:paraId="3791CF5B" w14:textId="77777777" w:rsidR="00FF6F90" w:rsidRDefault="00FF6F90" w:rsidP="002C7717">
      <w:pPr>
        <w:rPr>
          <w:highlight w:val="yellow"/>
        </w:rPr>
      </w:pPr>
      <w:r>
        <w:rPr>
          <w:highlight w:val="yellow"/>
        </w:rPr>
        <w:br w:type="page"/>
      </w:r>
    </w:p>
    <w:p w14:paraId="6FCC9871" w14:textId="2227D5D5" w:rsidR="00FF6F90" w:rsidRDefault="00FF6F90" w:rsidP="0099428D">
      <w:pPr>
        <w:pStyle w:val="Caption"/>
      </w:pPr>
      <w:bookmarkStart w:id="17" w:name="_Ref116072152"/>
      <w:bookmarkStart w:id="18" w:name="_Toc134706951"/>
      <w:r>
        <w:lastRenderedPageBreak/>
        <w:t xml:space="preserve">Table </w:t>
      </w:r>
      <w:r>
        <w:fldChar w:fldCharType="begin"/>
      </w:r>
      <w:r>
        <w:instrText xml:space="preserve"> STYLEREF 1 \s </w:instrText>
      </w:r>
      <w:r>
        <w:fldChar w:fldCharType="separate"/>
      </w:r>
      <w:r w:rsidR="0080031C">
        <w:rPr>
          <w:noProof/>
        </w:rPr>
        <w:t>16</w:t>
      </w:r>
      <w:r>
        <w:fldChar w:fldCharType="end"/>
      </w:r>
      <w:r>
        <w:noBreakHyphen/>
      </w:r>
      <w:r>
        <w:fldChar w:fldCharType="begin"/>
      </w:r>
      <w:r>
        <w:instrText xml:space="preserve"> SEQ Table \* ARABIC \s 1 </w:instrText>
      </w:r>
      <w:r>
        <w:fldChar w:fldCharType="separate"/>
      </w:r>
      <w:r w:rsidR="0080031C">
        <w:rPr>
          <w:noProof/>
        </w:rPr>
        <w:t>1</w:t>
      </w:r>
      <w:r>
        <w:fldChar w:fldCharType="end"/>
      </w:r>
      <w:bookmarkEnd w:id="17"/>
      <w:r>
        <w:t>: MNES that will be avoided entirely from being impacted directly by implementation of the Plan</w:t>
      </w:r>
      <w:bookmarkEnd w:id="18"/>
    </w:p>
    <w:tbl>
      <w:tblPr>
        <w:tblStyle w:val="TableGrid"/>
        <w:tblW w:w="0" w:type="auto"/>
        <w:tblLayout w:type="fixed"/>
        <w:tblLook w:val="04A0" w:firstRow="1" w:lastRow="0" w:firstColumn="1" w:lastColumn="0" w:noHBand="0" w:noVBand="1"/>
      </w:tblPr>
      <w:tblGrid>
        <w:gridCol w:w="3823"/>
        <w:gridCol w:w="724"/>
        <w:gridCol w:w="725"/>
        <w:gridCol w:w="725"/>
        <w:gridCol w:w="725"/>
        <w:gridCol w:w="725"/>
        <w:gridCol w:w="725"/>
        <w:gridCol w:w="725"/>
        <w:gridCol w:w="725"/>
      </w:tblGrid>
      <w:tr w:rsidR="00FF6F90" w:rsidRPr="0099428D" w14:paraId="28DF2B80" w14:textId="77777777" w:rsidTr="001F7278">
        <w:trPr>
          <w:tblHeader/>
        </w:trPr>
        <w:tc>
          <w:tcPr>
            <w:tcW w:w="3823" w:type="dxa"/>
            <w:vMerge w:val="restart"/>
            <w:shd w:val="clear" w:color="auto" w:fill="D9D9D9" w:themeFill="background1" w:themeFillShade="D9"/>
            <w:vAlign w:val="center"/>
          </w:tcPr>
          <w:p w14:paraId="170124B5" w14:textId="77777777" w:rsidR="00FF6F90" w:rsidRPr="00B021F8" w:rsidRDefault="00FF6F90" w:rsidP="0099428D">
            <w:pPr>
              <w:pStyle w:val="Tabletext"/>
              <w:rPr>
                <w:b/>
                <w:bCs/>
                <w:sz w:val="16"/>
                <w:szCs w:val="16"/>
              </w:rPr>
            </w:pPr>
            <w:r w:rsidRPr="00B021F8">
              <w:rPr>
                <w:b/>
                <w:bCs/>
                <w:sz w:val="16"/>
                <w:szCs w:val="16"/>
              </w:rPr>
              <w:t>MNES</w:t>
            </w:r>
          </w:p>
        </w:tc>
        <w:tc>
          <w:tcPr>
            <w:tcW w:w="5799" w:type="dxa"/>
            <w:gridSpan w:val="8"/>
            <w:shd w:val="clear" w:color="auto" w:fill="D9D9D9" w:themeFill="background1" w:themeFillShade="D9"/>
          </w:tcPr>
          <w:p w14:paraId="21E9FEC2" w14:textId="77777777" w:rsidR="00FF6F90" w:rsidRPr="00B021F8" w:rsidRDefault="00FF6F90" w:rsidP="0099428D">
            <w:pPr>
              <w:pStyle w:val="Tabletext"/>
              <w:jc w:val="center"/>
              <w:rPr>
                <w:b/>
                <w:bCs/>
                <w:sz w:val="16"/>
                <w:szCs w:val="16"/>
              </w:rPr>
            </w:pPr>
            <w:r w:rsidRPr="00B021F8">
              <w:rPr>
                <w:b/>
                <w:bCs/>
                <w:sz w:val="16"/>
                <w:szCs w:val="16"/>
              </w:rPr>
              <w:t>MNES PRESENT IN:</w:t>
            </w:r>
          </w:p>
        </w:tc>
      </w:tr>
      <w:tr w:rsidR="00FF6F90" w:rsidRPr="0099428D" w14:paraId="7235742C" w14:textId="77777777" w:rsidTr="001F7278">
        <w:trPr>
          <w:tblHeader/>
        </w:trPr>
        <w:tc>
          <w:tcPr>
            <w:tcW w:w="3823" w:type="dxa"/>
            <w:vMerge/>
            <w:shd w:val="clear" w:color="auto" w:fill="D9D9D9" w:themeFill="background1" w:themeFillShade="D9"/>
          </w:tcPr>
          <w:p w14:paraId="14948ADF" w14:textId="77777777" w:rsidR="00FF6F90" w:rsidRPr="00B021F8" w:rsidRDefault="00FF6F90" w:rsidP="0099428D">
            <w:pPr>
              <w:pStyle w:val="Tabletext"/>
              <w:rPr>
                <w:b/>
                <w:bCs/>
                <w:sz w:val="16"/>
                <w:szCs w:val="16"/>
              </w:rPr>
            </w:pPr>
          </w:p>
        </w:tc>
        <w:tc>
          <w:tcPr>
            <w:tcW w:w="1449" w:type="dxa"/>
            <w:gridSpan w:val="2"/>
            <w:shd w:val="clear" w:color="auto" w:fill="D9D9D9" w:themeFill="background1" w:themeFillShade="D9"/>
          </w:tcPr>
          <w:p w14:paraId="21A0376C" w14:textId="77777777" w:rsidR="00FF6F90" w:rsidRPr="00B021F8" w:rsidRDefault="00FF6F90" w:rsidP="0099428D">
            <w:pPr>
              <w:pStyle w:val="Tabletext"/>
              <w:jc w:val="center"/>
              <w:rPr>
                <w:b/>
                <w:bCs/>
                <w:sz w:val="16"/>
                <w:szCs w:val="16"/>
              </w:rPr>
            </w:pPr>
            <w:r w:rsidRPr="00B021F8">
              <w:rPr>
                <w:b/>
                <w:bCs/>
                <w:sz w:val="16"/>
                <w:szCs w:val="16"/>
              </w:rPr>
              <w:t>NGGA</w:t>
            </w:r>
          </w:p>
        </w:tc>
        <w:tc>
          <w:tcPr>
            <w:tcW w:w="1450" w:type="dxa"/>
            <w:gridSpan w:val="2"/>
            <w:shd w:val="clear" w:color="auto" w:fill="D9D9D9" w:themeFill="background1" w:themeFillShade="D9"/>
          </w:tcPr>
          <w:p w14:paraId="1A7AFCBC" w14:textId="77777777" w:rsidR="00FF6F90" w:rsidRPr="00B021F8" w:rsidRDefault="00FF6F90" w:rsidP="0099428D">
            <w:pPr>
              <w:pStyle w:val="Tabletext"/>
              <w:jc w:val="center"/>
              <w:rPr>
                <w:b/>
                <w:bCs/>
                <w:sz w:val="16"/>
                <w:szCs w:val="16"/>
              </w:rPr>
            </w:pPr>
            <w:r w:rsidRPr="00B021F8">
              <w:rPr>
                <w:b/>
                <w:bCs/>
                <w:sz w:val="16"/>
                <w:szCs w:val="16"/>
              </w:rPr>
              <w:t>WGGA</w:t>
            </w:r>
          </w:p>
        </w:tc>
        <w:tc>
          <w:tcPr>
            <w:tcW w:w="1450" w:type="dxa"/>
            <w:gridSpan w:val="2"/>
            <w:shd w:val="clear" w:color="auto" w:fill="D9D9D9" w:themeFill="background1" w:themeFillShade="D9"/>
          </w:tcPr>
          <w:p w14:paraId="7B3E6B3F" w14:textId="77777777" w:rsidR="00FF6F90" w:rsidRPr="00B021F8" w:rsidRDefault="00FF6F90" w:rsidP="0099428D">
            <w:pPr>
              <w:pStyle w:val="Tabletext"/>
              <w:jc w:val="center"/>
              <w:rPr>
                <w:b/>
                <w:bCs/>
                <w:sz w:val="16"/>
                <w:szCs w:val="16"/>
              </w:rPr>
            </w:pPr>
            <w:r w:rsidRPr="00B021F8">
              <w:rPr>
                <w:b/>
                <w:bCs/>
                <w:sz w:val="16"/>
                <w:szCs w:val="16"/>
              </w:rPr>
              <w:t>SAA</w:t>
            </w:r>
          </w:p>
        </w:tc>
        <w:tc>
          <w:tcPr>
            <w:tcW w:w="1450" w:type="dxa"/>
            <w:gridSpan w:val="2"/>
            <w:shd w:val="clear" w:color="auto" w:fill="D9D9D9" w:themeFill="background1" w:themeFillShade="D9"/>
          </w:tcPr>
          <w:p w14:paraId="24A53D82" w14:textId="77777777" w:rsidR="00FF6F90" w:rsidRPr="00B021F8" w:rsidRDefault="00FF6F90" w:rsidP="0099428D">
            <w:pPr>
              <w:pStyle w:val="Tabletext"/>
              <w:jc w:val="center"/>
              <w:rPr>
                <w:b/>
                <w:bCs/>
                <w:sz w:val="16"/>
                <w:szCs w:val="16"/>
              </w:rPr>
            </w:pPr>
            <w:r w:rsidRPr="00B021F8">
              <w:rPr>
                <w:b/>
                <w:bCs/>
                <w:sz w:val="16"/>
                <w:szCs w:val="16"/>
              </w:rPr>
              <w:t>STUDY AREA</w:t>
            </w:r>
          </w:p>
        </w:tc>
      </w:tr>
      <w:tr w:rsidR="00FF6F90" w14:paraId="5322DD60" w14:textId="77777777" w:rsidTr="001F7278">
        <w:tc>
          <w:tcPr>
            <w:tcW w:w="3823" w:type="dxa"/>
            <w:vMerge/>
            <w:shd w:val="clear" w:color="auto" w:fill="D9D9D9" w:themeFill="background1" w:themeFillShade="D9"/>
          </w:tcPr>
          <w:p w14:paraId="07B6B4EC" w14:textId="77777777" w:rsidR="00FF6F90" w:rsidRPr="00B021F8" w:rsidRDefault="00FF6F90" w:rsidP="00D56B09">
            <w:pPr>
              <w:pStyle w:val="Tabletext"/>
              <w:rPr>
                <w:b/>
                <w:bCs/>
                <w:sz w:val="16"/>
                <w:szCs w:val="16"/>
              </w:rPr>
            </w:pPr>
          </w:p>
        </w:tc>
        <w:tc>
          <w:tcPr>
            <w:tcW w:w="724" w:type="dxa"/>
            <w:shd w:val="clear" w:color="auto" w:fill="D9D9D9" w:themeFill="background1" w:themeFillShade="D9"/>
            <w:vAlign w:val="center"/>
          </w:tcPr>
          <w:p w14:paraId="07477BCF" w14:textId="77777777" w:rsidR="00FF6F90" w:rsidRPr="00B021F8" w:rsidRDefault="00FF6F90" w:rsidP="007D7278">
            <w:pPr>
              <w:pStyle w:val="Tabletext"/>
              <w:jc w:val="center"/>
              <w:rPr>
                <w:b/>
                <w:bCs/>
                <w:sz w:val="16"/>
                <w:szCs w:val="16"/>
              </w:rPr>
            </w:pPr>
            <w:r w:rsidRPr="00B021F8">
              <w:rPr>
                <w:b/>
                <w:bCs/>
                <w:sz w:val="16"/>
                <w:szCs w:val="16"/>
              </w:rPr>
              <w:t>R^</w:t>
            </w:r>
          </w:p>
        </w:tc>
        <w:tc>
          <w:tcPr>
            <w:tcW w:w="725" w:type="dxa"/>
            <w:shd w:val="clear" w:color="auto" w:fill="D9D9D9" w:themeFill="background1" w:themeFillShade="D9"/>
            <w:vAlign w:val="center"/>
          </w:tcPr>
          <w:p w14:paraId="5C655EE8" w14:textId="77777777" w:rsidR="00FF6F90" w:rsidRPr="00B021F8" w:rsidRDefault="00FF6F90" w:rsidP="007D7278">
            <w:pPr>
              <w:pStyle w:val="Tabletext"/>
              <w:jc w:val="center"/>
              <w:rPr>
                <w:b/>
                <w:bCs/>
                <w:sz w:val="16"/>
                <w:szCs w:val="16"/>
              </w:rPr>
            </w:pPr>
            <w:r w:rsidRPr="00B021F8">
              <w:rPr>
                <w:b/>
                <w:bCs/>
                <w:sz w:val="16"/>
                <w:szCs w:val="16"/>
              </w:rPr>
              <w:t>H^</w:t>
            </w:r>
          </w:p>
        </w:tc>
        <w:tc>
          <w:tcPr>
            <w:tcW w:w="725" w:type="dxa"/>
            <w:shd w:val="clear" w:color="auto" w:fill="D9D9D9" w:themeFill="background1" w:themeFillShade="D9"/>
            <w:vAlign w:val="center"/>
          </w:tcPr>
          <w:p w14:paraId="37F6D8A7" w14:textId="77777777" w:rsidR="00FF6F90" w:rsidRPr="00B021F8" w:rsidRDefault="00FF6F90" w:rsidP="007D7278">
            <w:pPr>
              <w:pStyle w:val="Tabletext"/>
              <w:jc w:val="center"/>
              <w:rPr>
                <w:b/>
                <w:bCs/>
                <w:sz w:val="16"/>
                <w:szCs w:val="16"/>
              </w:rPr>
            </w:pPr>
            <w:r w:rsidRPr="00B021F8">
              <w:rPr>
                <w:b/>
                <w:bCs/>
                <w:sz w:val="16"/>
                <w:szCs w:val="16"/>
              </w:rPr>
              <w:t>R</w:t>
            </w:r>
          </w:p>
        </w:tc>
        <w:tc>
          <w:tcPr>
            <w:tcW w:w="725" w:type="dxa"/>
            <w:shd w:val="clear" w:color="auto" w:fill="D9D9D9" w:themeFill="background1" w:themeFillShade="D9"/>
            <w:vAlign w:val="center"/>
          </w:tcPr>
          <w:p w14:paraId="13E24780" w14:textId="77777777" w:rsidR="00FF6F90" w:rsidRPr="00B021F8" w:rsidRDefault="00FF6F90" w:rsidP="007D7278">
            <w:pPr>
              <w:pStyle w:val="Tabletext"/>
              <w:jc w:val="center"/>
              <w:rPr>
                <w:b/>
                <w:bCs/>
                <w:sz w:val="16"/>
                <w:szCs w:val="16"/>
              </w:rPr>
            </w:pPr>
            <w:r w:rsidRPr="00B021F8">
              <w:rPr>
                <w:b/>
                <w:bCs/>
                <w:sz w:val="16"/>
                <w:szCs w:val="16"/>
              </w:rPr>
              <w:t>H</w:t>
            </w:r>
          </w:p>
        </w:tc>
        <w:tc>
          <w:tcPr>
            <w:tcW w:w="725" w:type="dxa"/>
            <w:shd w:val="clear" w:color="auto" w:fill="D9D9D9" w:themeFill="background1" w:themeFillShade="D9"/>
            <w:vAlign w:val="center"/>
          </w:tcPr>
          <w:p w14:paraId="6ADDC241" w14:textId="77777777" w:rsidR="00FF6F90" w:rsidRPr="00B021F8" w:rsidRDefault="00FF6F90" w:rsidP="007D7278">
            <w:pPr>
              <w:pStyle w:val="Tabletext"/>
              <w:jc w:val="center"/>
              <w:rPr>
                <w:b/>
                <w:bCs/>
                <w:sz w:val="16"/>
                <w:szCs w:val="16"/>
              </w:rPr>
            </w:pPr>
            <w:r w:rsidRPr="00B021F8">
              <w:rPr>
                <w:b/>
                <w:bCs/>
                <w:sz w:val="16"/>
                <w:szCs w:val="16"/>
              </w:rPr>
              <w:t>R</w:t>
            </w:r>
          </w:p>
        </w:tc>
        <w:tc>
          <w:tcPr>
            <w:tcW w:w="725" w:type="dxa"/>
            <w:shd w:val="clear" w:color="auto" w:fill="D9D9D9" w:themeFill="background1" w:themeFillShade="D9"/>
            <w:vAlign w:val="center"/>
          </w:tcPr>
          <w:p w14:paraId="58721FC3" w14:textId="77777777" w:rsidR="00FF6F90" w:rsidRPr="00B021F8" w:rsidRDefault="00FF6F90" w:rsidP="007D7278">
            <w:pPr>
              <w:pStyle w:val="Tabletext"/>
              <w:jc w:val="center"/>
              <w:rPr>
                <w:b/>
                <w:bCs/>
                <w:sz w:val="16"/>
                <w:szCs w:val="16"/>
              </w:rPr>
            </w:pPr>
            <w:r w:rsidRPr="00B021F8">
              <w:rPr>
                <w:b/>
                <w:bCs/>
                <w:sz w:val="16"/>
                <w:szCs w:val="16"/>
              </w:rPr>
              <w:t>H</w:t>
            </w:r>
          </w:p>
        </w:tc>
        <w:tc>
          <w:tcPr>
            <w:tcW w:w="725" w:type="dxa"/>
            <w:shd w:val="clear" w:color="auto" w:fill="D9D9D9" w:themeFill="background1" w:themeFillShade="D9"/>
            <w:vAlign w:val="center"/>
          </w:tcPr>
          <w:p w14:paraId="2D396843" w14:textId="77777777" w:rsidR="00FF6F90" w:rsidRPr="00B021F8" w:rsidRDefault="00FF6F90" w:rsidP="007D7278">
            <w:pPr>
              <w:pStyle w:val="Tabletext"/>
              <w:jc w:val="center"/>
              <w:rPr>
                <w:b/>
                <w:bCs/>
                <w:sz w:val="16"/>
                <w:szCs w:val="16"/>
              </w:rPr>
            </w:pPr>
            <w:r w:rsidRPr="00B021F8">
              <w:rPr>
                <w:b/>
                <w:bCs/>
                <w:sz w:val="16"/>
                <w:szCs w:val="16"/>
              </w:rPr>
              <w:t>R</w:t>
            </w:r>
          </w:p>
        </w:tc>
        <w:tc>
          <w:tcPr>
            <w:tcW w:w="725" w:type="dxa"/>
            <w:shd w:val="clear" w:color="auto" w:fill="D9D9D9" w:themeFill="background1" w:themeFillShade="D9"/>
            <w:vAlign w:val="center"/>
          </w:tcPr>
          <w:p w14:paraId="0E61A5D0" w14:textId="77777777" w:rsidR="00FF6F90" w:rsidRPr="00B021F8" w:rsidRDefault="00FF6F90" w:rsidP="007D7278">
            <w:pPr>
              <w:pStyle w:val="Tabletext"/>
              <w:jc w:val="center"/>
              <w:rPr>
                <w:b/>
                <w:bCs/>
                <w:sz w:val="16"/>
                <w:szCs w:val="16"/>
              </w:rPr>
            </w:pPr>
            <w:r w:rsidRPr="00B021F8">
              <w:rPr>
                <w:b/>
                <w:bCs/>
                <w:sz w:val="16"/>
                <w:szCs w:val="16"/>
              </w:rPr>
              <w:t>H</w:t>
            </w:r>
          </w:p>
        </w:tc>
      </w:tr>
      <w:tr w:rsidR="00FF6F90" w14:paraId="662CE743" w14:textId="77777777" w:rsidTr="001F7278">
        <w:tc>
          <w:tcPr>
            <w:tcW w:w="9622" w:type="dxa"/>
            <w:gridSpan w:val="9"/>
            <w:shd w:val="clear" w:color="auto" w:fill="B4C6E7" w:themeFill="accent1" w:themeFillTint="66"/>
          </w:tcPr>
          <w:p w14:paraId="7B938A48" w14:textId="77777777" w:rsidR="00FF6F90" w:rsidRPr="00B021F8" w:rsidRDefault="00FF6F90" w:rsidP="00744E79">
            <w:pPr>
              <w:pStyle w:val="Tabletext"/>
              <w:rPr>
                <w:b/>
                <w:bCs/>
                <w:sz w:val="16"/>
                <w:szCs w:val="16"/>
              </w:rPr>
            </w:pPr>
            <w:r w:rsidRPr="00B021F8">
              <w:rPr>
                <w:b/>
                <w:bCs/>
                <w:sz w:val="16"/>
                <w:szCs w:val="16"/>
              </w:rPr>
              <w:t>Threatened fauna</w:t>
            </w:r>
          </w:p>
        </w:tc>
      </w:tr>
      <w:tr w:rsidR="00FF6F90" w14:paraId="3E43B8A1" w14:textId="77777777" w:rsidTr="00416437">
        <w:tc>
          <w:tcPr>
            <w:tcW w:w="3823" w:type="dxa"/>
          </w:tcPr>
          <w:p w14:paraId="63B0DFF6" w14:textId="77777777" w:rsidR="00FF6F90" w:rsidRPr="00B021F8" w:rsidRDefault="00FF6F90" w:rsidP="00D56B09">
            <w:pPr>
              <w:pStyle w:val="Tabletext"/>
              <w:rPr>
                <w:sz w:val="16"/>
                <w:szCs w:val="16"/>
              </w:rPr>
            </w:pPr>
            <w:r w:rsidRPr="00B021F8">
              <w:rPr>
                <w:sz w:val="16"/>
                <w:szCs w:val="16"/>
              </w:rPr>
              <w:t>Australasian Bittern (</w:t>
            </w:r>
            <w:r w:rsidRPr="00B021F8">
              <w:rPr>
                <w:i/>
                <w:iCs/>
                <w:sz w:val="16"/>
                <w:szCs w:val="16"/>
              </w:rPr>
              <w:t>Botaurus poiciloptilus</w:t>
            </w:r>
            <w:r w:rsidRPr="00B021F8">
              <w:rPr>
                <w:sz w:val="16"/>
                <w:szCs w:val="16"/>
              </w:rPr>
              <w:t>)</w:t>
            </w:r>
          </w:p>
        </w:tc>
        <w:tc>
          <w:tcPr>
            <w:tcW w:w="724" w:type="dxa"/>
            <w:vAlign w:val="center"/>
          </w:tcPr>
          <w:p w14:paraId="138CCC6B"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1B8AD581"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82D64EB"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408567E8"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8F015A2"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0D7AC657"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A17ACF5"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952F311" w14:textId="77777777" w:rsidR="00FF6F90" w:rsidRPr="00B021F8" w:rsidRDefault="00FF6F90" w:rsidP="00416437">
            <w:pPr>
              <w:pStyle w:val="Tabletext"/>
              <w:jc w:val="center"/>
              <w:rPr>
                <w:sz w:val="16"/>
                <w:szCs w:val="16"/>
              </w:rPr>
            </w:pPr>
            <w:r w:rsidRPr="00B021F8">
              <w:rPr>
                <w:sz w:val="16"/>
                <w:szCs w:val="16"/>
              </w:rPr>
              <w:t>Yes</w:t>
            </w:r>
          </w:p>
        </w:tc>
      </w:tr>
      <w:tr w:rsidR="00FF6F90" w14:paraId="761CB12B" w14:textId="77777777" w:rsidTr="00416437">
        <w:tc>
          <w:tcPr>
            <w:tcW w:w="3823" w:type="dxa"/>
          </w:tcPr>
          <w:p w14:paraId="470ED014" w14:textId="77777777" w:rsidR="00FF6F90" w:rsidRPr="00B021F8" w:rsidRDefault="00FF6F90" w:rsidP="00E35130">
            <w:pPr>
              <w:pStyle w:val="Tabletext"/>
              <w:rPr>
                <w:sz w:val="16"/>
                <w:szCs w:val="16"/>
              </w:rPr>
            </w:pPr>
            <w:r w:rsidRPr="00B021F8">
              <w:rPr>
                <w:sz w:val="16"/>
                <w:szCs w:val="16"/>
              </w:rPr>
              <w:t>Australian Fairy Tern (</w:t>
            </w:r>
            <w:r w:rsidRPr="00B021F8">
              <w:rPr>
                <w:i/>
                <w:iCs/>
                <w:sz w:val="16"/>
                <w:szCs w:val="16"/>
              </w:rPr>
              <w:t>Sternula nereis nereis</w:t>
            </w:r>
            <w:r w:rsidRPr="00B021F8">
              <w:rPr>
                <w:sz w:val="16"/>
                <w:szCs w:val="16"/>
              </w:rPr>
              <w:t>)</w:t>
            </w:r>
          </w:p>
        </w:tc>
        <w:tc>
          <w:tcPr>
            <w:tcW w:w="724" w:type="dxa"/>
            <w:vAlign w:val="center"/>
          </w:tcPr>
          <w:p w14:paraId="1E517612"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62B4C1C"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6139129"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27B49435"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5A68593"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705F4DD0"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1339169B"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1024FD78" w14:textId="77777777" w:rsidR="00FF6F90" w:rsidRPr="00B021F8" w:rsidRDefault="00FF6F90" w:rsidP="00416437">
            <w:pPr>
              <w:pStyle w:val="Tabletext"/>
              <w:jc w:val="center"/>
              <w:rPr>
                <w:sz w:val="16"/>
                <w:szCs w:val="16"/>
              </w:rPr>
            </w:pPr>
            <w:r w:rsidRPr="00B021F8">
              <w:rPr>
                <w:sz w:val="16"/>
                <w:szCs w:val="16"/>
              </w:rPr>
              <w:t>Yes</w:t>
            </w:r>
          </w:p>
        </w:tc>
      </w:tr>
      <w:tr w:rsidR="00FF6F90" w14:paraId="485B61FB" w14:textId="77777777" w:rsidTr="00416437">
        <w:tc>
          <w:tcPr>
            <w:tcW w:w="3823" w:type="dxa"/>
          </w:tcPr>
          <w:p w14:paraId="45C5B0E3" w14:textId="77777777" w:rsidR="00FF6F90" w:rsidRPr="00B021F8" w:rsidRDefault="00FF6F90" w:rsidP="00E35130">
            <w:pPr>
              <w:pStyle w:val="Tabletext"/>
              <w:rPr>
                <w:sz w:val="16"/>
                <w:szCs w:val="16"/>
              </w:rPr>
            </w:pPr>
            <w:r w:rsidRPr="00B021F8">
              <w:rPr>
                <w:sz w:val="16"/>
                <w:szCs w:val="16"/>
              </w:rPr>
              <w:t>Australian Grayling (</w:t>
            </w:r>
            <w:r w:rsidRPr="00B021F8">
              <w:rPr>
                <w:i/>
                <w:iCs/>
                <w:sz w:val="16"/>
                <w:szCs w:val="16"/>
              </w:rPr>
              <w:t>Prototroctes maraena</w:t>
            </w:r>
            <w:r w:rsidRPr="00B021F8">
              <w:rPr>
                <w:sz w:val="16"/>
                <w:szCs w:val="16"/>
              </w:rPr>
              <w:t>)</w:t>
            </w:r>
          </w:p>
        </w:tc>
        <w:tc>
          <w:tcPr>
            <w:tcW w:w="724" w:type="dxa"/>
            <w:vAlign w:val="center"/>
          </w:tcPr>
          <w:p w14:paraId="4C1FCE7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B4017BF"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4DBF1E5"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64DBD39A" w14:textId="77777777" w:rsidR="00FF6F90" w:rsidRPr="00B021F8" w:rsidRDefault="00FF6F90" w:rsidP="00416437">
            <w:pPr>
              <w:pStyle w:val="Tabletext"/>
              <w:jc w:val="center"/>
              <w:rPr>
                <w:sz w:val="16"/>
                <w:szCs w:val="16"/>
              </w:rPr>
            </w:pPr>
            <w:r w:rsidRPr="00B021F8">
              <w:rPr>
                <w:sz w:val="16"/>
                <w:szCs w:val="16"/>
              </w:rPr>
              <w:t>Yes</w:t>
            </w:r>
          </w:p>
        </w:tc>
        <w:tc>
          <w:tcPr>
            <w:tcW w:w="725" w:type="dxa"/>
            <w:vAlign w:val="center"/>
          </w:tcPr>
          <w:p w14:paraId="6051ACFC"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38662AEB"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42895E60"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2AF65D05" w14:textId="77777777" w:rsidR="00FF6F90" w:rsidRPr="00B021F8" w:rsidRDefault="00FF6F90" w:rsidP="00416437">
            <w:pPr>
              <w:pStyle w:val="Tabletext"/>
              <w:jc w:val="center"/>
              <w:rPr>
                <w:sz w:val="16"/>
                <w:szCs w:val="16"/>
              </w:rPr>
            </w:pPr>
            <w:r w:rsidRPr="00B021F8">
              <w:rPr>
                <w:sz w:val="16"/>
                <w:szCs w:val="16"/>
              </w:rPr>
              <w:t>Yes</w:t>
            </w:r>
          </w:p>
        </w:tc>
      </w:tr>
      <w:tr w:rsidR="00FF6F90" w14:paraId="13B618B1" w14:textId="77777777" w:rsidTr="00416437">
        <w:tc>
          <w:tcPr>
            <w:tcW w:w="3823" w:type="dxa"/>
          </w:tcPr>
          <w:p w14:paraId="74CAB9DD" w14:textId="77777777" w:rsidR="00FF6F90" w:rsidRPr="00B021F8" w:rsidRDefault="00FF6F90" w:rsidP="00E35130">
            <w:pPr>
              <w:pStyle w:val="Tabletext"/>
              <w:rPr>
                <w:sz w:val="16"/>
                <w:szCs w:val="16"/>
              </w:rPr>
            </w:pPr>
            <w:r w:rsidRPr="00B021F8">
              <w:rPr>
                <w:sz w:val="16"/>
                <w:szCs w:val="16"/>
              </w:rPr>
              <w:t>Australian Painted Snipe (</w:t>
            </w:r>
            <w:r w:rsidRPr="00B021F8">
              <w:rPr>
                <w:i/>
                <w:iCs/>
                <w:sz w:val="16"/>
                <w:szCs w:val="16"/>
              </w:rPr>
              <w:t>Rostratula australis</w:t>
            </w:r>
            <w:r w:rsidRPr="00B021F8">
              <w:rPr>
                <w:sz w:val="16"/>
                <w:szCs w:val="16"/>
              </w:rPr>
              <w:t>)</w:t>
            </w:r>
          </w:p>
        </w:tc>
        <w:tc>
          <w:tcPr>
            <w:tcW w:w="724" w:type="dxa"/>
            <w:vAlign w:val="center"/>
          </w:tcPr>
          <w:p w14:paraId="204951C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7D2970F"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24F9DF89"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21015061"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4A756943"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155408E2"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3E57BE6"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25CF106E" w14:textId="77777777" w:rsidR="00FF6F90" w:rsidRPr="00B021F8" w:rsidRDefault="00FF6F90" w:rsidP="00416437">
            <w:pPr>
              <w:pStyle w:val="Tabletext"/>
              <w:jc w:val="center"/>
              <w:rPr>
                <w:sz w:val="16"/>
                <w:szCs w:val="16"/>
              </w:rPr>
            </w:pPr>
            <w:r w:rsidRPr="00B021F8">
              <w:rPr>
                <w:sz w:val="16"/>
                <w:szCs w:val="16"/>
              </w:rPr>
              <w:t>Yes</w:t>
            </w:r>
          </w:p>
        </w:tc>
      </w:tr>
      <w:tr w:rsidR="00FF6F90" w14:paraId="771EF4BB" w14:textId="77777777" w:rsidTr="00416437">
        <w:tc>
          <w:tcPr>
            <w:tcW w:w="3823" w:type="dxa"/>
          </w:tcPr>
          <w:p w14:paraId="4BDDF1C7" w14:textId="77777777" w:rsidR="00FF6F90" w:rsidRPr="00B021F8" w:rsidRDefault="00FF6F90" w:rsidP="00E35130">
            <w:pPr>
              <w:pStyle w:val="Tabletext"/>
              <w:rPr>
                <w:sz w:val="16"/>
                <w:szCs w:val="16"/>
              </w:rPr>
            </w:pPr>
            <w:r w:rsidRPr="00B021F8">
              <w:rPr>
                <w:sz w:val="16"/>
                <w:szCs w:val="16"/>
              </w:rPr>
              <w:t>Curlew Sandpiper (</w:t>
            </w:r>
            <w:r w:rsidRPr="00B021F8">
              <w:rPr>
                <w:i/>
                <w:iCs/>
                <w:sz w:val="16"/>
                <w:szCs w:val="16"/>
              </w:rPr>
              <w:t>Calidris ferruginea</w:t>
            </w:r>
            <w:r w:rsidRPr="00B021F8">
              <w:rPr>
                <w:sz w:val="16"/>
                <w:szCs w:val="16"/>
              </w:rPr>
              <w:t>)</w:t>
            </w:r>
          </w:p>
        </w:tc>
        <w:tc>
          <w:tcPr>
            <w:tcW w:w="724" w:type="dxa"/>
            <w:vAlign w:val="center"/>
          </w:tcPr>
          <w:p w14:paraId="1C9130F8"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9104D20"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16B6C7C"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212DC32A"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3A4EE3B"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195454AF"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3416BCE"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0FD19A73" w14:textId="77777777" w:rsidR="00FF6F90" w:rsidRPr="00B021F8" w:rsidRDefault="00FF6F90" w:rsidP="00416437">
            <w:pPr>
              <w:pStyle w:val="Tabletext"/>
              <w:jc w:val="center"/>
              <w:rPr>
                <w:sz w:val="16"/>
                <w:szCs w:val="16"/>
              </w:rPr>
            </w:pPr>
            <w:r w:rsidRPr="00B021F8">
              <w:rPr>
                <w:sz w:val="16"/>
                <w:szCs w:val="16"/>
              </w:rPr>
              <w:t>Yes</w:t>
            </w:r>
          </w:p>
        </w:tc>
      </w:tr>
      <w:tr w:rsidR="00FF6F90" w14:paraId="04BAFFC5" w14:textId="77777777" w:rsidTr="00416437">
        <w:tc>
          <w:tcPr>
            <w:tcW w:w="3823" w:type="dxa"/>
          </w:tcPr>
          <w:p w14:paraId="799FAAA8" w14:textId="77777777" w:rsidR="00FF6F90" w:rsidRPr="00B021F8" w:rsidRDefault="00FF6F90" w:rsidP="00E35130">
            <w:pPr>
              <w:pStyle w:val="Tabletext"/>
              <w:rPr>
                <w:sz w:val="16"/>
                <w:szCs w:val="16"/>
              </w:rPr>
            </w:pPr>
            <w:r w:rsidRPr="00B021F8">
              <w:rPr>
                <w:sz w:val="16"/>
                <w:szCs w:val="16"/>
              </w:rPr>
              <w:t>Eastern Curlew (</w:t>
            </w:r>
            <w:r w:rsidRPr="00B021F8">
              <w:rPr>
                <w:i/>
                <w:iCs/>
                <w:sz w:val="16"/>
                <w:szCs w:val="16"/>
              </w:rPr>
              <w:t>Numenius madagascariensis</w:t>
            </w:r>
            <w:r w:rsidRPr="00B021F8">
              <w:rPr>
                <w:sz w:val="16"/>
                <w:szCs w:val="16"/>
              </w:rPr>
              <w:t>)</w:t>
            </w:r>
          </w:p>
        </w:tc>
        <w:tc>
          <w:tcPr>
            <w:tcW w:w="724" w:type="dxa"/>
            <w:vAlign w:val="center"/>
          </w:tcPr>
          <w:p w14:paraId="7D62F1A1"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7DC9E67"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45B5CB6E"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A4A1805"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7886896"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07210422"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18A84453"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0A51F1EE" w14:textId="77777777" w:rsidR="00FF6F90" w:rsidRPr="00B021F8" w:rsidRDefault="00FF6F90" w:rsidP="00416437">
            <w:pPr>
              <w:pStyle w:val="Tabletext"/>
              <w:jc w:val="center"/>
              <w:rPr>
                <w:sz w:val="16"/>
                <w:szCs w:val="16"/>
              </w:rPr>
            </w:pPr>
            <w:r w:rsidRPr="00B021F8">
              <w:rPr>
                <w:sz w:val="16"/>
                <w:szCs w:val="16"/>
              </w:rPr>
              <w:t>Yes</w:t>
            </w:r>
          </w:p>
        </w:tc>
      </w:tr>
      <w:tr w:rsidR="00FF6F90" w14:paraId="113ECBC8" w14:textId="77777777" w:rsidTr="00416437">
        <w:tc>
          <w:tcPr>
            <w:tcW w:w="3823" w:type="dxa"/>
          </w:tcPr>
          <w:p w14:paraId="14F2E6E9" w14:textId="77777777" w:rsidR="00FF6F90" w:rsidRPr="00B021F8" w:rsidRDefault="00FF6F90" w:rsidP="00E35130">
            <w:pPr>
              <w:pStyle w:val="Tabletext"/>
              <w:rPr>
                <w:sz w:val="16"/>
                <w:szCs w:val="16"/>
              </w:rPr>
            </w:pPr>
            <w:r w:rsidRPr="00B021F8">
              <w:rPr>
                <w:sz w:val="16"/>
                <w:szCs w:val="16"/>
              </w:rPr>
              <w:t>Eastern Dwarf Galaxias (</w:t>
            </w:r>
            <w:r w:rsidRPr="00B021F8">
              <w:rPr>
                <w:i/>
                <w:iCs/>
                <w:sz w:val="16"/>
                <w:szCs w:val="16"/>
              </w:rPr>
              <w:t>Galaxiella pusilla</w:t>
            </w:r>
            <w:r w:rsidRPr="00B021F8">
              <w:rPr>
                <w:sz w:val="16"/>
                <w:szCs w:val="16"/>
              </w:rPr>
              <w:t>)</w:t>
            </w:r>
          </w:p>
        </w:tc>
        <w:tc>
          <w:tcPr>
            <w:tcW w:w="724" w:type="dxa"/>
            <w:vAlign w:val="center"/>
          </w:tcPr>
          <w:p w14:paraId="459130EA"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E0E6AA7"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A1E8D38"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411C5D42" w14:textId="77777777" w:rsidR="00FF6F90" w:rsidRPr="00B021F8" w:rsidRDefault="00FF6F90" w:rsidP="00416437">
            <w:pPr>
              <w:pStyle w:val="Tabletext"/>
              <w:jc w:val="center"/>
              <w:rPr>
                <w:sz w:val="16"/>
                <w:szCs w:val="16"/>
              </w:rPr>
            </w:pPr>
            <w:r w:rsidRPr="00B021F8">
              <w:rPr>
                <w:sz w:val="16"/>
                <w:szCs w:val="16"/>
              </w:rPr>
              <w:t>Yes</w:t>
            </w:r>
          </w:p>
        </w:tc>
        <w:tc>
          <w:tcPr>
            <w:tcW w:w="725" w:type="dxa"/>
            <w:vAlign w:val="center"/>
          </w:tcPr>
          <w:p w14:paraId="7832847D"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4511B59B" w14:textId="77777777" w:rsidR="00FF6F90" w:rsidRPr="00B021F8" w:rsidRDefault="00FF6F90" w:rsidP="00416437">
            <w:pPr>
              <w:pStyle w:val="Tabletext"/>
              <w:jc w:val="center"/>
              <w:rPr>
                <w:sz w:val="16"/>
                <w:szCs w:val="16"/>
              </w:rPr>
            </w:pPr>
            <w:r w:rsidRPr="00B021F8">
              <w:rPr>
                <w:sz w:val="16"/>
                <w:szCs w:val="16"/>
              </w:rPr>
              <w:t>Yes</w:t>
            </w:r>
          </w:p>
        </w:tc>
        <w:tc>
          <w:tcPr>
            <w:tcW w:w="725" w:type="dxa"/>
            <w:vAlign w:val="center"/>
          </w:tcPr>
          <w:p w14:paraId="5370E16F"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2C854F45" w14:textId="77777777" w:rsidR="00FF6F90" w:rsidRPr="00B021F8" w:rsidRDefault="00FF6F90" w:rsidP="00416437">
            <w:pPr>
              <w:pStyle w:val="Tabletext"/>
              <w:jc w:val="center"/>
              <w:rPr>
                <w:sz w:val="16"/>
                <w:szCs w:val="16"/>
              </w:rPr>
            </w:pPr>
            <w:r w:rsidRPr="00B021F8">
              <w:rPr>
                <w:sz w:val="16"/>
                <w:szCs w:val="16"/>
              </w:rPr>
              <w:t>Yes</w:t>
            </w:r>
          </w:p>
        </w:tc>
      </w:tr>
      <w:tr w:rsidR="00FF6F90" w14:paraId="597ADCCC" w14:textId="77777777" w:rsidTr="00416437">
        <w:tc>
          <w:tcPr>
            <w:tcW w:w="3823" w:type="dxa"/>
          </w:tcPr>
          <w:p w14:paraId="311C7699" w14:textId="77777777" w:rsidR="00FF6F90" w:rsidRPr="00B021F8" w:rsidRDefault="00FF6F90" w:rsidP="00E35130">
            <w:pPr>
              <w:pStyle w:val="Tabletext"/>
              <w:rPr>
                <w:sz w:val="16"/>
                <w:szCs w:val="16"/>
              </w:rPr>
            </w:pPr>
            <w:r w:rsidRPr="00B021F8">
              <w:rPr>
                <w:sz w:val="16"/>
                <w:szCs w:val="16"/>
              </w:rPr>
              <w:t>Great Knot (</w:t>
            </w:r>
            <w:r w:rsidRPr="00B021F8">
              <w:rPr>
                <w:i/>
                <w:iCs/>
                <w:sz w:val="16"/>
                <w:szCs w:val="16"/>
              </w:rPr>
              <w:t>Calidris tenuirostris</w:t>
            </w:r>
            <w:r w:rsidRPr="00B021F8">
              <w:rPr>
                <w:sz w:val="16"/>
                <w:szCs w:val="16"/>
              </w:rPr>
              <w:t>)</w:t>
            </w:r>
          </w:p>
        </w:tc>
        <w:tc>
          <w:tcPr>
            <w:tcW w:w="724" w:type="dxa"/>
            <w:vAlign w:val="center"/>
          </w:tcPr>
          <w:p w14:paraId="2BFE953D"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0B00DD7"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D0FD249"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43032AE9"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B92182A"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EB5F632"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05B2CE95"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7ABEB9E" w14:textId="77777777" w:rsidR="00FF6F90" w:rsidRPr="00B021F8" w:rsidRDefault="00FF6F90" w:rsidP="00416437">
            <w:pPr>
              <w:pStyle w:val="Tabletext"/>
              <w:jc w:val="center"/>
              <w:rPr>
                <w:sz w:val="16"/>
                <w:szCs w:val="16"/>
              </w:rPr>
            </w:pPr>
            <w:r w:rsidRPr="00B021F8">
              <w:rPr>
                <w:sz w:val="16"/>
                <w:szCs w:val="16"/>
              </w:rPr>
              <w:t>Yes</w:t>
            </w:r>
          </w:p>
        </w:tc>
      </w:tr>
      <w:tr w:rsidR="00FF6F90" w14:paraId="3C89D215" w14:textId="77777777" w:rsidTr="00416437">
        <w:tc>
          <w:tcPr>
            <w:tcW w:w="3823" w:type="dxa"/>
            <w:vAlign w:val="center"/>
          </w:tcPr>
          <w:p w14:paraId="59755420" w14:textId="77777777" w:rsidR="00FF6F90" w:rsidRPr="00B021F8" w:rsidRDefault="00FF6F90" w:rsidP="00E35130">
            <w:pPr>
              <w:pStyle w:val="Tabletext"/>
              <w:rPr>
                <w:sz w:val="16"/>
                <w:szCs w:val="16"/>
              </w:rPr>
            </w:pPr>
            <w:r w:rsidRPr="00B021F8">
              <w:rPr>
                <w:sz w:val="16"/>
                <w:szCs w:val="16"/>
              </w:rPr>
              <w:t>Greater Sand Plover (</w:t>
            </w:r>
            <w:r w:rsidRPr="00B021F8">
              <w:rPr>
                <w:i/>
                <w:iCs/>
                <w:sz w:val="16"/>
                <w:szCs w:val="16"/>
              </w:rPr>
              <w:t>Charadrius leschenaultii</w:t>
            </w:r>
            <w:r w:rsidRPr="00B021F8">
              <w:rPr>
                <w:sz w:val="16"/>
                <w:szCs w:val="16"/>
              </w:rPr>
              <w:t>)</w:t>
            </w:r>
          </w:p>
        </w:tc>
        <w:tc>
          <w:tcPr>
            <w:tcW w:w="724" w:type="dxa"/>
            <w:vAlign w:val="center"/>
          </w:tcPr>
          <w:p w14:paraId="05293D8C"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1A2AE93F"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B42D100"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4D58F94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95F80BD"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0FDAC71A"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714EE43"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905548F" w14:textId="77777777" w:rsidR="00FF6F90" w:rsidRPr="00B021F8" w:rsidRDefault="00FF6F90" w:rsidP="00416437">
            <w:pPr>
              <w:pStyle w:val="Tabletext"/>
              <w:jc w:val="center"/>
              <w:rPr>
                <w:sz w:val="16"/>
                <w:szCs w:val="16"/>
              </w:rPr>
            </w:pPr>
            <w:r w:rsidRPr="00B021F8">
              <w:rPr>
                <w:sz w:val="16"/>
                <w:szCs w:val="16"/>
              </w:rPr>
              <w:t>Yes</w:t>
            </w:r>
          </w:p>
        </w:tc>
      </w:tr>
      <w:tr w:rsidR="00FF6F90" w14:paraId="4DA381F1" w14:textId="77777777" w:rsidTr="00416437">
        <w:tc>
          <w:tcPr>
            <w:tcW w:w="3823" w:type="dxa"/>
            <w:vAlign w:val="center"/>
          </w:tcPr>
          <w:p w14:paraId="0E4D4B32" w14:textId="77777777" w:rsidR="00FF6F90" w:rsidRPr="00B021F8" w:rsidRDefault="00FF6F90" w:rsidP="00E35130">
            <w:pPr>
              <w:pStyle w:val="Tabletext"/>
              <w:rPr>
                <w:sz w:val="16"/>
                <w:szCs w:val="16"/>
              </w:rPr>
            </w:pPr>
            <w:r w:rsidRPr="00B021F8">
              <w:rPr>
                <w:sz w:val="16"/>
                <w:szCs w:val="16"/>
              </w:rPr>
              <w:t>Growling Grass Frog (</w:t>
            </w:r>
            <w:r w:rsidRPr="00B021F8">
              <w:rPr>
                <w:i/>
                <w:iCs/>
                <w:sz w:val="16"/>
                <w:szCs w:val="16"/>
              </w:rPr>
              <w:t>Litoria raniformis</w:t>
            </w:r>
            <w:r w:rsidRPr="00B021F8">
              <w:rPr>
                <w:sz w:val="16"/>
                <w:szCs w:val="16"/>
              </w:rPr>
              <w:t>)</w:t>
            </w:r>
          </w:p>
        </w:tc>
        <w:tc>
          <w:tcPr>
            <w:tcW w:w="724" w:type="dxa"/>
            <w:vAlign w:val="center"/>
          </w:tcPr>
          <w:p w14:paraId="464A6F4B"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09C5794"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78D89F9B"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296FEB28"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459D1C19"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74BB842"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6EE89942"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6C4C7EA5" w14:textId="77777777" w:rsidR="00FF6F90" w:rsidRPr="00B021F8" w:rsidRDefault="00FF6F90" w:rsidP="00416437">
            <w:pPr>
              <w:pStyle w:val="Tabletext"/>
              <w:jc w:val="center"/>
              <w:rPr>
                <w:sz w:val="16"/>
                <w:szCs w:val="16"/>
              </w:rPr>
            </w:pPr>
            <w:r w:rsidRPr="00B021F8">
              <w:rPr>
                <w:sz w:val="16"/>
                <w:szCs w:val="16"/>
              </w:rPr>
              <w:t>Yes</w:t>
            </w:r>
          </w:p>
        </w:tc>
      </w:tr>
      <w:tr w:rsidR="00FF6F90" w14:paraId="2427C8CA" w14:textId="77777777" w:rsidTr="00416437">
        <w:tc>
          <w:tcPr>
            <w:tcW w:w="3823" w:type="dxa"/>
            <w:vAlign w:val="center"/>
          </w:tcPr>
          <w:p w14:paraId="14BCDA16" w14:textId="77777777" w:rsidR="00FF6F90" w:rsidRPr="00B021F8" w:rsidRDefault="00FF6F90" w:rsidP="00E35130">
            <w:pPr>
              <w:pStyle w:val="Tabletext"/>
              <w:rPr>
                <w:sz w:val="16"/>
                <w:szCs w:val="16"/>
              </w:rPr>
            </w:pPr>
            <w:r w:rsidRPr="00B021F8">
              <w:rPr>
                <w:sz w:val="16"/>
                <w:szCs w:val="16"/>
              </w:rPr>
              <w:t>Lesser Sand Plover (</w:t>
            </w:r>
            <w:r w:rsidRPr="00B021F8">
              <w:rPr>
                <w:i/>
                <w:iCs/>
                <w:sz w:val="16"/>
                <w:szCs w:val="16"/>
              </w:rPr>
              <w:t>Charadrius mongolus</w:t>
            </w:r>
            <w:r w:rsidRPr="00B021F8">
              <w:rPr>
                <w:sz w:val="16"/>
                <w:szCs w:val="16"/>
              </w:rPr>
              <w:t>)</w:t>
            </w:r>
          </w:p>
        </w:tc>
        <w:tc>
          <w:tcPr>
            <w:tcW w:w="724" w:type="dxa"/>
            <w:vAlign w:val="center"/>
          </w:tcPr>
          <w:p w14:paraId="2C07482C"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2E689315"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CDF50F6"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1E31E062"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A79E28B"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30F4F19F"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FE635CE"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7DAAFFE4" w14:textId="77777777" w:rsidR="00FF6F90" w:rsidRPr="00B021F8" w:rsidRDefault="00FF6F90" w:rsidP="00416437">
            <w:pPr>
              <w:pStyle w:val="Tabletext"/>
              <w:jc w:val="center"/>
              <w:rPr>
                <w:sz w:val="16"/>
                <w:szCs w:val="16"/>
              </w:rPr>
            </w:pPr>
            <w:r w:rsidRPr="00B021F8">
              <w:rPr>
                <w:sz w:val="16"/>
                <w:szCs w:val="16"/>
              </w:rPr>
              <w:t>Yes</w:t>
            </w:r>
          </w:p>
        </w:tc>
      </w:tr>
      <w:tr w:rsidR="00FF6F90" w14:paraId="7219DA3C" w14:textId="77777777" w:rsidTr="00416437">
        <w:tc>
          <w:tcPr>
            <w:tcW w:w="3823" w:type="dxa"/>
            <w:vAlign w:val="center"/>
          </w:tcPr>
          <w:p w14:paraId="254EA3B5" w14:textId="77777777" w:rsidR="00FF6F90" w:rsidRPr="00B021F8" w:rsidRDefault="00FF6F90" w:rsidP="00E35130">
            <w:pPr>
              <w:pStyle w:val="Tabletext"/>
              <w:rPr>
                <w:sz w:val="16"/>
                <w:szCs w:val="16"/>
              </w:rPr>
            </w:pPr>
            <w:r w:rsidRPr="00B021F8">
              <w:rPr>
                <w:sz w:val="16"/>
                <w:szCs w:val="16"/>
              </w:rPr>
              <w:t>Orange-bellied Parrot (</w:t>
            </w:r>
            <w:r w:rsidRPr="00B021F8">
              <w:rPr>
                <w:i/>
                <w:iCs/>
                <w:sz w:val="16"/>
                <w:szCs w:val="16"/>
              </w:rPr>
              <w:t>Neophema chrysogaster</w:t>
            </w:r>
            <w:r w:rsidRPr="00B021F8">
              <w:rPr>
                <w:sz w:val="16"/>
                <w:szCs w:val="16"/>
              </w:rPr>
              <w:t>)</w:t>
            </w:r>
          </w:p>
        </w:tc>
        <w:tc>
          <w:tcPr>
            <w:tcW w:w="724" w:type="dxa"/>
            <w:vAlign w:val="center"/>
          </w:tcPr>
          <w:p w14:paraId="54EB24AE"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BEAFD7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10A279A"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D9E1E5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15FE5F20"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5A940399"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7B5AEE87"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6A7DAB19" w14:textId="77777777" w:rsidR="00FF6F90" w:rsidRPr="00B021F8" w:rsidRDefault="00FF6F90" w:rsidP="00416437">
            <w:pPr>
              <w:pStyle w:val="Tabletext"/>
              <w:jc w:val="center"/>
              <w:rPr>
                <w:sz w:val="16"/>
                <w:szCs w:val="16"/>
              </w:rPr>
            </w:pPr>
            <w:r w:rsidRPr="00B021F8">
              <w:rPr>
                <w:sz w:val="16"/>
                <w:szCs w:val="16"/>
              </w:rPr>
              <w:t>Yes</w:t>
            </w:r>
          </w:p>
        </w:tc>
      </w:tr>
      <w:tr w:rsidR="00FF6F90" w14:paraId="1CC1FB73" w14:textId="77777777" w:rsidTr="00416437">
        <w:tc>
          <w:tcPr>
            <w:tcW w:w="3823" w:type="dxa"/>
            <w:vAlign w:val="center"/>
          </w:tcPr>
          <w:p w14:paraId="64D62F2C" w14:textId="77777777" w:rsidR="00FF6F90" w:rsidRPr="00B021F8" w:rsidRDefault="00FF6F90" w:rsidP="00E35130">
            <w:pPr>
              <w:pStyle w:val="Tabletext"/>
              <w:rPr>
                <w:sz w:val="16"/>
                <w:szCs w:val="16"/>
              </w:rPr>
            </w:pPr>
            <w:r w:rsidRPr="00B021F8">
              <w:rPr>
                <w:sz w:val="16"/>
                <w:szCs w:val="16"/>
              </w:rPr>
              <w:t>Red Knot (</w:t>
            </w:r>
            <w:r w:rsidRPr="00B021F8">
              <w:rPr>
                <w:i/>
                <w:iCs/>
                <w:sz w:val="16"/>
                <w:szCs w:val="16"/>
              </w:rPr>
              <w:t>Calidris canutus</w:t>
            </w:r>
            <w:r w:rsidRPr="00B021F8">
              <w:rPr>
                <w:sz w:val="16"/>
                <w:szCs w:val="16"/>
              </w:rPr>
              <w:t>)</w:t>
            </w:r>
          </w:p>
        </w:tc>
        <w:tc>
          <w:tcPr>
            <w:tcW w:w="724" w:type="dxa"/>
            <w:vAlign w:val="center"/>
          </w:tcPr>
          <w:p w14:paraId="07DCA319"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669B01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F94B95F"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7983DA3"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681850A"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31D9768C"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7EA5AF40"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54114A6" w14:textId="77777777" w:rsidR="00FF6F90" w:rsidRPr="00B021F8" w:rsidRDefault="00FF6F90" w:rsidP="00416437">
            <w:pPr>
              <w:pStyle w:val="Tabletext"/>
              <w:jc w:val="center"/>
              <w:rPr>
                <w:sz w:val="16"/>
                <w:szCs w:val="16"/>
              </w:rPr>
            </w:pPr>
            <w:r w:rsidRPr="00B021F8">
              <w:rPr>
                <w:sz w:val="16"/>
                <w:szCs w:val="16"/>
              </w:rPr>
              <w:t>Yes</w:t>
            </w:r>
          </w:p>
        </w:tc>
      </w:tr>
      <w:tr w:rsidR="00FF6F90" w14:paraId="223122CB" w14:textId="77777777" w:rsidTr="00B66932">
        <w:tc>
          <w:tcPr>
            <w:tcW w:w="3823" w:type="dxa"/>
            <w:vAlign w:val="center"/>
          </w:tcPr>
          <w:p w14:paraId="58D827C5" w14:textId="77777777" w:rsidR="00FF6F90" w:rsidRPr="00B021F8" w:rsidRDefault="00FF6F90" w:rsidP="004D599D">
            <w:pPr>
              <w:pStyle w:val="Tabletext"/>
              <w:rPr>
                <w:sz w:val="16"/>
                <w:szCs w:val="16"/>
              </w:rPr>
            </w:pPr>
            <w:r w:rsidRPr="00B021F8">
              <w:rPr>
                <w:sz w:val="16"/>
                <w:szCs w:val="16"/>
              </w:rPr>
              <w:t>Western Alaskan Bar-tailed Godwit (</w:t>
            </w:r>
            <w:r w:rsidRPr="00B021F8">
              <w:rPr>
                <w:i/>
                <w:iCs/>
                <w:sz w:val="16"/>
                <w:szCs w:val="16"/>
              </w:rPr>
              <w:t>Limosa lapponica baueri</w:t>
            </w:r>
            <w:r w:rsidRPr="00B021F8">
              <w:rPr>
                <w:sz w:val="16"/>
                <w:szCs w:val="16"/>
              </w:rPr>
              <w:t>)</w:t>
            </w:r>
          </w:p>
        </w:tc>
        <w:tc>
          <w:tcPr>
            <w:tcW w:w="724" w:type="dxa"/>
            <w:vAlign w:val="center"/>
          </w:tcPr>
          <w:p w14:paraId="777A84DC" w14:textId="77777777" w:rsidR="00FF6F90" w:rsidRPr="00B021F8" w:rsidRDefault="00FF6F90" w:rsidP="004D599D">
            <w:pPr>
              <w:pStyle w:val="Tabletext"/>
              <w:jc w:val="center"/>
              <w:rPr>
                <w:sz w:val="16"/>
                <w:szCs w:val="16"/>
              </w:rPr>
            </w:pPr>
            <w:r w:rsidRPr="00B021F8">
              <w:rPr>
                <w:sz w:val="16"/>
                <w:szCs w:val="16"/>
              </w:rPr>
              <w:t>No</w:t>
            </w:r>
          </w:p>
        </w:tc>
        <w:tc>
          <w:tcPr>
            <w:tcW w:w="725" w:type="dxa"/>
            <w:vAlign w:val="center"/>
          </w:tcPr>
          <w:p w14:paraId="3247D306" w14:textId="77777777" w:rsidR="00FF6F90" w:rsidRPr="00B021F8" w:rsidRDefault="00FF6F90" w:rsidP="004D599D">
            <w:pPr>
              <w:pStyle w:val="Tabletext"/>
              <w:jc w:val="center"/>
              <w:rPr>
                <w:sz w:val="16"/>
                <w:szCs w:val="16"/>
              </w:rPr>
            </w:pPr>
            <w:r w:rsidRPr="00B021F8">
              <w:rPr>
                <w:sz w:val="16"/>
                <w:szCs w:val="16"/>
              </w:rPr>
              <w:t>No</w:t>
            </w:r>
          </w:p>
        </w:tc>
        <w:tc>
          <w:tcPr>
            <w:tcW w:w="725" w:type="dxa"/>
            <w:vAlign w:val="center"/>
          </w:tcPr>
          <w:p w14:paraId="087764A0" w14:textId="77777777" w:rsidR="00FF6F90" w:rsidRPr="00B021F8" w:rsidRDefault="00FF6F90" w:rsidP="004D599D">
            <w:pPr>
              <w:pStyle w:val="Tabletext"/>
              <w:jc w:val="center"/>
              <w:rPr>
                <w:sz w:val="16"/>
                <w:szCs w:val="16"/>
              </w:rPr>
            </w:pPr>
            <w:r w:rsidRPr="00B021F8">
              <w:rPr>
                <w:sz w:val="16"/>
                <w:szCs w:val="16"/>
              </w:rPr>
              <w:t>No</w:t>
            </w:r>
          </w:p>
        </w:tc>
        <w:tc>
          <w:tcPr>
            <w:tcW w:w="725" w:type="dxa"/>
            <w:vAlign w:val="center"/>
          </w:tcPr>
          <w:p w14:paraId="675C00A0" w14:textId="77777777" w:rsidR="00FF6F90" w:rsidRPr="00B021F8" w:rsidRDefault="00FF6F90" w:rsidP="004D599D">
            <w:pPr>
              <w:pStyle w:val="Tabletext"/>
              <w:jc w:val="center"/>
              <w:rPr>
                <w:sz w:val="16"/>
                <w:szCs w:val="16"/>
              </w:rPr>
            </w:pPr>
            <w:r w:rsidRPr="00B021F8">
              <w:rPr>
                <w:sz w:val="16"/>
                <w:szCs w:val="16"/>
              </w:rPr>
              <w:t>No</w:t>
            </w:r>
          </w:p>
        </w:tc>
        <w:tc>
          <w:tcPr>
            <w:tcW w:w="725" w:type="dxa"/>
            <w:vAlign w:val="center"/>
          </w:tcPr>
          <w:p w14:paraId="4F90E44C" w14:textId="77777777" w:rsidR="00FF6F90" w:rsidRPr="00B021F8" w:rsidRDefault="00FF6F90" w:rsidP="004D599D">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04932037" w14:textId="77777777" w:rsidR="00FF6F90" w:rsidRPr="00B021F8" w:rsidRDefault="00FF6F90" w:rsidP="004D599D">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1B4780F9" w14:textId="77777777" w:rsidR="00FF6F90" w:rsidRPr="00B021F8" w:rsidRDefault="00FF6F90" w:rsidP="004D599D">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212BA3A1" w14:textId="77777777" w:rsidR="00FF6F90" w:rsidRPr="00B021F8" w:rsidRDefault="00FF6F90" w:rsidP="004D599D">
            <w:pPr>
              <w:pStyle w:val="Tabletext"/>
              <w:jc w:val="center"/>
              <w:rPr>
                <w:sz w:val="16"/>
                <w:szCs w:val="16"/>
              </w:rPr>
            </w:pPr>
            <w:r w:rsidRPr="00B021F8">
              <w:rPr>
                <w:sz w:val="16"/>
                <w:szCs w:val="16"/>
              </w:rPr>
              <w:t>Yes</w:t>
            </w:r>
          </w:p>
        </w:tc>
      </w:tr>
      <w:tr w:rsidR="00FF6F90" w14:paraId="3599CF19" w14:textId="77777777" w:rsidTr="00416437">
        <w:tc>
          <w:tcPr>
            <w:tcW w:w="3823" w:type="dxa"/>
            <w:vAlign w:val="center"/>
          </w:tcPr>
          <w:p w14:paraId="52108E47" w14:textId="77777777" w:rsidR="00FF6F90" w:rsidRPr="00B021F8" w:rsidRDefault="00FF6F90" w:rsidP="00E35130">
            <w:pPr>
              <w:pStyle w:val="Tabletext"/>
              <w:rPr>
                <w:sz w:val="16"/>
                <w:szCs w:val="16"/>
              </w:rPr>
            </w:pPr>
            <w:r w:rsidRPr="00B021F8">
              <w:rPr>
                <w:sz w:val="16"/>
                <w:szCs w:val="16"/>
              </w:rPr>
              <w:t>Yarra Pygmy Perch (</w:t>
            </w:r>
            <w:r w:rsidRPr="00B021F8">
              <w:rPr>
                <w:i/>
                <w:iCs/>
                <w:sz w:val="16"/>
                <w:szCs w:val="16"/>
              </w:rPr>
              <w:t>Nannoperca obscura</w:t>
            </w:r>
            <w:r w:rsidRPr="00B021F8">
              <w:rPr>
                <w:sz w:val="16"/>
                <w:szCs w:val="16"/>
              </w:rPr>
              <w:t>)</w:t>
            </w:r>
          </w:p>
        </w:tc>
        <w:tc>
          <w:tcPr>
            <w:tcW w:w="724" w:type="dxa"/>
            <w:vAlign w:val="center"/>
          </w:tcPr>
          <w:p w14:paraId="602F0D09"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8140AE8"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3F32AB2"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22B99BEC" w14:textId="77777777" w:rsidR="00FF6F90" w:rsidRPr="00B021F8" w:rsidRDefault="00FF6F90" w:rsidP="00416437">
            <w:pPr>
              <w:pStyle w:val="Tabletext"/>
              <w:jc w:val="center"/>
              <w:rPr>
                <w:sz w:val="16"/>
                <w:szCs w:val="16"/>
              </w:rPr>
            </w:pPr>
            <w:r w:rsidRPr="00B021F8">
              <w:rPr>
                <w:sz w:val="16"/>
                <w:szCs w:val="16"/>
              </w:rPr>
              <w:t>Yes</w:t>
            </w:r>
          </w:p>
        </w:tc>
        <w:tc>
          <w:tcPr>
            <w:tcW w:w="725" w:type="dxa"/>
            <w:vAlign w:val="center"/>
          </w:tcPr>
          <w:p w14:paraId="459F7B7C"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12511A38"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4C678579"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A785676" w14:textId="77777777" w:rsidR="00FF6F90" w:rsidRPr="00B021F8" w:rsidRDefault="00FF6F90" w:rsidP="00416437">
            <w:pPr>
              <w:pStyle w:val="Tabletext"/>
              <w:jc w:val="center"/>
              <w:rPr>
                <w:sz w:val="16"/>
                <w:szCs w:val="16"/>
              </w:rPr>
            </w:pPr>
            <w:r w:rsidRPr="00B021F8">
              <w:rPr>
                <w:sz w:val="16"/>
                <w:szCs w:val="16"/>
              </w:rPr>
              <w:t>Yes</w:t>
            </w:r>
          </w:p>
        </w:tc>
      </w:tr>
      <w:tr w:rsidR="00FF6F90" w14:paraId="7C1E85BD" w14:textId="77777777" w:rsidTr="001F7278">
        <w:tc>
          <w:tcPr>
            <w:tcW w:w="9622" w:type="dxa"/>
            <w:gridSpan w:val="9"/>
            <w:shd w:val="clear" w:color="auto" w:fill="B4C6E7" w:themeFill="accent1" w:themeFillTint="66"/>
            <w:vAlign w:val="center"/>
          </w:tcPr>
          <w:p w14:paraId="68AAD0F0" w14:textId="77777777" w:rsidR="00FF6F90" w:rsidRPr="00B021F8" w:rsidRDefault="00FF6F90" w:rsidP="00E35130">
            <w:pPr>
              <w:pStyle w:val="Tabletext"/>
              <w:rPr>
                <w:sz w:val="16"/>
                <w:szCs w:val="16"/>
              </w:rPr>
            </w:pPr>
            <w:r w:rsidRPr="00B021F8">
              <w:rPr>
                <w:b/>
                <w:bCs/>
                <w:sz w:val="16"/>
                <w:szCs w:val="16"/>
              </w:rPr>
              <w:t>Threatened flora</w:t>
            </w:r>
          </w:p>
        </w:tc>
      </w:tr>
      <w:tr w:rsidR="00FF6F90" w14:paraId="40A318B8" w14:textId="77777777" w:rsidTr="00416437">
        <w:tc>
          <w:tcPr>
            <w:tcW w:w="3823" w:type="dxa"/>
            <w:vAlign w:val="center"/>
          </w:tcPr>
          <w:p w14:paraId="39FD9BD9" w14:textId="77777777" w:rsidR="00FF6F90" w:rsidRPr="00B021F8" w:rsidRDefault="00FF6F90" w:rsidP="00E35130">
            <w:pPr>
              <w:pStyle w:val="Tabletext"/>
              <w:rPr>
                <w:sz w:val="16"/>
                <w:szCs w:val="16"/>
              </w:rPr>
            </w:pPr>
            <w:r w:rsidRPr="00B021F8">
              <w:rPr>
                <w:sz w:val="16"/>
                <w:szCs w:val="16"/>
              </w:rPr>
              <w:t>Adamson’s Blown</w:t>
            </w:r>
            <w:r>
              <w:rPr>
                <w:sz w:val="16"/>
                <w:szCs w:val="16"/>
              </w:rPr>
              <w:t>-g</w:t>
            </w:r>
            <w:r w:rsidRPr="00B021F8">
              <w:rPr>
                <w:sz w:val="16"/>
                <w:szCs w:val="16"/>
              </w:rPr>
              <w:t>rass (</w:t>
            </w:r>
            <w:r w:rsidRPr="00B021F8">
              <w:rPr>
                <w:i/>
                <w:iCs/>
                <w:sz w:val="16"/>
                <w:szCs w:val="16"/>
              </w:rPr>
              <w:t>Lachnagrostis adamsonii</w:t>
            </w:r>
            <w:r w:rsidRPr="00B021F8">
              <w:rPr>
                <w:sz w:val="16"/>
                <w:szCs w:val="16"/>
              </w:rPr>
              <w:t>)</w:t>
            </w:r>
          </w:p>
        </w:tc>
        <w:tc>
          <w:tcPr>
            <w:tcW w:w="724" w:type="dxa"/>
            <w:vAlign w:val="center"/>
          </w:tcPr>
          <w:p w14:paraId="515094CB"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1B691C18"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2A679139"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623AFCA4"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0BFAFD9E"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6E0484D"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5428AC3"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74D23E0B" w14:textId="77777777" w:rsidR="00FF6F90" w:rsidRPr="00B021F8" w:rsidRDefault="00FF6F90" w:rsidP="00416437">
            <w:pPr>
              <w:pStyle w:val="Tabletext"/>
              <w:jc w:val="center"/>
              <w:rPr>
                <w:sz w:val="16"/>
                <w:szCs w:val="16"/>
              </w:rPr>
            </w:pPr>
            <w:r w:rsidRPr="00B021F8">
              <w:rPr>
                <w:sz w:val="16"/>
                <w:szCs w:val="16"/>
              </w:rPr>
              <w:t>Yes</w:t>
            </w:r>
          </w:p>
        </w:tc>
      </w:tr>
      <w:tr w:rsidR="00FF6F90" w14:paraId="37C8A586" w14:textId="77777777" w:rsidTr="00416437">
        <w:tc>
          <w:tcPr>
            <w:tcW w:w="3823" w:type="dxa"/>
            <w:vAlign w:val="center"/>
          </w:tcPr>
          <w:p w14:paraId="4BF813E6" w14:textId="77777777" w:rsidR="00FF6F90" w:rsidRPr="00B021F8" w:rsidRDefault="00FF6F90" w:rsidP="00E35130">
            <w:pPr>
              <w:pStyle w:val="Tabletext"/>
              <w:rPr>
                <w:sz w:val="16"/>
                <w:szCs w:val="16"/>
              </w:rPr>
            </w:pPr>
            <w:r w:rsidRPr="00B021F8">
              <w:rPr>
                <w:sz w:val="16"/>
                <w:szCs w:val="16"/>
              </w:rPr>
              <w:t>Spiny Rice-flower (</w:t>
            </w:r>
            <w:r w:rsidRPr="00B021F8">
              <w:rPr>
                <w:i/>
                <w:iCs/>
                <w:sz w:val="16"/>
                <w:szCs w:val="16"/>
              </w:rPr>
              <w:t xml:space="preserve">Pimelea spinescens </w:t>
            </w:r>
            <w:r w:rsidRPr="00B021F8">
              <w:rPr>
                <w:sz w:val="16"/>
                <w:szCs w:val="16"/>
              </w:rPr>
              <w:t xml:space="preserve">subsp. </w:t>
            </w:r>
            <w:r w:rsidRPr="00B021F8">
              <w:rPr>
                <w:i/>
                <w:iCs/>
                <w:sz w:val="16"/>
                <w:szCs w:val="16"/>
              </w:rPr>
              <w:t>spinescens</w:t>
            </w:r>
            <w:r w:rsidRPr="00B021F8">
              <w:rPr>
                <w:sz w:val="16"/>
                <w:szCs w:val="16"/>
              </w:rPr>
              <w:t>)</w:t>
            </w:r>
          </w:p>
        </w:tc>
        <w:tc>
          <w:tcPr>
            <w:tcW w:w="724" w:type="dxa"/>
            <w:vAlign w:val="center"/>
          </w:tcPr>
          <w:p w14:paraId="07203C38"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AB2E5C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C257D99"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55037EB"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717DE3F9"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059FAABE"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965E20F"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349E4BA4" w14:textId="77777777" w:rsidR="00FF6F90" w:rsidRPr="00B021F8" w:rsidRDefault="00FF6F90" w:rsidP="00416437">
            <w:pPr>
              <w:pStyle w:val="Tabletext"/>
              <w:jc w:val="center"/>
              <w:rPr>
                <w:sz w:val="16"/>
                <w:szCs w:val="16"/>
              </w:rPr>
            </w:pPr>
            <w:r w:rsidRPr="00B021F8">
              <w:rPr>
                <w:sz w:val="16"/>
                <w:szCs w:val="16"/>
              </w:rPr>
              <w:t>Yes</w:t>
            </w:r>
          </w:p>
        </w:tc>
      </w:tr>
      <w:tr w:rsidR="00FF6F90" w:rsidRPr="00744E79" w14:paraId="6335DDF1" w14:textId="77777777" w:rsidTr="001F7278">
        <w:tc>
          <w:tcPr>
            <w:tcW w:w="9622" w:type="dxa"/>
            <w:gridSpan w:val="9"/>
            <w:shd w:val="clear" w:color="auto" w:fill="B4C6E7" w:themeFill="accent1" w:themeFillTint="66"/>
            <w:vAlign w:val="center"/>
          </w:tcPr>
          <w:p w14:paraId="2782E271" w14:textId="77777777" w:rsidR="00FF6F90" w:rsidRPr="00B021F8" w:rsidRDefault="00FF6F90" w:rsidP="00E35130">
            <w:pPr>
              <w:pStyle w:val="Tabletext"/>
              <w:rPr>
                <w:b/>
                <w:bCs/>
                <w:sz w:val="16"/>
                <w:szCs w:val="16"/>
              </w:rPr>
            </w:pPr>
            <w:r w:rsidRPr="00B021F8">
              <w:rPr>
                <w:b/>
                <w:bCs/>
                <w:sz w:val="16"/>
                <w:szCs w:val="16"/>
              </w:rPr>
              <w:t>Migratory species*</w:t>
            </w:r>
          </w:p>
        </w:tc>
      </w:tr>
      <w:tr w:rsidR="00FF6F90" w14:paraId="28CBA7E1" w14:textId="77777777" w:rsidTr="00416437">
        <w:tc>
          <w:tcPr>
            <w:tcW w:w="3823" w:type="dxa"/>
            <w:vAlign w:val="center"/>
          </w:tcPr>
          <w:p w14:paraId="24905F0A" w14:textId="77777777" w:rsidR="00FF6F90" w:rsidRPr="00B021F8" w:rsidRDefault="00FF6F90" w:rsidP="00E35130">
            <w:pPr>
              <w:pStyle w:val="Tabletext"/>
              <w:rPr>
                <w:sz w:val="16"/>
                <w:szCs w:val="16"/>
              </w:rPr>
            </w:pPr>
            <w:r w:rsidRPr="00B021F8">
              <w:rPr>
                <w:sz w:val="16"/>
                <w:szCs w:val="16"/>
              </w:rPr>
              <w:t>Common Greenshank (</w:t>
            </w:r>
            <w:r w:rsidRPr="00B021F8">
              <w:rPr>
                <w:i/>
                <w:iCs/>
                <w:sz w:val="16"/>
                <w:szCs w:val="16"/>
              </w:rPr>
              <w:t>Tringa nebularia</w:t>
            </w:r>
            <w:r w:rsidRPr="00B021F8">
              <w:rPr>
                <w:sz w:val="16"/>
                <w:szCs w:val="16"/>
              </w:rPr>
              <w:t>)</w:t>
            </w:r>
          </w:p>
        </w:tc>
        <w:tc>
          <w:tcPr>
            <w:tcW w:w="724" w:type="dxa"/>
            <w:vAlign w:val="center"/>
          </w:tcPr>
          <w:p w14:paraId="519AB91B"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7BC1CAC"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46A4C07C"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9793242"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989E650"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A55912F"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7FAF974E"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0E4C865F" w14:textId="77777777" w:rsidR="00FF6F90" w:rsidRPr="00B021F8" w:rsidRDefault="00FF6F90" w:rsidP="00416437">
            <w:pPr>
              <w:pStyle w:val="Tabletext"/>
              <w:jc w:val="center"/>
              <w:rPr>
                <w:sz w:val="16"/>
                <w:szCs w:val="16"/>
              </w:rPr>
            </w:pPr>
            <w:r w:rsidRPr="00B021F8">
              <w:rPr>
                <w:sz w:val="16"/>
                <w:szCs w:val="16"/>
              </w:rPr>
              <w:t>Yes</w:t>
            </w:r>
          </w:p>
        </w:tc>
      </w:tr>
      <w:tr w:rsidR="00FF6F90" w14:paraId="07366654" w14:textId="77777777" w:rsidTr="00416437">
        <w:tc>
          <w:tcPr>
            <w:tcW w:w="3823" w:type="dxa"/>
            <w:vAlign w:val="center"/>
          </w:tcPr>
          <w:p w14:paraId="27F43383" w14:textId="77777777" w:rsidR="00FF6F90" w:rsidRPr="00B021F8" w:rsidRDefault="00FF6F90" w:rsidP="00712D6E">
            <w:pPr>
              <w:pStyle w:val="Tabletext"/>
              <w:rPr>
                <w:sz w:val="16"/>
                <w:szCs w:val="16"/>
              </w:rPr>
            </w:pPr>
            <w:r w:rsidRPr="00B021F8">
              <w:rPr>
                <w:sz w:val="16"/>
                <w:szCs w:val="16"/>
              </w:rPr>
              <w:t>Double-banded Plover (</w:t>
            </w:r>
            <w:r w:rsidRPr="00B021F8">
              <w:rPr>
                <w:i/>
                <w:iCs/>
                <w:sz w:val="16"/>
                <w:szCs w:val="16"/>
              </w:rPr>
              <w:t>Charadrius bicinctus</w:t>
            </w:r>
            <w:r w:rsidRPr="00B021F8">
              <w:rPr>
                <w:sz w:val="16"/>
                <w:szCs w:val="16"/>
              </w:rPr>
              <w:t>)</w:t>
            </w:r>
          </w:p>
        </w:tc>
        <w:tc>
          <w:tcPr>
            <w:tcW w:w="724" w:type="dxa"/>
            <w:vAlign w:val="center"/>
          </w:tcPr>
          <w:p w14:paraId="5E68FB16"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C75544E"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C3021F5"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1D9383F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F39FA36"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2E40C9E7"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068E660F"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1FEDF756" w14:textId="77777777" w:rsidR="00FF6F90" w:rsidRPr="00B021F8" w:rsidRDefault="00FF6F90" w:rsidP="00416437">
            <w:pPr>
              <w:pStyle w:val="Tabletext"/>
              <w:jc w:val="center"/>
              <w:rPr>
                <w:sz w:val="16"/>
                <w:szCs w:val="16"/>
              </w:rPr>
            </w:pPr>
            <w:r w:rsidRPr="00B021F8">
              <w:rPr>
                <w:sz w:val="16"/>
                <w:szCs w:val="16"/>
              </w:rPr>
              <w:t>Yes</w:t>
            </w:r>
          </w:p>
        </w:tc>
      </w:tr>
      <w:tr w:rsidR="00FF6F90" w14:paraId="224A3A37" w14:textId="77777777" w:rsidTr="00416437">
        <w:tc>
          <w:tcPr>
            <w:tcW w:w="3823" w:type="dxa"/>
            <w:vAlign w:val="center"/>
          </w:tcPr>
          <w:p w14:paraId="4D004DF3" w14:textId="77777777" w:rsidR="00FF6F90" w:rsidRPr="00B021F8" w:rsidRDefault="00FF6F90" w:rsidP="00712D6E">
            <w:pPr>
              <w:pStyle w:val="Tabletext"/>
              <w:rPr>
                <w:sz w:val="16"/>
                <w:szCs w:val="16"/>
              </w:rPr>
            </w:pPr>
            <w:r w:rsidRPr="00B021F8">
              <w:rPr>
                <w:sz w:val="16"/>
                <w:szCs w:val="16"/>
              </w:rPr>
              <w:t>Latham's Snipe (</w:t>
            </w:r>
            <w:r w:rsidRPr="00B021F8">
              <w:rPr>
                <w:i/>
                <w:iCs/>
                <w:sz w:val="16"/>
                <w:szCs w:val="16"/>
              </w:rPr>
              <w:t>Gallinago hardwickii</w:t>
            </w:r>
            <w:r w:rsidRPr="00B021F8">
              <w:rPr>
                <w:sz w:val="16"/>
                <w:szCs w:val="16"/>
              </w:rPr>
              <w:t>)</w:t>
            </w:r>
          </w:p>
        </w:tc>
        <w:tc>
          <w:tcPr>
            <w:tcW w:w="724" w:type="dxa"/>
            <w:vAlign w:val="center"/>
          </w:tcPr>
          <w:p w14:paraId="1FBB4E47"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FB6BBF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055686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7929BC4"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4E6EAD6E" w14:textId="77777777" w:rsidR="00FF6F90" w:rsidRPr="00B021F8" w:rsidRDefault="00FF6F90" w:rsidP="00416437">
            <w:pPr>
              <w:pStyle w:val="Tabletext"/>
              <w:jc w:val="center"/>
              <w:rPr>
                <w:sz w:val="16"/>
                <w:szCs w:val="16"/>
              </w:rPr>
            </w:pPr>
            <w:r w:rsidRPr="00B021F8">
              <w:rPr>
                <w:sz w:val="16"/>
                <w:szCs w:val="16"/>
              </w:rPr>
              <w:t>Yes</w:t>
            </w:r>
          </w:p>
        </w:tc>
        <w:tc>
          <w:tcPr>
            <w:tcW w:w="725" w:type="dxa"/>
            <w:vAlign w:val="center"/>
          </w:tcPr>
          <w:p w14:paraId="07003F4A"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2F88A3B2"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27FCA4C7" w14:textId="77777777" w:rsidR="00FF6F90" w:rsidRPr="00B021F8" w:rsidRDefault="00FF6F90" w:rsidP="00416437">
            <w:pPr>
              <w:pStyle w:val="Tabletext"/>
              <w:jc w:val="center"/>
              <w:rPr>
                <w:sz w:val="16"/>
                <w:szCs w:val="16"/>
              </w:rPr>
            </w:pPr>
            <w:r w:rsidRPr="00B021F8">
              <w:rPr>
                <w:sz w:val="16"/>
                <w:szCs w:val="16"/>
              </w:rPr>
              <w:t>Yes</w:t>
            </w:r>
          </w:p>
        </w:tc>
      </w:tr>
      <w:tr w:rsidR="00FF6F90" w14:paraId="314F674C" w14:textId="77777777" w:rsidTr="00416437">
        <w:tc>
          <w:tcPr>
            <w:tcW w:w="3823" w:type="dxa"/>
          </w:tcPr>
          <w:p w14:paraId="14A8143E" w14:textId="77777777" w:rsidR="00FF6F90" w:rsidRPr="00B021F8" w:rsidRDefault="00FF6F90" w:rsidP="00712D6E">
            <w:pPr>
              <w:pStyle w:val="Tabletext"/>
              <w:rPr>
                <w:sz w:val="16"/>
                <w:szCs w:val="16"/>
              </w:rPr>
            </w:pPr>
            <w:r w:rsidRPr="00B021F8">
              <w:rPr>
                <w:sz w:val="16"/>
                <w:szCs w:val="16"/>
              </w:rPr>
              <w:t>Little Tern (</w:t>
            </w:r>
            <w:r w:rsidRPr="00B021F8">
              <w:rPr>
                <w:i/>
                <w:iCs/>
                <w:sz w:val="16"/>
                <w:szCs w:val="16"/>
              </w:rPr>
              <w:t>Sternula albifrons</w:t>
            </w:r>
            <w:r w:rsidRPr="00B021F8">
              <w:rPr>
                <w:sz w:val="16"/>
                <w:szCs w:val="16"/>
              </w:rPr>
              <w:t>)</w:t>
            </w:r>
          </w:p>
        </w:tc>
        <w:tc>
          <w:tcPr>
            <w:tcW w:w="724" w:type="dxa"/>
            <w:vAlign w:val="center"/>
          </w:tcPr>
          <w:p w14:paraId="0F1D5436"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3344C3E"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85DE24E"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4BFA6E0"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47719F5D"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CFB9144"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0A00DFC8"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E95BBB8" w14:textId="77777777" w:rsidR="00FF6F90" w:rsidRPr="00B021F8" w:rsidRDefault="00FF6F90" w:rsidP="00416437">
            <w:pPr>
              <w:pStyle w:val="Tabletext"/>
              <w:jc w:val="center"/>
              <w:rPr>
                <w:sz w:val="16"/>
                <w:szCs w:val="16"/>
              </w:rPr>
            </w:pPr>
            <w:r w:rsidRPr="00B021F8">
              <w:rPr>
                <w:sz w:val="16"/>
                <w:szCs w:val="16"/>
              </w:rPr>
              <w:t>Yes</w:t>
            </w:r>
          </w:p>
        </w:tc>
      </w:tr>
      <w:tr w:rsidR="00FF6F90" w14:paraId="2F35E691" w14:textId="77777777" w:rsidTr="00416437">
        <w:tc>
          <w:tcPr>
            <w:tcW w:w="3823" w:type="dxa"/>
          </w:tcPr>
          <w:p w14:paraId="4E3AA633" w14:textId="77777777" w:rsidR="00FF6F90" w:rsidRPr="00B021F8" w:rsidRDefault="00FF6F90" w:rsidP="00712D6E">
            <w:pPr>
              <w:pStyle w:val="Tabletext"/>
              <w:rPr>
                <w:sz w:val="16"/>
                <w:szCs w:val="16"/>
              </w:rPr>
            </w:pPr>
            <w:r w:rsidRPr="00B021F8">
              <w:rPr>
                <w:sz w:val="16"/>
                <w:szCs w:val="16"/>
              </w:rPr>
              <w:t>Marsh Sandpiper (</w:t>
            </w:r>
            <w:r w:rsidRPr="00B021F8">
              <w:rPr>
                <w:i/>
                <w:iCs/>
                <w:sz w:val="16"/>
                <w:szCs w:val="16"/>
              </w:rPr>
              <w:t>Tringa stagnatilis</w:t>
            </w:r>
            <w:r w:rsidRPr="00B021F8">
              <w:rPr>
                <w:sz w:val="16"/>
                <w:szCs w:val="16"/>
              </w:rPr>
              <w:t>)</w:t>
            </w:r>
          </w:p>
        </w:tc>
        <w:tc>
          <w:tcPr>
            <w:tcW w:w="724" w:type="dxa"/>
            <w:vAlign w:val="center"/>
          </w:tcPr>
          <w:p w14:paraId="3B06D95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10CC4D73"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8C3F7C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104DC83"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128C8448"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3BB66D8"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37653826"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4127CED0" w14:textId="77777777" w:rsidR="00FF6F90" w:rsidRPr="00B021F8" w:rsidRDefault="00FF6F90" w:rsidP="00416437">
            <w:pPr>
              <w:pStyle w:val="Tabletext"/>
              <w:jc w:val="center"/>
              <w:rPr>
                <w:sz w:val="16"/>
                <w:szCs w:val="16"/>
              </w:rPr>
            </w:pPr>
            <w:r w:rsidRPr="00B021F8">
              <w:rPr>
                <w:sz w:val="16"/>
                <w:szCs w:val="16"/>
              </w:rPr>
              <w:t>Yes</w:t>
            </w:r>
          </w:p>
        </w:tc>
      </w:tr>
      <w:tr w:rsidR="00FF6F90" w14:paraId="16A8B25F" w14:textId="77777777" w:rsidTr="00416437">
        <w:tc>
          <w:tcPr>
            <w:tcW w:w="3823" w:type="dxa"/>
          </w:tcPr>
          <w:p w14:paraId="41DB1CD2" w14:textId="77777777" w:rsidR="00FF6F90" w:rsidRPr="00B021F8" w:rsidRDefault="00FF6F90" w:rsidP="00712D6E">
            <w:pPr>
              <w:pStyle w:val="Tabletext"/>
              <w:rPr>
                <w:sz w:val="16"/>
                <w:szCs w:val="16"/>
              </w:rPr>
            </w:pPr>
            <w:r w:rsidRPr="00B021F8">
              <w:rPr>
                <w:sz w:val="16"/>
                <w:szCs w:val="16"/>
              </w:rPr>
              <w:t>Red-necked Stint (</w:t>
            </w:r>
            <w:r w:rsidRPr="00B021F8">
              <w:rPr>
                <w:i/>
                <w:iCs/>
                <w:sz w:val="16"/>
                <w:szCs w:val="16"/>
              </w:rPr>
              <w:t>Calidris ruficollis</w:t>
            </w:r>
            <w:r w:rsidRPr="00B021F8">
              <w:rPr>
                <w:sz w:val="16"/>
                <w:szCs w:val="16"/>
              </w:rPr>
              <w:t>)</w:t>
            </w:r>
          </w:p>
        </w:tc>
        <w:tc>
          <w:tcPr>
            <w:tcW w:w="724" w:type="dxa"/>
            <w:vAlign w:val="center"/>
          </w:tcPr>
          <w:p w14:paraId="0DED7D75"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6AF2AAD2"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7A9038C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9DEA86C"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DEFFC65"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3AB27B45"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6C2FD1F7"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0196F103" w14:textId="77777777" w:rsidR="00FF6F90" w:rsidRPr="00B021F8" w:rsidRDefault="00FF6F90" w:rsidP="00416437">
            <w:pPr>
              <w:pStyle w:val="Tabletext"/>
              <w:jc w:val="center"/>
              <w:rPr>
                <w:sz w:val="16"/>
                <w:szCs w:val="16"/>
              </w:rPr>
            </w:pPr>
            <w:r w:rsidRPr="00B021F8">
              <w:rPr>
                <w:sz w:val="16"/>
                <w:szCs w:val="16"/>
              </w:rPr>
              <w:t>Yes</w:t>
            </w:r>
          </w:p>
        </w:tc>
      </w:tr>
      <w:tr w:rsidR="00FF6F90" w14:paraId="1D65BBB8" w14:textId="77777777" w:rsidTr="00416437">
        <w:tc>
          <w:tcPr>
            <w:tcW w:w="3823" w:type="dxa"/>
          </w:tcPr>
          <w:p w14:paraId="60CF956B" w14:textId="77777777" w:rsidR="00FF6F90" w:rsidRPr="00B021F8" w:rsidRDefault="00FF6F90" w:rsidP="00712D6E">
            <w:pPr>
              <w:pStyle w:val="Tabletext"/>
              <w:rPr>
                <w:sz w:val="16"/>
                <w:szCs w:val="16"/>
              </w:rPr>
            </w:pPr>
            <w:r w:rsidRPr="00B021F8">
              <w:rPr>
                <w:sz w:val="16"/>
                <w:szCs w:val="16"/>
              </w:rPr>
              <w:t>Sharp-tailed Sandpiper (</w:t>
            </w:r>
            <w:r w:rsidRPr="00B021F8">
              <w:rPr>
                <w:i/>
                <w:iCs/>
                <w:sz w:val="16"/>
                <w:szCs w:val="16"/>
              </w:rPr>
              <w:t>Calidris acuminata</w:t>
            </w:r>
            <w:r w:rsidRPr="00B021F8">
              <w:rPr>
                <w:sz w:val="16"/>
                <w:szCs w:val="16"/>
              </w:rPr>
              <w:t>)</w:t>
            </w:r>
          </w:p>
        </w:tc>
        <w:tc>
          <w:tcPr>
            <w:tcW w:w="724" w:type="dxa"/>
            <w:vAlign w:val="center"/>
          </w:tcPr>
          <w:p w14:paraId="16A403FA"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2D393E60"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81AB754"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3F7CBD0"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5452AA2D" w14:textId="77777777" w:rsidR="00FF6F90" w:rsidRPr="00B021F8" w:rsidRDefault="00FF6F90" w:rsidP="00416437">
            <w:pPr>
              <w:pStyle w:val="Tabletext"/>
              <w:jc w:val="center"/>
              <w:rPr>
                <w:sz w:val="16"/>
                <w:szCs w:val="16"/>
              </w:rPr>
            </w:pPr>
            <w:r w:rsidRPr="00B021F8">
              <w:rPr>
                <w:sz w:val="16"/>
                <w:szCs w:val="16"/>
              </w:rPr>
              <w:t>No</w:t>
            </w:r>
          </w:p>
        </w:tc>
        <w:tc>
          <w:tcPr>
            <w:tcW w:w="725" w:type="dxa"/>
            <w:vAlign w:val="center"/>
          </w:tcPr>
          <w:p w14:paraId="0257625C" w14:textId="77777777" w:rsidR="00FF6F90" w:rsidRPr="00B021F8" w:rsidRDefault="00FF6F90" w:rsidP="00416437">
            <w:pPr>
              <w:pStyle w:val="Tabletext"/>
              <w:jc w:val="center"/>
              <w:rPr>
                <w:sz w:val="16"/>
                <w:szCs w:val="16"/>
              </w:rPr>
            </w:pPr>
            <w:r w:rsidRPr="00B021F8">
              <w:rPr>
                <w:sz w:val="16"/>
                <w:szCs w:val="16"/>
              </w:rPr>
              <w:t>No</w:t>
            </w:r>
          </w:p>
        </w:tc>
        <w:tc>
          <w:tcPr>
            <w:tcW w:w="725" w:type="dxa"/>
            <w:shd w:val="clear" w:color="auto" w:fill="D9E2F3" w:themeFill="accent1" w:themeFillTint="33"/>
            <w:vAlign w:val="center"/>
          </w:tcPr>
          <w:p w14:paraId="6D650703" w14:textId="77777777" w:rsidR="00FF6F90" w:rsidRPr="00B021F8" w:rsidRDefault="00FF6F90" w:rsidP="00416437">
            <w:pPr>
              <w:pStyle w:val="Tabletext"/>
              <w:jc w:val="center"/>
              <w:rPr>
                <w:sz w:val="16"/>
                <w:szCs w:val="16"/>
              </w:rPr>
            </w:pPr>
            <w:r w:rsidRPr="00B021F8">
              <w:rPr>
                <w:sz w:val="16"/>
                <w:szCs w:val="16"/>
              </w:rPr>
              <w:t>Yes</w:t>
            </w:r>
          </w:p>
        </w:tc>
        <w:tc>
          <w:tcPr>
            <w:tcW w:w="725" w:type="dxa"/>
            <w:shd w:val="clear" w:color="auto" w:fill="D9E2F3" w:themeFill="accent1" w:themeFillTint="33"/>
            <w:vAlign w:val="center"/>
          </w:tcPr>
          <w:p w14:paraId="57CAE2A5" w14:textId="77777777" w:rsidR="00FF6F90" w:rsidRPr="00B021F8" w:rsidRDefault="00FF6F90" w:rsidP="00416437">
            <w:pPr>
              <w:pStyle w:val="Tabletext"/>
              <w:jc w:val="center"/>
              <w:rPr>
                <w:sz w:val="16"/>
                <w:szCs w:val="16"/>
              </w:rPr>
            </w:pPr>
            <w:r w:rsidRPr="00B021F8">
              <w:rPr>
                <w:sz w:val="16"/>
                <w:szCs w:val="16"/>
              </w:rPr>
              <w:t>Yes</w:t>
            </w:r>
          </w:p>
        </w:tc>
      </w:tr>
      <w:tr w:rsidR="00FF6F90" w:rsidRPr="00744E79" w14:paraId="2B579692" w14:textId="77777777" w:rsidTr="001F7278">
        <w:tc>
          <w:tcPr>
            <w:tcW w:w="9622" w:type="dxa"/>
            <w:gridSpan w:val="9"/>
            <w:shd w:val="clear" w:color="auto" w:fill="B4C6E7" w:themeFill="accent1" w:themeFillTint="66"/>
          </w:tcPr>
          <w:p w14:paraId="62DF4B46" w14:textId="77777777" w:rsidR="00FF6F90" w:rsidRPr="00B021F8" w:rsidRDefault="00FF6F90" w:rsidP="00E35130">
            <w:pPr>
              <w:pStyle w:val="Tabletext"/>
              <w:rPr>
                <w:b/>
                <w:bCs/>
                <w:sz w:val="16"/>
                <w:szCs w:val="16"/>
              </w:rPr>
            </w:pPr>
            <w:r w:rsidRPr="00B021F8">
              <w:rPr>
                <w:b/>
                <w:bCs/>
                <w:sz w:val="16"/>
                <w:szCs w:val="16"/>
              </w:rPr>
              <w:t>Ramsar</w:t>
            </w:r>
          </w:p>
        </w:tc>
      </w:tr>
      <w:tr w:rsidR="00FF6F90" w14:paraId="0BA4C59B" w14:textId="77777777" w:rsidTr="00416437">
        <w:tc>
          <w:tcPr>
            <w:tcW w:w="3823" w:type="dxa"/>
          </w:tcPr>
          <w:p w14:paraId="5A382638" w14:textId="77777777" w:rsidR="00FF6F90" w:rsidRPr="00B021F8" w:rsidRDefault="00FF6F90" w:rsidP="00E35130">
            <w:pPr>
              <w:pStyle w:val="Tabletext"/>
              <w:rPr>
                <w:sz w:val="16"/>
                <w:szCs w:val="16"/>
              </w:rPr>
            </w:pPr>
            <w:r w:rsidRPr="00B021F8">
              <w:rPr>
                <w:sz w:val="16"/>
                <w:szCs w:val="16"/>
              </w:rPr>
              <w:t>Port Phillip Bay (Western Shoreline) and Bellarine Peninsula Ramsar site</w:t>
            </w:r>
          </w:p>
        </w:tc>
        <w:tc>
          <w:tcPr>
            <w:tcW w:w="1449" w:type="dxa"/>
            <w:gridSpan w:val="2"/>
            <w:vAlign w:val="center"/>
          </w:tcPr>
          <w:p w14:paraId="371F219D" w14:textId="77777777" w:rsidR="00FF6F90" w:rsidRPr="00B021F8" w:rsidRDefault="00FF6F90" w:rsidP="00416437">
            <w:pPr>
              <w:pStyle w:val="Tabletext"/>
              <w:jc w:val="center"/>
              <w:rPr>
                <w:sz w:val="16"/>
                <w:szCs w:val="16"/>
              </w:rPr>
            </w:pPr>
            <w:r w:rsidRPr="00B021F8">
              <w:rPr>
                <w:sz w:val="16"/>
                <w:szCs w:val="16"/>
              </w:rPr>
              <w:t>No</w:t>
            </w:r>
          </w:p>
        </w:tc>
        <w:tc>
          <w:tcPr>
            <w:tcW w:w="1450" w:type="dxa"/>
            <w:gridSpan w:val="2"/>
            <w:vAlign w:val="center"/>
          </w:tcPr>
          <w:p w14:paraId="405953C2" w14:textId="77777777" w:rsidR="00FF6F90" w:rsidRPr="00B021F8" w:rsidRDefault="00FF6F90" w:rsidP="00416437">
            <w:pPr>
              <w:pStyle w:val="Tabletext"/>
              <w:jc w:val="center"/>
              <w:rPr>
                <w:sz w:val="16"/>
                <w:szCs w:val="16"/>
              </w:rPr>
            </w:pPr>
            <w:r w:rsidRPr="00B021F8">
              <w:rPr>
                <w:sz w:val="16"/>
                <w:szCs w:val="16"/>
              </w:rPr>
              <w:t>No</w:t>
            </w:r>
          </w:p>
        </w:tc>
        <w:tc>
          <w:tcPr>
            <w:tcW w:w="1450" w:type="dxa"/>
            <w:gridSpan w:val="2"/>
            <w:vAlign w:val="center"/>
          </w:tcPr>
          <w:p w14:paraId="3DEF1D82" w14:textId="77777777" w:rsidR="00FF6F90" w:rsidRPr="00B021F8" w:rsidRDefault="00FF6F90" w:rsidP="00416437">
            <w:pPr>
              <w:pStyle w:val="Tabletext"/>
              <w:jc w:val="center"/>
              <w:rPr>
                <w:sz w:val="16"/>
                <w:szCs w:val="16"/>
              </w:rPr>
            </w:pPr>
            <w:r w:rsidRPr="00B021F8">
              <w:rPr>
                <w:sz w:val="16"/>
                <w:szCs w:val="16"/>
              </w:rPr>
              <w:t>No</w:t>
            </w:r>
          </w:p>
        </w:tc>
        <w:tc>
          <w:tcPr>
            <w:tcW w:w="1450" w:type="dxa"/>
            <w:gridSpan w:val="2"/>
            <w:shd w:val="clear" w:color="auto" w:fill="D9E2F3" w:themeFill="accent1" w:themeFillTint="33"/>
            <w:vAlign w:val="center"/>
          </w:tcPr>
          <w:p w14:paraId="194BCA83" w14:textId="77777777" w:rsidR="00FF6F90" w:rsidRPr="00B021F8" w:rsidRDefault="00FF6F90" w:rsidP="00416437">
            <w:pPr>
              <w:pStyle w:val="Tabletext"/>
              <w:jc w:val="center"/>
              <w:rPr>
                <w:sz w:val="16"/>
                <w:szCs w:val="16"/>
              </w:rPr>
            </w:pPr>
            <w:r w:rsidRPr="00B021F8">
              <w:rPr>
                <w:sz w:val="16"/>
                <w:szCs w:val="16"/>
              </w:rPr>
              <w:t>Yes</w:t>
            </w:r>
          </w:p>
        </w:tc>
      </w:tr>
    </w:tbl>
    <w:p w14:paraId="4B3D7FC2" w14:textId="77777777" w:rsidR="00FF6F90" w:rsidRDefault="00FF6F90" w:rsidP="00744E79">
      <w:pPr>
        <w:pStyle w:val="Tabletext"/>
        <w:rPr>
          <w:sz w:val="16"/>
          <w:szCs w:val="18"/>
        </w:rPr>
      </w:pPr>
      <w:r w:rsidRPr="00744E79">
        <w:rPr>
          <w:sz w:val="16"/>
          <w:szCs w:val="18"/>
        </w:rPr>
        <w:t>* This list includes migratory species that are not listed as threatened. Any migratory species that are also threatened are identified under the “threatened species” section of the table</w:t>
      </w:r>
    </w:p>
    <w:p w14:paraId="115B1503" w14:textId="77777777" w:rsidR="00FF6F90" w:rsidRPr="00744E79" w:rsidRDefault="00FF6F90" w:rsidP="00744E79">
      <w:pPr>
        <w:pStyle w:val="Tabletext"/>
        <w:rPr>
          <w:sz w:val="16"/>
          <w:szCs w:val="18"/>
        </w:rPr>
      </w:pPr>
      <w:r>
        <w:rPr>
          <w:sz w:val="16"/>
          <w:szCs w:val="18"/>
        </w:rPr>
        <w:t xml:space="preserve">^ To save space, the following abbreviations have been used: R – Records, H – Habitat </w:t>
      </w:r>
    </w:p>
    <w:p w14:paraId="6E41DE44" w14:textId="77777777" w:rsidR="00FF6F90" w:rsidRDefault="00FF6F90">
      <w:pPr>
        <w:tabs>
          <w:tab w:val="clear" w:pos="4962"/>
        </w:tabs>
        <w:spacing w:before="0" w:after="0" w:line="240" w:lineRule="auto"/>
        <w:rPr>
          <w:rFonts w:ascii="Helvetica" w:eastAsiaTheme="majorEastAsia" w:hAnsi="Helvetica" w:cs="Helvetica"/>
          <w:b/>
          <w:bCs/>
          <w:caps/>
          <w:spacing w:val="20"/>
          <w:sz w:val="14"/>
          <w:szCs w:val="14"/>
        </w:rPr>
      </w:pPr>
      <w:r>
        <w:rPr>
          <w:rFonts w:ascii="Helvetica" w:eastAsiaTheme="majorEastAsia" w:hAnsi="Helvetica" w:cs="Helvetica"/>
          <w:b/>
          <w:bCs/>
          <w:caps/>
          <w:spacing w:val="20"/>
          <w:sz w:val="14"/>
          <w:szCs w:val="14"/>
        </w:rPr>
        <w:br w:type="page"/>
      </w:r>
    </w:p>
    <w:p w14:paraId="6FF8D029" w14:textId="77777777" w:rsidR="00FF6F90" w:rsidRDefault="00FF6F90" w:rsidP="0066113D">
      <w:pPr>
        <w:pStyle w:val="Heading3"/>
      </w:pPr>
      <w:r>
        <w:lastRenderedPageBreak/>
        <w:t>Avoidance outcomes for MNES subject to direct impacts</w:t>
      </w:r>
    </w:p>
    <w:p w14:paraId="37569FAB" w14:textId="77777777" w:rsidR="00FF6F90" w:rsidRDefault="00FF6F90" w:rsidP="0066113D">
      <w:r>
        <w:t>Three Category 1 MNES are subject to direct impacts under the Plan. These include:</w:t>
      </w:r>
    </w:p>
    <w:p w14:paraId="113836D2" w14:textId="77777777" w:rsidR="00FF6F90" w:rsidRDefault="00FF6F90" w:rsidP="004D0D0B">
      <w:pPr>
        <w:pStyle w:val="Bullet1"/>
      </w:pPr>
      <w:r>
        <w:t>Golden Sun Moth (</w:t>
      </w:r>
      <w:r>
        <w:rPr>
          <w:i/>
          <w:iCs/>
        </w:rPr>
        <w:t>Synemon plana</w:t>
      </w:r>
      <w:r>
        <w:t>) (GSM)</w:t>
      </w:r>
    </w:p>
    <w:p w14:paraId="349BC5A5" w14:textId="77777777" w:rsidR="00FF6F90" w:rsidRDefault="00FF6F90" w:rsidP="004D0D0B">
      <w:pPr>
        <w:pStyle w:val="Bullet1"/>
      </w:pPr>
      <w:r>
        <w:t>Striped Legless Lizard (</w:t>
      </w:r>
      <w:r>
        <w:rPr>
          <w:i/>
          <w:iCs/>
        </w:rPr>
        <w:t>Delma impar</w:t>
      </w:r>
      <w:r>
        <w:t>) (SLL)</w:t>
      </w:r>
    </w:p>
    <w:p w14:paraId="56FA1CFD" w14:textId="77777777" w:rsidR="00FF6F90" w:rsidRDefault="00FF6F90" w:rsidP="004D0D0B">
      <w:pPr>
        <w:pStyle w:val="Bullet1"/>
      </w:pPr>
      <w:r>
        <w:t>Natural Temperate Grassland of the Victorian Volcanic Plain (Natural Temperate Grassland)</w:t>
      </w:r>
    </w:p>
    <w:p w14:paraId="5436EBC7" w14:textId="3E82FF75" w:rsidR="00FF6F90" w:rsidRDefault="00FF6F90" w:rsidP="0066113D">
      <w:r>
        <w:t xml:space="preserve">The avoidance of habitat for the GSM and the SLL, and avoidance of areas of Natural Temperate Grassland, were key considerations during the SDM avoidance process for the NGGA as part of the strategic assessment process. The application of the SDM process resulted in the total avoidance area within the NGGA increasing by more than </w:t>
      </w:r>
      <w:r w:rsidRPr="00B66932">
        <w:t>26 ha</w:t>
      </w:r>
      <w:r w:rsidRPr="00416437">
        <w:t>.</w:t>
      </w:r>
      <w:r>
        <w:t xml:space="preserve"> The total area of avoidance within the NGGA is now</w:t>
      </w:r>
      <w:r w:rsidR="00662AC4">
        <w:t xml:space="preserve"> just over</w:t>
      </w:r>
      <w:r>
        <w:t xml:space="preserve"> </w:t>
      </w:r>
      <w:r w:rsidRPr="00B66932">
        <w:t>108 ha.</w:t>
      </w:r>
    </w:p>
    <w:p w14:paraId="5A001146" w14:textId="77777777" w:rsidR="00FF6F90" w:rsidRDefault="00FF6F90" w:rsidP="0066113D">
      <w:r>
        <w:t>The specific avoidance outcomes for each of the above protected matters is as follows:</w:t>
      </w:r>
    </w:p>
    <w:p w14:paraId="4FA39E6B" w14:textId="77777777" w:rsidR="00FF6F90" w:rsidRDefault="00FF6F90" w:rsidP="00DC7E14">
      <w:pPr>
        <w:pStyle w:val="Bullet1"/>
      </w:pPr>
      <w:r>
        <w:t xml:space="preserve">GSM: A total of </w:t>
      </w:r>
      <w:r w:rsidRPr="00B66932">
        <w:t>108.6 ha</w:t>
      </w:r>
      <w:r>
        <w:t xml:space="preserve"> of mapped habitat has been avoided for this species. Avoidance focused on areas where high densities of GSM have been recorded and where the largest remnants of native vegetation have been mapped</w:t>
      </w:r>
    </w:p>
    <w:p w14:paraId="53014F9A" w14:textId="77777777" w:rsidR="00FF6F90" w:rsidRDefault="00FF6F90" w:rsidP="00DC7E14">
      <w:pPr>
        <w:pStyle w:val="Bullet1"/>
      </w:pPr>
      <w:r>
        <w:t xml:space="preserve">SLL: A total of </w:t>
      </w:r>
      <w:r w:rsidRPr="00B66932">
        <w:t>73.7 ha</w:t>
      </w:r>
      <w:r>
        <w:t xml:space="preserve"> of mapped habitat has been avoided for this species. Avoidance focused on protecting the largest patch of confirmed habitat for the species, in addition to an area mapped as suitable habitat</w:t>
      </w:r>
    </w:p>
    <w:p w14:paraId="7457B3E3" w14:textId="77777777" w:rsidR="00FF6F90" w:rsidRDefault="00FF6F90" w:rsidP="009B4558">
      <w:r>
        <w:t xml:space="preserve">While avoidance of Natural Temperate Grassland was a key consideration during the strategic assessment process, mapped patches of Natural Temperate Grassland were unable to be included in the avoided areas for a range of reasons, including topographical constraints, economic reasons, and challenges associated with retaining and conserving small pockets of the grassland within urban environments with substantial edge effects. </w:t>
      </w:r>
    </w:p>
    <w:p w14:paraId="639D0FB6" w14:textId="77777777" w:rsidR="00FF6F90" w:rsidRDefault="00FF6F90" w:rsidP="0066113D">
      <w:r>
        <w:t>Further information regarding the avoidance outcomes for each of the protected matters identified above is provided in Part 4</w:t>
      </w:r>
      <w:r w:rsidRPr="00416437">
        <w:t xml:space="preserve">, </w:t>
      </w:r>
      <w:r w:rsidRPr="00B66932">
        <w:t>Chapters 19 and 21.</w:t>
      </w:r>
    </w:p>
    <w:p w14:paraId="1B70A9E3" w14:textId="77777777" w:rsidR="00FF6F90" w:rsidRDefault="00FF6F90" w:rsidP="0099428D">
      <w:pPr>
        <w:pStyle w:val="Heading3"/>
      </w:pPr>
      <w:r>
        <w:t>Conclusion</w:t>
      </w:r>
    </w:p>
    <w:p w14:paraId="4C322B1A" w14:textId="51218C0C" w:rsidR="00FF6F90" w:rsidRDefault="00FF6F90" w:rsidP="00B62390">
      <w:r>
        <w:t xml:space="preserve">A thorough avoidance process has been applied within the Strategic Assessment Area to minimise impacts to protected matters under the Plan. As a result, the vast majority of MNES within the Study Area will not be directly impacted under the Plan, with only three MNES subject to direct impacts. </w:t>
      </w:r>
      <w:r w:rsidR="003E109C">
        <w:t>In relation to these</w:t>
      </w:r>
      <w:r>
        <w:t>, stringent avoidance processes have been applied to minimise potential impacts as far as is practicable.</w:t>
      </w:r>
    </w:p>
    <w:p w14:paraId="3BAC62C8" w14:textId="024E0D11" w:rsidR="00FF6F90" w:rsidRPr="00802C11" w:rsidRDefault="00FF6F90" w:rsidP="0066113D">
      <w:r>
        <w:t xml:space="preserve">Overall, it is considered that the avoidance process applied under the Plan is appropriate for protecting MNES while also enabling </w:t>
      </w:r>
      <w:r w:rsidR="008B7754">
        <w:t>the</w:t>
      </w:r>
      <w:r>
        <w:t xml:space="preserve"> </w:t>
      </w:r>
      <w:r w:rsidR="008B7754">
        <w:t xml:space="preserve">necessary </w:t>
      </w:r>
      <w:r>
        <w:t>social and economic objectives</w:t>
      </w:r>
      <w:r w:rsidR="008B7754">
        <w:t xml:space="preserve"> to be </w:t>
      </w:r>
      <w:r w:rsidR="00406B2A">
        <w:t>addressed</w:t>
      </w:r>
      <w:r>
        <w:t>.</w:t>
      </w:r>
    </w:p>
    <w:p w14:paraId="5F56606E" w14:textId="77777777" w:rsidR="00FF6F90" w:rsidRPr="004547FE" w:rsidRDefault="00FF6F90" w:rsidP="004547FE"/>
    <w:p w14:paraId="0FBE4AA2" w14:textId="77777777" w:rsidR="00FF6F90" w:rsidRPr="00247009" w:rsidRDefault="00FF6F90" w:rsidP="00247009"/>
    <w:p w14:paraId="1241E732" w14:textId="77777777" w:rsidR="00FF6F90" w:rsidRPr="00247009" w:rsidRDefault="00FF6F90" w:rsidP="00247009">
      <w:pPr>
        <w:sectPr w:rsidR="00FF6F90" w:rsidRPr="00247009" w:rsidSect="00504E94">
          <w:pgSz w:w="11900" w:h="16840"/>
          <w:pgMar w:top="1247" w:right="1134" w:bottom="1247" w:left="1134" w:header="708" w:footer="708" w:gutter="0"/>
          <w:pgNumType w:start="1" w:chapStyle="1"/>
          <w:cols w:space="708"/>
          <w:docGrid w:linePitch="360"/>
        </w:sectPr>
      </w:pPr>
    </w:p>
    <w:p w14:paraId="054F2170" w14:textId="77777777" w:rsidR="00FF6F90" w:rsidRDefault="00FF6F90" w:rsidP="001B6C1A">
      <w:pPr>
        <w:pStyle w:val="Heading1"/>
      </w:pPr>
      <w:bookmarkStart w:id="19" w:name="_Toc113453420"/>
      <w:bookmarkStart w:id="20" w:name="_Toc134706943"/>
      <w:r w:rsidRPr="00A816BD">
        <w:lastRenderedPageBreak/>
        <w:t>Managing indirect impacts</w:t>
      </w:r>
      <w:bookmarkEnd w:id="19"/>
      <w:bookmarkEnd w:id="20"/>
    </w:p>
    <w:p w14:paraId="47C288F9" w14:textId="77777777" w:rsidR="00FF6F90" w:rsidRDefault="00FF6F90" w:rsidP="001B6C1A">
      <w:pPr>
        <w:pStyle w:val="Heading2"/>
      </w:pPr>
      <w:bookmarkStart w:id="21" w:name="_Toc134706944"/>
      <w:r>
        <w:t>Introduction</w:t>
      </w:r>
      <w:bookmarkEnd w:id="21"/>
    </w:p>
    <w:p w14:paraId="0D0D96A5" w14:textId="77777777" w:rsidR="00FF6F90" w:rsidRPr="00D2722A" w:rsidRDefault="00FF6F90" w:rsidP="001B6C1A">
      <w:r>
        <w:t>This Chapter describes the mitigation measures that will be implemented under the Plan to avoid and minimise the indirect impacts of development. This information provides relevant context and background to support the detailed assessments for protected matters.</w:t>
      </w:r>
    </w:p>
    <w:p w14:paraId="5D58F7C7" w14:textId="77777777" w:rsidR="00FF6F90" w:rsidRDefault="00FF6F90" w:rsidP="006850AA">
      <w:r>
        <w:t>The information presented in this Chapter relates to the following ToR:</w:t>
      </w:r>
    </w:p>
    <w:tbl>
      <w:tblPr>
        <w:tblStyle w:val="TableGrid"/>
        <w:tblW w:w="0" w:type="auto"/>
        <w:tblLook w:val="04A0" w:firstRow="1" w:lastRow="0" w:firstColumn="1" w:lastColumn="0" w:noHBand="0" w:noVBand="1"/>
      </w:tblPr>
      <w:tblGrid>
        <w:gridCol w:w="9622"/>
      </w:tblGrid>
      <w:tr w:rsidR="00FF6F90" w14:paraId="06642FE7" w14:textId="77777777" w:rsidTr="003D6FCB">
        <w:tc>
          <w:tcPr>
            <w:tcW w:w="9622" w:type="dxa"/>
          </w:tcPr>
          <w:p w14:paraId="39268434" w14:textId="1DA3E507" w:rsidR="00FF6F90" w:rsidRPr="001B71F6" w:rsidRDefault="00FF6F90" w:rsidP="001B71F6">
            <w:pPr>
              <w:pStyle w:val="Tabletext"/>
              <w:rPr>
                <w:i/>
                <w:iCs/>
                <w:lang w:val="en-GB"/>
              </w:rPr>
            </w:pPr>
            <w:r w:rsidRPr="001B71F6">
              <w:rPr>
                <w:i/>
                <w:iCs/>
                <w:lang w:val="en-GB"/>
              </w:rPr>
              <w:t xml:space="preserve">1.2. The Report must address how those impacts will be avoided, </w:t>
            </w:r>
            <w:r w:rsidR="00256283" w:rsidRPr="001B71F6">
              <w:rPr>
                <w:i/>
                <w:iCs/>
                <w:lang w:val="en-GB"/>
              </w:rPr>
              <w:t>mitigated,</w:t>
            </w:r>
            <w:r w:rsidRPr="001B71F6">
              <w:rPr>
                <w:i/>
                <w:iCs/>
                <w:lang w:val="en-GB"/>
              </w:rPr>
              <w:t xml:space="preserve"> and offset (where necessary or appropriate) to ensure the long-term protection of protected matters. </w:t>
            </w:r>
          </w:p>
          <w:p w14:paraId="15AAA2D9" w14:textId="77777777" w:rsidR="00FF6F90" w:rsidRPr="001B71F6" w:rsidRDefault="00FF6F90" w:rsidP="001B71F6">
            <w:pPr>
              <w:pStyle w:val="Tabletext"/>
              <w:rPr>
                <w:i/>
                <w:iCs/>
                <w:lang w:val="en-GB"/>
              </w:rPr>
            </w:pPr>
            <w:r w:rsidRPr="001B71F6">
              <w:rPr>
                <w:i/>
                <w:iCs/>
                <w:lang w:val="en-GB"/>
              </w:rPr>
              <w:t>…</w:t>
            </w:r>
          </w:p>
          <w:p w14:paraId="4E361E25" w14:textId="6B1C74F2" w:rsidR="00FF6F90" w:rsidRDefault="00FF6F90" w:rsidP="001B71F6">
            <w:pPr>
              <w:pStyle w:val="Tabletext"/>
              <w:rPr>
                <w:i/>
                <w:iCs/>
                <w:lang w:val="en-GB"/>
              </w:rPr>
            </w:pPr>
            <w:r w:rsidRPr="001B71F6">
              <w:rPr>
                <w:i/>
                <w:iCs/>
                <w:lang w:val="en-GB"/>
              </w:rPr>
              <w:t xml:space="preserve">4.1. The Report must describe and assess the likely direct, </w:t>
            </w:r>
            <w:r w:rsidR="00256283" w:rsidRPr="001B71F6">
              <w:rPr>
                <w:i/>
                <w:iCs/>
                <w:lang w:val="en-GB"/>
              </w:rPr>
              <w:t>indirect,</w:t>
            </w:r>
            <w:r w:rsidRPr="001B71F6">
              <w:rPr>
                <w:i/>
                <w:iCs/>
                <w:lang w:val="en-GB"/>
              </w:rPr>
              <w:t xml:space="preserve"> and cumulative impacts of actions taken under the Plan on all relevant protected matters. This must include, but not necessarily be limited to, an assessment of impacts of clearing, disturbance and fragmentation</w:t>
            </w:r>
          </w:p>
          <w:p w14:paraId="0D2F5DF1" w14:textId="77777777" w:rsidR="00FF6F90" w:rsidRPr="001B71F6" w:rsidRDefault="00FF6F90" w:rsidP="001B71F6">
            <w:pPr>
              <w:pStyle w:val="Tabletext"/>
              <w:rPr>
                <w:i/>
                <w:iCs/>
                <w:lang w:val="en-GB"/>
              </w:rPr>
            </w:pPr>
            <w:r>
              <w:rPr>
                <w:i/>
                <w:iCs/>
                <w:lang w:val="en-GB"/>
              </w:rPr>
              <w:t>…</w:t>
            </w:r>
          </w:p>
          <w:p w14:paraId="6D339AA0" w14:textId="77777777" w:rsidR="00FF6F90" w:rsidRPr="001B71F6" w:rsidRDefault="00FF6F90" w:rsidP="001B71F6">
            <w:pPr>
              <w:pStyle w:val="Tabletext"/>
              <w:rPr>
                <w:i/>
                <w:iCs/>
                <w:lang w:val="en-GB"/>
              </w:rPr>
            </w:pPr>
            <w:r w:rsidRPr="001B71F6">
              <w:rPr>
                <w:i/>
                <w:iCs/>
                <w:lang w:val="en-GB"/>
              </w:rPr>
              <w:t>4.4. The Report must include analysis of:</w:t>
            </w:r>
          </w:p>
          <w:p w14:paraId="6FBFCF2D" w14:textId="77777777" w:rsidR="00FF6F90" w:rsidRPr="001B71F6" w:rsidRDefault="00FF6F90" w:rsidP="001B71F6">
            <w:pPr>
              <w:pStyle w:val="Tabletext"/>
              <w:ind w:left="602"/>
              <w:rPr>
                <w:i/>
                <w:iCs/>
                <w:lang w:val="en-GB"/>
              </w:rPr>
            </w:pPr>
            <w:r w:rsidRPr="001B71F6">
              <w:rPr>
                <w:i/>
                <w:iCs/>
                <w:lang w:val="en-GB"/>
              </w:rPr>
              <w:t>…</w:t>
            </w:r>
          </w:p>
          <w:p w14:paraId="2C7BF6A6" w14:textId="548087F0" w:rsidR="00FF6F90" w:rsidRPr="001B71F6" w:rsidRDefault="00FF6F90" w:rsidP="001B71F6">
            <w:pPr>
              <w:pStyle w:val="Tabletext"/>
              <w:ind w:left="602"/>
              <w:rPr>
                <w:i/>
                <w:iCs/>
                <w:lang w:val="en-GB"/>
              </w:rPr>
            </w:pPr>
            <w:r w:rsidRPr="001B71F6">
              <w:rPr>
                <w:i/>
                <w:iCs/>
                <w:lang w:val="en-GB"/>
              </w:rPr>
              <w:t xml:space="preserve">b) the duration, </w:t>
            </w:r>
            <w:r w:rsidR="00256283" w:rsidRPr="001B71F6">
              <w:rPr>
                <w:i/>
                <w:iCs/>
                <w:lang w:val="en-GB"/>
              </w:rPr>
              <w:t>extent,</w:t>
            </w:r>
            <w:r w:rsidRPr="001B71F6">
              <w:rPr>
                <w:i/>
                <w:iCs/>
                <w:lang w:val="en-GB"/>
              </w:rPr>
              <w:t xml:space="preserve"> and likely severity of the impacts</w:t>
            </w:r>
          </w:p>
          <w:p w14:paraId="2AB1F72D" w14:textId="77777777" w:rsidR="00FF6F90" w:rsidRPr="001B71F6" w:rsidRDefault="00FF6F90" w:rsidP="001B71F6">
            <w:pPr>
              <w:pStyle w:val="Tabletext"/>
              <w:ind w:left="602"/>
              <w:rPr>
                <w:i/>
                <w:iCs/>
                <w:lang w:val="en-GB"/>
              </w:rPr>
            </w:pPr>
            <w:r w:rsidRPr="001B71F6">
              <w:rPr>
                <w:i/>
                <w:iCs/>
                <w:lang w:val="en-GB"/>
              </w:rPr>
              <w:t>c) the mitigation measures that will be implemented and their likely effectiveness to reduce impacts on the protected matters…</w:t>
            </w:r>
          </w:p>
          <w:p w14:paraId="08644E05" w14:textId="77777777" w:rsidR="00FF6F90" w:rsidRPr="001B71F6" w:rsidRDefault="00FF6F90" w:rsidP="001B71F6">
            <w:pPr>
              <w:pStyle w:val="Tabletext"/>
              <w:rPr>
                <w:i/>
                <w:iCs/>
                <w:lang w:val="en-GB"/>
              </w:rPr>
            </w:pPr>
            <w:r w:rsidRPr="001B71F6">
              <w:rPr>
                <w:i/>
                <w:iCs/>
                <w:lang w:val="en-GB"/>
              </w:rPr>
              <w:t>…</w:t>
            </w:r>
          </w:p>
          <w:p w14:paraId="0B11D309" w14:textId="77777777" w:rsidR="00FF6F90" w:rsidRPr="001B71F6" w:rsidRDefault="00FF6F90" w:rsidP="001B71F6">
            <w:pPr>
              <w:pStyle w:val="Tabletext"/>
              <w:rPr>
                <w:i/>
                <w:iCs/>
                <w:lang w:val="en-GB"/>
              </w:rPr>
            </w:pPr>
            <w:r w:rsidRPr="001B71F6">
              <w:rPr>
                <w:i/>
                <w:iCs/>
                <w:lang w:val="en-GB"/>
              </w:rPr>
              <w:t>4.6. The Report must consider the extent to which the impacts on relevant protected matters of actions proposed under the Plan would be consistent with the EPBC Act, including but not limited to:</w:t>
            </w:r>
          </w:p>
          <w:p w14:paraId="45D9C31B" w14:textId="77777777" w:rsidR="00FF6F90" w:rsidRPr="001B71F6" w:rsidRDefault="00FF6F90" w:rsidP="001B71F6">
            <w:pPr>
              <w:pStyle w:val="Tabletext"/>
              <w:ind w:left="602"/>
              <w:rPr>
                <w:i/>
                <w:iCs/>
                <w:lang w:val="en-GB"/>
              </w:rPr>
            </w:pPr>
            <w:r w:rsidRPr="001B71F6">
              <w:rPr>
                <w:i/>
                <w:iCs/>
                <w:lang w:val="en-GB"/>
              </w:rPr>
              <w:t>…</w:t>
            </w:r>
          </w:p>
          <w:p w14:paraId="4E1EBD8C" w14:textId="77777777" w:rsidR="00FF6F90" w:rsidRPr="001B71F6" w:rsidRDefault="00FF6F90" w:rsidP="001B71F6">
            <w:pPr>
              <w:pStyle w:val="Tabletext"/>
              <w:ind w:left="602"/>
              <w:rPr>
                <w:i/>
                <w:iCs/>
                <w:lang w:val="en-GB"/>
              </w:rPr>
            </w:pPr>
            <w:r w:rsidRPr="001B71F6">
              <w:rPr>
                <w:i/>
                <w:iCs/>
                <w:lang w:val="en-GB"/>
              </w:rPr>
              <w:t>b) how approving a class of actions to be taken in accordance with the Plan would not be inconsistent with recovery plans and threat abatement plans (section 146K(2) of the EPBC Act)</w:t>
            </w:r>
          </w:p>
          <w:p w14:paraId="0C5A7C6E" w14:textId="77777777" w:rsidR="00FF6F90" w:rsidRPr="007E2CDC" w:rsidRDefault="00FF6F90" w:rsidP="001B71F6">
            <w:pPr>
              <w:pStyle w:val="Tabletext"/>
              <w:ind w:left="602"/>
              <w:rPr>
                <w:highlight w:val="yellow"/>
              </w:rPr>
            </w:pPr>
            <w:r w:rsidRPr="001B71F6">
              <w:rPr>
                <w:i/>
                <w:iCs/>
                <w:lang w:val="en-GB"/>
              </w:rPr>
              <w:t>c) how regard has been and will be given to relevant information in conservation advices (section 146K(3) of the EPBC Act), threat abatement plans and recovery plans</w:t>
            </w:r>
          </w:p>
        </w:tc>
      </w:tr>
    </w:tbl>
    <w:p w14:paraId="4C8E5D46" w14:textId="77777777" w:rsidR="00FF6F90" w:rsidRDefault="00FF6F90" w:rsidP="001B6C1A">
      <w:r>
        <w:t xml:space="preserve">The relevant potential impacts considered in this chapter have been identified and described in the assessment approach in </w:t>
      </w:r>
      <w:r w:rsidRPr="00B66932">
        <w:t>Chapter 11</w:t>
      </w:r>
      <w:r w:rsidRPr="00DA4E35">
        <w:t xml:space="preserve"> of </w:t>
      </w:r>
      <w:r w:rsidRPr="00B66932">
        <w:t>Part 3</w:t>
      </w:r>
      <w:r>
        <w:t xml:space="preserve"> and include:</w:t>
      </w:r>
    </w:p>
    <w:p w14:paraId="0C9D34A7" w14:textId="77777777" w:rsidR="00FF6F90" w:rsidRDefault="00FF6F90" w:rsidP="00F5135E">
      <w:pPr>
        <w:pStyle w:val="Bullet1"/>
      </w:pPr>
      <w:r>
        <w:t>Changes to water flows and quality</w:t>
      </w:r>
    </w:p>
    <w:p w14:paraId="05F9A591" w14:textId="77777777" w:rsidR="00FF6F90" w:rsidRDefault="00FF6F90" w:rsidP="00F5135E">
      <w:pPr>
        <w:pStyle w:val="Bullet1"/>
      </w:pPr>
      <w:r>
        <w:t>Spread of infection and disease</w:t>
      </w:r>
    </w:p>
    <w:p w14:paraId="5551564F" w14:textId="77777777" w:rsidR="00FF6F90" w:rsidRDefault="00FF6F90" w:rsidP="00F5135E">
      <w:pPr>
        <w:pStyle w:val="Bullet1"/>
      </w:pPr>
      <w:r>
        <w:t>Spread of weeds</w:t>
      </w:r>
    </w:p>
    <w:p w14:paraId="2C68FC1A" w14:textId="77777777" w:rsidR="00FF6F90" w:rsidRDefault="00FF6F90" w:rsidP="00F5135E">
      <w:pPr>
        <w:pStyle w:val="Bullet1"/>
      </w:pPr>
      <w:r w:rsidRPr="00541B75">
        <w:t>Predation/ competition by pest/domestic fauna</w:t>
      </w:r>
    </w:p>
    <w:p w14:paraId="529C3E65" w14:textId="77777777" w:rsidR="00FF6F90" w:rsidRDefault="00FF6F90" w:rsidP="00F5135E">
      <w:pPr>
        <w:pStyle w:val="Bullet1"/>
      </w:pPr>
      <w:r>
        <w:t>Altered fire regimes</w:t>
      </w:r>
    </w:p>
    <w:p w14:paraId="4F12976F" w14:textId="77777777" w:rsidR="00FF6F90" w:rsidRDefault="00FF6F90" w:rsidP="00F5135E">
      <w:pPr>
        <w:pStyle w:val="Bullet1"/>
      </w:pPr>
      <w:r w:rsidRPr="00541B75">
        <w:t>Disturbance from increased public access to natural areas</w:t>
      </w:r>
    </w:p>
    <w:p w14:paraId="17486900" w14:textId="77777777" w:rsidR="00FF6F90" w:rsidRDefault="00FF6F90" w:rsidP="00F5135E">
      <w:pPr>
        <w:pStyle w:val="Bullet1"/>
      </w:pPr>
      <w:r>
        <w:t>Fauna mortality and barriers to movement</w:t>
      </w:r>
    </w:p>
    <w:p w14:paraId="4FF0D926" w14:textId="77777777" w:rsidR="00FF6F90" w:rsidRDefault="00FF6F90" w:rsidP="00F5135E">
      <w:pPr>
        <w:pStyle w:val="Bullet1"/>
      </w:pPr>
      <w:r>
        <w:t>Disturbance due to noise, dust or light</w:t>
      </w:r>
    </w:p>
    <w:p w14:paraId="65C770D4" w14:textId="77777777" w:rsidR="00FF6F90" w:rsidRDefault="00FF6F90" w:rsidP="00F5135E">
      <w:pPr>
        <w:pStyle w:val="Bullet1"/>
      </w:pPr>
      <w:r w:rsidRPr="00541B75">
        <w:t>Inadvertent impacts on adjacent habitat or vegetation</w:t>
      </w:r>
    </w:p>
    <w:p w14:paraId="2F404FAE" w14:textId="77777777" w:rsidR="00FF6F90" w:rsidRDefault="00FF6F90" w:rsidP="007F4BBA">
      <w:r w:rsidRPr="00DA4E35">
        <w:t xml:space="preserve">This chapter also describes the relevant Threat Abatement Plans (TAPs) to the Plan (also identified in </w:t>
      </w:r>
      <w:r w:rsidRPr="00B66932">
        <w:t>Chapter 11</w:t>
      </w:r>
      <w:r w:rsidRPr="00DA4E35">
        <w:t xml:space="preserve"> of </w:t>
      </w:r>
      <w:r w:rsidRPr="00B66932">
        <w:t>Part 3</w:t>
      </w:r>
      <w:r w:rsidRPr="00DA4E35">
        <w:t>),</w:t>
      </w:r>
      <w:r>
        <w:t xml:space="preserve"> and assesses:</w:t>
      </w:r>
    </w:p>
    <w:p w14:paraId="513D97CF" w14:textId="77777777" w:rsidR="00FF6F90" w:rsidRDefault="00FF6F90" w:rsidP="007F4BBA">
      <w:pPr>
        <w:pStyle w:val="Bullet1"/>
      </w:pPr>
      <w:r>
        <w:t>Whether the Plan is not inconsistent with each TAP</w:t>
      </w:r>
    </w:p>
    <w:p w14:paraId="42F5B29F" w14:textId="77777777" w:rsidR="00FF6F90" w:rsidRPr="0020082E" w:rsidRDefault="00FF6F90" w:rsidP="007F4BBA">
      <w:pPr>
        <w:pStyle w:val="Bullet1"/>
      </w:pPr>
      <w:r w:rsidRPr="0020082E">
        <w:t>How regard has been given to information in each TAP</w:t>
      </w:r>
    </w:p>
    <w:p w14:paraId="66D2501B" w14:textId="77777777" w:rsidR="00FF6F90" w:rsidRDefault="00FF6F90" w:rsidP="001B6C1A">
      <w:r>
        <w:t xml:space="preserve">It is noted that detailed assessments of indirect impacts on specific protected matters is contained later within this Part, with threatened species assessed in </w:t>
      </w:r>
      <w:r w:rsidRPr="00B66932">
        <w:t>Chapters 19 and 20</w:t>
      </w:r>
      <w:r w:rsidRPr="00DA4E35">
        <w:t xml:space="preserve">, Threatened Ecological Communities assessed in </w:t>
      </w:r>
      <w:r w:rsidRPr="00B66932">
        <w:t>Chapter 21</w:t>
      </w:r>
      <w:r w:rsidRPr="00DA4E35">
        <w:t xml:space="preserve">, </w:t>
      </w:r>
      <w:r w:rsidRPr="00DA4E35">
        <w:lastRenderedPageBreak/>
        <w:t xml:space="preserve">Ramsar wetlands assessed in </w:t>
      </w:r>
      <w:r w:rsidRPr="00B66932">
        <w:t>Chapter 22</w:t>
      </w:r>
      <w:r>
        <w:t>,</w:t>
      </w:r>
      <w:r w:rsidRPr="00DA4E35">
        <w:t xml:space="preserve"> migratory species assessed in </w:t>
      </w:r>
      <w:r w:rsidRPr="00B66932">
        <w:t>Chapter 23</w:t>
      </w:r>
      <w:r>
        <w:t xml:space="preserve"> and species listed on the FPAL list in Chapter 24</w:t>
      </w:r>
      <w:r w:rsidRPr="00B66932">
        <w:t>.</w:t>
      </w:r>
    </w:p>
    <w:p w14:paraId="2D580D8D" w14:textId="77777777" w:rsidR="00FF6F90" w:rsidRDefault="00FF6F90" w:rsidP="007119DA">
      <w:pPr>
        <w:pStyle w:val="Heading3"/>
      </w:pPr>
      <w:r>
        <w:t>Purpose</w:t>
      </w:r>
    </w:p>
    <w:p w14:paraId="260CA9B9" w14:textId="77777777" w:rsidR="00FF6F90" w:rsidRDefault="00FF6F90" w:rsidP="00DE2824">
      <w:r>
        <w:t>The purpose of this chapter is to:</w:t>
      </w:r>
    </w:p>
    <w:p w14:paraId="4ED7ED55" w14:textId="77777777" w:rsidR="00FF6F90" w:rsidRPr="006B64DB" w:rsidRDefault="00FF6F90" w:rsidP="006A0178">
      <w:pPr>
        <w:pStyle w:val="Bullet1"/>
      </w:pPr>
      <w:r>
        <w:t xml:space="preserve">Describe how development under the Plan has the potential to introduce or exacerbate each indirect impact. This analysis takes into account the context and existing threatening processes in the Strategic Assessment Area and wider Study Area. As part of this step, </w:t>
      </w:r>
      <w:r w:rsidRPr="004155F7">
        <w:t>the nature, extent, and duration of each indirect impact type</w:t>
      </w:r>
      <w:r>
        <w:t xml:space="preserve"> has been described</w:t>
      </w:r>
      <w:r w:rsidRPr="004155F7">
        <w:t>. This involved:</w:t>
      </w:r>
    </w:p>
    <w:p w14:paraId="4CB8A886" w14:textId="77777777" w:rsidR="00FF6F90" w:rsidRPr="004155F7" w:rsidRDefault="00FF6F90" w:rsidP="006A0178">
      <w:pPr>
        <w:pStyle w:val="Bullet2"/>
      </w:pPr>
      <w:r w:rsidRPr="004155F7">
        <w:t>Nature of impacts – qualitatively describ</w:t>
      </w:r>
      <w:r>
        <w:t>ing</w:t>
      </w:r>
      <w:r w:rsidRPr="004155F7">
        <w:t xml:space="preserve"> each indirect impact type, including cause and scope of the impact</w:t>
      </w:r>
    </w:p>
    <w:p w14:paraId="632603EE" w14:textId="77777777" w:rsidR="00FF6F90" w:rsidRPr="004155F7" w:rsidRDefault="00FF6F90" w:rsidP="006A0178">
      <w:pPr>
        <w:pStyle w:val="Bullet2"/>
      </w:pPr>
      <w:r w:rsidRPr="004155F7">
        <w:t>Extent of impacts – identify</w:t>
      </w:r>
      <w:r>
        <w:t>ing</w:t>
      </w:r>
      <w:r w:rsidRPr="004155F7">
        <w:t xml:space="preserve"> the general location and extent of indirect impacts</w:t>
      </w:r>
    </w:p>
    <w:p w14:paraId="4471A6D7" w14:textId="77777777" w:rsidR="00FF6F90" w:rsidRPr="004155F7" w:rsidRDefault="00FF6F90" w:rsidP="006A0178">
      <w:pPr>
        <w:pStyle w:val="Bullet2"/>
      </w:pPr>
      <w:r w:rsidRPr="004155F7">
        <w:t>Duration – identify</w:t>
      </w:r>
      <w:r>
        <w:t>ing</w:t>
      </w:r>
      <w:r w:rsidRPr="004155F7">
        <w:t xml:space="preserve"> whether the impacts are short-term or long-term</w:t>
      </w:r>
    </w:p>
    <w:p w14:paraId="571A56BA" w14:textId="77777777" w:rsidR="00FF6F90" w:rsidRDefault="00FF6F90" w:rsidP="006A0178">
      <w:pPr>
        <w:pStyle w:val="Bullet1"/>
      </w:pPr>
      <w:r w:rsidRPr="006B671E">
        <w:t xml:space="preserve">Identify the types of protected matters </w:t>
      </w:r>
      <w:r>
        <w:t xml:space="preserve">and associated values </w:t>
      </w:r>
      <w:r w:rsidRPr="006B671E">
        <w:t>likely to be affected by each indirect impact within and surrounding the Strategic Assessment Area</w:t>
      </w:r>
    </w:p>
    <w:p w14:paraId="287E087F" w14:textId="77777777" w:rsidR="00FF6F90" w:rsidRDefault="00FF6F90" w:rsidP="006A0178">
      <w:pPr>
        <w:pStyle w:val="Bullet1"/>
      </w:pPr>
      <w:r w:rsidRPr="00650339">
        <w:t xml:space="preserve">Describe the standard mitigation measures and processes that will be implemented through the </w:t>
      </w:r>
      <w:r>
        <w:t xml:space="preserve">existing </w:t>
      </w:r>
      <w:r w:rsidRPr="00650339">
        <w:t>Victorian planning system and the Geelong Planning Scheme to mitigate</w:t>
      </w:r>
      <w:r>
        <w:t xml:space="preserve"> the</w:t>
      </w:r>
      <w:r w:rsidRPr="00650339">
        <w:t xml:space="preserve"> indirect impacts</w:t>
      </w:r>
    </w:p>
    <w:p w14:paraId="0618AB55" w14:textId="77777777" w:rsidR="00FF6F90" w:rsidRDefault="00FF6F90" w:rsidP="006A0178">
      <w:pPr>
        <w:pStyle w:val="Bullet1"/>
      </w:pPr>
      <w:r>
        <w:t>Describe the additional, specific mitigation measures provided for under the Plan to address particular vulnerabilities or risks to MNES from indirect impacts</w:t>
      </w:r>
    </w:p>
    <w:p w14:paraId="7B71A262" w14:textId="77777777" w:rsidR="00FF6F90" w:rsidRDefault="00FF6F90" w:rsidP="00FB12E3">
      <w:r w:rsidRPr="00C92E24">
        <w:t xml:space="preserve">This </w:t>
      </w:r>
      <w:r>
        <w:t xml:space="preserve">information has enabled an evaluation of the adequacy of mitigation in appropriately addressing risks from indirect impacts on MNES as part of the detailed assessments for relevant matters presented in </w:t>
      </w:r>
      <w:r w:rsidRPr="00B66932">
        <w:t>Chapters 19-24</w:t>
      </w:r>
      <w:r w:rsidRPr="00DA4E35">
        <w:t>.</w:t>
      </w:r>
    </w:p>
    <w:p w14:paraId="516F86E2" w14:textId="77777777" w:rsidR="00FF6F90" w:rsidRDefault="00FF6F90" w:rsidP="001B6C1A">
      <w:pPr>
        <w:pStyle w:val="Heading2"/>
      </w:pPr>
      <w:bookmarkStart w:id="22" w:name="_Toc134706945"/>
      <w:r>
        <w:t>Analysis of indirect impacts</w:t>
      </w:r>
      <w:bookmarkEnd w:id="22"/>
    </w:p>
    <w:p w14:paraId="3E965A8D" w14:textId="77777777" w:rsidR="00FF6F90" w:rsidRDefault="00FF6F90" w:rsidP="001B6C1A">
      <w:pPr>
        <w:pStyle w:val="Heading3"/>
      </w:pPr>
      <w:r>
        <w:t>Changes to water flows and quality</w:t>
      </w:r>
    </w:p>
    <w:p w14:paraId="291CB3E2" w14:textId="77777777" w:rsidR="00FF6F90" w:rsidRDefault="00FF6F90" w:rsidP="001B6C1A">
      <w:pPr>
        <w:pStyle w:val="Heading4"/>
      </w:pPr>
      <w:r>
        <w:t>Nature of existing threat in region</w:t>
      </w:r>
    </w:p>
    <w:p w14:paraId="4D2DA4B7" w14:textId="6C6CC355" w:rsidR="00FF6F90" w:rsidRDefault="00FF6F90" w:rsidP="001B6C1A">
      <w:r>
        <w:t>There are several aquatic systems within the Study Area which are downstream of the Growth Areas, including Cowies Creek</w:t>
      </w:r>
      <w:r w:rsidR="00114953">
        <w:t xml:space="preserve">, </w:t>
      </w:r>
      <w:r>
        <w:t>Hovells Creek and the Moorabool River (which discharges into the Barwon River and then the Lake Connewarre Complex).</w:t>
      </w:r>
    </w:p>
    <w:p w14:paraId="6B14E27C" w14:textId="259EBA10" w:rsidR="00FF6F90" w:rsidRDefault="00081862" w:rsidP="001B6C1A">
      <w:r>
        <w:t>These</w:t>
      </w:r>
      <w:r w:rsidR="00114953">
        <w:t xml:space="preserve"> systems provide some important ecological processes and functions. For instance, by supporting habitat for a number of threatened species or </w:t>
      </w:r>
      <w:r>
        <w:t>as tributaries</w:t>
      </w:r>
      <w:r w:rsidR="00114953">
        <w:t xml:space="preserve"> into internationally significant wetland areas. However, all </w:t>
      </w:r>
      <w:r w:rsidR="00FF6F90">
        <w:t xml:space="preserve">of these systems </w:t>
      </w:r>
      <w:r>
        <w:t xml:space="preserve">also </w:t>
      </w:r>
      <w:r w:rsidR="00FF6F90">
        <w:t xml:space="preserve">have substantial existing degradation. In 2010, the state-wide Index of Stream Condition found that Hovells Creek, the Moorabool River and the Barwon River were in ‘very poor’ environmental condition (the lowest environmental condition category in the rating system) </w:t>
      </w:r>
      <w:sdt>
        <w:sdtPr>
          <w:rPr>
            <w:color w:val="000000"/>
          </w:rPr>
          <w:tag w:val="MENDELEY_CITATION_v3_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"/>
          <w:id w:val="-1074576124"/>
          <w:placeholder>
            <w:docPart w:val="DefaultPlaceholder_-1854013440"/>
          </w:placeholder>
        </w:sdtPr>
        <w:sdtContent>
          <w:r w:rsidR="007E7CCC" w:rsidRPr="007E7CCC">
            <w:rPr>
              <w:color w:val="000000"/>
            </w:rPr>
            <w:t>(Corangamite CMA, 2014)</w:t>
          </w:r>
        </w:sdtContent>
      </w:sdt>
      <w:r w:rsidR="00FF6F90">
        <w:t xml:space="preserve">. Contributors to the poor condition of these waterways include agricultural and urban development within the catchments. Cowies Creek is also </w:t>
      </w:r>
      <w:r w:rsidR="001A3D96">
        <w:t>subject to</w:t>
      </w:r>
      <w:r w:rsidR="00FF6F90">
        <w:t xml:space="preserve"> substantial agricultural and urban development within its catchment.</w:t>
      </w:r>
    </w:p>
    <w:p w14:paraId="1B419F5E" w14:textId="77777777" w:rsidR="00FF6F90" w:rsidRDefault="00FF6F90" w:rsidP="001B6C1A">
      <w:pPr>
        <w:pStyle w:val="Heading4"/>
      </w:pPr>
      <w:r>
        <w:t>Potential impact pathways associated with development under the Plan and identification of matters or areas of concern</w:t>
      </w:r>
    </w:p>
    <w:p w14:paraId="3F8B976A" w14:textId="77777777" w:rsidR="00FF6F90" w:rsidRDefault="00FF6F90" w:rsidP="001B6C1A">
      <w:r>
        <w:t xml:space="preserve">The Plan has the potential to negatively impact upon aquatic environmental values through altering runoff volumes, timing, and water quality due to development. These impacts are likely to occur during both the short-term construction and long-term operational phases of development. </w:t>
      </w:r>
    </w:p>
    <w:p w14:paraId="693C952C" w14:textId="77777777" w:rsidR="00FF6F90" w:rsidRPr="0027424D" w:rsidRDefault="00FF6F90" w:rsidP="001B6C1A">
      <w:r>
        <w:t>Cowies Creek, Hovells Creek, the Moorabool River, and the Barwon River all support important and sensitive environmental values protected under the EPBC Act. Cowies Creek is located downstream of both Growth Areas and supports habitat for the EPBC-listed Growling Grass Frog and for Adamson’s Blown-grass. Hovells Creek drains into Limeburners Bay, which is part of the Port Phillip Bay (Western Shoreline) and Bellarine Peninsula Ramsar Site. The Moorabool River discharges into the Barwon River, which in turn discharges into the Lake Connewarre Complex, which is also part of the Ramsar site. The Ramsar site supports habitat for multiple threatened and migratory species protected under the EPBC Act.</w:t>
      </w:r>
    </w:p>
    <w:p w14:paraId="5433A6C1" w14:textId="77777777" w:rsidR="00FF6F90" w:rsidRDefault="00FF6F90" w:rsidP="001B6C1A">
      <w:pPr>
        <w:pStyle w:val="Heading4"/>
      </w:pPr>
      <w:r>
        <w:t>Existing standard mitigation measures</w:t>
      </w:r>
    </w:p>
    <w:p w14:paraId="5C9117EC" w14:textId="77777777" w:rsidR="00FF6F90" w:rsidRPr="00CF1E56" w:rsidRDefault="00FF6F90" w:rsidP="001B6C1A">
      <w:r w:rsidRPr="00CF1E56">
        <w:t xml:space="preserve">The planning system has existing measures in place to address changes to water flows and quality. </w:t>
      </w:r>
    </w:p>
    <w:p w14:paraId="454FA275" w14:textId="77777777" w:rsidR="00FF6F90" w:rsidRDefault="00FF6F90" w:rsidP="00B66932">
      <w:pPr>
        <w:keepNext/>
        <w:keepLines/>
      </w:pPr>
      <w:r>
        <w:lastRenderedPageBreak/>
        <w:t>The Geelong Planning Scheme includes requirements to:</w:t>
      </w:r>
    </w:p>
    <w:p w14:paraId="1B1847A9" w14:textId="77777777" w:rsidR="00FF6F90" w:rsidRDefault="00FF6F90" w:rsidP="001B6C1A">
      <w:pPr>
        <w:pStyle w:val="Bullet1"/>
      </w:pPr>
      <w:r>
        <w:t>Ensure land use on floodplains minimises the risk of waterway contamination during flooding (Clause 13.03-1S)</w:t>
      </w:r>
    </w:p>
    <w:p w14:paraId="0D81DA1E" w14:textId="77777777" w:rsidR="00FF6F90" w:rsidRDefault="00FF6F90" w:rsidP="001B6C1A">
      <w:pPr>
        <w:pStyle w:val="Bullet1"/>
      </w:pPr>
      <w:r>
        <w:t>Prevent inappropriate development in areas prone to erosion (Clause 13.04-1S)</w:t>
      </w:r>
    </w:p>
    <w:p w14:paraId="49995B75" w14:textId="77777777" w:rsidR="00FF6F90" w:rsidRDefault="00FF6F90" w:rsidP="001B6C1A">
      <w:pPr>
        <w:pStyle w:val="Bullet1"/>
      </w:pPr>
      <w:r>
        <w:t>R</w:t>
      </w:r>
      <w:r w:rsidRPr="00372B49">
        <w:t>etain natural drai</w:t>
      </w:r>
      <w:r>
        <w:t>nage corridors, minimise runoff volume from developed areas, filter sediment and waste from stormwater prior to discharge, ensure land use and development minimises nutrient contributions to runoff, and implement measures to minimise sediment discharge from construction sites</w:t>
      </w:r>
      <w:r w:rsidRPr="00372B49">
        <w:t xml:space="preserve"> (Clause 14.02-1S)</w:t>
      </w:r>
    </w:p>
    <w:p w14:paraId="1B5677F0" w14:textId="77777777" w:rsidR="00FF6F90" w:rsidRDefault="00FF6F90" w:rsidP="001B6C1A">
      <w:pPr>
        <w:pStyle w:val="Bullet1"/>
      </w:pPr>
      <w:r>
        <w:t>Minimise impacts to water quality through ensuring that land uses which have potential to produce contaminated runoff are appropriately sited and managed (Clause 14.02-2S)</w:t>
      </w:r>
    </w:p>
    <w:p w14:paraId="5F440342" w14:textId="77777777" w:rsidR="00FF6F90" w:rsidRDefault="00FF6F90" w:rsidP="001B6C1A">
      <w:pPr>
        <w:pStyle w:val="Bullet1"/>
      </w:pPr>
      <w:r>
        <w:t>Implement integrated water management to sustainably manage water supply and demand, water resources, wastewater, drainage, and stormwater</w:t>
      </w:r>
      <w:r w:rsidRPr="00372B49">
        <w:t xml:space="preserve"> (Clause 19.03-3S) </w:t>
      </w:r>
    </w:p>
    <w:p w14:paraId="4F3DE958" w14:textId="77777777" w:rsidR="00FF6F90" w:rsidRDefault="00FF6F90" w:rsidP="001B6C1A">
      <w:r>
        <w:t xml:space="preserve">The Geelong Planning Scheme also includes a range of requirements to ensure stormwater management meets appropriate </w:t>
      </w:r>
      <w:r w:rsidRPr="00372B49">
        <w:t xml:space="preserve">objectives and standards, including objectives for stormwater quality </w:t>
      </w:r>
      <w:r>
        <w:t>(for example, see Clause 53.18).</w:t>
      </w:r>
    </w:p>
    <w:p w14:paraId="152DC42A" w14:textId="77777777" w:rsidR="00FF6F90" w:rsidRDefault="00FF6F90" w:rsidP="001B6C1A">
      <w:r w:rsidRPr="00512176">
        <w:t>The Plan includes a commitment to continue to implement these standard mitigation measures to manage the indirect impacts of the development in accordance with the requirements of the Geelong Planning Scheme (</w:t>
      </w:r>
      <w:r w:rsidRPr="00B66932">
        <w:t xml:space="preserve">Commitment </w:t>
      </w:r>
      <w:r w:rsidRPr="00D50EDC">
        <w:t>7).</w:t>
      </w:r>
      <w:r w:rsidRPr="00512176">
        <w:t xml:space="preserve"> </w:t>
      </w:r>
    </w:p>
    <w:p w14:paraId="17CB4804" w14:textId="77777777" w:rsidR="00FF6F90" w:rsidRDefault="00FF6F90" w:rsidP="001B6C1A">
      <w:r w:rsidRPr="00372B49">
        <w:t>The NWGGA Framework Plan also includes various mitigation-related actions to address water flows and quality, including</w:t>
      </w:r>
      <w:r>
        <w:t xml:space="preserve"> implementation of</w:t>
      </w:r>
      <w:r w:rsidRPr="00372B49">
        <w:t xml:space="preserve"> riparian buffers</w:t>
      </w:r>
      <w:r>
        <w:t>,</w:t>
      </w:r>
      <w:r w:rsidRPr="00372B49">
        <w:t xml:space="preserve"> and the preparation of masterplans for Cowies Creek and Barwon and Moorabool rivers for integrated water management. </w:t>
      </w:r>
    </w:p>
    <w:p w14:paraId="6C96833D" w14:textId="77777777" w:rsidR="00FF6F90" w:rsidRDefault="00FF6F90" w:rsidP="001B6C1A">
      <w:pPr>
        <w:pStyle w:val="Heading4"/>
      </w:pPr>
      <w:r>
        <w:t>Additional measures to address indirect impacts to MNES</w:t>
      </w:r>
    </w:p>
    <w:p w14:paraId="6535A76E" w14:textId="77777777" w:rsidR="00FF6F90" w:rsidRDefault="00FF6F90" w:rsidP="001B6C1A">
      <w:r>
        <w:t>The existing standard mitigation measures minimise potential indirect impacts associated with altered water flows and quality. However, these measures are general in nature, and it is not well established whether they will adequately address the particular ecological characteristics or requirements of the downstream MNES values associated with these catchments.</w:t>
      </w:r>
    </w:p>
    <w:p w14:paraId="566512EE" w14:textId="5BBFCC00" w:rsidR="00FF6F90" w:rsidRDefault="00FF6F90" w:rsidP="001B6C1A">
      <w:r>
        <w:t xml:space="preserve">To address this, the Plan includes a specific </w:t>
      </w:r>
      <w:r w:rsidRPr="00D50EDC">
        <w:t>Commitment (</w:t>
      </w:r>
      <w:r w:rsidRPr="00B66932">
        <w:t xml:space="preserve">Commitment </w:t>
      </w:r>
      <w:r w:rsidR="00104355">
        <w:t>9</w:t>
      </w:r>
      <w:r w:rsidRPr="00D50EDC">
        <w:t>)</w:t>
      </w:r>
      <w:r>
        <w:t xml:space="preserve"> to</w:t>
      </w:r>
      <w:r w:rsidRPr="000221CA">
        <w:t xml:space="preserve"> minimise the indirect impacts of the development on protected matters</w:t>
      </w:r>
      <w:r>
        <w:t xml:space="preserve">. The measures relevant to water flow and quality that will be undertaken to deliver on this Commitment include: </w:t>
      </w:r>
    </w:p>
    <w:p w14:paraId="16C04B4F" w14:textId="22153D39" w:rsidR="00104355" w:rsidRDefault="00104355" w:rsidP="00104355">
      <w:pPr>
        <w:pStyle w:val="Bullet1"/>
      </w:pPr>
      <w:r>
        <w:t>Undertaking relevant technical studies to understand the key risks from development on protected matters associated with Hovells Creek and the Moorabool River. These studies will:</w:t>
      </w:r>
    </w:p>
    <w:p w14:paraId="110F090F" w14:textId="77777777" w:rsidR="00104355" w:rsidRDefault="00104355" w:rsidP="00104355">
      <w:pPr>
        <w:pStyle w:val="Bullet2"/>
      </w:pPr>
      <w:r>
        <w:t>Address potential risks associated with changes to water quality and hydrology as a result of development within the Growth Areas</w:t>
      </w:r>
    </w:p>
    <w:p w14:paraId="3A70A408" w14:textId="77777777" w:rsidR="00104355" w:rsidRDefault="00104355" w:rsidP="00104355">
      <w:pPr>
        <w:pStyle w:val="Bullet2"/>
      </w:pPr>
      <w:r>
        <w:t>Identify appropriate measures, standards or targets to avoid and minimise adverse impacts on protected matters including, as relevant:</w:t>
      </w:r>
    </w:p>
    <w:p w14:paraId="34747901" w14:textId="77777777" w:rsidR="00104355" w:rsidRDefault="00104355" w:rsidP="00104355">
      <w:pPr>
        <w:pStyle w:val="Bullet2"/>
      </w:pPr>
      <w:r>
        <w:t>Water quality parameters</w:t>
      </w:r>
    </w:p>
    <w:p w14:paraId="6242576D" w14:textId="77777777" w:rsidR="00104355" w:rsidRDefault="00104355" w:rsidP="00104355">
      <w:pPr>
        <w:pStyle w:val="Bullet2"/>
      </w:pPr>
      <w:r>
        <w:t>Water retention and flow management requirements</w:t>
      </w:r>
    </w:p>
    <w:p w14:paraId="1C71455D" w14:textId="77777777" w:rsidR="00104355" w:rsidRDefault="00104355" w:rsidP="00104355">
      <w:pPr>
        <w:pStyle w:val="Bullet2"/>
      </w:pPr>
      <w:r>
        <w:t>Limits on extraction or use</w:t>
      </w:r>
    </w:p>
    <w:p w14:paraId="3FC8137A" w14:textId="77777777" w:rsidR="00104355" w:rsidRDefault="00104355" w:rsidP="00104355">
      <w:pPr>
        <w:pStyle w:val="Bullet2"/>
      </w:pPr>
      <w:r>
        <w:t xml:space="preserve">Habitat buffer requirements </w:t>
      </w:r>
    </w:p>
    <w:p w14:paraId="0BF696C9" w14:textId="725AAEA8" w:rsidR="00104355" w:rsidRDefault="00104355" w:rsidP="00104355">
      <w:pPr>
        <w:pStyle w:val="Bullet2"/>
      </w:pPr>
      <w:r>
        <w:t>Monitoring and reporting</w:t>
      </w:r>
    </w:p>
    <w:p w14:paraId="0E473B32" w14:textId="7147611E" w:rsidR="00104355" w:rsidRDefault="00104355" w:rsidP="001B6C1A">
      <w:pPr>
        <w:pStyle w:val="Bullet1"/>
      </w:pPr>
      <w:r w:rsidRPr="00104355">
        <w:t>Prepar</w:t>
      </w:r>
      <w:r>
        <w:t>ing</w:t>
      </w:r>
      <w:r w:rsidRPr="00104355">
        <w:t xml:space="preserve"> guidelines based on the results of the technical studies to guide the preparation of PSPs and decisions on planning permits and permit conditions to ensure risks to protected matters in relation to indirect and downstream impacts are adequately managed</w:t>
      </w:r>
    </w:p>
    <w:p w14:paraId="072F6BDC" w14:textId="5E1B81BF" w:rsidR="00104355" w:rsidRDefault="00104355" w:rsidP="001B6C1A">
      <w:pPr>
        <w:pStyle w:val="Bullet1"/>
      </w:pPr>
      <w:r w:rsidRPr="00104355">
        <w:t>Undertak</w:t>
      </w:r>
      <w:r>
        <w:t>ing</w:t>
      </w:r>
      <w:r w:rsidRPr="00104355">
        <w:t xml:space="preserve"> a planning scheme amendment or other appropriate process to ensure the guidelines are considered during the preparation of PSPs and in decisions on planning permits and permit conditions</w:t>
      </w:r>
    </w:p>
    <w:p w14:paraId="112A7468" w14:textId="3D3A3624" w:rsidR="00104355" w:rsidRDefault="00104355" w:rsidP="00104355">
      <w:r>
        <w:t>The Commitment (Commitment 9) will be implemented prior to the preparation of PSPs for the relevant precincts.</w:t>
      </w:r>
    </w:p>
    <w:p w14:paraId="49709C8E" w14:textId="77777777" w:rsidR="00FF6F90" w:rsidRDefault="00FF6F90" w:rsidP="006957A9">
      <w:pPr>
        <w:pStyle w:val="Heading3"/>
      </w:pPr>
      <w:r>
        <w:lastRenderedPageBreak/>
        <w:t>Spread of infection/</w:t>
      </w:r>
      <w:r w:rsidRPr="006957A9">
        <w:t>disease</w:t>
      </w:r>
    </w:p>
    <w:p w14:paraId="0032DDD7" w14:textId="77777777" w:rsidR="00FF6F90" w:rsidRDefault="00FF6F90" w:rsidP="006957A9">
      <w:pPr>
        <w:pStyle w:val="Heading4"/>
      </w:pPr>
      <w:r>
        <w:t>Nature of existing threat in region</w:t>
      </w:r>
    </w:p>
    <w:p w14:paraId="3A7523F3" w14:textId="73839467" w:rsidR="00FF6F90" w:rsidRDefault="00FF6F90" w:rsidP="00DD2A1C">
      <w:r>
        <w:t xml:space="preserve">The Plan has the potential to increase the spread of infection and disease through development </w:t>
      </w:r>
      <w:sdt>
        <w:sdtPr>
          <w:rPr>
            <w:color w:val="000000"/>
          </w:rPr>
          <w:tag w:val="MENDELEY_CITATION_v3_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"/>
          <w:id w:val="-1353189402"/>
          <w:placeholder>
            <w:docPart w:val="DefaultPlaceholder_-1854013440"/>
          </w:placeholder>
        </w:sdtPr>
        <w:sdtContent>
          <w:r w:rsidR="007E7CCC" w:rsidRPr="007E7CCC">
            <w:rPr>
              <w:color w:val="000000"/>
            </w:rPr>
            <w:t>(Bradley and Altizer, 2007)</w:t>
          </w:r>
        </w:sdtContent>
      </w:sdt>
      <w:r>
        <w:t>.</w:t>
      </w:r>
      <w:r w:rsidRPr="00DD2A1C">
        <w:t xml:space="preserve"> </w:t>
      </w:r>
      <w:r>
        <w:t xml:space="preserve">These impacts are likely to occur during both the short-term construction and long-term operational phases of development. </w:t>
      </w:r>
    </w:p>
    <w:p w14:paraId="3AF0E683" w14:textId="77777777" w:rsidR="00FF6F90" w:rsidRDefault="00FF6F90" w:rsidP="001B6C1A">
      <w:r>
        <w:t xml:space="preserve">It is possible that there is already a high prevalence of environmental diseases within the region, given existing development within the Geelong locality. </w:t>
      </w:r>
    </w:p>
    <w:p w14:paraId="46C81185" w14:textId="77777777" w:rsidR="00FF6F90" w:rsidRDefault="00FF6F90" w:rsidP="001B6C1A">
      <w:r>
        <w:t>An assessment has been conducted to identify the Category 1 protected matters within the Geelong locality which are threatened by disease, and to identify the relevant diseases. This assessment has identified the following relevant diseases:</w:t>
      </w:r>
    </w:p>
    <w:p w14:paraId="045504AB" w14:textId="77777777" w:rsidR="00FF6F90" w:rsidRDefault="00FF6F90" w:rsidP="001B6C1A">
      <w:pPr>
        <w:pStyle w:val="Bullet1"/>
      </w:pPr>
      <w:r>
        <w:t>Chytridiomycosis – affecting the Growling Grass Frog</w:t>
      </w:r>
    </w:p>
    <w:p w14:paraId="4CA0D66F" w14:textId="77777777" w:rsidR="00FF6F90" w:rsidRDefault="00FF6F90" w:rsidP="001B6C1A">
      <w:pPr>
        <w:pStyle w:val="Bullet1"/>
      </w:pPr>
      <w:r>
        <w:t>PBFD – affecting the Orange-bellied Parrot and Blue-winged Parrot</w:t>
      </w:r>
    </w:p>
    <w:p w14:paraId="514F30A6" w14:textId="77777777" w:rsidR="00FF6F90" w:rsidRDefault="00FF6F90" w:rsidP="001B6C1A">
      <w:pPr>
        <w:pStyle w:val="Bullet1"/>
      </w:pPr>
      <w:r>
        <w:t>Avian influenza virus – affecting the Red Knot and Great Knot</w:t>
      </w:r>
    </w:p>
    <w:p w14:paraId="660A1F5A" w14:textId="77777777" w:rsidR="00FF6F90" w:rsidRDefault="00FF6F90" w:rsidP="001B6C1A">
      <w:pPr>
        <w:pStyle w:val="Bullet1"/>
      </w:pPr>
      <w:r>
        <w:t>Various aquatic pathogens, including parasites, viruses and fungi – affecting the Australian Grayling</w:t>
      </w:r>
    </w:p>
    <w:p w14:paraId="2D61B1BD" w14:textId="3373C85A" w:rsidR="00FF6F90" w:rsidRDefault="00FF6F90" w:rsidP="001B6C1A">
      <w:r>
        <w:t xml:space="preserve">These diseases are widespread across </w:t>
      </w:r>
      <w:r w:rsidR="00256283">
        <w:t>Australia,</w:t>
      </w:r>
      <w:r>
        <w:t xml:space="preserve"> and it is possible that they are present within the Geelong region. </w:t>
      </w:r>
    </w:p>
    <w:p w14:paraId="17EC64AC" w14:textId="77777777" w:rsidR="00FF6F90" w:rsidRDefault="00FF6F90" w:rsidP="006957A9">
      <w:pPr>
        <w:pStyle w:val="Heading4"/>
      </w:pPr>
      <w:r>
        <w:t>Potential impact pathways associated with development under the Plan and identification of matters or areas of concern</w:t>
      </w:r>
    </w:p>
    <w:p w14:paraId="62DED91F" w14:textId="77777777" w:rsidR="00FF6F90" w:rsidRDefault="00FF6F90" w:rsidP="001B6C1A">
      <w:r>
        <w:t>At a local scale, the Plan has the potential to increase the spread of pathogens within the Strategic Assessment Area through increased movement of materials and people within developed areas, and through increased environmental degradation at development boundaries. The increased risk of disease transmission is likely to be long term, occurring during both the construction and operational stages of development. Areas of risk are those in proximity to the areas of development within the Growth Areas and in areas of infrastructure development outside of the Growth Areas. It is recognised that these areas are already developed and degraded, and subsequently elevated disease transmission is likely to be an existing threat. To minimise the risks of further increases to disease transmission, standard mitigation measures within the planning system will be applied (outlined below).</w:t>
      </w:r>
    </w:p>
    <w:p w14:paraId="1A3C74C6" w14:textId="77777777" w:rsidR="00FF6F90" w:rsidRDefault="00FF6F90" w:rsidP="001B6C1A">
      <w:r>
        <w:t>The Plan may have some potential to increase the risk of disease transmission at a landscape scale, through increased movement of people through the wider area, particularly relating to increased visitation of natural areas in the region. However, given that the Geelong locality already has high visitation rates within its natural areas (due to its existing urban population, and as a popular recreational destination), this threat is an existing landscape threat. It is unlikely that the Plan will substantially exacerbate this threat.</w:t>
      </w:r>
    </w:p>
    <w:p w14:paraId="1C5882BC" w14:textId="77777777" w:rsidR="00FF6F90" w:rsidRDefault="00FF6F90" w:rsidP="001B6C1A">
      <w:pPr>
        <w:pStyle w:val="Heading4"/>
      </w:pPr>
      <w:r>
        <w:t>Existing standard mitigation measures</w:t>
      </w:r>
    </w:p>
    <w:p w14:paraId="0A9C1F9F" w14:textId="77777777" w:rsidR="00FF6F90" w:rsidRDefault="00FF6F90" w:rsidP="001B6C1A">
      <w:r>
        <w:t>The planning system has existing general measures in place to address the spread of infection/disease from development. This includes a broad requirement for decision-making to account for the impacts of development on the spread of pathogens (Clause 12.01-1S) and a requirement for subdivision applications to describe how the site will be managed prior to and during construction to protect the site and surrounding area from environmental degradation (Clause 56.08). The preparation of Construction Environmental Management Plans prior to the commencement of construction is included in the City's template of standard conditions, which will be applied by the City as a permit condition where it is considered appropriate.</w:t>
      </w:r>
    </w:p>
    <w:p w14:paraId="2275C884" w14:textId="77777777" w:rsidR="00FF6F90" w:rsidRDefault="00FF6F90" w:rsidP="006957A9">
      <w:pPr>
        <w:pStyle w:val="Heading4"/>
      </w:pPr>
      <w:r>
        <w:t>Additional measures to address indirect impacts to MNES</w:t>
      </w:r>
    </w:p>
    <w:p w14:paraId="1B9A3ACF" w14:textId="77777777" w:rsidR="00FF6F90" w:rsidRDefault="00FF6F90" w:rsidP="001B6C1A">
      <w:r>
        <w:t xml:space="preserve">These existing, standard measures are considered adequate in addressing the potential indirect impacts of development on protected matters in relation to the spread of pathogens. </w:t>
      </w:r>
    </w:p>
    <w:p w14:paraId="06CEDC49" w14:textId="77777777" w:rsidR="00FF6F90" w:rsidRDefault="00FF6F90" w:rsidP="001B6C1A">
      <w:pPr>
        <w:pStyle w:val="Heading3"/>
      </w:pPr>
      <w:r>
        <w:t>Spread of weeds</w:t>
      </w:r>
    </w:p>
    <w:p w14:paraId="48E5A221" w14:textId="77777777" w:rsidR="00FF6F90" w:rsidRDefault="00FF6F90" w:rsidP="001B6C1A">
      <w:pPr>
        <w:pStyle w:val="Heading4"/>
      </w:pPr>
      <w:r>
        <w:t>Nature of existing threat in region</w:t>
      </w:r>
    </w:p>
    <w:p w14:paraId="2C899C03" w14:textId="045242D0" w:rsidR="00FF6F90" w:rsidRDefault="00FF6F90" w:rsidP="001B6C1A">
      <w:r>
        <w:t xml:space="preserve">Weeds are a substantial existing threat within the Strategic Assessment Area. Surveys conducted within the NWGGA found that vegetation on site is highly modified and dominated by non-indigenous grasses (i.e. pasture grasses) and weeds, and that areas of native vegetation are largely confined to riparian corridors. Nine species were identified within </w:t>
      </w:r>
      <w:r>
        <w:lastRenderedPageBreak/>
        <w:t xml:space="preserve">the NWGGA that </w:t>
      </w:r>
      <w:r w:rsidRPr="00921816">
        <w:t xml:space="preserve">are declared noxious weeds under the Victorian </w:t>
      </w:r>
      <w:r w:rsidRPr="00ED0F1A">
        <w:rPr>
          <w:i/>
          <w:iCs/>
        </w:rPr>
        <w:t>Catchment and Land </w:t>
      </w:r>
      <w:r w:rsidRPr="0048299C">
        <w:rPr>
          <w:i/>
          <w:iCs/>
          <w:szCs w:val="18"/>
        </w:rPr>
        <w:t>Protection</w:t>
      </w:r>
      <w:r w:rsidRPr="00ED0F1A">
        <w:rPr>
          <w:i/>
          <w:iCs/>
          <w:szCs w:val="18"/>
        </w:rPr>
        <w:t> Act</w:t>
      </w:r>
      <w:r w:rsidRPr="00ED0F1A">
        <w:rPr>
          <w:i/>
          <w:iCs/>
        </w:rPr>
        <w:t> 1994</w:t>
      </w:r>
      <w:r>
        <w:t xml:space="preserve">, including: </w:t>
      </w:r>
      <w:r>
        <w:rPr>
          <w:i/>
          <w:iCs/>
        </w:rPr>
        <w:t xml:space="preserve">Nassella neesiana </w:t>
      </w:r>
      <w:r>
        <w:t xml:space="preserve">(Chilean Needle-grass), </w:t>
      </w:r>
      <w:r>
        <w:rPr>
          <w:i/>
          <w:iCs/>
        </w:rPr>
        <w:t xml:space="preserve">Juncus acutus </w:t>
      </w:r>
      <w:r>
        <w:t xml:space="preserve">(Spiny Rush), </w:t>
      </w:r>
      <w:r w:rsidRPr="00921816">
        <w:rPr>
          <w:i/>
          <w:iCs/>
        </w:rPr>
        <w:t>Lycium ferocissimum</w:t>
      </w:r>
      <w:r>
        <w:rPr>
          <w:i/>
          <w:iCs/>
        </w:rPr>
        <w:t xml:space="preserve"> </w:t>
      </w:r>
      <w:r>
        <w:t xml:space="preserve">(African Box-thorn), </w:t>
      </w:r>
      <w:r w:rsidRPr="0048299C">
        <w:rPr>
          <w:i/>
          <w:iCs/>
        </w:rPr>
        <w:t>Cirsium vulgare</w:t>
      </w:r>
      <w:r>
        <w:rPr>
          <w:i/>
          <w:iCs/>
        </w:rPr>
        <w:t xml:space="preserve"> </w:t>
      </w:r>
      <w:r>
        <w:t xml:space="preserve">(Spear Thistle), </w:t>
      </w:r>
      <w:r>
        <w:rPr>
          <w:i/>
          <w:iCs/>
        </w:rPr>
        <w:t xml:space="preserve">Cynara cardunculus </w:t>
      </w:r>
      <w:r>
        <w:t xml:space="preserve">(Artichoke Thistle), </w:t>
      </w:r>
      <w:r w:rsidRPr="00C66555">
        <w:rPr>
          <w:i/>
          <w:iCs/>
        </w:rPr>
        <w:t>Echium plantagineum</w:t>
      </w:r>
      <w:r>
        <w:rPr>
          <w:i/>
          <w:iCs/>
        </w:rPr>
        <w:t xml:space="preserve"> </w:t>
      </w:r>
      <w:r>
        <w:t>(</w:t>
      </w:r>
      <w:r w:rsidRPr="00C66555">
        <w:t>Patterson’s Curse</w:t>
      </w:r>
      <w:r>
        <w:t xml:space="preserve">), </w:t>
      </w:r>
      <w:r w:rsidRPr="0048299C">
        <w:rPr>
          <w:i/>
          <w:iCs/>
        </w:rPr>
        <w:t>Nassella trichotoma</w:t>
      </w:r>
      <w:r>
        <w:t xml:space="preserve"> (</w:t>
      </w:r>
      <w:r w:rsidRPr="00C66555">
        <w:t>Serrated Tussock</w:t>
      </w:r>
      <w:r>
        <w:t xml:space="preserve">), </w:t>
      </w:r>
      <w:r w:rsidRPr="0048299C">
        <w:rPr>
          <w:i/>
          <w:iCs/>
        </w:rPr>
        <w:t>Rosa rubignosa</w:t>
      </w:r>
      <w:r>
        <w:t xml:space="preserve"> (</w:t>
      </w:r>
      <w:r w:rsidRPr="00C66555">
        <w:t>Sweet Briar</w:t>
      </w:r>
      <w:r>
        <w:t xml:space="preserve">) and </w:t>
      </w:r>
      <w:r w:rsidRPr="0048299C">
        <w:rPr>
          <w:i/>
          <w:iCs/>
        </w:rPr>
        <w:t>Xanthium spinosum</w:t>
      </w:r>
      <w:r>
        <w:t xml:space="preserve"> (</w:t>
      </w:r>
      <w:r w:rsidRPr="007850E0">
        <w:t>Bathurst Burr</w:t>
      </w:r>
      <w:r>
        <w:t xml:space="preserve">) </w:t>
      </w:r>
      <w:sdt>
        <w:sdtPr>
          <w:rPr>
            <w:color w:val="000000"/>
          </w:rPr>
          <w:tag w:val="MENDELEY_CITATION_v3_eyJjaXRhdGlvbklEIjoiTUVOREVMRVlfQ0lUQVRJT05fYWRmM2YzOWEtYTVjMC00N2QxLTkxNjEtMmFkMDlkMDIyMGQ4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
          <w:id w:val="261964298"/>
          <w:placeholder>
            <w:docPart w:val="DefaultPlaceholder_-1854013440"/>
          </w:placeholder>
        </w:sdtPr>
        <w:sdtContent>
          <w:r w:rsidR="007E7CCC" w:rsidRPr="007E7CCC">
            <w:rPr>
              <w:color w:val="000000"/>
            </w:rPr>
            <w:t>(EHP, 2021a)</w:t>
          </w:r>
        </w:sdtContent>
      </w:sdt>
      <w:r>
        <w:t>.</w:t>
      </w:r>
    </w:p>
    <w:p w14:paraId="3632F8A1" w14:textId="0F5D9367" w:rsidR="00FF6F90" w:rsidRDefault="00FF6F90" w:rsidP="001B6C1A">
      <w:r>
        <w:t xml:space="preserve">Weeds are also an existing threat within the wider Study Area. For instance, salt tolerant weeds within the Port Phillip Bay (Western Shoreline) and Bellarine Peninsula Ramsar site pose a threat to saltmarsh and waterbird habitat </w:t>
      </w:r>
      <w:sdt>
        <w:sdtPr>
          <w:rPr>
            <w:color w:val="000000"/>
          </w:rPr>
          <w:tag w:val="MENDELEY_CITATION_v3_eyJjaXRhdGlvbklEIjoiTUVOREVMRVlfQ0lUQVRJT05fYzU5NzZiZGUtOWVjNS00ZDQxLWFmZmYtYmY1ZmU4NGZkZDRk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957632503"/>
          <w:placeholder>
            <w:docPart w:val="DefaultPlaceholder_-1854013440"/>
          </w:placeholder>
        </w:sdtPr>
        <w:sdtContent>
          <w:r w:rsidR="007E7CCC" w:rsidRPr="007E7CCC">
            <w:rPr>
              <w:color w:val="000000"/>
            </w:rPr>
            <w:t>(DELWP, 2020)</w:t>
          </w:r>
        </w:sdtContent>
      </w:sdt>
      <w:r>
        <w:t xml:space="preserve">. </w:t>
      </w:r>
    </w:p>
    <w:p w14:paraId="5C7914A6" w14:textId="77777777" w:rsidR="00FF6F90" w:rsidRDefault="00FF6F90" w:rsidP="001B6C1A">
      <w:r>
        <w:t xml:space="preserve">The abundance of weeds in the region is due to high existing development pressures, including agricultural and urban development. </w:t>
      </w:r>
    </w:p>
    <w:p w14:paraId="2C1A0E2E" w14:textId="77777777" w:rsidR="00FF6F90" w:rsidRDefault="00FF6F90" w:rsidP="006957A9">
      <w:pPr>
        <w:pStyle w:val="Heading4"/>
      </w:pPr>
      <w:r>
        <w:t>Potential impact pathways associated with development under the Plan and identification of matters or areas of concern</w:t>
      </w:r>
    </w:p>
    <w:p w14:paraId="7E9EC76F" w14:textId="77777777" w:rsidR="00FF6F90" w:rsidRDefault="00FF6F90" w:rsidP="001B6C1A">
      <w:r>
        <w:t>Generally speaking, development often has the potential to increase the spread and proliferation of weeds. One mechanism by which development can result in the spread of weeds is through the increased movement of people and materials. This may lead to plant seeds, spores or material being transported from one site to another. Typically, weed proliferation due to development occurs when weed matter is transported from an area of high weed density to a site with a low density of weeds. However, the high levels of existing weeds within the Strategic Assessment Area and more broadly, mean that development under the Plan is unlikely to result in the introduction of novel weed species into otherwise weed-free areas.</w:t>
      </w:r>
    </w:p>
    <w:p w14:paraId="2C55ED87" w14:textId="77777777" w:rsidR="00FF6F90" w:rsidRDefault="00FF6F90" w:rsidP="001B6C1A">
      <w:r>
        <w:t>Development may also encourage weed invasion by degrading environments adjacent to development in a manner which promotes weed proliferation (for example, through nutrient enrichment). However, land within the Strategic Assessment Area is already substantially modified (largely due to agricultural development) and already has landscape processes in place which encourage weed growth (for example, through agricultural fertiliser application). For this reason, the landscape is already considered to be disturbed. It is unlikely that development under the Plan will exacerbate the risk of weed invasion due to habitat disturbance.</w:t>
      </w:r>
    </w:p>
    <w:p w14:paraId="778625C9" w14:textId="77777777" w:rsidR="00FF6F90" w:rsidRDefault="00FF6F90" w:rsidP="001B6C1A">
      <w:r>
        <w:t>Altogether, the characteristics of the Strategic Assessment Area, including its existing high levels of weed density and disturbance, are such that it is unlikely that the Plan would exacerbate the existing level of threat posed by weeds in the region.</w:t>
      </w:r>
    </w:p>
    <w:p w14:paraId="706496BD" w14:textId="77777777" w:rsidR="00FF6F90" w:rsidRDefault="00FF6F90" w:rsidP="001B6C1A">
      <w:pPr>
        <w:pStyle w:val="Heading4"/>
      </w:pPr>
      <w:r>
        <w:t>Existing standard mitigation measures</w:t>
      </w:r>
    </w:p>
    <w:p w14:paraId="5DF7C147" w14:textId="77777777" w:rsidR="00FF6F90" w:rsidRDefault="00FF6F90" w:rsidP="001B6C1A">
      <w:r>
        <w:t xml:space="preserve">The planning system has existing general measures in place to address the spread of weeds from development. This includes a broad requirement for decision-making to account for the impacts of development on the spread of weeds (Clause 12.01-1S) and a requirement for subdivision applications to describe how the site will be managed prior to and during construction to protect the site and surrounding area from environmental degradation (Clause 56.08). The preparation of Weed Management Plans prior to the commencement of construction is included in the City's template of standard conditions, which will be applied by the City as a permit condition where considered appropriate. </w:t>
      </w:r>
    </w:p>
    <w:p w14:paraId="04BE9AF0" w14:textId="77777777" w:rsidR="00FF6F90" w:rsidRDefault="00FF6F90" w:rsidP="006957A9">
      <w:pPr>
        <w:pStyle w:val="Heading4"/>
      </w:pPr>
      <w:r>
        <w:t>Additional measures to address indirect impacts to MNES</w:t>
      </w:r>
    </w:p>
    <w:p w14:paraId="1F4A8A02" w14:textId="77777777" w:rsidR="00FF6F90" w:rsidRDefault="00FF6F90" w:rsidP="006957A9">
      <w:r>
        <w:t>These existing, standard measures are considered adequate in addressing the potential indirect impacts of development on protected matters in relation to the spread of weeds.</w:t>
      </w:r>
    </w:p>
    <w:p w14:paraId="099D37A3" w14:textId="77777777" w:rsidR="00FF6F90" w:rsidRDefault="00FF6F90" w:rsidP="001B6C1A">
      <w:pPr>
        <w:pStyle w:val="Heading3"/>
      </w:pPr>
      <w:r>
        <w:t>Predation/competition by pest/domestic fauna</w:t>
      </w:r>
    </w:p>
    <w:p w14:paraId="6F6C1193" w14:textId="77777777" w:rsidR="00FF6F90" w:rsidRDefault="00FF6F90" w:rsidP="001B6C1A">
      <w:pPr>
        <w:pStyle w:val="Heading4"/>
      </w:pPr>
      <w:r>
        <w:t>Nature of existing threat in region</w:t>
      </w:r>
    </w:p>
    <w:p w14:paraId="1FEB186F" w14:textId="7115464E" w:rsidR="00FF6F90" w:rsidRDefault="00FF6F90" w:rsidP="001B6C1A">
      <w:r>
        <w:t xml:space="preserve">Pest animals are an existing threat within the region. There is evidence the NWGGA is occupied by rabbits, hares and foxes </w:t>
      </w:r>
      <w:sdt>
        <w:sdtPr>
          <w:rPr>
            <w:color w:val="000000"/>
          </w:rPr>
          <w:tag w:val="MENDELEY_CITATION_v3_eyJjaXRhdGlvbklEIjoiTUVOREVMRVlfQ0lUQVRJT05fZWY1MGRiYzgtYmRlMC00OGZkLWJjMTUtZGZiNTRiZTFjNzJm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
          <w:id w:val="2010864099"/>
          <w:placeholder>
            <w:docPart w:val="DefaultPlaceholder_-1854013440"/>
          </w:placeholder>
        </w:sdtPr>
        <w:sdtContent>
          <w:r w:rsidR="007E7CCC" w:rsidRPr="007E7CCC">
            <w:rPr>
              <w:color w:val="000000"/>
            </w:rPr>
            <w:t>(EHP, 2021a)</w:t>
          </w:r>
        </w:sdtContent>
      </w:sdt>
      <w:r>
        <w:t xml:space="preserve">. Additionally, foxes, cats, rabbits, deer are identified as invasive species of concern at the Port Phillip Bay (Western Shoreline) &amp; Bellarine Peninsula Ramsar site </w:t>
      </w:r>
      <w:sdt>
        <w:sdtPr>
          <w:rPr>
            <w:color w:val="000000"/>
          </w:rPr>
          <w:tag w:val="MENDELEY_CITATION_v3_eyJjaXRhdGlvbklEIjoiTUVOREVMRVlfQ0lUQVRJT05fNmU1YWRmZDgtYjA3Yy00OWEyLWFiOGYtZDI1MzhhMGU1NTBl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96145931"/>
          <w:placeholder>
            <w:docPart w:val="DefaultPlaceholder_-1854013440"/>
          </w:placeholder>
        </w:sdtPr>
        <w:sdtContent>
          <w:r w:rsidR="007E7CCC" w:rsidRPr="007E7CCC">
            <w:rPr>
              <w:color w:val="000000"/>
            </w:rPr>
            <w:t>(DELWP, 2020)</w:t>
          </w:r>
        </w:sdtContent>
      </w:sdt>
      <w:r>
        <w:t>. Other invasive fauna, such as rats, pigs, and goats, are also likely to be present in the wider area.</w:t>
      </w:r>
    </w:p>
    <w:p w14:paraId="191520AF" w14:textId="77777777" w:rsidR="00FF6F90" w:rsidRDefault="00FF6F90" w:rsidP="001B6C1A">
      <w:r>
        <w:t xml:space="preserve">There is substantial existing development within the Geelong region, including urban and agricultural development. This existing development is likely to be contributing to a high density of invasive pests in the region. </w:t>
      </w:r>
    </w:p>
    <w:p w14:paraId="5A93A28E" w14:textId="77777777" w:rsidR="00FF6F90" w:rsidRDefault="00FF6F90" w:rsidP="006957A9">
      <w:pPr>
        <w:pStyle w:val="Heading4"/>
      </w:pPr>
      <w:r>
        <w:lastRenderedPageBreak/>
        <w:t>Potential impact pathways associated with development under the Plan and identification of matters or areas of concern</w:t>
      </w:r>
    </w:p>
    <w:p w14:paraId="6CCFF847" w14:textId="5F9098A8" w:rsidR="00FF6F90" w:rsidRDefault="00FF6F90" w:rsidP="00185E82">
      <w:pPr>
        <w:keepNext/>
        <w:keepLines/>
      </w:pPr>
      <w:r>
        <w:t xml:space="preserve">The Plan will result in establishment of new urban areas within the Strategic Assessment Area. Urban environments are widely recognised to be associated with higher densities of invasive fauna. Although the exact mechanisms for this are not well understood, possible mechanisms include </w:t>
      </w:r>
      <w:sdt>
        <w:sdtPr>
          <w:tag w:val="MENDELEY_CITATION_v3_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"/>
          <w:id w:val="236213357"/>
          <w:placeholder>
            <w:docPart w:val="DefaultPlaceholder_-1854013440"/>
          </w:placeholder>
        </w:sdtPr>
        <w:sdtContent>
          <w:r w:rsidR="007E7CCC">
            <w:rPr>
              <w:rFonts w:eastAsia="Times New Roman"/>
            </w:rPr>
            <w:t xml:space="preserve">(Gaertner </w:t>
          </w:r>
          <w:r w:rsidR="007E7CCC">
            <w:rPr>
              <w:rFonts w:eastAsia="Times New Roman"/>
              <w:i/>
              <w:iCs/>
            </w:rPr>
            <w:t>et al.</w:t>
          </w:r>
          <w:r w:rsidR="007E7CCC">
            <w:rPr>
              <w:rFonts w:eastAsia="Times New Roman"/>
            </w:rPr>
            <w:t>, 2017)</w:t>
          </w:r>
        </w:sdtContent>
      </w:sdt>
      <w:r>
        <w:t>:</w:t>
      </w:r>
    </w:p>
    <w:p w14:paraId="01749BB5" w14:textId="77777777" w:rsidR="00FF6F90" w:rsidRDefault="00FF6F90" w:rsidP="001B6C1A">
      <w:pPr>
        <w:pStyle w:val="Bullet1"/>
      </w:pPr>
      <w:r>
        <w:t>Alteration of environmental features within and adjacent to urban environments such that native species are not well adapted to the environment, which can result in native species being more easily outcompeted. It is noted that habitat within the Strategic Assessment Area is already substantially altered from its natural state due to existing agricultural and residential development and has a high density of invasive flora. Subsequently, this is an existing threat, although development under the Plan may further exacerbate this threat</w:t>
      </w:r>
    </w:p>
    <w:p w14:paraId="71860F0C" w14:textId="77777777" w:rsidR="00FF6F90" w:rsidRDefault="00FF6F90" w:rsidP="001B6C1A">
      <w:pPr>
        <w:pStyle w:val="Bullet1"/>
      </w:pPr>
      <w:r>
        <w:t>Increased movement of people, vehicles, and material, which facilitates dispersal via transport vectors. The Strategic Assessment Area already has regular movements associated with existing development in the area. This is considered an existing threat which the Plan has potential to exacerbate through increasing the population density within the Strategic Assessment Area</w:t>
      </w:r>
    </w:p>
    <w:p w14:paraId="3EFC2437" w14:textId="77777777" w:rsidR="00FF6F90" w:rsidRDefault="00FF6F90" w:rsidP="001B6C1A">
      <w:pPr>
        <w:pStyle w:val="Bullet1"/>
      </w:pPr>
      <w:r>
        <w:t>Urban environments acting as foci for the entry of invasive species/introduction of new species in the environment. As there is substantial existing urban development within the wider Geelong locality, this is considered an existing landscape threat within the Geelong region. It is unlikely that development under the Plan would substantially exacerbate this threat</w:t>
      </w:r>
    </w:p>
    <w:p w14:paraId="6A0623BA" w14:textId="77777777" w:rsidR="00FF6F90" w:rsidRDefault="00FF6F90" w:rsidP="001B6C1A">
      <w:pPr>
        <w:pStyle w:val="Bullet1"/>
      </w:pPr>
      <w:r>
        <w:t>Urban areas supporting higher densities of domestic fauna which pose a threat to native species (such as cats and dogs). While domestic fauna are an existing threat within the Strategic Assessment Area associated with existing development, it is recognised that the Plan is likely to exacerbate this threat within and in proximity to urban development within the Growth Areas</w:t>
      </w:r>
    </w:p>
    <w:p w14:paraId="089576EF" w14:textId="77777777" w:rsidR="00FF6F90" w:rsidRDefault="00FF6F90" w:rsidP="001B6C1A">
      <w:pPr>
        <w:pStyle w:val="Heading4"/>
      </w:pPr>
      <w:r>
        <w:t>Existing standard mitigation measures</w:t>
      </w:r>
    </w:p>
    <w:p w14:paraId="69005290" w14:textId="77777777" w:rsidR="00FF6F90" w:rsidRDefault="00FF6F90" w:rsidP="001B6C1A">
      <w:r w:rsidRPr="00512176">
        <w:t xml:space="preserve">The planning system has existing standard mitigation measures in place to address the potential increase and spread of pest animals from development. This includes a broad requirement for decision-making to account for the impacts of development associated with pest animals (Clause 12.01-1S) and a requirement for subdivision applications to describe how the site will be managed prior to and during construction to protect the site and surrounding area from environmental degradation (Clause 56.08). </w:t>
      </w:r>
    </w:p>
    <w:p w14:paraId="4C6C50CD" w14:textId="77777777" w:rsidR="00FF6F90" w:rsidRDefault="00FF6F90" w:rsidP="001B6C1A">
      <w:r w:rsidRPr="00512176">
        <w:t>The NWGGA Framework Plan also includes several mitigation-related actions relevant to managing pest animals. These mitigation-related actions will be further considered and given effect within each precinct as appropriate through the preparation of PSPs, which will be prepared in consideration of the framework plan. These measures are considered adequate to address the potential increase and spread of pest animals from the development</w:t>
      </w:r>
      <w:r>
        <w:t>.</w:t>
      </w:r>
    </w:p>
    <w:p w14:paraId="7264B74A" w14:textId="148A43B4" w:rsidR="00FF6F90" w:rsidRDefault="00FF6F90" w:rsidP="001B6C1A">
      <w:r>
        <w:t xml:space="preserve">Further, the City of Greater Geelong has a Domestic Animal Management Plan in place. This plan identifies how council protects the environment and local wildlife from the negative impacts from dogs and cats. It includes a range of measures including dog control orders to protect wildlife and the environment (particularly in coastal areas), in addition to a cat curfew order (which requires that cats are confined from sunset to sunrise) </w:t>
      </w:r>
      <w:sdt>
        <w:sdtPr>
          <w:rPr>
            <w:color w:val="000000"/>
          </w:rPr>
          <w:tag w:val="MENDELEY_CITATION_v3_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"/>
          <w:id w:val="-1071497977"/>
          <w:placeholder>
            <w:docPart w:val="DefaultPlaceholder_-1854013440"/>
          </w:placeholder>
        </w:sdtPr>
        <w:sdtContent>
          <w:r w:rsidR="007E7CCC" w:rsidRPr="007E7CCC">
            <w:rPr>
              <w:color w:val="000000"/>
            </w:rPr>
            <w:t>(The City of Greater Geelong, 2022)</w:t>
          </w:r>
        </w:sdtContent>
      </w:sdt>
      <w:r>
        <w:t>.</w:t>
      </w:r>
    </w:p>
    <w:p w14:paraId="1CD88487" w14:textId="77777777" w:rsidR="00FF6F90" w:rsidRDefault="00FF6F90" w:rsidP="006957A9">
      <w:pPr>
        <w:pStyle w:val="Heading4"/>
      </w:pPr>
      <w:r>
        <w:t>Additional measures to address indirect impacts to MNES</w:t>
      </w:r>
    </w:p>
    <w:p w14:paraId="3960DF39" w14:textId="77777777" w:rsidR="00FF6F90" w:rsidRDefault="00FF6F90" w:rsidP="00DB3E80">
      <w:r>
        <w:t>These existing measures are considered adequate in addressing the potential indirect impacts of development on protected matters in relation to predation or competition by pest or domestic fauna.</w:t>
      </w:r>
    </w:p>
    <w:p w14:paraId="54605FAD" w14:textId="77777777" w:rsidR="00FF6F90" w:rsidRDefault="00FF6F90" w:rsidP="001B6C1A">
      <w:pPr>
        <w:pStyle w:val="Heading3"/>
      </w:pPr>
      <w:r>
        <w:t>Altered fire regimes</w:t>
      </w:r>
    </w:p>
    <w:p w14:paraId="1043651D" w14:textId="77777777" w:rsidR="00FF6F90" w:rsidRDefault="00FF6F90" w:rsidP="001B6C1A">
      <w:pPr>
        <w:pStyle w:val="Heading4"/>
      </w:pPr>
      <w:r>
        <w:t>Nature of existing threat in region</w:t>
      </w:r>
    </w:p>
    <w:p w14:paraId="048AC748" w14:textId="77777777" w:rsidR="00FF6F90" w:rsidRDefault="00FF6F90" w:rsidP="001B6C1A">
      <w:r>
        <w:t>Native ecosystems within the Strategic Assessment Area require periodic fire to maintain long term biodiversity. Absence of fire, or fires that are too frequent or intense, can have a negative impact on ecosystems through altering plant species assemblages (which affects habitat and foraging resources), or through fauna mortality.</w:t>
      </w:r>
    </w:p>
    <w:p w14:paraId="5B0BBC0B" w14:textId="77777777" w:rsidR="00FF6F90" w:rsidRPr="00C26036" w:rsidRDefault="00FF6F90" w:rsidP="001B6C1A">
      <w:r>
        <w:t xml:space="preserve">Fire regimes in the Strategic Assessment Area, as well as across the wider Study Area, are already substantially modified due to existing development. Altered fire regimes are therefore considered an existing landscape threat. </w:t>
      </w:r>
    </w:p>
    <w:p w14:paraId="6C39D63F" w14:textId="77777777" w:rsidR="00FF6F90" w:rsidRDefault="00FF6F90" w:rsidP="006957A9">
      <w:pPr>
        <w:pStyle w:val="Heading4"/>
      </w:pPr>
      <w:r>
        <w:lastRenderedPageBreak/>
        <w:t>Potential impact pathways associated with development under the Plan and identification of matters or areas of concern</w:t>
      </w:r>
    </w:p>
    <w:p w14:paraId="01DD3071" w14:textId="77777777" w:rsidR="00FF6F90" w:rsidRDefault="00FF6F90" w:rsidP="00185E82">
      <w:pPr>
        <w:keepNext/>
        <w:keepLines/>
      </w:pPr>
      <w:r>
        <w:t>Altered fire regimes due to development under the Plan may be caused by:</w:t>
      </w:r>
    </w:p>
    <w:p w14:paraId="1D9814C7" w14:textId="77777777" w:rsidR="00FF6F90" w:rsidRDefault="00FF6F90" w:rsidP="001B6C1A">
      <w:pPr>
        <w:pStyle w:val="Bullet1"/>
      </w:pPr>
      <w:r w:rsidRPr="00B94E4C">
        <w:t>Increased fire frequency due to arson</w:t>
      </w:r>
      <w:r>
        <w:t xml:space="preserve"> and accidental lighting of fires</w:t>
      </w:r>
    </w:p>
    <w:p w14:paraId="6E61D2D6" w14:textId="77777777" w:rsidR="00FF6F90" w:rsidRDefault="00FF6F90" w:rsidP="001B6C1A">
      <w:pPr>
        <w:pStyle w:val="Bullet1"/>
      </w:pPr>
      <w:r>
        <w:t>Increased fire frequency due to the application of fire by authorities to manage fire risk</w:t>
      </w:r>
    </w:p>
    <w:p w14:paraId="39E24398" w14:textId="77777777" w:rsidR="00FF6F90" w:rsidRPr="002841E5" w:rsidRDefault="00FF6F90" w:rsidP="001B6C1A">
      <w:pPr>
        <w:pStyle w:val="Bullet1"/>
        <w:rPr>
          <w:color w:val="000000" w:themeColor="text1"/>
          <w:szCs w:val="18"/>
        </w:rPr>
      </w:pPr>
      <w:r>
        <w:t>In other cases, a lack of fire due to challenges in burns in proximity to human habitation</w:t>
      </w:r>
    </w:p>
    <w:p w14:paraId="3847EEC4" w14:textId="77777777" w:rsidR="00FF6F90" w:rsidRDefault="00FF6F90" w:rsidP="001B6C1A">
      <w:r>
        <w:t>The threat of altered fire regimes is a long-term threat, occurring during both construction and operational phases of the development.</w:t>
      </w:r>
    </w:p>
    <w:p w14:paraId="3A9FB928" w14:textId="77777777" w:rsidR="00FF6F90" w:rsidRDefault="00FF6F90" w:rsidP="001B6C1A">
      <w:r>
        <w:t>The areas which are most likely to be impacted are those which are in proximity to areas of development within the Growth Areas, and areas of infrastructure development outside of the Growth Areas. It is recognised that these areas already experience altered fire regimes due to existing disturbance. Subsequently, altered fire regimes are considered an existing threat. Although the development of new urban areas adjacent to newly established conservation areas in the NGGA and WGGA presents a set of issues relating to fire regimes that will need to be managed to protect the relevant MNES values.</w:t>
      </w:r>
    </w:p>
    <w:p w14:paraId="1C8F1936" w14:textId="77777777" w:rsidR="00FF6F90" w:rsidRDefault="00FF6F90" w:rsidP="001B6C1A">
      <w:pPr>
        <w:pStyle w:val="Heading4"/>
      </w:pPr>
      <w:r>
        <w:t>Existing standard mitigation measures</w:t>
      </w:r>
    </w:p>
    <w:p w14:paraId="38C6F2C0" w14:textId="77777777" w:rsidR="00FF6F90" w:rsidRDefault="00FF6F90" w:rsidP="001B6C1A">
      <w:r w:rsidRPr="007628A9">
        <w:t>The planning system has existing standard mitigation measures in place to address the risk of altered fire regimes and increased fire risk from development. This includes a broad requirement to ensure development can implement bushfire protection measures without unacceptable impacts to biodiversity through appropriate planning (Clause 13.02-1S). The Plan includes a commitment to continue to implement these standard mitigation measures to man</w:t>
      </w:r>
      <w:r w:rsidRPr="00D50EDC">
        <w:t xml:space="preserve">age the indirect impacts of the development in accordance with the requirements of the Geelong Planning Scheme </w:t>
      </w:r>
      <w:r w:rsidRPr="00B66932">
        <w:t>(Commitment 7).</w:t>
      </w:r>
    </w:p>
    <w:p w14:paraId="435B8A30" w14:textId="77777777" w:rsidR="00FF6F90" w:rsidRDefault="00FF6F90" w:rsidP="006957A9">
      <w:pPr>
        <w:pStyle w:val="Heading4"/>
      </w:pPr>
      <w:r>
        <w:t>Additional measures to address indirect impacts to MNES</w:t>
      </w:r>
    </w:p>
    <w:p w14:paraId="29D1367F" w14:textId="356E90A4" w:rsidR="00FF6F90" w:rsidRDefault="00FF6F90" w:rsidP="001B6C1A">
      <w:r w:rsidRPr="007628A9">
        <w:t xml:space="preserve">The Plan includes a commitment to implement several specific mitigation measures to address the indirect impacts of the development on the </w:t>
      </w:r>
      <w:r>
        <w:t>NGGA Conservation Area</w:t>
      </w:r>
      <w:r w:rsidRPr="007628A9">
        <w:t xml:space="preserve"> and the Cowies Creek </w:t>
      </w:r>
      <w:r>
        <w:t>Conservation Area</w:t>
      </w:r>
      <w:r w:rsidRPr="007628A9">
        <w:t>, including establishing a conservation interface between urban development and these areas</w:t>
      </w:r>
      <w:r>
        <w:t xml:space="preserve">. The Plan also includes a </w:t>
      </w:r>
      <w:r w:rsidRPr="007628A9">
        <w:t>commitment to prepare</w:t>
      </w:r>
      <w:r w:rsidR="000A4187">
        <w:t xml:space="preserve"> and implement</w:t>
      </w:r>
      <w:r w:rsidRPr="007628A9">
        <w:t xml:space="preserve"> a </w:t>
      </w:r>
      <w:r>
        <w:t>Conservation</w:t>
      </w:r>
      <w:r w:rsidRPr="007628A9">
        <w:t xml:space="preserve"> Management Plan for these areas that will provide for appropriate fire management to protect biodiversity values. </w:t>
      </w:r>
      <w:r>
        <w:t>These commitments will contribute to the protection of biodiversity values from impacts associated with inappropriate fire regimes.</w:t>
      </w:r>
    </w:p>
    <w:p w14:paraId="5A245E8E" w14:textId="77777777" w:rsidR="00FF6F90" w:rsidRDefault="00FF6F90" w:rsidP="001B6C1A">
      <w:pPr>
        <w:pStyle w:val="Heading3"/>
      </w:pPr>
      <w:r>
        <w:t>Disturbance from increased public access to natural areas</w:t>
      </w:r>
    </w:p>
    <w:p w14:paraId="404C652C" w14:textId="77777777" w:rsidR="00FF6F90" w:rsidRDefault="00FF6F90" w:rsidP="001B6C1A">
      <w:pPr>
        <w:pStyle w:val="Heading4"/>
      </w:pPr>
      <w:r>
        <w:t>Nature of existing threat in region</w:t>
      </w:r>
    </w:p>
    <w:p w14:paraId="4DD21EED" w14:textId="46B28319" w:rsidR="00FF6F90" w:rsidRDefault="00FF6F90" w:rsidP="001B6C1A">
      <w:r>
        <w:t>Many of the publicly available natural areas in the Geelong region experience high visitation rates. Geelong already supports a substantial urban population and is also a popular tourist and recreational destination. Many of the natural areas, including nature reserves and coastal areas, are already developed and managed to support high volumes of recreational access. Disturbance from public access to natural areas is therefore an existing threat in the region.</w:t>
      </w:r>
    </w:p>
    <w:p w14:paraId="10F9510D" w14:textId="77777777" w:rsidR="00FF6F90" w:rsidRDefault="00FF6F90" w:rsidP="006957A9">
      <w:pPr>
        <w:pStyle w:val="Heading4"/>
      </w:pPr>
      <w:r>
        <w:t>Potential impact pathways associated with development under the Plan and identification of matters or areas of concern</w:t>
      </w:r>
    </w:p>
    <w:p w14:paraId="47A7293A" w14:textId="77777777" w:rsidR="00FF6F90" w:rsidRDefault="00FF6F90" w:rsidP="001B6C1A">
      <w:r>
        <w:t>Development under the Plan will increase human activity within the Strategic Assessment Area and the surrounding region, through increasing the overall population of the area. This will increase the threat of disturbance from public access to natural areas. Areas which are most at risk are those within or in proximity to the Strategic Assessment Area, and those which are highly accessible within the region and/or which constitute a main attraction (such as popular beaches).</w:t>
      </w:r>
    </w:p>
    <w:p w14:paraId="72E5772D" w14:textId="77777777" w:rsidR="00FF6F90" w:rsidRDefault="00FF6F90" w:rsidP="001B6C1A">
      <w:r>
        <w:t xml:space="preserve">The threat of increased disturbance due to development under the Plan is long term and is associated with population density. For this reason, the risk will be minimal in the early stages of Plan implementation, and then will gradually increase over the life of the Plan as more urban development is completed and progressively occupied. </w:t>
      </w:r>
    </w:p>
    <w:p w14:paraId="6819E2C5" w14:textId="77777777" w:rsidR="00FF6F90" w:rsidRDefault="00FF6F90" w:rsidP="001B6C1A">
      <w:r>
        <w:t>The impacts to protected matters from this threat due to development under the Plan is unlikely to be substantial. This is because natural areas within the Study Area already experience high visitation rates, associated with the existing population of the region and high visitor numbers. In the context of the scale of the existing threat in the region, the overall impact of the Plan is expected to be minimal.</w:t>
      </w:r>
    </w:p>
    <w:p w14:paraId="441D8F49" w14:textId="77777777" w:rsidR="00FF6F90" w:rsidRDefault="00FF6F90" w:rsidP="001B6C1A">
      <w:r>
        <w:lastRenderedPageBreak/>
        <w:t>A range of existing management measures are in place in the planning system which will help to mitigate this threat.</w:t>
      </w:r>
    </w:p>
    <w:p w14:paraId="3D0EB6B1" w14:textId="77777777" w:rsidR="00FF6F90" w:rsidRDefault="00FF6F90" w:rsidP="001B6C1A">
      <w:pPr>
        <w:pStyle w:val="Heading4"/>
      </w:pPr>
      <w:r>
        <w:t>Existing standard mitigation measures</w:t>
      </w:r>
    </w:p>
    <w:p w14:paraId="78836F9A" w14:textId="4C829BEC" w:rsidR="00FF6F90" w:rsidRDefault="00FF6F90" w:rsidP="001B6C1A">
      <w:r>
        <w:t xml:space="preserve">There are a number of reserves within the wider Geelong locality which support records and/or habitat for multiple protected matters. These include Limeburners Lagoon Flora and Fauna Reserve, Lake Connewarre Wildlife Reserve, The Spit Wildlife Reserve, and Breamlea Flora and Fauna Reserve. Each of these reserves is managed by Parks Victoria to protect and enhance flora and fauna values while supporting appropriate community use. Refer to </w:t>
      </w:r>
      <w:r>
        <w:rPr>
          <w:highlight w:val="yellow"/>
        </w:rPr>
        <w:fldChar w:fldCharType="begin"/>
      </w:r>
      <w:r>
        <w:instrText xml:space="preserve"> REF _Ref116028510 </w:instrText>
      </w:r>
      <w:r>
        <w:rPr>
          <w:highlight w:val="yellow"/>
        </w:rPr>
        <w:fldChar w:fldCharType="separate"/>
      </w:r>
      <w:r w:rsidR="0080031C">
        <w:t xml:space="preserve">Table </w:t>
      </w:r>
      <w:r w:rsidR="0080031C">
        <w:rPr>
          <w:noProof/>
        </w:rPr>
        <w:t>17</w:t>
      </w:r>
      <w:r w:rsidR="0080031C">
        <w:noBreakHyphen/>
      </w:r>
      <w:r w:rsidR="0080031C">
        <w:rPr>
          <w:noProof/>
        </w:rPr>
        <w:t>1</w:t>
      </w:r>
      <w:r>
        <w:rPr>
          <w:highlight w:val="yellow"/>
        </w:rPr>
        <w:fldChar w:fldCharType="end"/>
      </w:r>
      <w:r>
        <w:t xml:space="preserve"> for further information on the characteristics of each reserve and existing management measures in place.</w:t>
      </w:r>
    </w:p>
    <w:p w14:paraId="655D55D6" w14:textId="4D52A0C8" w:rsidR="00FF6F90" w:rsidRDefault="00FF6F90" w:rsidP="001B6C1A">
      <w:r>
        <w:t xml:space="preserve">In addition to these reserves, there is also a region at Moolap which is managed for conservation purposes under the Moolap Coastal Strategic Framework Plan. This site also supports habitat and records of multiple protected matters, including threatened and migratory birds. Refer to </w:t>
      </w:r>
      <w:r>
        <w:rPr>
          <w:highlight w:val="yellow"/>
        </w:rPr>
        <w:fldChar w:fldCharType="begin"/>
      </w:r>
      <w:r>
        <w:instrText xml:space="preserve"> REF _Ref116028510 </w:instrText>
      </w:r>
      <w:r>
        <w:rPr>
          <w:highlight w:val="yellow"/>
        </w:rPr>
        <w:fldChar w:fldCharType="separate"/>
      </w:r>
      <w:r w:rsidR="0080031C">
        <w:t xml:space="preserve">Table </w:t>
      </w:r>
      <w:r w:rsidR="0080031C">
        <w:rPr>
          <w:noProof/>
        </w:rPr>
        <w:t>17</w:t>
      </w:r>
      <w:r w:rsidR="0080031C">
        <w:noBreakHyphen/>
      </w:r>
      <w:r w:rsidR="0080031C">
        <w:rPr>
          <w:noProof/>
        </w:rPr>
        <w:t>1</w:t>
      </w:r>
      <w:r>
        <w:rPr>
          <w:highlight w:val="yellow"/>
        </w:rPr>
        <w:fldChar w:fldCharType="end"/>
      </w:r>
      <w:r>
        <w:t xml:space="preserve"> for further information.</w:t>
      </w:r>
    </w:p>
    <w:p w14:paraId="48B2EC5A" w14:textId="0F2A3EC6" w:rsidR="00FF6F90" w:rsidRDefault="00FF6F90" w:rsidP="001B6C1A">
      <w:r>
        <w:t xml:space="preserve">Further, there are existing management frameworks to manage the impacts of domestic dogs in coastal environments. State-appointed independent land management authorities are responsible for large areas of coastline around the Bellarine Peninsula. These authorities develop dog orders for these coastal areas. Geelong City Council is then responsible for patrolling and enforcing dog orders. Dog orders include seasonal dog orders to protect endangered wildlife and coastal nesting birds </w:t>
      </w:r>
      <w:sdt>
        <w:sdtPr>
          <w:rPr>
            <w:color w:val="000000"/>
          </w:rPr>
          <w:tag w:val="MENDELEY_CITATION_v3_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"/>
          <w:id w:val="-426496111"/>
          <w:placeholder>
            <w:docPart w:val="DefaultPlaceholder_-1854013440"/>
          </w:placeholder>
        </w:sdtPr>
        <w:sdtContent>
          <w:r w:rsidR="007E7CCC" w:rsidRPr="007E7CCC">
            <w:rPr>
              <w:color w:val="000000"/>
            </w:rPr>
            <w:t>(The City of Greater Geelong, 2022)</w:t>
          </w:r>
        </w:sdtContent>
      </w:sdt>
      <w:r>
        <w:t xml:space="preserve">. </w:t>
      </w:r>
    </w:p>
    <w:p w14:paraId="13220AF8" w14:textId="08059E65" w:rsidR="00FF6F90" w:rsidRDefault="00FF6F90" w:rsidP="001B6C1A">
      <w:pPr>
        <w:pStyle w:val="Caption"/>
      </w:pPr>
      <w:bookmarkStart w:id="23" w:name="_Ref116028510"/>
      <w:bookmarkStart w:id="24" w:name="_Toc134706952"/>
      <w:r>
        <w:t xml:space="preserve">Table </w:t>
      </w:r>
      <w:r>
        <w:fldChar w:fldCharType="begin"/>
      </w:r>
      <w:r>
        <w:instrText xml:space="preserve"> STYLEREF 1 \s </w:instrText>
      </w:r>
      <w:r>
        <w:fldChar w:fldCharType="separate"/>
      </w:r>
      <w:r w:rsidR="0080031C">
        <w:rPr>
          <w:noProof/>
        </w:rPr>
        <w:t>17</w:t>
      </w:r>
      <w:r>
        <w:fldChar w:fldCharType="end"/>
      </w:r>
      <w:r>
        <w:noBreakHyphen/>
      </w:r>
      <w:r>
        <w:fldChar w:fldCharType="begin"/>
      </w:r>
      <w:r>
        <w:instrText xml:space="preserve"> SEQ Table \* ARABIC \s 1 </w:instrText>
      </w:r>
      <w:r>
        <w:fldChar w:fldCharType="separate"/>
      </w:r>
      <w:r w:rsidR="0080031C">
        <w:rPr>
          <w:noProof/>
        </w:rPr>
        <w:t>1</w:t>
      </w:r>
      <w:r>
        <w:fldChar w:fldCharType="end"/>
      </w:r>
      <w:bookmarkEnd w:id="23"/>
      <w:r>
        <w:t>: Sites within the Geelong region with existing management in place to minimise human disturbance</w:t>
      </w:r>
      <w:bookmarkEnd w:id="24"/>
    </w:p>
    <w:tbl>
      <w:tblPr>
        <w:tblStyle w:val="TableGrid"/>
        <w:tblW w:w="5000" w:type="pct"/>
        <w:tblLook w:val="04A0" w:firstRow="1" w:lastRow="0" w:firstColumn="1" w:lastColumn="0" w:noHBand="0" w:noVBand="1"/>
      </w:tblPr>
      <w:tblGrid>
        <w:gridCol w:w="1242"/>
        <w:gridCol w:w="3856"/>
        <w:gridCol w:w="4524"/>
      </w:tblGrid>
      <w:tr w:rsidR="00FF6F90" w:rsidRPr="00A24D0E" w14:paraId="44C59747" w14:textId="77777777" w:rsidTr="007A30E6">
        <w:trPr>
          <w:tblHeader/>
        </w:trPr>
        <w:tc>
          <w:tcPr>
            <w:tcW w:w="645" w:type="pct"/>
            <w:shd w:val="clear" w:color="auto" w:fill="D0CECE" w:themeFill="background2" w:themeFillShade="E6"/>
            <w:vAlign w:val="center"/>
          </w:tcPr>
          <w:p w14:paraId="1C0B9081" w14:textId="77777777" w:rsidR="00FF6F90" w:rsidRPr="00A24D0E" w:rsidRDefault="00FF6F90" w:rsidP="007A30E6">
            <w:pPr>
              <w:pStyle w:val="Tabletext"/>
              <w:rPr>
                <w:b/>
                <w:bCs/>
              </w:rPr>
            </w:pPr>
            <w:r>
              <w:rPr>
                <w:b/>
                <w:bCs/>
              </w:rPr>
              <w:t>Site</w:t>
            </w:r>
          </w:p>
        </w:tc>
        <w:tc>
          <w:tcPr>
            <w:tcW w:w="2004" w:type="pct"/>
            <w:shd w:val="clear" w:color="auto" w:fill="D0CECE" w:themeFill="background2" w:themeFillShade="E6"/>
            <w:vAlign w:val="center"/>
          </w:tcPr>
          <w:p w14:paraId="02B3787D" w14:textId="77777777" w:rsidR="00FF6F90" w:rsidRPr="00A24D0E" w:rsidRDefault="00FF6F90" w:rsidP="007A30E6">
            <w:pPr>
              <w:pStyle w:val="Tabletext"/>
              <w:rPr>
                <w:b/>
                <w:bCs/>
              </w:rPr>
            </w:pPr>
            <w:r>
              <w:rPr>
                <w:b/>
                <w:bCs/>
              </w:rPr>
              <w:t>Site location and description</w:t>
            </w:r>
          </w:p>
        </w:tc>
        <w:tc>
          <w:tcPr>
            <w:tcW w:w="2351" w:type="pct"/>
            <w:shd w:val="clear" w:color="auto" w:fill="D0CECE" w:themeFill="background2" w:themeFillShade="E6"/>
            <w:vAlign w:val="center"/>
          </w:tcPr>
          <w:p w14:paraId="3A21FBCC" w14:textId="77777777" w:rsidR="00FF6F90" w:rsidRPr="00A24D0E" w:rsidRDefault="00FF6F90" w:rsidP="007A30E6">
            <w:pPr>
              <w:pStyle w:val="Tabletext"/>
              <w:rPr>
                <w:b/>
                <w:bCs/>
              </w:rPr>
            </w:pPr>
            <w:r w:rsidRPr="00A24D0E">
              <w:rPr>
                <w:b/>
                <w:bCs/>
              </w:rPr>
              <w:t>Existing management</w:t>
            </w:r>
          </w:p>
        </w:tc>
      </w:tr>
      <w:tr w:rsidR="00FF6F90" w14:paraId="4A7FC8C7" w14:textId="77777777" w:rsidTr="007A30E6">
        <w:tc>
          <w:tcPr>
            <w:tcW w:w="645" w:type="pct"/>
            <w:vAlign w:val="center"/>
          </w:tcPr>
          <w:p w14:paraId="6B496B49" w14:textId="77777777" w:rsidR="00FF6F90" w:rsidRDefault="00FF6F90" w:rsidP="007A30E6">
            <w:pPr>
              <w:pStyle w:val="Tabletext"/>
            </w:pPr>
            <w:r>
              <w:t xml:space="preserve">Limeburners Lagoon Flora and Fauna Reserve </w:t>
            </w:r>
          </w:p>
        </w:tc>
        <w:tc>
          <w:tcPr>
            <w:tcW w:w="2004" w:type="pct"/>
            <w:vAlign w:val="center"/>
          </w:tcPr>
          <w:p w14:paraId="7AA5D051" w14:textId="77777777" w:rsidR="00FF6F90" w:rsidRDefault="00FF6F90" w:rsidP="007A30E6">
            <w:pPr>
              <w:pStyle w:val="Tabletext"/>
            </w:pPr>
            <w:r>
              <w:t>This reserve is located within Limeburners Bay and is part of the Port Phillip Bay (Western Shoreline) and Bellarine Peninsula Ramsar site. It is part of a broad, sandy estuarine inlet, with shallow tidal water. The inlet supports shoreline, sandy spit and seagrass environments.</w:t>
            </w:r>
          </w:p>
        </w:tc>
        <w:tc>
          <w:tcPr>
            <w:tcW w:w="2351" w:type="pct"/>
            <w:vAlign w:val="center"/>
          </w:tcPr>
          <w:p w14:paraId="4635BCEB" w14:textId="77777777" w:rsidR="00FF6F90" w:rsidRDefault="00FF6F90" w:rsidP="007A30E6">
            <w:pPr>
              <w:pStyle w:val="Tabletext"/>
            </w:pPr>
            <w:r>
              <w:t>This reserve is managed in partnership by the City and Parks Victoria.</w:t>
            </w:r>
          </w:p>
          <w:p w14:paraId="169D6934" w14:textId="77777777" w:rsidR="00FF6F90" w:rsidRDefault="00FF6F90" w:rsidP="007A30E6">
            <w:pPr>
              <w:pStyle w:val="Tabletext"/>
            </w:pPr>
            <w:r>
              <w:t>The following are not permitted: dogs, cats, other pets, horses, bicycles, fires, firearms, and vehicles (excluding management vehicles).</w:t>
            </w:r>
          </w:p>
          <w:sdt>
            <w:sdtPr>
              <w:rPr>
                <w:color w:val="000000"/>
              </w:rPr>
              <w:tag w:val="MENDELEY_CITATION_v3_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pbWVidXJuZXJzLWJheS13aWxkbGlmZS1yZXNlcnZlIiwiaXNzdWVkIjp7ImRhdGUtcGFydHMiOltbMjAyMl1dfSwiY29udGFpbmVyLXRpdGxlLXNob3J0IjoiIn0sImlzVGVtcG9yYXJ5IjpmYWxzZX1dfQ=="/>
              <w:id w:val="287718587"/>
              <w:placeholder>
                <w:docPart w:val="DefaultPlaceholder_-1854013440"/>
              </w:placeholder>
            </w:sdtPr>
            <w:sdtContent>
              <w:p w14:paraId="2FD99D99" w14:textId="20B50DFE" w:rsidR="00FF6F90" w:rsidRDefault="007E7CCC" w:rsidP="007A30E6">
                <w:pPr>
                  <w:pStyle w:val="Tabletext"/>
                </w:pPr>
                <w:r w:rsidRPr="007E7CCC">
                  <w:rPr>
                    <w:color w:val="000000"/>
                  </w:rPr>
                  <w:t>(Parks Victoria, 2022b)</w:t>
                </w:r>
              </w:p>
            </w:sdtContent>
          </w:sdt>
        </w:tc>
      </w:tr>
      <w:tr w:rsidR="00FF6F90" w14:paraId="689E2ACF" w14:textId="77777777" w:rsidTr="007A30E6">
        <w:tc>
          <w:tcPr>
            <w:tcW w:w="645" w:type="pct"/>
            <w:vAlign w:val="center"/>
          </w:tcPr>
          <w:p w14:paraId="23465E19" w14:textId="77777777" w:rsidR="00FF6F90" w:rsidRDefault="00FF6F90" w:rsidP="007A30E6">
            <w:pPr>
              <w:pStyle w:val="Tabletext"/>
            </w:pPr>
            <w:r>
              <w:t>Lake Connewarre Wildlife Reserve</w:t>
            </w:r>
          </w:p>
        </w:tc>
        <w:tc>
          <w:tcPr>
            <w:tcW w:w="2004" w:type="pct"/>
            <w:vAlign w:val="center"/>
          </w:tcPr>
          <w:p w14:paraId="5D94BCD2" w14:textId="77777777" w:rsidR="00FF6F90" w:rsidRDefault="00FF6F90" w:rsidP="007A30E6">
            <w:pPr>
              <w:pStyle w:val="Tabletext"/>
            </w:pPr>
            <w:r>
              <w:t>This reserve is located within the Lake Connewarre Complex and is part of the Port Phillip Bay (Western Shoreline) and Bellarine Peninsula Ramsar site. It is a large, shallow estuarine lagoon, and contains a diverse range of wetlands and vegetation including mangroves and saltmarsh communities.</w:t>
            </w:r>
          </w:p>
        </w:tc>
        <w:tc>
          <w:tcPr>
            <w:tcW w:w="2351" w:type="pct"/>
            <w:vAlign w:val="center"/>
          </w:tcPr>
          <w:p w14:paraId="2E1CB907" w14:textId="77777777" w:rsidR="00FF6F90" w:rsidRDefault="00FF6F90" w:rsidP="007A30E6">
            <w:pPr>
              <w:pStyle w:val="Tabletext"/>
            </w:pPr>
            <w:r>
              <w:t>This reserve is managed by Parks Victoria.</w:t>
            </w:r>
          </w:p>
          <w:p w14:paraId="1EF31B3C" w14:textId="77777777" w:rsidR="00FF6F90" w:rsidRDefault="00FF6F90" w:rsidP="007A30E6">
            <w:pPr>
              <w:pStyle w:val="Tabletext"/>
            </w:pPr>
            <w:r>
              <w:t xml:space="preserve">The reserve is large and has variable restrictions in different areas of the reserve. </w:t>
            </w:r>
          </w:p>
          <w:p w14:paraId="6F689088" w14:textId="77777777" w:rsidR="00FF6F90" w:rsidRDefault="00FF6F90" w:rsidP="007A30E6">
            <w:pPr>
              <w:pStyle w:val="Tabletext"/>
            </w:pPr>
            <w:r>
              <w:t>Dogs are permitted on a leash in some locations and are prohibited in other areas.</w:t>
            </w:r>
          </w:p>
          <w:p w14:paraId="197D930A" w14:textId="77777777" w:rsidR="00FF6F90" w:rsidRDefault="00FF6F90" w:rsidP="007A30E6">
            <w:pPr>
              <w:pStyle w:val="Tabletext"/>
            </w:pPr>
            <w:r>
              <w:t>The following are prohibited in some areas, yet permitted in other areas: horses, vehicles (excluding management vehicles), firearms, camping, and generators.</w:t>
            </w:r>
          </w:p>
          <w:p w14:paraId="017EB430" w14:textId="77777777" w:rsidR="00FF6F90" w:rsidRDefault="00FF6F90" w:rsidP="007A30E6">
            <w:pPr>
              <w:pStyle w:val="Tabletext"/>
            </w:pPr>
            <w:r>
              <w:t>Fires are prohibited and boating zones apply throughout the reserve.</w:t>
            </w:r>
          </w:p>
          <w:sdt>
            <w:sdtPr>
              <w:rPr>
                <w:color w:val="000000"/>
              </w:rPr>
              <w:tag w:val="MENDELEY_CITATION_v3_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vd2VyLWJhcndvbi1yaXZlci0tLXNoZWVwd2FzaCIsImlzc3VlZCI6eyJkYXRlLXBhcnRzIjpbWzIwMjJdXX0sImNvbnRhaW5lci10aXRsZS1zaG9ydCI6IiJ9LCJpc1RlbXBvcmFyeSI6ZmFsc2V9LHsiaWQiOiIyMWMxY2UwNC02MTFmLTNmMjktYmIxZC1iMjhiNjIzMWRiNmYiLCJpdGVtRGF0YSI6eyJ0eXBlIjoiYXJ0aWNsZSIsImlkIjoiMjFjMWNlMDQtNjExZi0zZjI5LWJiMWQtYjI4YjYyMzFkYjZmIiwidGl0bGUiOiJMaW1lYnVybmVycyBCYXkgV2lsZGxpZmUgUmVzZXJ2ZSAoTGltZWJ1cm5lcnMgTGFnb29uIChIb3ZlbGxzIENyZWVrKSBGbG9yYSBhbmQgRmF1bmE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pbWVidXJuZXJzLWJheS13aWxkbGlmZS1yZXNlcnZlIiwiaXNzdWVkIjp7ImRhdGUtcGFydHMiOltbMjAyMl1dfSwiY29udGFpbmVyLXRpdGxlLXNob3J0IjoiIn0sImlzVGVtcG9yYXJ5IjpmYWxzZX0seyJpZCI6ImQyZWZlNGVhLWU2MGQtM2I1Ni1hNTRjLTU5OWRmNmI2NDNiNyIsIml0ZW1EYXRhIjp7InR5cGUiOiJhcnRpY2xlIiwiaWQiOiJkMmVmZTRlYS1lNjBkLTNiNTYtYTU0Yy01OTlkZjZiNjQzYjciLCJ0aXRsZSI6Ikxvd2VyIEJhcndvbiBSaXZlciAtIE1pbmFoIFN0cmVldCBEYXkgVmlzaXRvciBBcmVhIChMYWtlIENvbm5ld2FycmUgV2lsZGxpZmU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"/>
              <w:id w:val="305291356"/>
              <w:placeholder>
                <w:docPart w:val="DefaultPlaceholder_-1854013440"/>
              </w:placeholder>
            </w:sdtPr>
            <w:sdtContent>
              <w:p w14:paraId="74D348D6" w14:textId="013EE607" w:rsidR="00FF6F90" w:rsidRDefault="007E7CCC" w:rsidP="007A30E6">
                <w:pPr>
                  <w:pStyle w:val="Tabletext"/>
                </w:pPr>
                <w:r w:rsidRPr="007E7CCC">
                  <w:rPr>
                    <w:color w:val="000000"/>
                  </w:rPr>
                  <w:t>(Parks Victoria, 2022d, 2022b, 2022c, 2022e, 2022a)</w:t>
                </w:r>
              </w:p>
            </w:sdtContent>
          </w:sdt>
        </w:tc>
      </w:tr>
      <w:tr w:rsidR="00FF6F90" w14:paraId="48FE81BB" w14:textId="77777777" w:rsidTr="007A30E6">
        <w:tc>
          <w:tcPr>
            <w:tcW w:w="645" w:type="pct"/>
            <w:vAlign w:val="center"/>
          </w:tcPr>
          <w:p w14:paraId="16DD3054" w14:textId="77777777" w:rsidR="00FF6F90" w:rsidRDefault="00FF6F90" w:rsidP="007A30E6">
            <w:pPr>
              <w:pStyle w:val="Tabletext"/>
            </w:pPr>
            <w:r>
              <w:t xml:space="preserve">The Spit Wildlife Reserve </w:t>
            </w:r>
          </w:p>
        </w:tc>
        <w:tc>
          <w:tcPr>
            <w:tcW w:w="2004" w:type="pct"/>
            <w:vAlign w:val="center"/>
          </w:tcPr>
          <w:p w14:paraId="3E93B3EC" w14:textId="77777777" w:rsidR="00FF6F90" w:rsidRDefault="00FF6F90" w:rsidP="007A30E6">
            <w:pPr>
              <w:pStyle w:val="Tabletext"/>
            </w:pPr>
            <w:r>
              <w:t>This reserve is located within the Port Wilson area and is part of the Port Phillip Bay (Western Shoreline) and Bellarine Peninsula Ramsar site. It contains sand spits, a lagoon, mudflats and areas of saltmarsh.</w:t>
            </w:r>
          </w:p>
        </w:tc>
        <w:tc>
          <w:tcPr>
            <w:tcW w:w="2351" w:type="pct"/>
            <w:vAlign w:val="center"/>
          </w:tcPr>
          <w:p w14:paraId="436A416C" w14:textId="77777777" w:rsidR="00FF6F90" w:rsidRDefault="00FF6F90" w:rsidP="007A30E6">
            <w:pPr>
              <w:pStyle w:val="Tabletext"/>
            </w:pPr>
            <w:r>
              <w:t xml:space="preserve">This reserve is managed by Parks Victoria. </w:t>
            </w:r>
          </w:p>
          <w:p w14:paraId="5E5C9A29" w14:textId="77777777" w:rsidR="00FF6F90" w:rsidRDefault="00FF6F90" w:rsidP="007A30E6">
            <w:pPr>
              <w:pStyle w:val="Tabletext"/>
            </w:pPr>
            <w:r>
              <w:t>Public access to this reserve is partially restricted.</w:t>
            </w:r>
          </w:p>
          <w:p w14:paraId="2192ED24" w14:textId="41083179" w:rsidR="00FF6F90" w:rsidRDefault="00FF6F90" w:rsidP="007A30E6">
            <w:pPr>
              <w:pStyle w:val="Tabletext"/>
            </w:pPr>
            <w:r>
              <w:t xml:space="preserve">At publicly accessible sites, dogs and vehicles (excluding management vehicles) are prohibited. Boating zones also apply </w:t>
            </w:r>
            <w:sdt>
              <w:sdtPr>
                <w:rPr>
                  <w:color w:val="000000"/>
                </w:rPr>
                <w:tag w:val="MENDELEY_CITATION_v3_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"/>
                <w:id w:val="1857841879"/>
                <w:placeholder>
                  <w:docPart w:val="DefaultPlaceholder_-1854013440"/>
                </w:placeholder>
              </w:sdtPr>
              <w:sdtContent>
                <w:r w:rsidR="007E7CCC" w:rsidRPr="007E7CCC">
                  <w:rPr>
                    <w:color w:val="000000"/>
                  </w:rPr>
                  <w:t>(Parks Victoria, 2022f)</w:t>
                </w:r>
              </w:sdtContent>
            </w:sdt>
            <w:r>
              <w:t>.</w:t>
            </w:r>
          </w:p>
          <w:p w14:paraId="1CA0342E" w14:textId="78EBFD83" w:rsidR="00FF6F90" w:rsidRDefault="00FF6F90" w:rsidP="007A30E6">
            <w:pPr>
              <w:pStyle w:val="Tabletext"/>
            </w:pPr>
            <w:r>
              <w:t xml:space="preserve">Public access to some areas of the reserve is restricted and require a permit from Melbourne Water as the site is adjacent to the Werribee Sewage Farm </w:t>
            </w:r>
            <w:sdt>
              <w:sdtPr>
                <w:rPr>
                  <w:color w:val="000000"/>
                </w:rPr>
                <w:tag w:val="MENDELEY_CITATION_v3_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"/>
                <w:id w:val="1378972390"/>
                <w:placeholder>
                  <w:docPart w:val="DefaultPlaceholder_-1854013440"/>
                </w:placeholder>
              </w:sdtPr>
              <w:sdtContent>
                <w:r w:rsidR="007E7CCC" w:rsidRPr="007E7CCC">
                  <w:rPr>
                    <w:color w:val="000000"/>
                  </w:rPr>
                  <w:t>(Conservation Volunteers Australia, 2022)</w:t>
                </w:r>
              </w:sdtContent>
            </w:sdt>
            <w:r>
              <w:t>.</w:t>
            </w:r>
          </w:p>
        </w:tc>
      </w:tr>
      <w:tr w:rsidR="00FF6F90" w14:paraId="5A5D4442" w14:textId="77777777" w:rsidTr="007A30E6">
        <w:tc>
          <w:tcPr>
            <w:tcW w:w="645" w:type="pct"/>
            <w:vAlign w:val="center"/>
          </w:tcPr>
          <w:p w14:paraId="66C3C58A" w14:textId="77777777" w:rsidR="00FF6F90" w:rsidRDefault="00FF6F90" w:rsidP="007A30E6">
            <w:pPr>
              <w:pStyle w:val="Tabletext"/>
            </w:pPr>
            <w:r>
              <w:t>Breamlea Flora and Fauna Reserve</w:t>
            </w:r>
          </w:p>
        </w:tc>
        <w:tc>
          <w:tcPr>
            <w:tcW w:w="2004" w:type="pct"/>
            <w:vAlign w:val="center"/>
          </w:tcPr>
          <w:p w14:paraId="7F7E1A78" w14:textId="77777777" w:rsidR="00FF6F90" w:rsidRDefault="00FF6F90" w:rsidP="007A30E6">
            <w:pPr>
              <w:pStyle w:val="Tabletext"/>
            </w:pPr>
            <w:r>
              <w:t>This reserve is located in the south of the Study Area associated with Thompson Creek. It supports saltmarshes and coastal dune environments.</w:t>
            </w:r>
          </w:p>
        </w:tc>
        <w:tc>
          <w:tcPr>
            <w:tcW w:w="2351" w:type="pct"/>
            <w:vAlign w:val="center"/>
          </w:tcPr>
          <w:p w14:paraId="23CA578B" w14:textId="4A6E3431" w:rsidR="00FF6F90" w:rsidRDefault="00FF6F90" w:rsidP="007A30E6">
            <w:pPr>
              <w:pStyle w:val="Tabletext"/>
            </w:pPr>
            <w:r>
              <w:t xml:space="preserve">This reserve is managed by Parks Victoria </w:t>
            </w:r>
            <w:sdt>
              <w:sdtPr>
                <w:rPr>
                  <w:color w:val="000000"/>
                </w:rPr>
                <w:tag w:val="MENDELEY_CITATION_v3_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"/>
                <w:id w:val="1646091581"/>
                <w:placeholder>
                  <w:docPart w:val="DefaultPlaceholder_-1854013440"/>
                </w:placeholder>
              </w:sdtPr>
              <w:sdtContent>
                <w:r w:rsidR="007E7CCC" w:rsidRPr="007E7CCC">
                  <w:rPr>
                    <w:color w:val="000000"/>
                  </w:rPr>
                  <w:t>(The Breamlea Association, 2016)</w:t>
                </w:r>
              </w:sdtContent>
            </w:sdt>
            <w:r>
              <w:t>.</w:t>
            </w:r>
          </w:p>
          <w:p w14:paraId="248D4358" w14:textId="09D7E792" w:rsidR="00FF6F90" w:rsidRDefault="00FF6F90" w:rsidP="007A30E6">
            <w:pPr>
              <w:pStyle w:val="Tabletext"/>
            </w:pPr>
            <w:r>
              <w:t xml:space="preserve">Dogs are not permitted within the reserve </w:t>
            </w:r>
            <w:sdt>
              <w:sdtPr>
                <w:rPr>
                  <w:color w:val="000000"/>
                </w:rPr>
                <w:tag w:val="MENDELEY_CITATION_v3_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"/>
                <w:id w:val="-80909956"/>
                <w:placeholder>
                  <w:docPart w:val="DefaultPlaceholder_-1854013440"/>
                </w:placeholder>
              </w:sdtPr>
              <w:sdtContent>
                <w:r w:rsidR="007E7CCC" w:rsidRPr="007E7CCC">
                  <w:rPr>
                    <w:color w:val="000000"/>
                  </w:rPr>
                  <w:t>(The Breamlea Association, 2016)</w:t>
                </w:r>
              </w:sdtContent>
            </w:sdt>
            <w:r>
              <w:t>.</w:t>
            </w:r>
          </w:p>
        </w:tc>
      </w:tr>
      <w:tr w:rsidR="00FF6F90" w14:paraId="2CDBC97D" w14:textId="77777777" w:rsidTr="007A30E6">
        <w:tc>
          <w:tcPr>
            <w:tcW w:w="645" w:type="pct"/>
            <w:vAlign w:val="center"/>
          </w:tcPr>
          <w:p w14:paraId="47108825" w14:textId="77777777" w:rsidR="00FF6F90" w:rsidRDefault="00FF6F90" w:rsidP="007A30E6">
            <w:pPr>
              <w:pStyle w:val="Tabletext"/>
            </w:pPr>
            <w:r>
              <w:lastRenderedPageBreak/>
              <w:t>‘Wetlands and Former Saltworks Precinct’ within the Moolap Coastal Strategic Framework Plan</w:t>
            </w:r>
          </w:p>
        </w:tc>
        <w:tc>
          <w:tcPr>
            <w:tcW w:w="2004" w:type="pct"/>
            <w:vAlign w:val="center"/>
          </w:tcPr>
          <w:p w14:paraId="6043CA0F" w14:textId="77777777" w:rsidR="00FF6F90" w:rsidRDefault="00FF6F90" w:rsidP="007A30E6">
            <w:pPr>
              <w:pStyle w:val="Tabletext"/>
            </w:pPr>
            <w:r>
              <w:t>The Moolap Coastal Strategic Plan outlines the management objectives and strategies for the Moolap area. The area covered by the Strategic Plan includes the Moolap IBA, in addition to areas of land outside of the IBA.</w:t>
            </w:r>
          </w:p>
          <w:p w14:paraId="23AB7A64" w14:textId="77777777" w:rsidR="00FF6F90" w:rsidRDefault="00FF6F90" w:rsidP="007A30E6">
            <w:pPr>
              <w:pStyle w:val="Tabletext"/>
            </w:pPr>
            <w:r>
              <w:t>The majority of the Moolap IBA is located in the ‘Wetlands and Former Saltworks Precinct’ of the Strategic Plan.</w:t>
            </w:r>
          </w:p>
          <w:p w14:paraId="0483191C" w14:textId="77777777" w:rsidR="00FF6F90" w:rsidRDefault="00FF6F90" w:rsidP="007A30E6">
            <w:pPr>
              <w:pStyle w:val="Tabletext"/>
            </w:pPr>
            <w:r>
              <w:t>The area includes salt pans separated by bunds (from a former saltworks) which is used as a feeding location by many migratory birds. Seagrass meadows occur in the shallow bay area adjacent to the salt bunds.</w:t>
            </w:r>
          </w:p>
        </w:tc>
        <w:tc>
          <w:tcPr>
            <w:tcW w:w="2351" w:type="pct"/>
            <w:vAlign w:val="center"/>
          </w:tcPr>
          <w:p w14:paraId="3467054A" w14:textId="77777777" w:rsidR="00FF6F90" w:rsidRDefault="00FF6F90" w:rsidP="007A30E6">
            <w:pPr>
              <w:pStyle w:val="Tabletext"/>
            </w:pPr>
            <w:r>
              <w:t>The overarching goal for the Precinct is that the area be managed and coordinated to prioritise environmental outcomes and to respond to existing values and risks.</w:t>
            </w:r>
          </w:p>
          <w:p w14:paraId="6F42B19C" w14:textId="77777777" w:rsidR="00FF6F90" w:rsidRDefault="00FF6F90" w:rsidP="007A30E6">
            <w:pPr>
              <w:pStyle w:val="Tabletext"/>
            </w:pPr>
            <w:r>
              <w:t>With regards to disturbance management, the Strategic Plan contains a range of strategies, including:</w:t>
            </w:r>
          </w:p>
          <w:p w14:paraId="6CA4A3AE" w14:textId="77777777" w:rsidR="00FF6F90" w:rsidRDefault="00FF6F90" w:rsidP="007A30E6">
            <w:pPr>
              <w:pStyle w:val="Bullet1"/>
            </w:pPr>
            <w:r>
              <w:t>Facilitating while managing public access to enable recreation and passive enjoyment of the area while conserving environmental values</w:t>
            </w:r>
          </w:p>
          <w:p w14:paraId="03284DB7" w14:textId="77777777" w:rsidR="00FF6F90" w:rsidRDefault="00FF6F90" w:rsidP="007A30E6">
            <w:pPr>
              <w:pStyle w:val="Bullet1"/>
            </w:pPr>
            <w:r>
              <w:t>Avoiding and managing risks of domestic animals entering conservation areas</w:t>
            </w:r>
          </w:p>
          <w:p w14:paraId="3C3A1091" w14:textId="77777777" w:rsidR="00FF6F90" w:rsidRDefault="00FF6F90" w:rsidP="007A30E6">
            <w:pPr>
              <w:pStyle w:val="Bullet1"/>
            </w:pPr>
            <w:r>
              <w:t>Avoiding boating and marine infrastructure where it would impact ecological values</w:t>
            </w:r>
          </w:p>
          <w:sdt>
            <w:sdtPr>
              <w:rPr>
                <w:color w:val="000000"/>
              </w:rPr>
              <w:tag w:val="MENDELEY_CITATION_v3_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"/>
              <w:id w:val="-1440674347"/>
              <w:placeholder>
                <w:docPart w:val="DefaultPlaceholder_-1854013440"/>
              </w:placeholder>
            </w:sdtPr>
            <w:sdtContent>
              <w:p w14:paraId="1A9A4F2A" w14:textId="67F42A87" w:rsidR="00FF6F90" w:rsidRDefault="007E7CCC" w:rsidP="007A30E6">
                <w:pPr>
                  <w:pStyle w:val="Tabletext"/>
                </w:pPr>
                <w:r w:rsidRPr="007E7CCC">
                  <w:rPr>
                    <w:color w:val="000000"/>
                  </w:rPr>
                  <w:t>(DELWP, 2019)</w:t>
                </w:r>
              </w:p>
            </w:sdtContent>
          </w:sdt>
        </w:tc>
      </w:tr>
    </w:tbl>
    <w:p w14:paraId="06CD81FA" w14:textId="77777777" w:rsidR="00FF6F90" w:rsidRDefault="00FF6F90" w:rsidP="0004729B">
      <w:pPr>
        <w:pStyle w:val="Heading4"/>
      </w:pPr>
      <w:r>
        <w:t>Additional measures to address indirect impacts to MNES</w:t>
      </w:r>
    </w:p>
    <w:p w14:paraId="150004D4" w14:textId="77777777" w:rsidR="00FF6F90" w:rsidRDefault="00FF6F90" w:rsidP="0004729B">
      <w:r>
        <w:t>These existing measures are considered adequate in addressing the potential indirect impacts of development on protected matters in relation to disturbance from increased public access to natural areas.</w:t>
      </w:r>
    </w:p>
    <w:p w14:paraId="3CC5E48D" w14:textId="77777777" w:rsidR="00FF6F90" w:rsidRPr="00566C6E" w:rsidRDefault="00FF6F90" w:rsidP="001B6C1A">
      <w:pPr>
        <w:pStyle w:val="Heading3"/>
      </w:pPr>
      <w:r>
        <w:t xml:space="preserve">Fauna mortality </w:t>
      </w:r>
      <w:r w:rsidRPr="00566C6E">
        <w:t>and barriers to movement</w:t>
      </w:r>
    </w:p>
    <w:p w14:paraId="0EDDBD28" w14:textId="77777777" w:rsidR="00FF6F90" w:rsidRPr="00566C6E" w:rsidRDefault="00FF6F90" w:rsidP="001B6C1A">
      <w:pPr>
        <w:pStyle w:val="Heading4"/>
      </w:pPr>
      <w:r w:rsidRPr="00566C6E">
        <w:t>Nature of existing threat in region</w:t>
      </w:r>
    </w:p>
    <w:p w14:paraId="6BAE6964" w14:textId="77777777" w:rsidR="00FF6F90" w:rsidRPr="00566C6E" w:rsidRDefault="00FF6F90" w:rsidP="001B6C1A">
      <w:r w:rsidRPr="00566C6E">
        <w:t>Roads and traffic can result in mortality through vehicle strikes. There are multiple existing roads within and adjacent to the Strategic Assessment Area. The busiest road is Geelong Ring Road, a dual carriageway road which occurs along the southern boundary of NGGA and eastern boundary of WGGA. Other roads include highways and main roads which link rural centres in the wider region, and local roads which provide access to existing agricultural enterprises and residences. Traffic also occurs off public roads on agricultural land within the Strategic Assessment Area. Overall, fauna mortality from vehicle strike is an existing threat within the Strategic Assessment Area.</w:t>
      </w:r>
    </w:p>
    <w:p w14:paraId="1D0E1492" w14:textId="77777777" w:rsidR="00FF6F90" w:rsidRDefault="00FF6F90" w:rsidP="001B6C1A">
      <w:r w:rsidRPr="00566C6E">
        <w:t xml:space="preserve">Roads and other linear structures such as fences and railways may also pose a threat to fauna by affecting fauna movements, </w:t>
      </w:r>
      <w:r>
        <w:t xml:space="preserve">either </w:t>
      </w:r>
      <w:r w:rsidRPr="00566C6E">
        <w:t xml:space="preserve">through preventing fauna movements or through discouraging fauna use of habitat due to disturbance. As outlined above, the Strategic Assessment Area already contains multiple roads. Fences are </w:t>
      </w:r>
      <w:r>
        <w:t xml:space="preserve">a </w:t>
      </w:r>
      <w:r w:rsidRPr="00566C6E">
        <w:t>further existing threat associated with existing agricultural land uses of the area. Overall, linear infrastructure that affects fauna movement is considered an existing threat within the Strategic Assessment Area.</w:t>
      </w:r>
    </w:p>
    <w:p w14:paraId="4037E69A" w14:textId="77777777" w:rsidR="00FF6F90" w:rsidRDefault="00FF6F90" w:rsidP="001B6C1A">
      <w:r>
        <w:t>Structures may cause fauna mortality. Examples include mortality from bird collisions with windows, or animals drowning in backyard pools. The Strategic Assessment Area includes existing agricultural and residential structures at a variable but mostly low density. This is therefore an existing threat within the Strategic Assessment Area. This threat is also present with greater severity in the wider landscape, particularly associated with existing urban, commercial, and industrial areas of Geelong.</w:t>
      </w:r>
    </w:p>
    <w:p w14:paraId="3B967950" w14:textId="77777777" w:rsidR="00FF6F90" w:rsidRDefault="00FF6F90" w:rsidP="001B6C1A">
      <w:r>
        <w:t>Mortality may also occur due to secondary poisoning associated with pest control. This is an existing threat within the Strategic Assessment Area, primarily associated with existing agricultural land uses.</w:t>
      </w:r>
    </w:p>
    <w:p w14:paraId="16B8C3F6" w14:textId="77777777" w:rsidR="00FF6F90" w:rsidRDefault="00FF6F90" w:rsidP="006957A9">
      <w:pPr>
        <w:pStyle w:val="Heading4"/>
      </w:pPr>
      <w:r>
        <w:t>Potential impact pathways associated with development under the Plan and identification of matters or areas of concern</w:t>
      </w:r>
    </w:p>
    <w:p w14:paraId="49427C4C" w14:textId="77777777" w:rsidR="00FF6F90" w:rsidRDefault="00FF6F90" w:rsidP="001B6C1A">
      <w:pPr>
        <w:rPr>
          <w:iCs/>
        </w:rPr>
      </w:pPr>
      <w:r>
        <w:rPr>
          <w:iCs/>
        </w:rPr>
        <w:t xml:space="preserve">Development under the Plan may increase the risk of fauna mortality associated with vehicle strikes within the Strategic Assessment Area. While this is an existing threat within the Strategic Assessment Area, the Plan will result in an increase in traffic density within this area associated with population density increases. The threat of fauna mortality associated with vehicle strikes under the Plan is a long-term threat and will gradually increase over the life of the Plan as the Growth Areas are developed and occupied. The areas which are of most concern with regards to vehicle strike are those in proximity to the NGGA and </w:t>
      </w:r>
      <w:r w:rsidRPr="00FE4BB3">
        <w:rPr>
          <w:iCs/>
        </w:rPr>
        <w:t xml:space="preserve">Cowies Creek </w:t>
      </w:r>
      <w:r>
        <w:rPr>
          <w:iCs/>
        </w:rPr>
        <w:t>Conservation Areas that will be established under the Plan.</w:t>
      </w:r>
    </w:p>
    <w:p w14:paraId="16A757D6" w14:textId="77777777" w:rsidR="00FF6F90" w:rsidRDefault="00FF6F90" w:rsidP="001B6C1A">
      <w:pPr>
        <w:rPr>
          <w:iCs/>
        </w:rPr>
      </w:pPr>
      <w:r>
        <w:rPr>
          <w:iCs/>
        </w:rPr>
        <w:lastRenderedPageBreak/>
        <w:t xml:space="preserve">It is unlikely that the Plan would result in an increased threat of vehicle strikes within the wider Study Area. This is because there is already a high traffic density associated with the large existing population of Geelong, combined with the large numbers of visitors to the region. </w:t>
      </w:r>
    </w:p>
    <w:p w14:paraId="2CE1799F" w14:textId="77777777" w:rsidR="00FF6F90" w:rsidRPr="0060584B" w:rsidRDefault="00FF6F90" w:rsidP="008363CC">
      <w:r>
        <w:rPr>
          <w:iCs/>
        </w:rPr>
        <w:t>The Plan has the potential to exacerbate impacts to fauna movement by linear infrastructure within the Strategic Assessment Area by increasing the level of disturbance associated with existing linear infrastructure (e.g. through increasing traffic density on existing roads).</w:t>
      </w:r>
    </w:p>
    <w:p w14:paraId="61038A2C" w14:textId="77777777" w:rsidR="00FF6F90" w:rsidRDefault="00FF6F90" w:rsidP="001B6C1A">
      <w:r>
        <w:t>Impacts to fauna movement from linear infrastructure will occur over the long term and will gradually increase under the Plan as development progresses. Key areas of impact are areas of infrastructure development outside of the Growth Areas. It is unlikely that the Plan will exacerbate this threat across the wider Study Area given the existing high population density of the region and the existing levels of infrastructure development.</w:t>
      </w:r>
    </w:p>
    <w:p w14:paraId="5FD8A9C7" w14:textId="77777777" w:rsidR="00FF6F90" w:rsidRDefault="00FF6F90" w:rsidP="001B6C1A">
      <w:pPr>
        <w:rPr>
          <w:iCs/>
        </w:rPr>
      </w:pPr>
      <w:r>
        <w:rPr>
          <w:iCs/>
        </w:rPr>
        <w:t>It is unlikely that the Plan would substantially increase the threat of mortality posed by new structures. This is because there is already a high density of similar development within the wider landscape. Further, none of the protected matters potentially impacted by the Plan are known to be threatened by mortality associated with the types of structures which will be constructed under the Plan.</w:t>
      </w:r>
    </w:p>
    <w:p w14:paraId="15F6116F" w14:textId="77777777" w:rsidR="00FF6F90" w:rsidRDefault="00FF6F90" w:rsidP="001B6C1A">
      <w:pPr>
        <w:rPr>
          <w:iCs/>
        </w:rPr>
      </w:pPr>
      <w:r>
        <w:rPr>
          <w:iCs/>
        </w:rPr>
        <w:t>It is also unlikely that the Plan would exacerbate the existing threat of mortality from secondary poisoning due to pest control. Given that the Strategic Assessment Area contains predominantly agricultural land, the use of chemical pest control in this area is considered an existing threat.</w:t>
      </w:r>
    </w:p>
    <w:p w14:paraId="1C079682" w14:textId="77777777" w:rsidR="00FF6F90" w:rsidRDefault="00FF6F90" w:rsidP="001B6C1A">
      <w:pPr>
        <w:pStyle w:val="Heading4"/>
      </w:pPr>
      <w:r>
        <w:t>Existing standard mitigation measures</w:t>
      </w:r>
    </w:p>
    <w:p w14:paraId="6A25C221" w14:textId="77777777" w:rsidR="00FF6F90" w:rsidRDefault="00FF6F90" w:rsidP="001B6C1A">
      <w:r w:rsidRPr="00C339E5">
        <w:t xml:space="preserve">The planning system has existing standard mitigation measures in place to address the risk of fauna mortality and barriers to movement from development. This includes a broad requirement that decision-making account for the impacts of development on fragmentation of habitat and assist in the establishment and protection of links between important areas of biodiversity (Clause 21.05-3). </w:t>
      </w:r>
    </w:p>
    <w:p w14:paraId="45956213" w14:textId="77777777" w:rsidR="00FF6F90" w:rsidRPr="00783DDF" w:rsidRDefault="00FF6F90" w:rsidP="001B6C1A">
      <w:r w:rsidRPr="00C339E5">
        <w:t xml:space="preserve">The NWGGA Framework Plan also includes several mitigation-related actions relevant to addressing barriers to movement, including establishing the habitat corridors shown in Plan 9 and Plan 17 of the framework plan and establishing riparian reserves shown in Plan 7 of the framework plan. These mitigation-related actions will be further considered and given effect within each precinct as appropriate through the preparation of PSPs, which will be prepared in consideration of the framework plan. </w:t>
      </w:r>
    </w:p>
    <w:p w14:paraId="0EE056EF" w14:textId="77777777" w:rsidR="00FF6F90" w:rsidRDefault="00FF6F90" w:rsidP="00471726">
      <w:pPr>
        <w:pStyle w:val="Heading4"/>
      </w:pPr>
      <w:r>
        <w:t>Additional measures to address indirect impacts to MNES</w:t>
      </w:r>
    </w:p>
    <w:p w14:paraId="4F73D51B" w14:textId="77777777" w:rsidR="00FF6F90" w:rsidRDefault="00FF6F90" w:rsidP="00471726">
      <w:r>
        <w:t>These existing measures are considered adequate in addressing the potential indirect impacts of development on protected matters in relation to fauna mortality and barriers to movement.</w:t>
      </w:r>
    </w:p>
    <w:p w14:paraId="29C3552F" w14:textId="77777777" w:rsidR="00FF6F90" w:rsidRDefault="00FF6F90" w:rsidP="001B6C1A">
      <w:pPr>
        <w:pStyle w:val="Heading3"/>
      </w:pPr>
      <w:r>
        <w:t>Disturbance due to noise, dust, or light</w:t>
      </w:r>
    </w:p>
    <w:p w14:paraId="45A7C6E3" w14:textId="77777777" w:rsidR="00FF6F90" w:rsidRDefault="00FF6F90" w:rsidP="001B6C1A">
      <w:pPr>
        <w:pStyle w:val="Heading4"/>
      </w:pPr>
      <w:r>
        <w:t>Nature of existing threat in region</w:t>
      </w:r>
    </w:p>
    <w:p w14:paraId="5085D1FF" w14:textId="77777777" w:rsidR="00FF6F90" w:rsidRDefault="00FF6F90" w:rsidP="001B6C1A">
      <w:r>
        <w:t xml:space="preserve">Noise pollution is an existing yet variable threat across the Strategic Assessment Area. The Strategic Assessment Area mostly comprises agricultural land. Agricultural areas are generally quiet, although agricultural activities (such as operation of machinery or livestock management) have potential to produce sporadic noise. </w:t>
      </w:r>
    </w:p>
    <w:p w14:paraId="38D6142E" w14:textId="77777777" w:rsidR="00FF6F90" w:rsidRDefault="00FF6F90" w:rsidP="001B6C1A">
      <w:r>
        <w:t>Existing noise pollution is a greater threat in the south-east of the Strategic Assessment Area, associated with existing urban and residential development, and with major roads (such as Geelong Ring Road). In these areas, noise pollution is a more constant feature of the environment associated with current land uses. Noise pollution is also recognised as an existing threat in the wider region, primarily associated with existing urban, commercial and industrial development within Geelong.</w:t>
      </w:r>
    </w:p>
    <w:p w14:paraId="07D0FBCF" w14:textId="3E560059" w:rsidR="00FF6F90" w:rsidRDefault="00FF6F90" w:rsidP="001B6C1A">
      <w:r>
        <w:t xml:space="preserve">Dust is an existing threat within the Strategic Assessment Area due to agricultural practices. Agricultural activities within the Strategic Assessment Area have </w:t>
      </w:r>
      <w:r w:rsidR="00FD6EA7">
        <w:t xml:space="preserve">the </w:t>
      </w:r>
      <w:r>
        <w:t>potential to produce dust pollution in multiple ways. Examples include:</w:t>
      </w:r>
    </w:p>
    <w:p w14:paraId="7758F888" w14:textId="77777777" w:rsidR="00FF6F90" w:rsidRDefault="00FF6F90" w:rsidP="001B6C1A">
      <w:pPr>
        <w:pStyle w:val="Bullet1"/>
      </w:pPr>
      <w:r>
        <w:t>Reducing vegetation cover (via cropping or grazing)</w:t>
      </w:r>
    </w:p>
    <w:p w14:paraId="2B436C6C" w14:textId="77777777" w:rsidR="00FF6F90" w:rsidRDefault="00FF6F90" w:rsidP="001B6C1A">
      <w:pPr>
        <w:pStyle w:val="Bullet1"/>
      </w:pPr>
      <w:r>
        <w:t>Soil disturbance (e.g. via ploughing or earthworks)</w:t>
      </w:r>
    </w:p>
    <w:p w14:paraId="54A33E2E" w14:textId="77777777" w:rsidR="00FF6F90" w:rsidRDefault="00FF6F90" w:rsidP="001B6C1A">
      <w:pPr>
        <w:pStyle w:val="Bullet1"/>
      </w:pPr>
      <w:r>
        <w:t>Processing or moving agricultural produce (such as grain)</w:t>
      </w:r>
    </w:p>
    <w:p w14:paraId="1595477A" w14:textId="77777777" w:rsidR="00FF6F90" w:rsidRDefault="00FF6F90" w:rsidP="001B6C1A">
      <w:pPr>
        <w:pStyle w:val="Bullet1"/>
      </w:pPr>
      <w:r>
        <w:lastRenderedPageBreak/>
        <w:t>Movement of vehicles on unsealed farm roads</w:t>
      </w:r>
    </w:p>
    <w:p w14:paraId="1AE3C1DA" w14:textId="77777777" w:rsidR="00FF6F90" w:rsidRDefault="00FF6F90" w:rsidP="001B6C1A">
      <w:r>
        <w:t xml:space="preserve">Potential dust pollution within the Strategic Assessment is a variable threat, with the risk of dust increased during periods of drought. </w:t>
      </w:r>
    </w:p>
    <w:p w14:paraId="2E909A51" w14:textId="77777777" w:rsidR="00FF6F90" w:rsidRDefault="00FF6F90" w:rsidP="001B6C1A">
      <w:r>
        <w:t>There is some existing light pollution within the Strategic Assessment Area. Most of the Strategic Assessment Area comprises agricultural land, which generally has limited light production. Instead, light pollution is primarily associated with urban environments and busy roads in the south-east of the Strategic Assessment Area. In the wider Study Area, the city of Geelong produces substantial light pollution due to its wide areas of urban development.</w:t>
      </w:r>
    </w:p>
    <w:p w14:paraId="7C7CF242" w14:textId="77777777" w:rsidR="00FF6F90" w:rsidRDefault="00FF6F90" w:rsidP="006957A9">
      <w:pPr>
        <w:pStyle w:val="Heading4"/>
      </w:pPr>
      <w:r>
        <w:t>Potential impact pathways associated with development under the Plan and identification of matters or areas of concern</w:t>
      </w:r>
    </w:p>
    <w:p w14:paraId="6066D033" w14:textId="77777777" w:rsidR="00FF6F90" w:rsidRDefault="00FF6F90" w:rsidP="001B6C1A">
      <w:pPr>
        <w:rPr>
          <w:iCs/>
          <w:color w:val="000000" w:themeColor="text1"/>
        </w:rPr>
      </w:pPr>
      <w:r>
        <w:rPr>
          <w:iCs/>
          <w:color w:val="000000" w:themeColor="text1"/>
        </w:rPr>
        <w:t xml:space="preserve">Development under the Plan will result in increased noise pollution within the Strategic Assessment Area. The areas most at risk include areas adjacent to development within the Growth Areas, and infrastructure development outside the Growth Areas where infrastructure is noise generating (such as new roads). Increased noise pollution will be long term and will occur during both the construction and operational stages of development. </w:t>
      </w:r>
    </w:p>
    <w:p w14:paraId="634E290A" w14:textId="77777777" w:rsidR="00FF6F90" w:rsidRDefault="00FF6F90" w:rsidP="001B6C1A">
      <w:pPr>
        <w:rPr>
          <w:iCs/>
          <w:color w:val="000000" w:themeColor="text1"/>
        </w:rPr>
      </w:pPr>
      <w:r>
        <w:rPr>
          <w:iCs/>
          <w:color w:val="000000" w:themeColor="text1"/>
        </w:rPr>
        <w:t>However, the consequence of increased noise pollution within the Strategic Assessment Area will not be substantial. Firstly, noise pollution is an existing threat within the Strategic Assessment Area, as well as in the wider Study Area. Development under the Plan will therefore not result in the introduction of a novel threat to the region. Further, none of the protected matters which occur within the Strategic Assessment Area have noise pollution identified as a known threat. The potential for increased noise pollution under the Plan to negatively impact protected matters is therefore minimal.</w:t>
      </w:r>
    </w:p>
    <w:p w14:paraId="48894FC8" w14:textId="2E3C7A1E" w:rsidR="00FF6F90" w:rsidRDefault="00FF6F90" w:rsidP="001B6C1A">
      <w:pPr>
        <w:rPr>
          <w:iCs/>
          <w:color w:val="000000" w:themeColor="text1"/>
        </w:rPr>
      </w:pPr>
      <w:r>
        <w:rPr>
          <w:iCs/>
          <w:color w:val="000000" w:themeColor="text1"/>
        </w:rPr>
        <w:t xml:space="preserve">Development under the Plan will not increase the risk of dust pollution. Dust pollution is considered a substantial existing threat within the Strategic Assessment Area due to agricultural activities. The Plan may result in dust production during the construction phases of </w:t>
      </w:r>
      <w:r w:rsidR="00256283">
        <w:rPr>
          <w:iCs/>
          <w:color w:val="000000" w:themeColor="text1"/>
        </w:rPr>
        <w:t>development,</w:t>
      </w:r>
      <w:r>
        <w:rPr>
          <w:iCs/>
          <w:color w:val="000000" w:themeColor="text1"/>
        </w:rPr>
        <w:t xml:space="preserve"> and it will be important that CEMPs appropriately mitigate this risk. Further, the operational phase of the Plan is likely to result in an overall decrease in dust production, as an increase in hard surfaces within the Growth Areas would substantially reduce the area of exposed soil from which dust could be produced. </w:t>
      </w:r>
    </w:p>
    <w:p w14:paraId="56C67BC1" w14:textId="77777777" w:rsidR="00FF6F90" w:rsidRPr="00EC4EAE" w:rsidRDefault="00FF6F90" w:rsidP="009A6675">
      <w:pPr>
        <w:rPr>
          <w:iCs/>
          <w:color w:val="FF0000"/>
        </w:rPr>
      </w:pPr>
      <w:r>
        <w:rPr>
          <w:iCs/>
          <w:color w:val="000000" w:themeColor="text1"/>
        </w:rPr>
        <w:t>The Plan will increase light pollution within the Strategic Assessment Area at a local scale. The impact of increased lighting under the Plan will be long term. None of the protected matters which occur within the Strategic Assessment Area have noise pollution identified as a known threat.</w:t>
      </w:r>
    </w:p>
    <w:p w14:paraId="17867BA0" w14:textId="77777777" w:rsidR="00FF6F90" w:rsidRDefault="00FF6F90" w:rsidP="001B6C1A">
      <w:pPr>
        <w:rPr>
          <w:iCs/>
          <w:color w:val="000000" w:themeColor="text1"/>
        </w:rPr>
      </w:pPr>
      <w:r>
        <w:rPr>
          <w:iCs/>
          <w:color w:val="000000" w:themeColor="text1"/>
        </w:rPr>
        <w:t>There are multiple protected matters that occur within the Study Area which have potential to be impacted by light pollution at a landscape scale. Specifically, movement patters of migratory species protected under the EPBC Act can be affected by artificial light sources during migration. However, at a landscape scale, light pollution is an existing threat within the Study Area, and it is unlikely that the Plan would exacerbate this threat.</w:t>
      </w:r>
    </w:p>
    <w:p w14:paraId="1D415ACE" w14:textId="77777777" w:rsidR="00FF6F90" w:rsidRDefault="00FF6F90" w:rsidP="001B6C1A">
      <w:pPr>
        <w:pStyle w:val="Heading4"/>
      </w:pPr>
      <w:r>
        <w:t>Existing standard mitigation measures</w:t>
      </w:r>
    </w:p>
    <w:p w14:paraId="6F4554B8" w14:textId="77777777" w:rsidR="00FF6F90" w:rsidRDefault="00FF6F90" w:rsidP="001B6C1A">
      <w:r w:rsidRPr="003F186A">
        <w:t xml:space="preserve">The planning system has existing standard mitigation measures in place to address the potential impacts from noise, dust and light from development on fauna. This includes a requirement for subdivision applications to describe how the site will be managed prior to and during construction to protect the site and surrounding area from environmental degradation (Clause 56.08). The preparation of Construction Environmental Management Plans prior to the commencement of construction is included in the City's template of standard conditions, which will be applied by the City as a permit condition on development where appropriate. The Plan includes a commitment to continue to implement these standard mitigation measures to manage the indirect impacts of the development in accordance with the requirements of the Geelong Planning </w:t>
      </w:r>
      <w:r w:rsidRPr="00D50EDC">
        <w:t xml:space="preserve">Scheme </w:t>
      </w:r>
      <w:r w:rsidRPr="00B66932">
        <w:t>(Commitment 7).</w:t>
      </w:r>
      <w:r w:rsidRPr="003F186A">
        <w:t xml:space="preserve"> </w:t>
      </w:r>
    </w:p>
    <w:p w14:paraId="51D00669" w14:textId="77777777" w:rsidR="00FF6F90" w:rsidRDefault="00FF6F90" w:rsidP="00471726">
      <w:pPr>
        <w:pStyle w:val="Heading4"/>
      </w:pPr>
      <w:r>
        <w:t>Additional measures to address indirect impacts to MNES</w:t>
      </w:r>
    </w:p>
    <w:p w14:paraId="3492D5D1" w14:textId="77777777" w:rsidR="00FF6F90" w:rsidRDefault="00FF6F90" w:rsidP="00935D33">
      <w:r>
        <w:t>These existing measures are considered adequate in addressing the potential indirect impacts of development on protected matters in relation to disturbance due to noise, dust or light.</w:t>
      </w:r>
    </w:p>
    <w:p w14:paraId="00218D72" w14:textId="77777777" w:rsidR="00FF6F90" w:rsidRPr="00986F30" w:rsidRDefault="00FF6F90" w:rsidP="001B6C1A">
      <w:pPr>
        <w:pStyle w:val="Heading3"/>
      </w:pPr>
      <w:r>
        <w:lastRenderedPageBreak/>
        <w:t>Inadvertent impacts on adjacent habitat or vegetation</w:t>
      </w:r>
    </w:p>
    <w:p w14:paraId="223BEBB7" w14:textId="77777777" w:rsidR="00FF6F90" w:rsidRDefault="00FF6F90" w:rsidP="001B6C1A">
      <w:pPr>
        <w:pStyle w:val="Heading4"/>
      </w:pPr>
      <w:r>
        <w:t>Nature of existing threat in region</w:t>
      </w:r>
    </w:p>
    <w:p w14:paraId="6FCE7FC7" w14:textId="77777777" w:rsidR="00FF6F90" w:rsidRDefault="00FF6F90" w:rsidP="001B6C1A">
      <w:r>
        <w:t xml:space="preserve">The Strategic Assessment Area is currently subjected to regular disturbance. This is primarily associated with agricultural activities, but also includes disturbance associated with residential areas, and maintenance of infrastructure such as roads. This existing disturbance has led to the degradation of environmental values within the Strategic Assessment Area, including lowered native biodiversity and simplified vegetation structure. </w:t>
      </w:r>
    </w:p>
    <w:p w14:paraId="6008FBA3" w14:textId="77777777" w:rsidR="00FF6F90" w:rsidRDefault="00FF6F90" w:rsidP="006957A9">
      <w:pPr>
        <w:pStyle w:val="Heading4"/>
      </w:pPr>
      <w:r>
        <w:t>Potential impact pathways associated with development under the Plan and identification of matters or areas of concern</w:t>
      </w:r>
    </w:p>
    <w:p w14:paraId="53AA9047" w14:textId="77777777" w:rsidR="00FF6F90" w:rsidRDefault="00FF6F90" w:rsidP="001B6C1A">
      <w:r>
        <w:t>The Plan has the potential to cause inadvertent impacts to habitat or vegetation adjacent to development sites. This threat is primarily a short-term threat during the construction phase of the development, yet also may occur in the long term at smaller site scales during the operational phase of the development as infrastructure and dwellings are sporadically modified or upgraded. This threat is most relevant to the NGGA and Cowies Creek conservation areas that will be established under the Plan, as well as to areas adjacent to infrastructure development outside of the Growth Areas.</w:t>
      </w:r>
    </w:p>
    <w:p w14:paraId="516DDB7E" w14:textId="77777777" w:rsidR="00FF6F90" w:rsidRDefault="00FF6F90" w:rsidP="001B6C1A">
      <w:r>
        <w:t>The consequence of these potential impacts is reduced by the existing degradation within the Strategic Assessment Area, caused by existing development and associated disturbance regimes. Therefore, it is unlikely that potential inadvertent impacts to adjacent habitat or vegetation caused by the Plan would substantially exacerbate the existing level of threat to protected matters.</w:t>
      </w:r>
    </w:p>
    <w:p w14:paraId="7E8A5998" w14:textId="77777777" w:rsidR="00FF6F90" w:rsidRDefault="00FF6F90" w:rsidP="001B6C1A">
      <w:pPr>
        <w:pStyle w:val="Heading4"/>
      </w:pPr>
      <w:r>
        <w:t>Existing standard mitigation measures</w:t>
      </w:r>
    </w:p>
    <w:p w14:paraId="1C9C20D8" w14:textId="77777777" w:rsidR="00FF6F90" w:rsidRDefault="00FF6F90" w:rsidP="001B6C1A">
      <w:r>
        <w:t xml:space="preserve">The planning system has existing general measures in place to address inadvertent impacts on adjacent habitat or vegetation. This includes a requirement for subdivision applications to describe how the site will be managed prior to and during construction to protect the site and surrounding area from environmental degradation (Clause 56.08). The preparation of Construction Environmental Management Plans prior to the commencement of construction and a requirement to clearly mark all vegetation to be retained at the site are included in the City's template of standard conditions, which will be applied by the City as a permit condition where considered appropriate. </w:t>
      </w:r>
    </w:p>
    <w:p w14:paraId="2CA4C56D" w14:textId="77777777" w:rsidR="00FF6F90" w:rsidRDefault="00FF6F90" w:rsidP="00EC4EAE">
      <w:pPr>
        <w:pStyle w:val="Heading4"/>
      </w:pPr>
      <w:bookmarkStart w:id="25" w:name="_Toc113453425"/>
      <w:r>
        <w:t>Additional measures to address indirect impacts to MNES</w:t>
      </w:r>
    </w:p>
    <w:p w14:paraId="4836C0F6" w14:textId="77777777" w:rsidR="00FF6F90" w:rsidRDefault="00FF6F90" w:rsidP="00B62390">
      <w:r>
        <w:t>These existing measures are considered adequate in addressing the potential indirect impacts of development on protected matters in relation to inadvertent impacts to adjacent habitat or vegetation.</w:t>
      </w:r>
    </w:p>
    <w:p w14:paraId="77957973" w14:textId="77777777" w:rsidR="00FF6F90" w:rsidRPr="00F460F1" w:rsidRDefault="00FF6F90" w:rsidP="001B6C1A">
      <w:pPr>
        <w:pStyle w:val="Heading2"/>
      </w:pPr>
      <w:bookmarkStart w:id="26" w:name="_Toc134706946"/>
      <w:r>
        <w:t>Analysis of Threat Abatement Plans</w:t>
      </w:r>
      <w:bookmarkEnd w:id="25"/>
      <w:bookmarkEnd w:id="26"/>
    </w:p>
    <w:p w14:paraId="3C613A0C" w14:textId="77777777" w:rsidR="00FF6F90" w:rsidRDefault="00FF6F90" w:rsidP="001B6C1A">
      <w:pPr>
        <w:pStyle w:val="Heading3"/>
      </w:pPr>
      <w:r w:rsidRPr="0064694C">
        <w:t>Introduction</w:t>
      </w:r>
    </w:p>
    <w:p w14:paraId="78FCAF34" w14:textId="77777777" w:rsidR="00FF6F90" w:rsidRPr="002D4356" w:rsidRDefault="00FF6F90" w:rsidP="002D4356">
      <w:r w:rsidRPr="0064694C">
        <w:t>T</w:t>
      </w:r>
      <w:r>
        <w:t>hreat Abatement Plans (TAPs)</w:t>
      </w:r>
      <w:r w:rsidRPr="0064694C">
        <w:t xml:space="preserve"> have been developed under the EPBC Act to address listed </w:t>
      </w:r>
      <w:r>
        <w:t>Key Threatening Processes (KTPs)</w:t>
      </w:r>
      <w:r w:rsidRPr="0064694C">
        <w:t xml:space="preserve"> and include actions to reduce their impact on threatened species and TECs.</w:t>
      </w:r>
    </w:p>
    <w:p w14:paraId="10DA5DB9" w14:textId="77777777" w:rsidR="00FF6F90" w:rsidRPr="0064694C" w:rsidRDefault="00FF6F90" w:rsidP="001B6C1A">
      <w:r w:rsidRPr="0064694C">
        <w:t>Under section 4.6(b) of the ToR for this strategic assessment and under section 146K(2) of the EPBC Act, the impact assessment should address whether the actions under the Plan are inconsistent with any approved Threat Abatement Plans (TAPs).</w:t>
      </w:r>
    </w:p>
    <w:p w14:paraId="244A3130" w14:textId="77777777" w:rsidR="00FF6F90" w:rsidRPr="00D55CF9" w:rsidRDefault="00FF6F90" w:rsidP="001B6C1A">
      <w:r w:rsidRPr="00D55CF9">
        <w:t>Under section 4.6(c) of the ToR, the impact assessment must also consider how regard has been and will be given to relevant information in the TAPs.</w:t>
      </w:r>
    </w:p>
    <w:p w14:paraId="4D4DD401" w14:textId="48D7D969" w:rsidR="00FF6F90" w:rsidRDefault="00FF6F90" w:rsidP="001B6C1A">
      <w:r>
        <w:t xml:space="preserve">The KTPs and TAPs which are potentially relevant to the Plan are identified in Section </w:t>
      </w:r>
      <w:r>
        <w:fldChar w:fldCharType="begin"/>
      </w:r>
      <w:r>
        <w:instrText xml:space="preserve"> REF _Ref116652558 \n </w:instrText>
      </w:r>
      <w:r>
        <w:fldChar w:fldCharType="separate"/>
      </w:r>
      <w:r w:rsidR="0080031C">
        <w:t>17.3.2</w:t>
      </w:r>
      <w:r>
        <w:fldChar w:fldCharType="end"/>
      </w:r>
      <w:r>
        <w:t xml:space="preserve">. Analysis of each of the relevant TAPs is then presented in Section </w:t>
      </w:r>
      <w:r>
        <w:fldChar w:fldCharType="begin"/>
      </w:r>
      <w:r>
        <w:instrText xml:space="preserve"> REF _Ref116652561 \n </w:instrText>
      </w:r>
      <w:r>
        <w:fldChar w:fldCharType="separate"/>
      </w:r>
      <w:r w:rsidR="0080031C">
        <w:t>17.3.3</w:t>
      </w:r>
      <w:r>
        <w:fldChar w:fldCharType="end"/>
      </w:r>
      <w:r>
        <w:t xml:space="preserve"> through to Section </w:t>
      </w:r>
      <w:r>
        <w:fldChar w:fldCharType="begin"/>
      </w:r>
      <w:r>
        <w:instrText xml:space="preserve"> REF _Ref116652563 \n </w:instrText>
      </w:r>
      <w:r>
        <w:fldChar w:fldCharType="separate"/>
      </w:r>
      <w:r w:rsidR="0080031C">
        <w:t>17.3.8</w:t>
      </w:r>
      <w:r>
        <w:fldChar w:fldCharType="end"/>
      </w:r>
      <w:r>
        <w:t>.</w:t>
      </w:r>
    </w:p>
    <w:p w14:paraId="3DCB14D6" w14:textId="77777777" w:rsidR="00FF6F90" w:rsidRDefault="00FF6F90" w:rsidP="002D4356">
      <w:pPr>
        <w:pStyle w:val="Heading3"/>
      </w:pPr>
      <w:bookmarkStart w:id="27" w:name="_Ref116652558"/>
      <w:r>
        <w:t>Identification of relevant EPBC Key Threatening Processes and Threat Abatement Plans</w:t>
      </w:r>
      <w:bookmarkEnd w:id="27"/>
    </w:p>
    <w:p w14:paraId="32EB33DA" w14:textId="7571BCCA" w:rsidR="00FF6F90" w:rsidRPr="00AA6976" w:rsidRDefault="00FF6F90" w:rsidP="002D4356">
      <w:r>
        <w:t xml:space="preserve">Each of the possible impacts related to implementation of the Plan has been considered with regards to KTPs identified under the EPBC Act. All KTPs potentially associated with impacts under the Plan are identified in </w:t>
      </w:r>
      <w:r>
        <w:fldChar w:fldCharType="begin"/>
      </w:r>
      <w:r>
        <w:instrText xml:space="preserve"> REF _Ref113965668 </w:instrText>
      </w:r>
      <w:r>
        <w:fldChar w:fldCharType="separate"/>
      </w:r>
      <w:r w:rsidR="0080031C">
        <w:t xml:space="preserve">Table </w:t>
      </w:r>
      <w:r w:rsidR="0080031C">
        <w:rPr>
          <w:noProof/>
        </w:rPr>
        <w:t>17</w:t>
      </w:r>
      <w:r w:rsidR="0080031C">
        <w:noBreakHyphen/>
      </w:r>
      <w:r w:rsidR="0080031C">
        <w:rPr>
          <w:noProof/>
        </w:rPr>
        <w:t>2</w:t>
      </w:r>
      <w:r>
        <w:fldChar w:fldCharType="end"/>
      </w:r>
      <w:r>
        <w:t xml:space="preserve">. TAPs which are associated with the potentially relevant KTPs are identified in </w:t>
      </w:r>
      <w:r>
        <w:fldChar w:fldCharType="begin"/>
      </w:r>
      <w:r>
        <w:instrText xml:space="preserve"> REF _Ref113965695 </w:instrText>
      </w:r>
      <w:r>
        <w:fldChar w:fldCharType="separate"/>
      </w:r>
      <w:r w:rsidR="0080031C">
        <w:t xml:space="preserve">Table </w:t>
      </w:r>
      <w:r w:rsidR="0080031C">
        <w:rPr>
          <w:noProof/>
        </w:rPr>
        <w:t>17</w:t>
      </w:r>
      <w:r w:rsidR="0080031C">
        <w:noBreakHyphen/>
      </w:r>
      <w:r w:rsidR="0080031C">
        <w:rPr>
          <w:noProof/>
        </w:rPr>
        <w:t>3</w:t>
      </w:r>
      <w:r>
        <w:fldChar w:fldCharType="end"/>
      </w:r>
      <w:r>
        <w:t>.</w:t>
      </w:r>
    </w:p>
    <w:p w14:paraId="0431116F" w14:textId="371D0AD7" w:rsidR="00FF6F90" w:rsidRDefault="00FF6F90" w:rsidP="002D4356">
      <w:pPr>
        <w:pStyle w:val="Caption"/>
        <w:keepNext/>
      </w:pPr>
      <w:bookmarkStart w:id="28" w:name="_Ref113965668"/>
      <w:bookmarkStart w:id="29" w:name="_Toc116639570"/>
      <w:bookmarkStart w:id="30" w:name="_Toc134706953"/>
      <w:r>
        <w:lastRenderedPageBreak/>
        <w:t xml:space="preserve">Table </w:t>
      </w:r>
      <w:r>
        <w:fldChar w:fldCharType="begin"/>
      </w:r>
      <w:r>
        <w:instrText xml:space="preserve"> STYLEREF 1 \s </w:instrText>
      </w:r>
      <w:r>
        <w:fldChar w:fldCharType="separate"/>
      </w:r>
      <w:r w:rsidR="0080031C">
        <w:rPr>
          <w:noProof/>
        </w:rPr>
        <w:t>17</w:t>
      </w:r>
      <w:r>
        <w:fldChar w:fldCharType="end"/>
      </w:r>
      <w:r>
        <w:noBreakHyphen/>
      </w:r>
      <w:r>
        <w:fldChar w:fldCharType="begin"/>
      </w:r>
      <w:r>
        <w:instrText xml:space="preserve"> SEQ Table \* ARABIC \s 1 </w:instrText>
      </w:r>
      <w:r>
        <w:fldChar w:fldCharType="separate"/>
      </w:r>
      <w:r w:rsidR="0080031C">
        <w:rPr>
          <w:noProof/>
        </w:rPr>
        <w:t>2</w:t>
      </w:r>
      <w:r>
        <w:fldChar w:fldCharType="end"/>
      </w:r>
      <w:bookmarkEnd w:id="28"/>
      <w:r>
        <w:t>: Key Threatening Processes (KTPs) associated with potential impacts under the Plan</w:t>
      </w:r>
      <w:bookmarkEnd w:id="29"/>
      <w:bookmarkEnd w:id="30"/>
    </w:p>
    <w:tbl>
      <w:tblPr>
        <w:tblStyle w:val="TableGrid"/>
        <w:tblW w:w="5000" w:type="pct"/>
        <w:tblLook w:val="04A0" w:firstRow="1" w:lastRow="0" w:firstColumn="1" w:lastColumn="0" w:noHBand="0" w:noVBand="1"/>
      </w:tblPr>
      <w:tblGrid>
        <w:gridCol w:w="1412"/>
        <w:gridCol w:w="2837"/>
        <w:gridCol w:w="5373"/>
      </w:tblGrid>
      <w:tr w:rsidR="00FF6F90" w14:paraId="0313539F" w14:textId="77777777" w:rsidTr="0003260E">
        <w:trPr>
          <w:tblHeader/>
        </w:trPr>
        <w:tc>
          <w:tcPr>
            <w:tcW w:w="734" w:type="pct"/>
            <w:shd w:val="clear" w:color="auto" w:fill="C9C9C9" w:themeFill="accent3" w:themeFillTint="99"/>
            <w:vAlign w:val="center"/>
          </w:tcPr>
          <w:p w14:paraId="69767DA1" w14:textId="77777777" w:rsidR="00FF6F90" w:rsidRPr="00B4693E" w:rsidRDefault="00FF6F90" w:rsidP="0003260E">
            <w:pPr>
              <w:pStyle w:val="Tabletext"/>
              <w:rPr>
                <w:b/>
                <w:bCs/>
              </w:rPr>
            </w:pPr>
            <w:r>
              <w:rPr>
                <w:b/>
                <w:bCs/>
              </w:rPr>
              <w:t>I</w:t>
            </w:r>
            <w:r w:rsidRPr="00B4693E">
              <w:rPr>
                <w:b/>
                <w:bCs/>
              </w:rPr>
              <w:t>mpact type</w:t>
            </w:r>
          </w:p>
        </w:tc>
        <w:tc>
          <w:tcPr>
            <w:tcW w:w="1474" w:type="pct"/>
            <w:shd w:val="clear" w:color="auto" w:fill="C9C9C9" w:themeFill="accent3" w:themeFillTint="99"/>
          </w:tcPr>
          <w:p w14:paraId="01BE6D12" w14:textId="77777777" w:rsidR="00FF6F90" w:rsidRDefault="00FF6F90" w:rsidP="0003260E">
            <w:pPr>
              <w:pStyle w:val="Tabletext"/>
              <w:rPr>
                <w:b/>
                <w:bCs/>
              </w:rPr>
            </w:pPr>
            <w:r>
              <w:rPr>
                <w:b/>
                <w:bCs/>
              </w:rPr>
              <w:t>Impact sub-category</w:t>
            </w:r>
          </w:p>
        </w:tc>
        <w:tc>
          <w:tcPr>
            <w:tcW w:w="2792" w:type="pct"/>
            <w:shd w:val="clear" w:color="auto" w:fill="C9C9C9" w:themeFill="accent3" w:themeFillTint="99"/>
          </w:tcPr>
          <w:p w14:paraId="016B0E61" w14:textId="77777777" w:rsidR="00FF6F90" w:rsidRDefault="00FF6F90" w:rsidP="0003260E">
            <w:pPr>
              <w:pStyle w:val="Tabletext"/>
              <w:rPr>
                <w:b/>
                <w:bCs/>
              </w:rPr>
            </w:pPr>
            <w:r>
              <w:rPr>
                <w:b/>
                <w:bCs/>
              </w:rPr>
              <w:t>Relevant KTP listed under the EPBC Act</w:t>
            </w:r>
          </w:p>
        </w:tc>
      </w:tr>
      <w:tr w:rsidR="00FF6F90" w14:paraId="0ABA598F" w14:textId="77777777" w:rsidTr="0003260E">
        <w:tc>
          <w:tcPr>
            <w:tcW w:w="734" w:type="pct"/>
            <w:vAlign w:val="center"/>
          </w:tcPr>
          <w:p w14:paraId="177B9D9A" w14:textId="77777777" w:rsidR="00FF6F90" w:rsidRDefault="00FF6F90" w:rsidP="0003260E">
            <w:pPr>
              <w:pStyle w:val="Tabletext"/>
            </w:pPr>
            <w:r>
              <w:t>Direct impacts</w:t>
            </w:r>
          </w:p>
        </w:tc>
        <w:tc>
          <w:tcPr>
            <w:tcW w:w="1474" w:type="pct"/>
            <w:vAlign w:val="center"/>
          </w:tcPr>
          <w:p w14:paraId="7C59CF0D" w14:textId="77777777" w:rsidR="00FF6F90" w:rsidRPr="00240FB1" w:rsidRDefault="00FF6F90" w:rsidP="0003260E">
            <w:pPr>
              <w:pStyle w:val="Tabletext"/>
            </w:pPr>
            <w:r>
              <w:t>-</w:t>
            </w:r>
          </w:p>
        </w:tc>
        <w:tc>
          <w:tcPr>
            <w:tcW w:w="2792" w:type="pct"/>
            <w:vAlign w:val="center"/>
          </w:tcPr>
          <w:p w14:paraId="1C693246" w14:textId="77777777" w:rsidR="00FF6F90" w:rsidRPr="00240FB1" w:rsidRDefault="00FF6F90" w:rsidP="0003260E">
            <w:pPr>
              <w:pStyle w:val="Bullet1"/>
            </w:pPr>
            <w:r w:rsidRPr="00240FB1">
              <w:t>Land clearance</w:t>
            </w:r>
          </w:p>
        </w:tc>
      </w:tr>
      <w:tr w:rsidR="00FF6F90" w14:paraId="76BCB99C" w14:textId="77777777" w:rsidTr="0003260E">
        <w:tc>
          <w:tcPr>
            <w:tcW w:w="734" w:type="pct"/>
            <w:vMerge w:val="restart"/>
            <w:vAlign w:val="center"/>
          </w:tcPr>
          <w:p w14:paraId="2A0A8A48" w14:textId="77777777" w:rsidR="00FF6F90" w:rsidRDefault="00FF6F90" w:rsidP="0003260E">
            <w:pPr>
              <w:pStyle w:val="Tabletext"/>
            </w:pPr>
            <w:r>
              <w:t>Indirect impacts</w:t>
            </w:r>
          </w:p>
        </w:tc>
        <w:tc>
          <w:tcPr>
            <w:tcW w:w="1474" w:type="pct"/>
            <w:vAlign w:val="center"/>
          </w:tcPr>
          <w:p w14:paraId="7167C2FF" w14:textId="77777777" w:rsidR="00FF6F90" w:rsidRDefault="00FF6F90" w:rsidP="0003260E">
            <w:pPr>
              <w:pStyle w:val="Tabletext"/>
              <w:rPr>
                <w:b/>
                <w:bCs/>
              </w:rPr>
            </w:pPr>
            <w:r>
              <w:t>Water flows and quality</w:t>
            </w:r>
          </w:p>
        </w:tc>
        <w:tc>
          <w:tcPr>
            <w:tcW w:w="2792" w:type="pct"/>
            <w:vAlign w:val="center"/>
          </w:tcPr>
          <w:p w14:paraId="34B09E7C" w14:textId="77777777" w:rsidR="00FF6F90" w:rsidRPr="003C7A7C" w:rsidRDefault="00FF6F90" w:rsidP="0003260E">
            <w:pPr>
              <w:pStyle w:val="Tabletext"/>
              <w:rPr>
                <w:b/>
                <w:bCs/>
              </w:rPr>
            </w:pPr>
            <w:r>
              <w:rPr>
                <w:b/>
                <w:bCs/>
              </w:rPr>
              <w:t>-</w:t>
            </w:r>
          </w:p>
        </w:tc>
      </w:tr>
      <w:tr w:rsidR="00FF6F90" w14:paraId="6104FD5C" w14:textId="77777777" w:rsidTr="0003260E">
        <w:tc>
          <w:tcPr>
            <w:tcW w:w="734" w:type="pct"/>
            <w:vMerge/>
            <w:vAlign w:val="center"/>
          </w:tcPr>
          <w:p w14:paraId="41298936" w14:textId="77777777" w:rsidR="00FF6F90" w:rsidRDefault="00FF6F90" w:rsidP="0003260E">
            <w:pPr>
              <w:pStyle w:val="Tabletext"/>
            </w:pPr>
          </w:p>
        </w:tc>
        <w:tc>
          <w:tcPr>
            <w:tcW w:w="1474" w:type="pct"/>
            <w:vAlign w:val="center"/>
          </w:tcPr>
          <w:p w14:paraId="7181BA0D" w14:textId="77777777" w:rsidR="00FF6F90" w:rsidRPr="00500025" w:rsidRDefault="00FF6F90" w:rsidP="0003260E">
            <w:pPr>
              <w:pStyle w:val="Tabletext"/>
              <w:rPr>
                <w:iCs/>
              </w:rPr>
            </w:pPr>
            <w:r w:rsidRPr="008E1F13">
              <w:t>Spread of infection/disease</w:t>
            </w:r>
          </w:p>
        </w:tc>
        <w:tc>
          <w:tcPr>
            <w:tcW w:w="2792" w:type="pct"/>
            <w:vAlign w:val="center"/>
          </w:tcPr>
          <w:p w14:paraId="18CB71F9" w14:textId="77777777" w:rsidR="00FF6F90" w:rsidRPr="00500025" w:rsidRDefault="00FF6F90" w:rsidP="0003260E">
            <w:pPr>
              <w:pStyle w:val="Bullet1"/>
              <w:rPr>
                <w:iCs/>
              </w:rPr>
            </w:pPr>
            <w:r w:rsidRPr="00500025">
              <w:rPr>
                <w:iCs/>
              </w:rPr>
              <w:t xml:space="preserve">Infection of amphibians with chytrid fungus </w:t>
            </w:r>
            <w:r w:rsidRPr="00500025">
              <w:t>resulting in chytridiomycosis</w:t>
            </w:r>
            <w:r w:rsidRPr="00500025">
              <w:rPr>
                <w:iCs/>
              </w:rPr>
              <w:t xml:space="preserve"> </w:t>
            </w:r>
          </w:p>
          <w:p w14:paraId="4FE00AA3" w14:textId="77777777" w:rsidR="00FF6F90" w:rsidRPr="00500025" w:rsidRDefault="00FF6F90" w:rsidP="0003260E">
            <w:pPr>
              <w:pStyle w:val="Bullet1"/>
              <w:rPr>
                <w:iCs/>
              </w:rPr>
            </w:pPr>
            <w:r w:rsidRPr="00500025">
              <w:t>Novel biota and their impact on biodiversity</w:t>
            </w:r>
          </w:p>
        </w:tc>
      </w:tr>
      <w:tr w:rsidR="00FF6F90" w14:paraId="63D2D29C" w14:textId="77777777" w:rsidTr="0003260E">
        <w:tc>
          <w:tcPr>
            <w:tcW w:w="734" w:type="pct"/>
            <w:vMerge/>
            <w:vAlign w:val="center"/>
          </w:tcPr>
          <w:p w14:paraId="17788CB7" w14:textId="77777777" w:rsidR="00FF6F90" w:rsidRPr="008E1F13" w:rsidRDefault="00FF6F90" w:rsidP="0003260E">
            <w:pPr>
              <w:pStyle w:val="Tabletext"/>
            </w:pPr>
          </w:p>
        </w:tc>
        <w:tc>
          <w:tcPr>
            <w:tcW w:w="1474" w:type="pct"/>
            <w:vAlign w:val="center"/>
          </w:tcPr>
          <w:p w14:paraId="06BAF73D" w14:textId="77777777" w:rsidR="00FF6F90" w:rsidRPr="00500025" w:rsidRDefault="00FF6F90" w:rsidP="0003260E">
            <w:pPr>
              <w:pStyle w:val="Tabletext"/>
            </w:pPr>
            <w:r w:rsidRPr="008E1F13">
              <w:t>Spread of weeds</w:t>
            </w:r>
          </w:p>
        </w:tc>
        <w:tc>
          <w:tcPr>
            <w:tcW w:w="2792" w:type="pct"/>
            <w:vAlign w:val="center"/>
          </w:tcPr>
          <w:p w14:paraId="4DAB9FD3" w14:textId="77777777" w:rsidR="00FF6F90" w:rsidRPr="00500025" w:rsidRDefault="00FF6F90" w:rsidP="0003260E">
            <w:pPr>
              <w:pStyle w:val="Bullet1"/>
            </w:pPr>
            <w:r w:rsidRPr="00500025">
              <w:t xml:space="preserve">Loss and degradation of native plant and animal habitat by invasion of escaped garden plants </w:t>
            </w:r>
          </w:p>
          <w:p w14:paraId="4C1F3220" w14:textId="77777777" w:rsidR="00FF6F90" w:rsidRPr="00500025" w:rsidRDefault="00FF6F90" w:rsidP="0003260E">
            <w:pPr>
              <w:pStyle w:val="Bullet1"/>
              <w:rPr>
                <w:iCs/>
              </w:rPr>
            </w:pPr>
            <w:r w:rsidRPr="00500025">
              <w:t>Novel biota and their impact on biodiversity</w:t>
            </w:r>
          </w:p>
        </w:tc>
      </w:tr>
      <w:tr w:rsidR="00FF6F90" w14:paraId="7BA8ECC0" w14:textId="77777777" w:rsidTr="0003260E">
        <w:tc>
          <w:tcPr>
            <w:tcW w:w="734" w:type="pct"/>
            <w:vMerge/>
            <w:vAlign w:val="center"/>
          </w:tcPr>
          <w:p w14:paraId="29E69479" w14:textId="77777777" w:rsidR="00FF6F90" w:rsidRDefault="00FF6F90" w:rsidP="0003260E">
            <w:pPr>
              <w:pStyle w:val="Tabletext"/>
            </w:pPr>
          </w:p>
        </w:tc>
        <w:tc>
          <w:tcPr>
            <w:tcW w:w="1474" w:type="pct"/>
            <w:vAlign w:val="center"/>
          </w:tcPr>
          <w:p w14:paraId="0DDAABB8" w14:textId="77777777" w:rsidR="00FF6F90" w:rsidRPr="00500025" w:rsidRDefault="00FF6F90" w:rsidP="0003260E">
            <w:pPr>
              <w:pStyle w:val="Tabletext"/>
            </w:pPr>
            <w:r>
              <w:t>Predation/ competition by pest/domestic fauna</w:t>
            </w:r>
          </w:p>
        </w:tc>
        <w:tc>
          <w:tcPr>
            <w:tcW w:w="2792" w:type="pct"/>
            <w:vAlign w:val="center"/>
          </w:tcPr>
          <w:p w14:paraId="18FA6971" w14:textId="77777777" w:rsidR="00FF6F90" w:rsidRPr="00500025" w:rsidRDefault="00FF6F90" w:rsidP="0003260E">
            <w:pPr>
              <w:pStyle w:val="Bullet1"/>
            </w:pPr>
            <w:r w:rsidRPr="00500025">
              <w:t>Competition and land degradation by rabbits</w:t>
            </w:r>
          </w:p>
          <w:p w14:paraId="59ABE559" w14:textId="77777777" w:rsidR="00FF6F90" w:rsidRPr="00500025" w:rsidRDefault="00FF6F90" w:rsidP="0003260E">
            <w:pPr>
              <w:pStyle w:val="Bullet1"/>
            </w:pPr>
            <w:r w:rsidRPr="00500025">
              <w:t>Competition and land degradation by unmanaged goats</w:t>
            </w:r>
          </w:p>
          <w:p w14:paraId="328A643F" w14:textId="77777777" w:rsidR="00FF6F90" w:rsidRPr="00500025" w:rsidRDefault="00FF6F90" w:rsidP="0003260E">
            <w:pPr>
              <w:pStyle w:val="Bullet1"/>
            </w:pPr>
            <w:r w:rsidRPr="00500025">
              <w:rPr>
                <w:color w:val="000000" w:themeColor="text1"/>
              </w:rPr>
              <w:t>Predation by feral cats</w:t>
            </w:r>
          </w:p>
          <w:p w14:paraId="0234815C" w14:textId="77777777" w:rsidR="00FF6F90" w:rsidRPr="00500025" w:rsidRDefault="00FF6F90" w:rsidP="0003260E">
            <w:pPr>
              <w:pStyle w:val="Bullet1"/>
            </w:pPr>
            <w:r w:rsidRPr="00500025">
              <w:rPr>
                <w:color w:val="000000" w:themeColor="text1"/>
              </w:rPr>
              <w:t>Predation by the European red fox</w:t>
            </w:r>
          </w:p>
          <w:p w14:paraId="335349F0" w14:textId="77777777" w:rsidR="00FF6F90" w:rsidRPr="00500025" w:rsidRDefault="00FF6F90" w:rsidP="0003260E">
            <w:pPr>
              <w:pStyle w:val="Bullet1"/>
            </w:pPr>
            <w:r w:rsidRPr="00500025">
              <w:t>Predation, habitat degradation, competition, and disease transmission by feral pigs (</w:t>
            </w:r>
            <w:r w:rsidRPr="00500025">
              <w:rPr>
                <w:i/>
                <w:iCs/>
              </w:rPr>
              <w:t>Sus scrofa</w:t>
            </w:r>
            <w:r w:rsidRPr="00500025">
              <w:t>)</w:t>
            </w:r>
          </w:p>
          <w:p w14:paraId="1D4859C7" w14:textId="77777777" w:rsidR="00FF6F90" w:rsidRPr="00500025" w:rsidRDefault="00FF6F90" w:rsidP="0003260E">
            <w:pPr>
              <w:pStyle w:val="Bullet1"/>
              <w:rPr>
                <w:iCs/>
              </w:rPr>
            </w:pPr>
            <w:r w:rsidRPr="00500025">
              <w:t>Novel biota and their impact on biodiversity</w:t>
            </w:r>
          </w:p>
        </w:tc>
      </w:tr>
      <w:tr w:rsidR="00FF6F90" w14:paraId="4BAAE8DF" w14:textId="77777777" w:rsidTr="0003260E">
        <w:tc>
          <w:tcPr>
            <w:tcW w:w="734" w:type="pct"/>
            <w:vMerge/>
            <w:vAlign w:val="center"/>
          </w:tcPr>
          <w:p w14:paraId="1A8F6A34" w14:textId="77777777" w:rsidR="00FF6F90" w:rsidRDefault="00FF6F90" w:rsidP="0003260E">
            <w:pPr>
              <w:pStyle w:val="Tabletext"/>
            </w:pPr>
          </w:p>
        </w:tc>
        <w:tc>
          <w:tcPr>
            <w:tcW w:w="1474" w:type="pct"/>
            <w:vAlign w:val="center"/>
          </w:tcPr>
          <w:p w14:paraId="0AEA0876" w14:textId="77777777" w:rsidR="00FF6F90" w:rsidRPr="00500025" w:rsidRDefault="00FF6F90" w:rsidP="0003260E">
            <w:pPr>
              <w:pStyle w:val="Tabletext"/>
            </w:pPr>
            <w:r>
              <w:t>Altered fire regimes</w:t>
            </w:r>
          </w:p>
        </w:tc>
        <w:tc>
          <w:tcPr>
            <w:tcW w:w="2792" w:type="pct"/>
            <w:vAlign w:val="center"/>
          </w:tcPr>
          <w:p w14:paraId="4F5359DA" w14:textId="77777777" w:rsidR="00FF6F90" w:rsidRPr="00500025" w:rsidRDefault="00FF6F90" w:rsidP="0003260E">
            <w:pPr>
              <w:pStyle w:val="Bullet1"/>
              <w:rPr>
                <w:iCs/>
              </w:rPr>
            </w:pPr>
            <w:r w:rsidRPr="00500025">
              <w:t>Fire regimes that cause declines in biodiversity</w:t>
            </w:r>
          </w:p>
        </w:tc>
      </w:tr>
      <w:tr w:rsidR="00FF6F90" w14:paraId="629361FA" w14:textId="77777777" w:rsidTr="0003260E">
        <w:trPr>
          <w:trHeight w:val="597"/>
        </w:trPr>
        <w:tc>
          <w:tcPr>
            <w:tcW w:w="734" w:type="pct"/>
            <w:vMerge/>
            <w:vAlign w:val="center"/>
          </w:tcPr>
          <w:p w14:paraId="76B48355" w14:textId="77777777" w:rsidR="00FF6F90" w:rsidRPr="0048299C" w:rsidRDefault="00FF6F90" w:rsidP="0003260E">
            <w:pPr>
              <w:pStyle w:val="Tabletext"/>
            </w:pPr>
          </w:p>
        </w:tc>
        <w:tc>
          <w:tcPr>
            <w:tcW w:w="1474" w:type="pct"/>
            <w:vAlign w:val="center"/>
          </w:tcPr>
          <w:p w14:paraId="061F494C" w14:textId="77777777" w:rsidR="00FF6F90" w:rsidRPr="00500025" w:rsidRDefault="00FF6F90" w:rsidP="0003260E">
            <w:pPr>
              <w:pStyle w:val="Tabletext"/>
            </w:pPr>
            <w:r w:rsidRPr="0048299C">
              <w:t>Disturbance from increased public access to natural areas</w:t>
            </w:r>
          </w:p>
        </w:tc>
        <w:tc>
          <w:tcPr>
            <w:tcW w:w="2792" w:type="pct"/>
            <w:vAlign w:val="center"/>
          </w:tcPr>
          <w:p w14:paraId="794B8DFF" w14:textId="77777777" w:rsidR="00FF6F90" w:rsidRPr="00500025" w:rsidRDefault="00FF6F90" w:rsidP="0003260E">
            <w:pPr>
              <w:pStyle w:val="Bullet1"/>
              <w:numPr>
                <w:ilvl w:val="0"/>
                <w:numId w:val="0"/>
              </w:numPr>
              <w:ind w:left="360" w:hanging="360"/>
              <w:rPr>
                <w:iCs/>
              </w:rPr>
            </w:pPr>
            <w:r>
              <w:t>-</w:t>
            </w:r>
          </w:p>
        </w:tc>
      </w:tr>
      <w:tr w:rsidR="00FF6F90" w14:paraId="376F1B5E" w14:textId="77777777" w:rsidTr="0003260E">
        <w:tc>
          <w:tcPr>
            <w:tcW w:w="734" w:type="pct"/>
            <w:vMerge/>
            <w:vAlign w:val="center"/>
          </w:tcPr>
          <w:p w14:paraId="4B2294DA" w14:textId="77777777" w:rsidR="00FF6F90" w:rsidRDefault="00FF6F90" w:rsidP="0003260E">
            <w:pPr>
              <w:pStyle w:val="Tabletext"/>
            </w:pPr>
          </w:p>
        </w:tc>
        <w:tc>
          <w:tcPr>
            <w:tcW w:w="1474" w:type="pct"/>
            <w:vAlign w:val="center"/>
          </w:tcPr>
          <w:p w14:paraId="08B551A8" w14:textId="77777777" w:rsidR="00FF6F90" w:rsidRDefault="00FF6F90" w:rsidP="0003260E">
            <w:pPr>
              <w:pStyle w:val="Tabletext"/>
              <w:rPr>
                <w:iCs/>
              </w:rPr>
            </w:pPr>
            <w:r w:rsidRPr="003C7A7C">
              <w:t>Fauna mortality, displacement, and barriers to movement</w:t>
            </w:r>
          </w:p>
        </w:tc>
        <w:tc>
          <w:tcPr>
            <w:tcW w:w="2792" w:type="pct"/>
            <w:vAlign w:val="center"/>
          </w:tcPr>
          <w:p w14:paraId="2F0A4112" w14:textId="77777777" w:rsidR="00FF6F90" w:rsidRPr="00B95488" w:rsidRDefault="00FF6F90" w:rsidP="0003260E">
            <w:pPr>
              <w:pStyle w:val="Tabletext"/>
              <w:rPr>
                <w:iCs/>
              </w:rPr>
            </w:pPr>
            <w:r>
              <w:rPr>
                <w:iCs/>
              </w:rPr>
              <w:t>-</w:t>
            </w:r>
          </w:p>
        </w:tc>
      </w:tr>
      <w:tr w:rsidR="00FF6F90" w14:paraId="38DDCBE3" w14:textId="77777777" w:rsidTr="0003260E">
        <w:tc>
          <w:tcPr>
            <w:tcW w:w="734" w:type="pct"/>
            <w:vMerge/>
            <w:vAlign w:val="center"/>
          </w:tcPr>
          <w:p w14:paraId="3C79B818" w14:textId="77777777" w:rsidR="00FF6F90" w:rsidRDefault="00FF6F90" w:rsidP="0003260E">
            <w:pPr>
              <w:pStyle w:val="Tabletext"/>
            </w:pPr>
          </w:p>
        </w:tc>
        <w:tc>
          <w:tcPr>
            <w:tcW w:w="1474" w:type="pct"/>
            <w:vAlign w:val="center"/>
          </w:tcPr>
          <w:p w14:paraId="24984D7B" w14:textId="77777777" w:rsidR="00FF6F90" w:rsidRDefault="00FF6F90" w:rsidP="0003260E">
            <w:pPr>
              <w:pStyle w:val="Tabletext"/>
              <w:rPr>
                <w:iCs/>
              </w:rPr>
            </w:pPr>
            <w:r w:rsidRPr="000321E5">
              <w:t>Fauna disturbance due to noise, dust, or light</w:t>
            </w:r>
          </w:p>
        </w:tc>
        <w:tc>
          <w:tcPr>
            <w:tcW w:w="2792" w:type="pct"/>
            <w:vAlign w:val="center"/>
          </w:tcPr>
          <w:p w14:paraId="01E13C95" w14:textId="77777777" w:rsidR="00FF6F90" w:rsidRPr="00B95488" w:rsidRDefault="00FF6F90" w:rsidP="0003260E">
            <w:pPr>
              <w:pStyle w:val="Tabletext"/>
              <w:rPr>
                <w:iCs/>
              </w:rPr>
            </w:pPr>
            <w:r>
              <w:rPr>
                <w:iCs/>
              </w:rPr>
              <w:t>-</w:t>
            </w:r>
          </w:p>
        </w:tc>
      </w:tr>
      <w:tr w:rsidR="00FF6F90" w14:paraId="2A2BC2AB" w14:textId="77777777" w:rsidTr="0003260E">
        <w:tc>
          <w:tcPr>
            <w:tcW w:w="734" w:type="pct"/>
            <w:vMerge/>
            <w:vAlign w:val="center"/>
          </w:tcPr>
          <w:p w14:paraId="2FE3A04E" w14:textId="77777777" w:rsidR="00FF6F90" w:rsidRDefault="00FF6F90" w:rsidP="0003260E">
            <w:pPr>
              <w:pStyle w:val="Tabletext"/>
            </w:pPr>
          </w:p>
        </w:tc>
        <w:tc>
          <w:tcPr>
            <w:tcW w:w="1474" w:type="pct"/>
            <w:vAlign w:val="center"/>
          </w:tcPr>
          <w:p w14:paraId="4A899CD6" w14:textId="77777777" w:rsidR="00FF6F90" w:rsidRDefault="00FF6F90" w:rsidP="0003260E">
            <w:pPr>
              <w:pStyle w:val="Tabletext"/>
            </w:pPr>
            <w:r>
              <w:t>Inadvertent impacts on adjacent habitat or vegetation</w:t>
            </w:r>
          </w:p>
        </w:tc>
        <w:tc>
          <w:tcPr>
            <w:tcW w:w="2792" w:type="pct"/>
            <w:vAlign w:val="center"/>
          </w:tcPr>
          <w:p w14:paraId="1C52A90B" w14:textId="77777777" w:rsidR="00FF6F90" w:rsidRPr="00B95488" w:rsidRDefault="00FF6F90" w:rsidP="0003260E">
            <w:pPr>
              <w:pStyle w:val="Tabletext"/>
            </w:pPr>
            <w:r>
              <w:t>-</w:t>
            </w:r>
          </w:p>
        </w:tc>
      </w:tr>
      <w:tr w:rsidR="00FF6F90" w14:paraId="7E7F7B04" w14:textId="77777777" w:rsidTr="0003260E">
        <w:tc>
          <w:tcPr>
            <w:tcW w:w="734" w:type="pct"/>
            <w:vAlign w:val="center"/>
          </w:tcPr>
          <w:p w14:paraId="6BD7F262" w14:textId="77777777" w:rsidR="00FF6F90" w:rsidRDefault="00FF6F90" w:rsidP="0003260E">
            <w:pPr>
              <w:pStyle w:val="Tabletext"/>
            </w:pPr>
            <w:r>
              <w:t>Cumulative impacts</w:t>
            </w:r>
          </w:p>
        </w:tc>
        <w:tc>
          <w:tcPr>
            <w:tcW w:w="1474" w:type="pct"/>
            <w:vAlign w:val="center"/>
          </w:tcPr>
          <w:p w14:paraId="567A98C1" w14:textId="77777777" w:rsidR="00FF6F90" w:rsidRDefault="00FF6F90" w:rsidP="0003260E">
            <w:pPr>
              <w:pStyle w:val="Tabletext"/>
            </w:pPr>
            <w:r>
              <w:t>-</w:t>
            </w:r>
          </w:p>
        </w:tc>
        <w:tc>
          <w:tcPr>
            <w:tcW w:w="2792" w:type="pct"/>
            <w:vAlign w:val="center"/>
          </w:tcPr>
          <w:p w14:paraId="38430765" w14:textId="77777777" w:rsidR="00FF6F90" w:rsidRDefault="00FF6F90" w:rsidP="0003260E">
            <w:pPr>
              <w:pStyle w:val="Tabletext"/>
            </w:pPr>
            <w:r>
              <w:t>-</w:t>
            </w:r>
          </w:p>
        </w:tc>
      </w:tr>
    </w:tbl>
    <w:p w14:paraId="7B9F33AC" w14:textId="77777777" w:rsidR="00FF6F90" w:rsidRDefault="00FF6F90" w:rsidP="002D4356"/>
    <w:p w14:paraId="258E4AFE" w14:textId="6D9B033B" w:rsidR="00FF6F90" w:rsidRDefault="00FF6F90" w:rsidP="002D4356">
      <w:pPr>
        <w:pStyle w:val="Caption"/>
        <w:keepNext/>
      </w:pPr>
      <w:bookmarkStart w:id="31" w:name="_Ref113965695"/>
      <w:bookmarkStart w:id="32" w:name="_Toc116639571"/>
      <w:bookmarkStart w:id="33" w:name="_Toc134706954"/>
      <w:r>
        <w:t xml:space="preserve">Table </w:t>
      </w:r>
      <w:r>
        <w:fldChar w:fldCharType="begin"/>
      </w:r>
      <w:r>
        <w:instrText xml:space="preserve"> STYLEREF 1 \s </w:instrText>
      </w:r>
      <w:r>
        <w:fldChar w:fldCharType="separate"/>
      </w:r>
      <w:r w:rsidR="0080031C">
        <w:rPr>
          <w:noProof/>
        </w:rPr>
        <w:t>17</w:t>
      </w:r>
      <w:r>
        <w:fldChar w:fldCharType="end"/>
      </w:r>
      <w:r>
        <w:noBreakHyphen/>
      </w:r>
      <w:r>
        <w:fldChar w:fldCharType="begin"/>
      </w:r>
      <w:r>
        <w:instrText xml:space="preserve"> SEQ Table \* ARABIC \s 1 </w:instrText>
      </w:r>
      <w:r>
        <w:fldChar w:fldCharType="separate"/>
      </w:r>
      <w:r w:rsidR="0080031C">
        <w:rPr>
          <w:noProof/>
        </w:rPr>
        <w:t>3</w:t>
      </w:r>
      <w:r>
        <w:fldChar w:fldCharType="end"/>
      </w:r>
      <w:bookmarkEnd w:id="31"/>
      <w:r>
        <w:t>: Threat Abatement Plans associated with potentially relevant Key Threatening Processes</w:t>
      </w:r>
      <w:bookmarkEnd w:id="32"/>
      <w:bookmarkEnd w:id="33"/>
      <w:r>
        <w:t xml:space="preserve"> </w:t>
      </w:r>
    </w:p>
    <w:tbl>
      <w:tblPr>
        <w:tblStyle w:val="TableGrid"/>
        <w:tblW w:w="5000" w:type="pct"/>
        <w:tblLook w:val="04A0" w:firstRow="1" w:lastRow="0" w:firstColumn="1" w:lastColumn="0" w:noHBand="0" w:noVBand="1"/>
      </w:tblPr>
      <w:tblGrid>
        <w:gridCol w:w="3824"/>
        <w:gridCol w:w="5798"/>
      </w:tblGrid>
      <w:tr w:rsidR="00FF6F90" w14:paraId="7E4162A0" w14:textId="77777777" w:rsidTr="0003260E">
        <w:trPr>
          <w:tblHeader/>
        </w:trPr>
        <w:tc>
          <w:tcPr>
            <w:tcW w:w="1987" w:type="pct"/>
            <w:shd w:val="clear" w:color="auto" w:fill="C9C9C9" w:themeFill="accent3" w:themeFillTint="99"/>
            <w:vAlign w:val="center"/>
          </w:tcPr>
          <w:p w14:paraId="5EDFAF57" w14:textId="77777777" w:rsidR="00FF6F90" w:rsidRPr="00B4693E" w:rsidRDefault="00FF6F90" w:rsidP="0003260E">
            <w:pPr>
              <w:pStyle w:val="Tabletext"/>
              <w:rPr>
                <w:b/>
                <w:bCs/>
              </w:rPr>
            </w:pPr>
            <w:r>
              <w:rPr>
                <w:b/>
                <w:bCs/>
              </w:rPr>
              <w:t>Key threatening process</w:t>
            </w:r>
          </w:p>
        </w:tc>
        <w:tc>
          <w:tcPr>
            <w:tcW w:w="3013" w:type="pct"/>
            <w:shd w:val="clear" w:color="auto" w:fill="C9C9C9" w:themeFill="accent3" w:themeFillTint="99"/>
            <w:vAlign w:val="center"/>
          </w:tcPr>
          <w:p w14:paraId="465677DE" w14:textId="77777777" w:rsidR="00FF6F90" w:rsidRDefault="00FF6F90" w:rsidP="0003260E">
            <w:pPr>
              <w:pStyle w:val="Tabletext"/>
              <w:rPr>
                <w:b/>
                <w:bCs/>
              </w:rPr>
            </w:pPr>
            <w:r>
              <w:rPr>
                <w:b/>
                <w:bCs/>
              </w:rPr>
              <w:t>Related Threat Abatement Plan</w:t>
            </w:r>
          </w:p>
        </w:tc>
      </w:tr>
      <w:tr w:rsidR="00FF6F90" w14:paraId="0BC2DBC8" w14:textId="77777777" w:rsidTr="0003260E">
        <w:tc>
          <w:tcPr>
            <w:tcW w:w="1987" w:type="pct"/>
            <w:vAlign w:val="center"/>
          </w:tcPr>
          <w:p w14:paraId="2D71924E" w14:textId="77777777" w:rsidR="00FF6F90" w:rsidRDefault="00FF6F90" w:rsidP="0003260E">
            <w:pPr>
              <w:pStyle w:val="Tabletext"/>
            </w:pPr>
            <w:r>
              <w:t>Competition and land degradation by rabbits</w:t>
            </w:r>
          </w:p>
        </w:tc>
        <w:tc>
          <w:tcPr>
            <w:tcW w:w="3013" w:type="pct"/>
            <w:vAlign w:val="center"/>
          </w:tcPr>
          <w:p w14:paraId="79068FAD" w14:textId="449A3254" w:rsidR="00FF6F90" w:rsidRPr="003C7A7C" w:rsidRDefault="00FF6F90" w:rsidP="0003260E">
            <w:pPr>
              <w:pStyle w:val="Tabletext"/>
              <w:rPr>
                <w:b/>
                <w:bCs/>
              </w:rPr>
            </w:pPr>
            <w:r w:rsidRPr="00E31BAE">
              <w:rPr>
                <w:iCs/>
              </w:rPr>
              <w:t xml:space="preserve">Threat abatement plan for competition and land degradation by rabbits </w:t>
            </w:r>
            <w:sdt>
              <w:sdtPr>
                <w:rPr>
                  <w:iCs/>
                  <w:color w:val="000000"/>
                </w:rPr>
                <w:tag w:val="MENDELEY_CITATION_v3_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"/>
                <w:id w:val="434631063"/>
                <w:placeholder>
                  <w:docPart w:val="DefaultPlaceholder_-1854013440"/>
                </w:placeholder>
              </w:sdtPr>
              <w:sdtEndPr>
                <w:rPr>
                  <w:iCs w:val="0"/>
                </w:rPr>
              </w:sdtEndPr>
              <w:sdtContent>
                <w:r w:rsidR="007E7CCC" w:rsidRPr="007E7CCC">
                  <w:rPr>
                    <w:color w:val="000000"/>
                  </w:rPr>
                  <w:t>(DoEE, 2016a)</w:t>
                </w:r>
              </w:sdtContent>
            </w:sdt>
          </w:p>
        </w:tc>
      </w:tr>
      <w:tr w:rsidR="00FF6F90" w14:paraId="374BBC14" w14:textId="77777777" w:rsidTr="0003260E">
        <w:tc>
          <w:tcPr>
            <w:tcW w:w="1987" w:type="pct"/>
            <w:vAlign w:val="center"/>
          </w:tcPr>
          <w:p w14:paraId="4D764BEA" w14:textId="77777777" w:rsidR="00FF6F90" w:rsidRPr="009065E9" w:rsidRDefault="00FF6F90" w:rsidP="0003260E">
            <w:pPr>
              <w:pStyle w:val="Tabletext"/>
            </w:pPr>
            <w:r>
              <w:t>Competition and land degradation by unmanaged goats</w:t>
            </w:r>
          </w:p>
        </w:tc>
        <w:tc>
          <w:tcPr>
            <w:tcW w:w="3013" w:type="pct"/>
            <w:vAlign w:val="center"/>
          </w:tcPr>
          <w:p w14:paraId="4E4B3C0E" w14:textId="19BC64DD" w:rsidR="00FF6F90" w:rsidRDefault="00FF6F90" w:rsidP="0003260E">
            <w:pPr>
              <w:pStyle w:val="Tabletext"/>
            </w:pPr>
            <w:r>
              <w:t xml:space="preserve">Threat abatement plan for competition and land degradation by unmanaged goats </w:t>
            </w:r>
            <w:sdt>
              <w:sdtPr>
                <w:rPr>
                  <w:color w:val="000000"/>
                </w:rPr>
                <w:tag w:val="MENDELEY_CITATION_v3_eyJjaXRhdGlvbklEIjoiTUVOREVMRVlfQ0lUQVRJT05fNDFjMDU4NzMtMDZjYy00YTc2LWJjZDAtMWRiYmQwM2UyMjdlIiwicHJvcGVydGllcyI6eyJub3RlSW5kZXgiOjB9LCJpc0VkaXRlZCI6ZmFsc2UsIm1hbnVhbE92ZXJyaWRlIjp7ImNpdGVwcm9jVGV4dCI6IihERVdIQSwgMjAwOGE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
                <w:id w:val="-1375155424"/>
                <w:placeholder>
                  <w:docPart w:val="DefaultPlaceholder_-1854013440"/>
                </w:placeholder>
              </w:sdtPr>
              <w:sdtContent>
                <w:r w:rsidR="007E7CCC" w:rsidRPr="007E7CCC">
                  <w:rPr>
                    <w:color w:val="000000"/>
                  </w:rPr>
                  <w:t>(DEWHA, 2008a)</w:t>
                </w:r>
              </w:sdtContent>
            </w:sdt>
          </w:p>
        </w:tc>
      </w:tr>
      <w:tr w:rsidR="00FF6F90" w14:paraId="13D4369A" w14:textId="77777777" w:rsidTr="0003260E">
        <w:tc>
          <w:tcPr>
            <w:tcW w:w="1987" w:type="pct"/>
            <w:vAlign w:val="center"/>
          </w:tcPr>
          <w:p w14:paraId="6F7B20AE" w14:textId="77777777" w:rsidR="00FF6F90" w:rsidRDefault="00FF6F90" w:rsidP="0003260E">
            <w:pPr>
              <w:pStyle w:val="Tabletext"/>
            </w:pPr>
            <w:r w:rsidRPr="009065E9">
              <w:t>Fire regimes that cause declines in biodiversity</w:t>
            </w:r>
          </w:p>
        </w:tc>
        <w:tc>
          <w:tcPr>
            <w:tcW w:w="3013" w:type="pct"/>
            <w:vAlign w:val="center"/>
          </w:tcPr>
          <w:p w14:paraId="61A1B61C" w14:textId="77777777" w:rsidR="00FF6F90" w:rsidRPr="00B95488" w:rsidRDefault="00FF6F90" w:rsidP="0003260E">
            <w:pPr>
              <w:pStyle w:val="Tabletext"/>
              <w:rPr>
                <w:iCs/>
              </w:rPr>
            </w:pPr>
            <w:r>
              <w:t>There is no relevant TAP</w:t>
            </w:r>
          </w:p>
        </w:tc>
      </w:tr>
      <w:tr w:rsidR="00FF6F90" w14:paraId="68B207B9" w14:textId="77777777" w:rsidTr="0003260E">
        <w:tc>
          <w:tcPr>
            <w:tcW w:w="1987" w:type="pct"/>
            <w:vAlign w:val="center"/>
          </w:tcPr>
          <w:p w14:paraId="4F3F7109" w14:textId="77777777" w:rsidR="00FF6F90" w:rsidRPr="003919C8" w:rsidRDefault="00FF6F90" w:rsidP="0003260E">
            <w:pPr>
              <w:pStyle w:val="Tabletext"/>
            </w:pPr>
            <w:r w:rsidRPr="00EB4621">
              <w:t>Infection of amphibians with chytrid fungus resulting in chytridiomycosis</w:t>
            </w:r>
          </w:p>
        </w:tc>
        <w:tc>
          <w:tcPr>
            <w:tcW w:w="3013" w:type="pct"/>
            <w:vAlign w:val="center"/>
          </w:tcPr>
          <w:p w14:paraId="4FE03DDC" w14:textId="5F88FBFE" w:rsidR="00FF6F90" w:rsidRDefault="00FF6F90" w:rsidP="0003260E">
            <w:pPr>
              <w:pStyle w:val="Tabletext"/>
            </w:pPr>
            <w:r w:rsidRPr="00AD7637">
              <w:t xml:space="preserve">Threat abatement plan for infection of amphibians with chytrid fungus resulting in chytridiomycosis </w:t>
            </w:r>
            <w:sdt>
              <w:sdtPr>
                <w:rPr>
                  <w:color w:val="000000"/>
                </w:rPr>
                <w:tag w:val="MENDELEY_CITATION_v3_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"/>
                <w:id w:val="-1795825082"/>
                <w:placeholder>
                  <w:docPart w:val="DefaultPlaceholder_-1854013440"/>
                </w:placeholder>
              </w:sdtPr>
              <w:sdtContent>
                <w:r w:rsidR="007E7CCC" w:rsidRPr="007E7CCC">
                  <w:rPr>
                    <w:color w:val="000000"/>
                  </w:rPr>
                  <w:t>(DoEE, 2016b)</w:t>
                </w:r>
              </w:sdtContent>
            </w:sdt>
          </w:p>
        </w:tc>
      </w:tr>
      <w:tr w:rsidR="00FF6F90" w14:paraId="7ADAAC7C" w14:textId="77777777" w:rsidTr="0003260E">
        <w:tc>
          <w:tcPr>
            <w:tcW w:w="1987" w:type="pct"/>
            <w:vAlign w:val="center"/>
          </w:tcPr>
          <w:p w14:paraId="10DF2624" w14:textId="77777777" w:rsidR="00FF6F90" w:rsidRPr="003919C8" w:rsidRDefault="00FF6F90" w:rsidP="0003260E">
            <w:pPr>
              <w:pStyle w:val="Tabletext"/>
            </w:pPr>
            <w:r>
              <w:t>Land clearance</w:t>
            </w:r>
          </w:p>
        </w:tc>
        <w:tc>
          <w:tcPr>
            <w:tcW w:w="3013" w:type="pct"/>
            <w:vAlign w:val="center"/>
          </w:tcPr>
          <w:p w14:paraId="5BC6F610" w14:textId="77777777" w:rsidR="00FF6F90" w:rsidRDefault="00FF6F90" w:rsidP="0003260E">
            <w:pPr>
              <w:pStyle w:val="Tabletext"/>
            </w:pPr>
            <w:r>
              <w:t>There is no relevant TAP</w:t>
            </w:r>
          </w:p>
        </w:tc>
      </w:tr>
      <w:tr w:rsidR="00FF6F90" w14:paraId="5947D002" w14:textId="77777777" w:rsidTr="0003260E">
        <w:tc>
          <w:tcPr>
            <w:tcW w:w="1987" w:type="pct"/>
            <w:vAlign w:val="center"/>
          </w:tcPr>
          <w:p w14:paraId="321807BC" w14:textId="77777777" w:rsidR="00FF6F90" w:rsidRDefault="00FF6F90" w:rsidP="0003260E">
            <w:pPr>
              <w:pStyle w:val="Tabletext"/>
            </w:pPr>
            <w:r w:rsidRPr="003919C8">
              <w:t>Loss and degradation of native plant and animal habitat by invasion of escaped garden plants</w:t>
            </w:r>
          </w:p>
        </w:tc>
        <w:tc>
          <w:tcPr>
            <w:tcW w:w="3013" w:type="pct"/>
            <w:vAlign w:val="center"/>
          </w:tcPr>
          <w:p w14:paraId="5EED8658" w14:textId="77777777" w:rsidR="00FF6F90" w:rsidRPr="00B95488" w:rsidRDefault="00FF6F90" w:rsidP="0003260E">
            <w:pPr>
              <w:pStyle w:val="Tabletext"/>
              <w:rPr>
                <w:iCs/>
              </w:rPr>
            </w:pPr>
            <w:r>
              <w:t>There is no relevant TAP</w:t>
            </w:r>
          </w:p>
        </w:tc>
      </w:tr>
      <w:tr w:rsidR="00FF6F90" w14:paraId="7913BC22" w14:textId="77777777" w:rsidTr="0003260E">
        <w:tc>
          <w:tcPr>
            <w:tcW w:w="1987" w:type="pct"/>
            <w:vAlign w:val="center"/>
          </w:tcPr>
          <w:p w14:paraId="3303C81A" w14:textId="77777777" w:rsidR="00FF6F90" w:rsidRDefault="00FF6F90" w:rsidP="0003260E">
            <w:pPr>
              <w:pStyle w:val="Tabletext"/>
            </w:pPr>
            <w:r w:rsidRPr="003919C8">
              <w:lastRenderedPageBreak/>
              <w:t>Novel biota and their impact on biodiversity</w:t>
            </w:r>
          </w:p>
        </w:tc>
        <w:tc>
          <w:tcPr>
            <w:tcW w:w="3013" w:type="pct"/>
            <w:vAlign w:val="center"/>
          </w:tcPr>
          <w:p w14:paraId="33204C16" w14:textId="77777777" w:rsidR="00FF6F90" w:rsidRPr="00B95488" w:rsidRDefault="00FF6F90" w:rsidP="0003260E">
            <w:pPr>
              <w:pStyle w:val="Tabletext"/>
              <w:rPr>
                <w:iCs/>
              </w:rPr>
            </w:pPr>
            <w:r>
              <w:t>There is no relevant TAP</w:t>
            </w:r>
          </w:p>
        </w:tc>
      </w:tr>
      <w:tr w:rsidR="00FF6F90" w14:paraId="66EB5D17" w14:textId="77777777" w:rsidTr="0003260E">
        <w:trPr>
          <w:trHeight w:val="597"/>
        </w:trPr>
        <w:tc>
          <w:tcPr>
            <w:tcW w:w="1987" w:type="pct"/>
            <w:vAlign w:val="center"/>
          </w:tcPr>
          <w:p w14:paraId="052563E2" w14:textId="77777777" w:rsidR="00FF6F90" w:rsidRPr="0048299C" w:rsidRDefault="00FF6F90" w:rsidP="0003260E">
            <w:pPr>
              <w:pStyle w:val="Tabletext"/>
            </w:pPr>
            <w:r>
              <w:t>Predation by feral cats</w:t>
            </w:r>
          </w:p>
        </w:tc>
        <w:tc>
          <w:tcPr>
            <w:tcW w:w="3013" w:type="pct"/>
            <w:vAlign w:val="center"/>
          </w:tcPr>
          <w:p w14:paraId="06758E93" w14:textId="3772ED25" w:rsidR="00FF6F90" w:rsidRPr="00B95488" w:rsidRDefault="00FF6F90" w:rsidP="0003260E">
            <w:pPr>
              <w:pStyle w:val="Tabletext"/>
              <w:rPr>
                <w:iCs/>
              </w:rPr>
            </w:pPr>
            <w:r w:rsidRPr="00E31BAE">
              <w:rPr>
                <w:iCs/>
              </w:rPr>
              <w:t xml:space="preserve">Threat abatement plan for predation by feral cats </w:t>
            </w:r>
            <w:sdt>
              <w:sdtPr>
                <w:rPr>
                  <w:iCs/>
                  <w:color w:val="000000"/>
                </w:rPr>
                <w:tag w:val="MENDELEY_CITATION_v3_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"/>
                <w:id w:val="3251278"/>
                <w:placeholder>
                  <w:docPart w:val="DefaultPlaceholder_-1854013440"/>
                </w:placeholder>
              </w:sdtPr>
              <w:sdtEndPr>
                <w:rPr>
                  <w:iCs w:val="0"/>
                </w:rPr>
              </w:sdtEndPr>
              <w:sdtContent>
                <w:r w:rsidR="007E7CCC" w:rsidRPr="007E7CCC">
                  <w:rPr>
                    <w:color w:val="000000"/>
                  </w:rPr>
                  <w:t>(DoE, 2015)</w:t>
                </w:r>
              </w:sdtContent>
            </w:sdt>
          </w:p>
        </w:tc>
      </w:tr>
      <w:tr w:rsidR="00FF6F90" w14:paraId="7EFFA90B" w14:textId="77777777" w:rsidTr="0003260E">
        <w:tc>
          <w:tcPr>
            <w:tcW w:w="1987" w:type="pct"/>
            <w:vAlign w:val="center"/>
          </w:tcPr>
          <w:p w14:paraId="6E5F2454" w14:textId="77777777" w:rsidR="00FF6F90" w:rsidRDefault="00FF6F90" w:rsidP="0003260E">
            <w:pPr>
              <w:pStyle w:val="Tabletext"/>
            </w:pPr>
            <w:r>
              <w:t>Predation by European red fox</w:t>
            </w:r>
          </w:p>
        </w:tc>
        <w:tc>
          <w:tcPr>
            <w:tcW w:w="3013" w:type="pct"/>
            <w:vAlign w:val="center"/>
          </w:tcPr>
          <w:p w14:paraId="530196B6" w14:textId="42ADF3BD" w:rsidR="00FF6F90" w:rsidRPr="00B95488" w:rsidRDefault="00FF6F90" w:rsidP="0003260E">
            <w:pPr>
              <w:pStyle w:val="Tabletext"/>
              <w:rPr>
                <w:iCs/>
              </w:rPr>
            </w:pPr>
            <w:r w:rsidRPr="00E31BAE">
              <w:rPr>
                <w:iCs/>
              </w:rPr>
              <w:t xml:space="preserve">Threat abatement plan for predation by the European red fox </w:t>
            </w:r>
            <w:sdt>
              <w:sdtPr>
                <w:rPr>
                  <w:iCs/>
                  <w:color w:val="000000"/>
                </w:rPr>
                <w:tag w:val="MENDELEY_CITATION_v3_eyJjaXRhdGlvbklEIjoiTUVOREVMRVlfQ0lUQVRJT05fMjgyYzkzZWEtNTk4NS00NmEwLTlkZGMtMzNhNGFlNTNmY2Q2IiwicHJvcGVydGllcyI6eyJub3RlSW5kZXgiOjB9LCJpc0VkaXRlZCI6ZmFsc2UsIm1hbnVhbE92ZXJyaWRlIjp7ImNpdGVwcm9jVGV4dCI6IihERVdIQSwgMjAwOGI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772667009"/>
                <w:placeholder>
                  <w:docPart w:val="DefaultPlaceholder_-1854013440"/>
                </w:placeholder>
              </w:sdtPr>
              <w:sdtEndPr>
                <w:rPr>
                  <w:iCs w:val="0"/>
                </w:rPr>
              </w:sdtEndPr>
              <w:sdtContent>
                <w:r w:rsidR="007E7CCC" w:rsidRPr="007E7CCC">
                  <w:rPr>
                    <w:color w:val="000000"/>
                  </w:rPr>
                  <w:t>(DEWHA, 2008b)</w:t>
                </w:r>
              </w:sdtContent>
            </w:sdt>
          </w:p>
        </w:tc>
      </w:tr>
      <w:tr w:rsidR="00FF6F90" w14:paraId="19A5D724" w14:textId="77777777" w:rsidTr="0003260E">
        <w:tc>
          <w:tcPr>
            <w:tcW w:w="1987" w:type="pct"/>
            <w:vAlign w:val="center"/>
          </w:tcPr>
          <w:p w14:paraId="3104FE89" w14:textId="77777777" w:rsidR="00FF6F90" w:rsidRDefault="00FF6F90" w:rsidP="0003260E">
            <w:pPr>
              <w:pStyle w:val="Tabletext"/>
            </w:pPr>
            <w:r w:rsidRPr="00CF7211">
              <w:t>Predation, Habitat Degradation, Competition and Disease Transmission by Feral Pigs</w:t>
            </w:r>
          </w:p>
        </w:tc>
        <w:tc>
          <w:tcPr>
            <w:tcW w:w="3013" w:type="pct"/>
            <w:vAlign w:val="center"/>
          </w:tcPr>
          <w:p w14:paraId="27A5AB35" w14:textId="020F319C" w:rsidR="00FF6F90" w:rsidRPr="00B95488" w:rsidRDefault="00FF6F90" w:rsidP="0003260E">
            <w:pPr>
              <w:pStyle w:val="Tabletext"/>
              <w:rPr>
                <w:iCs/>
              </w:rPr>
            </w:pPr>
            <w:r w:rsidRPr="00500496">
              <w:t xml:space="preserve">Threat abatement plan for predation, habitat degradation, competition and disease transmission by feral pigs </w:t>
            </w:r>
            <w:sdt>
              <w:sdtPr>
                <w:rPr>
                  <w:color w:val="000000"/>
                </w:rPr>
                <w:tag w:val="MENDELEY_CITATION_v3_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"/>
                <w:id w:val="913443886"/>
                <w:placeholder>
                  <w:docPart w:val="DefaultPlaceholder_-1854013440"/>
                </w:placeholder>
              </w:sdtPr>
              <w:sdtContent>
                <w:r w:rsidR="007E7CCC" w:rsidRPr="007E7CCC">
                  <w:rPr>
                    <w:color w:val="000000"/>
                  </w:rPr>
                  <w:t>(DoEE, 2017)</w:t>
                </w:r>
              </w:sdtContent>
            </w:sdt>
          </w:p>
        </w:tc>
      </w:tr>
    </w:tbl>
    <w:p w14:paraId="0A3B2D1D" w14:textId="77777777" w:rsidR="00FF6F90" w:rsidRPr="00AD5F24" w:rsidRDefault="00FF6F90" w:rsidP="001B6C1A">
      <w:pPr>
        <w:pStyle w:val="Heading3"/>
      </w:pPr>
      <w:bookmarkStart w:id="34" w:name="_Ref116652561"/>
      <w:r w:rsidRPr="00AD5F24">
        <w:t>Threat abatement plan for competition and land degradation by rabbits</w:t>
      </w:r>
      <w:bookmarkEnd w:id="34"/>
    </w:p>
    <w:p w14:paraId="1B3E6B62" w14:textId="77777777" w:rsidR="00FF6F90" w:rsidRPr="00AD5F24" w:rsidRDefault="00FF6F90" w:rsidP="001B6C1A">
      <w:r w:rsidRPr="00AD5F24">
        <w:t>The goal of this TAP is to minimise the impact of competition and land degradation by rabbits (</w:t>
      </w:r>
      <w:r w:rsidRPr="00AD5F24">
        <w:rPr>
          <w:i/>
          <w:iCs/>
        </w:rPr>
        <w:t>Oryctolagus cuniculus</w:t>
      </w:r>
      <w:r w:rsidRPr="00AD5F24">
        <w:t>) on biodiversity. Rabbits are abundant in Australia and cause damage to native flora and fauna, vegetation communities and crops. Rabbits can affect threatened species and TECs by:</w:t>
      </w:r>
    </w:p>
    <w:p w14:paraId="44AA4AC5" w14:textId="77777777" w:rsidR="00FF6F90" w:rsidRPr="00AD5F24" w:rsidRDefault="00FF6F90" w:rsidP="001B6C1A">
      <w:pPr>
        <w:pStyle w:val="Bullet1"/>
      </w:pPr>
      <w:r w:rsidRPr="00AD5F24">
        <w:t>Grazing on threatened native vegetation and therefore preventing regeneration</w:t>
      </w:r>
    </w:p>
    <w:p w14:paraId="54033BEF" w14:textId="77777777" w:rsidR="00FF6F90" w:rsidRPr="00AD5F24" w:rsidRDefault="00FF6F90" w:rsidP="001B6C1A">
      <w:pPr>
        <w:pStyle w:val="Bullet1"/>
      </w:pPr>
      <w:r w:rsidRPr="00AD5F24">
        <w:t>Competing with threatened fauna species for food and shelter</w:t>
      </w:r>
    </w:p>
    <w:p w14:paraId="1B1F2DE5" w14:textId="77777777" w:rsidR="00FF6F90" w:rsidRPr="00AD5F24" w:rsidRDefault="00FF6F90" w:rsidP="001B6C1A">
      <w:pPr>
        <w:pStyle w:val="Bullet1"/>
      </w:pPr>
      <w:r w:rsidRPr="00AD5F24">
        <w:t>Reversing the normal processes of plant succession</w:t>
      </w:r>
    </w:p>
    <w:p w14:paraId="16307D84" w14:textId="77777777" w:rsidR="00FF6F90" w:rsidRPr="00AD5F24" w:rsidRDefault="00FF6F90" w:rsidP="001B6C1A">
      <w:pPr>
        <w:pStyle w:val="Bullet1"/>
      </w:pPr>
      <w:r w:rsidRPr="00AD5F24">
        <w:t>Altering ecological communities and changing soil structure and nutrient cycling, leading to significant erosion</w:t>
      </w:r>
    </w:p>
    <w:p w14:paraId="5D4BE3D4" w14:textId="77777777" w:rsidR="00FF6F90" w:rsidRPr="00AD5F24" w:rsidRDefault="00FF6F90" w:rsidP="001B6C1A">
      <w:pPr>
        <w:pStyle w:val="Bullet1"/>
      </w:pPr>
      <w:r w:rsidRPr="00AD5F24">
        <w:t xml:space="preserve">Removal of critical habitat for arboreal mammals and birds, leading to increased predation </w:t>
      </w:r>
    </w:p>
    <w:p w14:paraId="437022AB" w14:textId="77777777" w:rsidR="00FF6F90" w:rsidRPr="00AD5F24" w:rsidRDefault="00FF6F90" w:rsidP="001B6C1A">
      <w:pPr>
        <w:pStyle w:val="Bullet1"/>
      </w:pPr>
      <w:r w:rsidRPr="00AD5F24">
        <w:t>Supporting elevated population densities of pest predators such as foxes and feral cats</w:t>
      </w:r>
    </w:p>
    <w:p w14:paraId="3FEECE1E" w14:textId="1085E531" w:rsidR="00FF6F90" w:rsidRPr="00AD5F24" w:rsidRDefault="00FF6F90" w:rsidP="001B6C1A">
      <w:pPr>
        <w:pStyle w:val="Bullet1"/>
      </w:pPr>
      <w:r w:rsidRPr="00AD5F24">
        <w:t xml:space="preserve">Promoting growth of introduced and unpalatable species such as weeds </w:t>
      </w:r>
      <w:sdt>
        <w:sdtPr>
          <w:rPr>
            <w:color w:val="000000"/>
          </w:rPr>
          <w:tag w:val="MENDELEY_CITATION_v3_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"/>
          <w:id w:val="-749114106"/>
          <w:placeholder>
            <w:docPart w:val="DefaultPlaceholder_-1854013440"/>
          </w:placeholder>
        </w:sdtPr>
        <w:sdtContent>
          <w:r w:rsidR="007E7CCC" w:rsidRPr="007E7CCC">
            <w:rPr>
              <w:color w:val="000000"/>
            </w:rPr>
            <w:t>(DoEE, 2016a)</w:t>
          </w:r>
        </w:sdtContent>
      </w:sdt>
    </w:p>
    <w:p w14:paraId="47662020" w14:textId="77777777" w:rsidR="00FF6F90" w:rsidRPr="00AD5F24" w:rsidRDefault="00FF6F90" w:rsidP="001B6C1A">
      <w:pPr>
        <w:pStyle w:val="Heading4"/>
      </w:pPr>
      <w:r w:rsidRPr="00AD5F24">
        <w:t>Objectives and actions under the TAP</w:t>
      </w:r>
    </w:p>
    <w:p w14:paraId="33EB538D" w14:textId="77777777" w:rsidR="00FF6F90" w:rsidRPr="00AD5F24" w:rsidRDefault="00FF6F90" w:rsidP="001B6C1A">
      <w:r w:rsidRPr="00AD5F24">
        <w:t>The TAP sets out four objectives to achieve the goal, they are:</w:t>
      </w:r>
    </w:p>
    <w:p w14:paraId="65F11F96" w14:textId="77777777" w:rsidR="00FF6F90" w:rsidRPr="00AD5F24" w:rsidRDefault="00FF6F90" w:rsidP="001B6C1A">
      <w:pPr>
        <w:pStyle w:val="Bullet1"/>
      </w:pPr>
      <w:r w:rsidRPr="00AD5F24">
        <w:t>Strategically manage rabbits at the landscape scale and suppress rabbit populations to densities below threshold levels in identified priority areas</w:t>
      </w:r>
    </w:p>
    <w:p w14:paraId="6E55B5C0" w14:textId="77777777" w:rsidR="00FF6F90" w:rsidRPr="00AD5F24" w:rsidRDefault="00FF6F90" w:rsidP="001B6C1A">
      <w:pPr>
        <w:pStyle w:val="Bullet1"/>
      </w:pPr>
      <w:r w:rsidRPr="00AD5F24">
        <w:t>Improve knowledge and understanding of the impact of rabbits and their interactions with other species and ecological processes</w:t>
      </w:r>
    </w:p>
    <w:p w14:paraId="692A750B" w14:textId="77777777" w:rsidR="00FF6F90" w:rsidRPr="00AD5F24" w:rsidRDefault="00FF6F90" w:rsidP="001B6C1A">
      <w:pPr>
        <w:pStyle w:val="Bullet1"/>
      </w:pPr>
      <w:r w:rsidRPr="00AD5F24">
        <w:t>Improve the effectiveness of rabbit control programs</w:t>
      </w:r>
    </w:p>
    <w:p w14:paraId="1CD90F39" w14:textId="77777777" w:rsidR="00FF6F90" w:rsidRPr="00AD5F24" w:rsidRDefault="00FF6F90" w:rsidP="001B6C1A">
      <w:pPr>
        <w:pStyle w:val="Bullet1"/>
      </w:pPr>
      <w:r w:rsidRPr="00AD5F24">
        <w:t>Increase engagement of the community of the environmental impacts of rabbits and the need for integrated control</w:t>
      </w:r>
    </w:p>
    <w:p w14:paraId="4E29CA95" w14:textId="77777777" w:rsidR="00FF6F90" w:rsidRPr="00AD5F24" w:rsidRDefault="00FF6F90" w:rsidP="001B6C1A">
      <w:r w:rsidRPr="00AD5F24">
        <w:t>A set of actions have been identified to achieve the objectives of the TAP. There are five actions to support the strategic management of rabbits at a landscape scale. These relate to identifying priority areas for rabbit control on a regional scale, coordinating efforts across all land tenures such as private land and urban areas, and developing regular monitoring and reporting mechanisms to track progress.</w:t>
      </w:r>
    </w:p>
    <w:p w14:paraId="344D9DE8" w14:textId="77777777" w:rsidR="00FF6F90" w:rsidRPr="00AD5F24" w:rsidRDefault="00FF6F90" w:rsidP="001B6C1A">
      <w:r w:rsidRPr="00AD5F24">
        <w:t>There are three actions to improve knowledge and understanding of the impact of rabbits. These relate to further investigating the interaction of rabbits with other species and threats to improve rabbit control measures.</w:t>
      </w:r>
    </w:p>
    <w:p w14:paraId="20AF96B7" w14:textId="77777777" w:rsidR="00FF6F90" w:rsidRPr="00AD5F24" w:rsidRDefault="00FF6F90" w:rsidP="001B6C1A">
      <w:r w:rsidRPr="00AD5F24">
        <w:t>There are eight actions to improve the effectiveness of rabbit control programs through further research.</w:t>
      </w:r>
    </w:p>
    <w:p w14:paraId="0B359E42" w14:textId="1BE2BB41" w:rsidR="00FF6F90" w:rsidRPr="00AD5F24" w:rsidRDefault="00FF6F90" w:rsidP="001B6C1A">
      <w:r w:rsidRPr="00AD5F24">
        <w:t xml:space="preserve">There are four actions to increase communication with stakeholders around the impacts caused by rabbits. These relate to developing training programs for land managers, promoting and seeking engagement from all people in the community and promoting adoption of model codes of practice for rabbit control </w:t>
      </w:r>
      <w:sdt>
        <w:sdtPr>
          <w:rPr>
            <w:color w:val="000000"/>
          </w:rPr>
          <w:tag w:val="MENDELEY_CITATION_v3_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"/>
          <w:id w:val="1209916264"/>
          <w:placeholder>
            <w:docPart w:val="DefaultPlaceholder_-1854013440"/>
          </w:placeholder>
        </w:sdtPr>
        <w:sdtContent>
          <w:r w:rsidR="007E7CCC" w:rsidRPr="007E7CCC">
            <w:rPr>
              <w:color w:val="000000"/>
            </w:rPr>
            <w:t>(DoEE, 2016a)</w:t>
          </w:r>
        </w:sdtContent>
      </w:sdt>
      <w:r w:rsidRPr="00AD5F24">
        <w:t>.</w:t>
      </w:r>
    </w:p>
    <w:p w14:paraId="23051129" w14:textId="77777777" w:rsidR="00FF6F90" w:rsidRPr="00AD5F24" w:rsidRDefault="00FF6F90" w:rsidP="001B6C1A">
      <w:pPr>
        <w:pStyle w:val="Heading4"/>
      </w:pPr>
      <w:r w:rsidRPr="00AD5F24">
        <w:t>Relevance of the TAP to the Plan</w:t>
      </w:r>
    </w:p>
    <w:p w14:paraId="14701ACE" w14:textId="77777777" w:rsidR="00FF6F90" w:rsidRPr="00AD5F24" w:rsidRDefault="00FF6F90" w:rsidP="001B6C1A">
      <w:r w:rsidRPr="00AD5F24">
        <w:t>There is no likelihood of national rabbit eradication, so rabbit control is an ongoing issue across Australia. Current rabbit control programs focus on long-term management and suppression of rabbit populations.</w:t>
      </w:r>
    </w:p>
    <w:p w14:paraId="2BC0FA33" w14:textId="6B094430" w:rsidR="00FF6F90" w:rsidRDefault="00FF6F90" w:rsidP="001B6C1A">
      <w:r w:rsidRPr="006842BF">
        <w:t xml:space="preserve">Rabbits are an existing threat within the Geelong locality, with evidence that the NWGGA is currently occupied by the species </w:t>
      </w:r>
      <w:sdt>
        <w:sdtPr>
          <w:rPr>
            <w:color w:val="000000"/>
          </w:rPr>
          <w:tag w:val="MENDELEY_CITATION_v3_eyJjaXRhdGlvbklEIjoiTUVOREVMRVlfQ0lUQVRJT05fMGNjYzE2NjctMTAxMS00NGNkLWJiMzEtNjcwNWNhNGFmZDU5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
          <w:id w:val="-746803589"/>
          <w:placeholder>
            <w:docPart w:val="DefaultPlaceholder_-1854013440"/>
          </w:placeholder>
        </w:sdtPr>
        <w:sdtContent>
          <w:r w:rsidR="007E7CCC" w:rsidRPr="007E7CCC">
            <w:rPr>
              <w:color w:val="000000"/>
            </w:rPr>
            <w:t>(EHP, 2021a)</w:t>
          </w:r>
        </w:sdtContent>
      </w:sdt>
      <w:r w:rsidRPr="006842BF">
        <w:t xml:space="preserve">. </w:t>
      </w:r>
    </w:p>
    <w:p w14:paraId="254B3432" w14:textId="77777777" w:rsidR="00FF6F90" w:rsidRPr="00B66E0D" w:rsidRDefault="00FF6F90" w:rsidP="001B6C1A">
      <w:r w:rsidRPr="0093326E">
        <w:lastRenderedPageBreak/>
        <w:t>Development under the Plan is unlikely to exacerbate the threat posed by rabbits.</w:t>
      </w:r>
    </w:p>
    <w:p w14:paraId="511E2872" w14:textId="77777777" w:rsidR="00FF6F90" w:rsidRPr="00B66E0D" w:rsidRDefault="00FF6F90" w:rsidP="001B6C1A">
      <w:pPr>
        <w:pStyle w:val="Heading4"/>
      </w:pPr>
      <w:r w:rsidRPr="00B66E0D">
        <w:t>Consistency with the TAP</w:t>
      </w:r>
    </w:p>
    <w:p w14:paraId="0D0285CB" w14:textId="77777777" w:rsidR="00FF6F90" w:rsidRPr="00B66E0D" w:rsidRDefault="00FF6F90" w:rsidP="001B6C1A">
      <w:r w:rsidRPr="00B66E0D">
        <w:t>The Plan is not inconsistent with the TAP on the basis that</w:t>
      </w:r>
      <w:r>
        <w:t xml:space="preserve"> t</w:t>
      </w:r>
      <w:r w:rsidRPr="00B66E0D">
        <w:t>he Plan will not prevent any of the actions of the TAP from being implemented</w:t>
      </w:r>
      <w:r>
        <w:t>.</w:t>
      </w:r>
    </w:p>
    <w:p w14:paraId="34D37132" w14:textId="77777777" w:rsidR="00FF6F90" w:rsidRPr="005D4103" w:rsidRDefault="00FF6F90" w:rsidP="001B6C1A">
      <w:pPr>
        <w:pStyle w:val="Heading4"/>
      </w:pPr>
      <w:r w:rsidRPr="005D4103">
        <w:t>How regard has been given for information within the TAP</w:t>
      </w:r>
    </w:p>
    <w:p w14:paraId="2EAA6AB3" w14:textId="77777777" w:rsidR="00FF6F90" w:rsidRDefault="00FF6F90" w:rsidP="001B6C1A">
      <w:r>
        <w:t>The Strategic Assessment Report</w:t>
      </w:r>
      <w:r w:rsidRPr="005D4103">
        <w:t xml:space="preserve"> has had regard for the TAP through reviewing and considering information within the TAP and ensuring that</w:t>
      </w:r>
      <w:r>
        <w:t>:</w:t>
      </w:r>
    </w:p>
    <w:p w14:paraId="5ACC1F34" w14:textId="77777777" w:rsidR="00FF6F90" w:rsidRDefault="00FF6F90" w:rsidP="001B6C1A">
      <w:pPr>
        <w:pStyle w:val="Bullet1"/>
      </w:pPr>
      <w:r>
        <w:t>T</w:t>
      </w:r>
      <w:r w:rsidRPr="005D4103">
        <w:t>he Plan is not inconsistent with the TAP</w:t>
      </w:r>
    </w:p>
    <w:p w14:paraId="63D60759" w14:textId="77777777" w:rsidR="00FF6F90" w:rsidRPr="005D4103" w:rsidRDefault="00FF6F90" w:rsidP="001B6C1A">
      <w:pPr>
        <w:pStyle w:val="Bullet1"/>
      </w:pPr>
      <w:r>
        <w:t>The Plan will not exacerbate threats associated with this TAP</w:t>
      </w:r>
    </w:p>
    <w:p w14:paraId="24E4CC08" w14:textId="77777777" w:rsidR="00FF6F90" w:rsidRPr="00AD5F24" w:rsidRDefault="00FF6F90" w:rsidP="001B6C1A">
      <w:pPr>
        <w:pStyle w:val="Heading3"/>
      </w:pPr>
      <w:r w:rsidRPr="00AD5F24">
        <w:t>Threat abatement plan for competition and land degradation by unmanaged goats</w:t>
      </w:r>
    </w:p>
    <w:p w14:paraId="78741B8E" w14:textId="77777777" w:rsidR="00FF6F90" w:rsidRPr="00AD5F24" w:rsidRDefault="00FF6F90" w:rsidP="001B6C1A">
      <w:r w:rsidRPr="00AD5F24">
        <w:t>The goal of this is TAP is to minimise the impact of competition and land degradation by unmanaged goats (</w:t>
      </w:r>
      <w:r w:rsidRPr="00AD5F24">
        <w:rPr>
          <w:i/>
          <w:iCs/>
        </w:rPr>
        <w:t>Capra hircus</w:t>
      </w:r>
      <w:r w:rsidRPr="00AD5F24">
        <w:t xml:space="preserve">) on biodiversity. Unmanaged goats are free-living and not owned, identified, restrained or managed. Unmanaged goats can affect threatened species and TECs by: </w:t>
      </w:r>
    </w:p>
    <w:p w14:paraId="19520FD3" w14:textId="77777777" w:rsidR="00FF6F90" w:rsidRPr="00AD5F24" w:rsidRDefault="00FF6F90" w:rsidP="001B6C1A">
      <w:pPr>
        <w:pStyle w:val="Bullet1"/>
      </w:pPr>
      <w:r w:rsidRPr="00AD5F24">
        <w:t>Grazing on threatened native vegetation and therefore preventing regeneration</w:t>
      </w:r>
    </w:p>
    <w:p w14:paraId="7C35C13A" w14:textId="77777777" w:rsidR="00FF6F90" w:rsidRPr="00AD5F24" w:rsidRDefault="00FF6F90" w:rsidP="001B6C1A">
      <w:pPr>
        <w:pStyle w:val="Bullet1"/>
      </w:pPr>
      <w:r w:rsidRPr="00AD5F24">
        <w:t>Overgrazing and causing soil erosion</w:t>
      </w:r>
    </w:p>
    <w:p w14:paraId="3542DB63" w14:textId="77777777" w:rsidR="00FF6F90" w:rsidRPr="00AD5F24" w:rsidRDefault="00FF6F90" w:rsidP="001B6C1A">
      <w:pPr>
        <w:pStyle w:val="Bullet1"/>
      </w:pPr>
      <w:r w:rsidRPr="00AD5F24">
        <w:t>Competing with threatened fauna species for food and shelter</w:t>
      </w:r>
    </w:p>
    <w:p w14:paraId="60E72E9E" w14:textId="77777777" w:rsidR="00FF6F90" w:rsidRPr="00AD5F24" w:rsidRDefault="00FF6F90" w:rsidP="001B6C1A">
      <w:pPr>
        <w:pStyle w:val="Bullet1"/>
      </w:pPr>
      <w:r w:rsidRPr="00AD5F24">
        <w:t>Introducing weeds through seeds carried in their dung</w:t>
      </w:r>
    </w:p>
    <w:p w14:paraId="1FF45272" w14:textId="7CD4ECD9" w:rsidR="00FF6F90" w:rsidRPr="00AD5F24" w:rsidRDefault="00FF6F90" w:rsidP="001B6C1A">
      <w:pPr>
        <w:pStyle w:val="Bullet1"/>
      </w:pPr>
      <w:r w:rsidRPr="00AD5F24">
        <w:t xml:space="preserve">Polluting watercourses </w:t>
      </w:r>
      <w:sdt>
        <w:sdtPr>
          <w:rPr>
            <w:color w:val="000000"/>
          </w:rPr>
          <w:tag w:val="MENDELEY_CITATION_v3_eyJjaXRhdGlvbklEIjoiTUVOREVMRVlfQ0lUQVRJT05fOWU0NjhmOWUtNTljNy00MTE1LThhYzYtZmYyNTYwYzhmODhiIiwicHJvcGVydGllcyI6eyJub3RlSW5kZXgiOjB9LCJpc0VkaXRlZCI6ZmFsc2UsIm1hbnVhbE92ZXJyaWRlIjp7ImNpdGVwcm9jVGV4dCI6IihERVdIQSwgMjAwOGE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
          <w:id w:val="165909644"/>
          <w:placeholder>
            <w:docPart w:val="DefaultPlaceholder_-1854013440"/>
          </w:placeholder>
        </w:sdtPr>
        <w:sdtContent>
          <w:r w:rsidR="007E7CCC" w:rsidRPr="007E7CCC">
            <w:rPr>
              <w:color w:val="000000"/>
            </w:rPr>
            <w:t>(DEWHA, 2008a)</w:t>
          </w:r>
        </w:sdtContent>
      </w:sdt>
    </w:p>
    <w:p w14:paraId="7B0B9A3B" w14:textId="77777777" w:rsidR="00FF6F90" w:rsidRPr="00AD5F24" w:rsidRDefault="00FF6F90" w:rsidP="001B6C1A">
      <w:pPr>
        <w:pStyle w:val="Heading4"/>
      </w:pPr>
      <w:r w:rsidRPr="00AD5F24">
        <w:t>Objectives and actions under the TAP</w:t>
      </w:r>
    </w:p>
    <w:p w14:paraId="0728B9D4" w14:textId="77777777" w:rsidR="00FF6F90" w:rsidRPr="00AD5F24" w:rsidRDefault="00FF6F90" w:rsidP="001B6C1A">
      <w:r w:rsidRPr="00AD5F24">
        <w:t>The TAP sets out five objectives to achieve the goal, they are:</w:t>
      </w:r>
    </w:p>
    <w:p w14:paraId="406DBF2D" w14:textId="77777777" w:rsidR="00FF6F90" w:rsidRPr="00AD5F24" w:rsidRDefault="00FF6F90" w:rsidP="001B6C1A">
      <w:pPr>
        <w:pStyle w:val="Bullet1"/>
      </w:pPr>
      <w:r w:rsidRPr="00AD5F24">
        <w:t>Prevent unmanaged goats occupying new areas and eradicate them from high conservation-value ‘islands’</w:t>
      </w:r>
    </w:p>
    <w:p w14:paraId="4D4BEDED" w14:textId="77777777" w:rsidR="00FF6F90" w:rsidRPr="00AD5F24" w:rsidRDefault="00FF6F90" w:rsidP="001B6C1A">
      <w:pPr>
        <w:pStyle w:val="Bullet1"/>
      </w:pPr>
      <w:r w:rsidRPr="00AD5F24">
        <w:t>Promote the maintenance and recovery of native species and ecological communities that are affected by competition and land degradation by unmanaged goats</w:t>
      </w:r>
    </w:p>
    <w:p w14:paraId="74F368FF" w14:textId="77777777" w:rsidR="00FF6F90" w:rsidRPr="00AD5F24" w:rsidRDefault="00FF6F90" w:rsidP="001B6C1A">
      <w:pPr>
        <w:pStyle w:val="Bullet1"/>
      </w:pPr>
      <w:r w:rsidRPr="00AD5F24">
        <w:t>Improve knowledge and understanding of unmanaged goat impacts and interactions with other species and ecological processes</w:t>
      </w:r>
    </w:p>
    <w:p w14:paraId="390FFEEA" w14:textId="77777777" w:rsidR="00FF6F90" w:rsidRPr="00AD5F24" w:rsidRDefault="00FF6F90" w:rsidP="001B6C1A">
      <w:pPr>
        <w:pStyle w:val="Bullet1"/>
      </w:pPr>
      <w:r w:rsidRPr="00AD5F24">
        <w:t>Improve the effectiveness, target specificity and humaneness of control options for unmanaged goats</w:t>
      </w:r>
    </w:p>
    <w:p w14:paraId="35B32FA6" w14:textId="3CE7B05D" w:rsidR="00FF6F90" w:rsidRPr="00AD5F24" w:rsidRDefault="00FF6F90" w:rsidP="001B6C1A">
      <w:pPr>
        <w:pStyle w:val="Bullet1"/>
      </w:pPr>
      <w:r w:rsidRPr="00AD5F24">
        <w:t xml:space="preserve">Increase awareness of all stakeholders of the objectives and actions of the TAP, and of the need to control unmanaged goats </w:t>
      </w:r>
      <w:sdt>
        <w:sdtPr>
          <w:rPr>
            <w:color w:val="000000"/>
          </w:rPr>
          <w:tag w:val="MENDELEY_CITATION_v3_eyJjaXRhdGlvbklEIjoiTUVOREVMRVlfQ0lUQVRJT05fNTQ2YzMxNjQtY2M5NC00YzYzLWE4ZjYtYzFmYjc4NzhiYWE2IiwicHJvcGVydGllcyI6eyJub3RlSW5kZXgiOjB9LCJpc0VkaXRlZCI6ZmFsc2UsIm1hbnVhbE92ZXJyaWRlIjp7ImNpdGVwcm9jVGV4dCI6IihERVdIQSwgMjAwOGE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
          <w:id w:val="804967157"/>
          <w:placeholder>
            <w:docPart w:val="DefaultPlaceholder_-1854013440"/>
          </w:placeholder>
        </w:sdtPr>
        <w:sdtContent>
          <w:r w:rsidR="007E7CCC" w:rsidRPr="007E7CCC">
            <w:rPr>
              <w:color w:val="000000"/>
            </w:rPr>
            <w:t>(DEWHA, 2008a)</w:t>
          </w:r>
        </w:sdtContent>
      </w:sdt>
    </w:p>
    <w:p w14:paraId="3637C893" w14:textId="77777777" w:rsidR="00FF6F90" w:rsidRPr="00AD5F24" w:rsidRDefault="00FF6F90" w:rsidP="001B6C1A">
      <w:r w:rsidRPr="00AD5F24">
        <w:t>A set of actions accompanies each objective to help achieve the goal of the TAP. There are four actions to prevent unmanaged goats occupying new areas. These relate to collating data on areas of high conservation value and developing and implementing management plans for these areas.</w:t>
      </w:r>
    </w:p>
    <w:p w14:paraId="15167E01" w14:textId="77777777" w:rsidR="00FF6F90" w:rsidRPr="00AD5F24" w:rsidRDefault="00FF6F90" w:rsidP="001B6C1A">
      <w:r w:rsidRPr="00AD5F24">
        <w:t>There are three actions to promote the maintenance and recovery of native species and ecological communities that are affected by this threat. These relate to identifying priority areas to control unmanaged goats and conducting and monitoring goat control.</w:t>
      </w:r>
    </w:p>
    <w:p w14:paraId="1AECB499" w14:textId="77777777" w:rsidR="00FF6F90" w:rsidRPr="00AD5F24" w:rsidRDefault="00FF6F90" w:rsidP="001B6C1A">
      <w:r w:rsidRPr="00AD5F24">
        <w:t>There are four actions to improve knowledge and understanding of unmanaged goat impacts and interactions. These relate to developing methods for assessing and monitoring the impact of unmanaged goats and improving knowledge of interactions between unmanaged goats and other key species.</w:t>
      </w:r>
    </w:p>
    <w:p w14:paraId="05D908F5" w14:textId="77777777" w:rsidR="00FF6F90" w:rsidRPr="00AD5F24" w:rsidRDefault="00FF6F90" w:rsidP="001B6C1A">
      <w:r w:rsidRPr="00AD5F24">
        <w:t>There are seven actions to improve the control options for unmanaged goats. These relate to investigating ways to improve control methods and programs including:</w:t>
      </w:r>
    </w:p>
    <w:p w14:paraId="72395B65" w14:textId="77777777" w:rsidR="00FF6F90" w:rsidRPr="00AD5F24" w:rsidRDefault="00FF6F90" w:rsidP="001B6C1A">
      <w:pPr>
        <w:pStyle w:val="Bullet1"/>
      </w:pPr>
      <w:r w:rsidRPr="00AD5F24">
        <w:t>Improving self-mustering trap systems</w:t>
      </w:r>
    </w:p>
    <w:p w14:paraId="1D741AF8" w14:textId="77777777" w:rsidR="00FF6F90" w:rsidRPr="00AD5F24" w:rsidRDefault="00FF6F90" w:rsidP="001B6C1A">
      <w:pPr>
        <w:pStyle w:val="Bullet1"/>
      </w:pPr>
      <w:r w:rsidRPr="00AD5F24">
        <w:t>Assessing goat toxins for undesirable side effects</w:t>
      </w:r>
    </w:p>
    <w:p w14:paraId="0A3B5784" w14:textId="77777777" w:rsidR="00FF6F90" w:rsidRPr="00AD5F24" w:rsidRDefault="00FF6F90" w:rsidP="001B6C1A">
      <w:pPr>
        <w:pStyle w:val="Bullet1"/>
      </w:pPr>
      <w:r w:rsidRPr="00AD5F24">
        <w:t>Testing exclusion fence designs</w:t>
      </w:r>
    </w:p>
    <w:p w14:paraId="21991801" w14:textId="77777777" w:rsidR="00FF6F90" w:rsidRPr="00AD5F24" w:rsidRDefault="00FF6F90" w:rsidP="001B6C1A">
      <w:pPr>
        <w:pStyle w:val="Bullet1"/>
      </w:pPr>
      <w:r w:rsidRPr="00AD5F24">
        <w:lastRenderedPageBreak/>
        <w:t>Developing training programs to help land managers</w:t>
      </w:r>
    </w:p>
    <w:p w14:paraId="093AA8EC" w14:textId="77777777" w:rsidR="00FF6F90" w:rsidRPr="00AD5F24" w:rsidRDefault="00FF6F90" w:rsidP="001B6C1A">
      <w:pPr>
        <w:pStyle w:val="Bullet1"/>
      </w:pPr>
      <w:r w:rsidRPr="00AD5F24">
        <w:t>Promoting the adoption and adaptation of the model codes of practice</w:t>
      </w:r>
    </w:p>
    <w:p w14:paraId="2A6F0EF2" w14:textId="77777777" w:rsidR="00FF6F90" w:rsidRPr="00780F2F" w:rsidRDefault="00FF6F90" w:rsidP="001B6C1A">
      <w:r w:rsidRPr="00AD5F24">
        <w:t>There are two actions to increase awareness of stakeholders of the objectives and actions of the TAP which relate to the promotion of the objectives and actions in the TAP.</w:t>
      </w:r>
    </w:p>
    <w:p w14:paraId="019D3003" w14:textId="77777777" w:rsidR="00FF6F90" w:rsidRPr="006842BF" w:rsidRDefault="00FF6F90" w:rsidP="001B6C1A">
      <w:pPr>
        <w:pStyle w:val="Heading4"/>
      </w:pPr>
      <w:r w:rsidRPr="006842BF">
        <w:t>Relevance of the TAP to the Plan</w:t>
      </w:r>
    </w:p>
    <w:p w14:paraId="06478B41" w14:textId="77777777" w:rsidR="00FF6F90" w:rsidRPr="006842BF" w:rsidRDefault="00FF6F90" w:rsidP="001B6C1A">
      <w:r w:rsidRPr="006842BF">
        <w:t>There is little information to suggest that unmanaged goats are currently a problem in the Strategic Assessment Area.</w:t>
      </w:r>
      <w:r>
        <w:t xml:space="preserve"> However, it is possible that goats are present as they present a widespread threat within Australia.</w:t>
      </w:r>
    </w:p>
    <w:p w14:paraId="01B5FDE2" w14:textId="77777777" w:rsidR="00FF6F90" w:rsidRPr="0093326E" w:rsidRDefault="00FF6F90" w:rsidP="001B6C1A">
      <w:r w:rsidRPr="0093326E">
        <w:t>There are no activities under the Plan which are likely to lead to the introduction of unmanaged goats in the area</w:t>
      </w:r>
      <w:r>
        <w:t>, or which would otherwise exacerbate the threat of unmanaged goats.</w:t>
      </w:r>
    </w:p>
    <w:p w14:paraId="3DD967BB" w14:textId="77777777" w:rsidR="00FF6F90" w:rsidRPr="00491712" w:rsidRDefault="00FF6F90" w:rsidP="001B6C1A">
      <w:pPr>
        <w:pStyle w:val="Heading4"/>
      </w:pPr>
      <w:r w:rsidRPr="00491712">
        <w:t>Consistency with the TAP</w:t>
      </w:r>
    </w:p>
    <w:p w14:paraId="586D33F9" w14:textId="77777777" w:rsidR="00FF6F90" w:rsidRPr="00B66E0D" w:rsidRDefault="00FF6F90" w:rsidP="001B6C1A">
      <w:r w:rsidRPr="00B66E0D">
        <w:t>The Plan is not inconsistent with the TAP on the basis that</w:t>
      </w:r>
      <w:r>
        <w:t xml:space="preserve"> t</w:t>
      </w:r>
      <w:r w:rsidRPr="00B66E0D">
        <w:t>he Plan will not prevent any of the actions of the TAP from being implemented</w:t>
      </w:r>
      <w:r>
        <w:t>.</w:t>
      </w:r>
    </w:p>
    <w:p w14:paraId="706FB7F6" w14:textId="77777777" w:rsidR="00FF6F90" w:rsidRPr="005D4103" w:rsidRDefault="00FF6F90" w:rsidP="001B6C1A">
      <w:pPr>
        <w:pStyle w:val="Heading4"/>
      </w:pPr>
      <w:r w:rsidRPr="005D4103">
        <w:t>How regard has been given for information within the TAP</w:t>
      </w:r>
    </w:p>
    <w:p w14:paraId="08F156C6" w14:textId="77777777" w:rsidR="00FF6F90" w:rsidRDefault="00FF6F90" w:rsidP="001B6C1A">
      <w:r>
        <w:t>The Strategic Assessment Report</w:t>
      </w:r>
      <w:r w:rsidRPr="005D4103">
        <w:t xml:space="preserve"> has had regard for the TAP through reviewing and considering information within the TAP and ensuring that</w:t>
      </w:r>
      <w:r>
        <w:t>:</w:t>
      </w:r>
    </w:p>
    <w:p w14:paraId="2D9AADE4" w14:textId="77777777" w:rsidR="00FF6F90" w:rsidRDefault="00FF6F90" w:rsidP="001B6C1A">
      <w:pPr>
        <w:pStyle w:val="Bullet1"/>
      </w:pPr>
      <w:r>
        <w:t>T</w:t>
      </w:r>
      <w:r w:rsidRPr="005D4103">
        <w:t>he Plan is not inconsistent with the TAP</w:t>
      </w:r>
    </w:p>
    <w:p w14:paraId="220DD401" w14:textId="77777777" w:rsidR="00FF6F90" w:rsidRPr="005D4103" w:rsidRDefault="00FF6F90" w:rsidP="001B6C1A">
      <w:pPr>
        <w:pStyle w:val="Bullet1"/>
      </w:pPr>
      <w:r>
        <w:t>The Plan will not exacerbate threats associated with this TAP</w:t>
      </w:r>
    </w:p>
    <w:p w14:paraId="078AEB7B" w14:textId="77777777" w:rsidR="00FF6F90" w:rsidRPr="00AD5F24" w:rsidRDefault="00FF6F90" w:rsidP="001B6C1A">
      <w:pPr>
        <w:pStyle w:val="Heading3"/>
      </w:pPr>
      <w:r w:rsidRPr="00AD5F24">
        <w:t>Threat abatement plan for infection of amphibians with chytrid fungus resulting in chytridiomycosis</w:t>
      </w:r>
    </w:p>
    <w:p w14:paraId="77787B3D" w14:textId="77777777" w:rsidR="00FF6F90" w:rsidRPr="00AD5F24" w:rsidRDefault="00FF6F90" w:rsidP="001B6C1A">
      <w:r w:rsidRPr="00AD5F24">
        <w:t>The goal of this TAP is to minimise the impacts of amphibian chytrid fungus (</w:t>
      </w:r>
      <w:r w:rsidRPr="00AD5F24">
        <w:rPr>
          <w:i/>
          <w:iCs/>
        </w:rPr>
        <w:t>Batrachochytrium dendrobatidis</w:t>
      </w:r>
      <w:r w:rsidRPr="00AD5F24">
        <w:t xml:space="preserve">) on affected native species and ecological communities. </w:t>
      </w:r>
    </w:p>
    <w:p w14:paraId="641CBDC8" w14:textId="3907C199" w:rsidR="00FF6F90" w:rsidRPr="00AD5F24" w:rsidRDefault="00FF6F90" w:rsidP="001B6C1A">
      <w:r w:rsidRPr="00AD5F24">
        <w:t xml:space="preserve">Chytrid fungus causes chytridiomycosis in amphibians which is a highly infectious disease that can be found in all areas in Australia except the Northern Territory. The fungus invades the surface layers of the skin and disrupts its normal function which results in electrolyte depletion and osmotic imbalance. This can affect the nervous system of some animals and paralysis, and ultimately death, occurs. Susceptibility to the disease varies between populations but the reasons for this are unknown </w:t>
      </w:r>
      <w:sdt>
        <w:sdtPr>
          <w:rPr>
            <w:color w:val="000000"/>
          </w:rPr>
          <w:tag w:val="MENDELEY_CITATION_v3_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"/>
          <w:id w:val="2093116383"/>
          <w:placeholder>
            <w:docPart w:val="DefaultPlaceholder_-1854013440"/>
          </w:placeholder>
        </w:sdtPr>
        <w:sdtContent>
          <w:r w:rsidR="007E7CCC" w:rsidRPr="007E7CCC">
            <w:rPr>
              <w:color w:val="000000"/>
            </w:rPr>
            <w:t>(DoEE, 2016b)</w:t>
          </w:r>
        </w:sdtContent>
      </w:sdt>
      <w:r w:rsidRPr="00AD5F24">
        <w:t>.</w:t>
      </w:r>
    </w:p>
    <w:p w14:paraId="3DA98DC7" w14:textId="77777777" w:rsidR="00FF6F90" w:rsidRPr="00AD5F24" w:rsidRDefault="00FF6F90" w:rsidP="001B6C1A">
      <w:pPr>
        <w:pStyle w:val="Heading4"/>
      </w:pPr>
      <w:r w:rsidRPr="00AD5F24">
        <w:t>Objectives and actions under the TAP</w:t>
      </w:r>
    </w:p>
    <w:p w14:paraId="2CB0E941" w14:textId="77777777" w:rsidR="00FF6F90" w:rsidRPr="00AD5F24" w:rsidRDefault="00FF6F90" w:rsidP="001B6C1A">
      <w:pPr>
        <w:keepNext/>
        <w:keepLines/>
      </w:pPr>
      <w:r w:rsidRPr="00AD5F24">
        <w:t>The TAP sets out four objectives to help achieve the goal, they are:</w:t>
      </w:r>
    </w:p>
    <w:p w14:paraId="19F133EA" w14:textId="77777777" w:rsidR="00FF6F90" w:rsidRPr="00AD5F24" w:rsidRDefault="00FF6F90" w:rsidP="001B6C1A">
      <w:pPr>
        <w:pStyle w:val="Bullet1"/>
      </w:pPr>
      <w:r w:rsidRPr="00AD5F24">
        <w:t>Improve understanding of the extent and impact of infection by amphibian chytrid fungus and reduce its spread to uninfected areas and populations</w:t>
      </w:r>
    </w:p>
    <w:p w14:paraId="55614E8E" w14:textId="77777777" w:rsidR="00FF6F90" w:rsidRPr="00AD5F24" w:rsidRDefault="00FF6F90" w:rsidP="001B6C1A">
      <w:pPr>
        <w:pStyle w:val="Bullet1"/>
      </w:pPr>
      <w:r w:rsidRPr="00AD5F24">
        <w:t>Identify and prioritise key threatened amphibian species, populations and geographical areas and improve their level of protection by implementing coordinated, cost-effective on-ground management strategies</w:t>
      </w:r>
    </w:p>
    <w:p w14:paraId="110F806B" w14:textId="77777777" w:rsidR="00FF6F90" w:rsidRPr="00AD5F24" w:rsidRDefault="00FF6F90" w:rsidP="001B6C1A">
      <w:pPr>
        <w:pStyle w:val="Bullet1"/>
      </w:pPr>
      <w:r w:rsidRPr="00AD5F24">
        <w:t>Facilitate collaborative applied research that can be used to inform and support improved management of amphibian chytrid fungus</w:t>
      </w:r>
    </w:p>
    <w:p w14:paraId="1ABE52C1" w14:textId="77777777" w:rsidR="00FF6F90" w:rsidRPr="00AD5F24" w:rsidRDefault="00FF6F90" w:rsidP="001B6C1A">
      <w:pPr>
        <w:pStyle w:val="Bullet1"/>
      </w:pPr>
      <w:r w:rsidRPr="00AD5F24">
        <w:t>Build scientific capacity and promote communication among stakeholders</w:t>
      </w:r>
    </w:p>
    <w:p w14:paraId="12796D57" w14:textId="77777777" w:rsidR="00FF6F90" w:rsidRPr="00AD5F24" w:rsidRDefault="00FF6F90" w:rsidP="001B6C1A">
      <w:r w:rsidRPr="00AD5F24">
        <w:t>A set of actions have been identified to achieve the objectives of the TAP. There are four actions to improve the understanding of infection by chytrid fungus and reduce its spread which relate to monitoring at-risk species, mapping the distribution of chytridiomycosis (and chytrid fungus), including control measures in amphibian translocation strategies, and ensuring appropriate hygiene protocols are implemented in chytrid-free areas.</w:t>
      </w:r>
    </w:p>
    <w:p w14:paraId="5764510F" w14:textId="77777777" w:rsidR="00FF6F90" w:rsidRPr="00AD5F24" w:rsidRDefault="00FF6F90" w:rsidP="001B6C1A">
      <w:r w:rsidRPr="00AD5F24">
        <w:t>There are six actions to support the identification and prioritisation of key threatened species, populations and geographical areas and the implementation of management strategies, which relate to completing risk assessments for high-priority species, implementing biosecurity measures around high-priority areas, and coordinating conservation efforts.</w:t>
      </w:r>
    </w:p>
    <w:p w14:paraId="3E869DF7" w14:textId="77777777" w:rsidR="00FF6F90" w:rsidRPr="00AD5F24" w:rsidRDefault="00FF6F90" w:rsidP="001B6C1A">
      <w:r w:rsidRPr="00AD5F24">
        <w:lastRenderedPageBreak/>
        <w:t>There are seven actions to facilitate research to improve management of chytrid fungus which include obtaining knowledge on:</w:t>
      </w:r>
    </w:p>
    <w:p w14:paraId="4D66EDB0" w14:textId="77777777" w:rsidR="00FF6F90" w:rsidRPr="00AD5F24" w:rsidRDefault="00FF6F90" w:rsidP="001B6C1A">
      <w:pPr>
        <w:pStyle w:val="Bullet1"/>
      </w:pPr>
      <w:r w:rsidRPr="00AD5F24">
        <w:t>Assisted colonisation strategies</w:t>
      </w:r>
    </w:p>
    <w:p w14:paraId="00B9546E" w14:textId="77777777" w:rsidR="00FF6F90" w:rsidRPr="00AD5F24" w:rsidRDefault="00FF6F90" w:rsidP="001B6C1A">
      <w:pPr>
        <w:pStyle w:val="Bullet1"/>
      </w:pPr>
      <w:r w:rsidRPr="00AD5F24">
        <w:t>The mechanisms for resistance</w:t>
      </w:r>
    </w:p>
    <w:p w14:paraId="60E8AB1E" w14:textId="77777777" w:rsidR="00FF6F90" w:rsidRPr="00AD5F24" w:rsidRDefault="00FF6F90" w:rsidP="001B6C1A">
      <w:pPr>
        <w:pStyle w:val="Bullet1"/>
      </w:pPr>
      <w:r w:rsidRPr="00AD5F24">
        <w:t>The severity of chytrid fungus</w:t>
      </w:r>
    </w:p>
    <w:p w14:paraId="58F98FB7" w14:textId="77777777" w:rsidR="00FF6F90" w:rsidRPr="00AD5F24" w:rsidRDefault="00FF6F90" w:rsidP="001B6C1A">
      <w:pPr>
        <w:pStyle w:val="Bullet1"/>
      </w:pPr>
      <w:r w:rsidRPr="00AD5F24">
        <w:t>The best treatment protocols</w:t>
      </w:r>
    </w:p>
    <w:p w14:paraId="790B4169" w14:textId="77777777" w:rsidR="00FF6F90" w:rsidRPr="00780F2F" w:rsidRDefault="00FF6F90" w:rsidP="001B6C1A">
      <w:r w:rsidRPr="00AD5F24">
        <w:t>There are three actions to build scientific capacity and promote communication among stakeholders which relate to developing an effective communication strategy, supporting a central information storage site, and encouraging participation in the National Chytrid Working Group.</w:t>
      </w:r>
    </w:p>
    <w:p w14:paraId="3FD9427E" w14:textId="77777777" w:rsidR="00FF6F90" w:rsidRPr="0021567B" w:rsidRDefault="00FF6F90" w:rsidP="001B6C1A">
      <w:pPr>
        <w:pStyle w:val="Heading4"/>
      </w:pPr>
      <w:r w:rsidRPr="0021567B">
        <w:t>Relevance of the TAP to the Plan</w:t>
      </w:r>
    </w:p>
    <w:p w14:paraId="0CD8C49A" w14:textId="633412A6" w:rsidR="00FF6F90" w:rsidRDefault="00FF6F90" w:rsidP="001B6C1A">
      <w:r w:rsidRPr="0021567B">
        <w:t>There is a known population of Growling Grass Frog which occurs within Cowies Creek in and adjacent to WGGA. This population occurs in an area currently developed for agriculture, upstream from nearby urban development.</w:t>
      </w:r>
      <w:r>
        <w:t xml:space="preserve"> It is noted that Cowies Creek has variable levels of salinity, with some areas considered saline </w:t>
      </w:r>
      <w:sdt>
        <w:sdtPr>
          <w:rPr>
            <w:color w:val="000000"/>
          </w:rPr>
          <w:tag w:val="MENDELEY_CITATION_v3_eyJjaXRhdGlvbklEIjoiTUVOREVMRVlfQ0lUQVRJT05fODUyMTUzNjUtOTVjMi00MTM4LTllMjMtMjFhNDJlMTA0OGYx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
          <w:id w:val="-1058632210"/>
          <w:placeholder>
            <w:docPart w:val="DefaultPlaceholder_-1854013440"/>
          </w:placeholder>
        </w:sdtPr>
        <w:sdtContent>
          <w:r w:rsidR="007E7CCC" w:rsidRPr="007E7CCC">
            <w:rPr>
              <w:color w:val="000000"/>
            </w:rPr>
            <w:t>(EHP, 2021a)</w:t>
          </w:r>
        </w:sdtContent>
      </w:sdt>
      <w:r>
        <w:t>. It is possible that the salinity of Cowies Creek offers this population of the Growling Grass Frog some protection from chytrid fungus.</w:t>
      </w:r>
    </w:p>
    <w:p w14:paraId="72FAFFD7" w14:textId="77777777" w:rsidR="00FF6F90" w:rsidRDefault="00FF6F90" w:rsidP="001B6C1A">
      <w:r>
        <w:t xml:space="preserve">Overall, chytrid fungus is an existing landscape threat. Implementation of the Plan is not likely to exacerbate this threat. However, ongoing monitoring of the Growling Grass Frog population will be important to understand and mitigate any potential negative affects due to hydrological changes. </w:t>
      </w:r>
    </w:p>
    <w:p w14:paraId="2235C847" w14:textId="77777777" w:rsidR="00FF6F90" w:rsidRPr="00491712" w:rsidRDefault="00FF6F90" w:rsidP="001B6C1A">
      <w:pPr>
        <w:pStyle w:val="Heading4"/>
      </w:pPr>
      <w:r w:rsidRPr="00491712">
        <w:t>Consistency with the TAP</w:t>
      </w:r>
    </w:p>
    <w:p w14:paraId="0451184C" w14:textId="77777777" w:rsidR="00FF6F90" w:rsidRPr="00B66E0D" w:rsidRDefault="00FF6F90" w:rsidP="001B6C1A">
      <w:r w:rsidRPr="00B66E0D">
        <w:t>The Plan is not inconsistent with the TAP on the basis that</w:t>
      </w:r>
      <w:r>
        <w:t xml:space="preserve"> t</w:t>
      </w:r>
      <w:r w:rsidRPr="00B66E0D">
        <w:t>he Plan will not prevent any of the actions of the TAP from being implemented</w:t>
      </w:r>
      <w:r>
        <w:t>.</w:t>
      </w:r>
    </w:p>
    <w:p w14:paraId="361DE08B" w14:textId="77777777" w:rsidR="00FF6F90" w:rsidRPr="005D4103" w:rsidRDefault="00FF6F90" w:rsidP="001B6C1A">
      <w:pPr>
        <w:pStyle w:val="Heading4"/>
      </w:pPr>
      <w:r w:rsidRPr="005D4103">
        <w:t>How regard has been given for information within the TAP</w:t>
      </w:r>
    </w:p>
    <w:p w14:paraId="333C1288" w14:textId="77777777" w:rsidR="00FF6F90" w:rsidRDefault="00FF6F90" w:rsidP="001B6C1A">
      <w:r>
        <w:t>The Strategic Assessment Report</w:t>
      </w:r>
      <w:r w:rsidRPr="005D4103">
        <w:t xml:space="preserve"> has had regard for the TAP through reviewing and considering information within the TAP and ensuring that</w:t>
      </w:r>
      <w:r>
        <w:t>:</w:t>
      </w:r>
    </w:p>
    <w:p w14:paraId="229FC3AD" w14:textId="77777777" w:rsidR="00FF6F90" w:rsidRDefault="00FF6F90" w:rsidP="001B6C1A">
      <w:pPr>
        <w:pStyle w:val="Bullet1"/>
      </w:pPr>
      <w:r>
        <w:t>T</w:t>
      </w:r>
      <w:r w:rsidRPr="005D4103">
        <w:t>he Plan is not inconsistent with the TAP</w:t>
      </w:r>
    </w:p>
    <w:p w14:paraId="66227646" w14:textId="77777777" w:rsidR="00FF6F90" w:rsidRPr="005D4103" w:rsidRDefault="00FF6F90" w:rsidP="001B6C1A">
      <w:pPr>
        <w:pStyle w:val="Bullet1"/>
      </w:pPr>
      <w:r>
        <w:t>The Plan will not exacerbate threats associated with this TAP</w:t>
      </w:r>
    </w:p>
    <w:p w14:paraId="53203EA2" w14:textId="77777777" w:rsidR="00FF6F90" w:rsidRPr="00AD5F24" w:rsidRDefault="00FF6F90" w:rsidP="001B6C1A">
      <w:pPr>
        <w:pStyle w:val="Heading3"/>
      </w:pPr>
      <w:r w:rsidRPr="00AD5F24">
        <w:t>Threat abatement plan for predation by feral cats</w:t>
      </w:r>
    </w:p>
    <w:p w14:paraId="170FB993" w14:textId="77777777" w:rsidR="00FF6F90" w:rsidRPr="00AD5F24" w:rsidRDefault="00FF6F90" w:rsidP="001B6C1A">
      <w:r w:rsidRPr="00AD5F24">
        <w:t>The goal of this TAP is to minimise predation of native species by feral cats (</w:t>
      </w:r>
      <w:r w:rsidRPr="00AD5F24">
        <w:rPr>
          <w:i/>
          <w:iCs/>
        </w:rPr>
        <w:t>Felis catus</w:t>
      </w:r>
      <w:r w:rsidRPr="00AD5F24">
        <w:t>).</w:t>
      </w:r>
    </w:p>
    <w:p w14:paraId="514F0562" w14:textId="6F7AB103" w:rsidR="00FF6F90" w:rsidRPr="00AD5F24" w:rsidRDefault="00FF6F90" w:rsidP="001B6C1A">
      <w:r w:rsidRPr="00AD5F24">
        <w:t xml:space="preserve">Feral cats are found throughout all habitats in mainland Australia and Tasmania and on some offshore islands. They are known to have a devastating effect on native fauna, predominantly from predation but also through competition and disease transmission </w:t>
      </w:r>
      <w:sdt>
        <w:sdtPr>
          <w:rPr>
            <w:color w:val="000000"/>
          </w:rPr>
          <w:tag w:val="MENDELEY_CITATION_v3_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"/>
          <w:id w:val="143863135"/>
          <w:placeholder>
            <w:docPart w:val="DefaultPlaceholder_-1854013440"/>
          </w:placeholder>
        </w:sdtPr>
        <w:sdtContent>
          <w:r w:rsidR="007E7CCC" w:rsidRPr="007E7CCC">
            <w:rPr>
              <w:color w:val="000000"/>
            </w:rPr>
            <w:t>(DoE, 2015)</w:t>
          </w:r>
        </w:sdtContent>
      </w:sdt>
      <w:r w:rsidRPr="00AD5F24">
        <w:t>.</w:t>
      </w:r>
    </w:p>
    <w:p w14:paraId="5F8E574B" w14:textId="77777777" w:rsidR="00FF6F90" w:rsidRPr="00AD5F24" w:rsidRDefault="00FF6F90" w:rsidP="001B6C1A">
      <w:pPr>
        <w:pStyle w:val="Heading4"/>
      </w:pPr>
      <w:r w:rsidRPr="00AD5F24">
        <w:t>Objectives and actions under the TAP</w:t>
      </w:r>
    </w:p>
    <w:p w14:paraId="72B7B827" w14:textId="77777777" w:rsidR="00FF6F90" w:rsidRPr="00AD5F24" w:rsidRDefault="00FF6F90" w:rsidP="001B6C1A">
      <w:r w:rsidRPr="00AD5F24">
        <w:t>The TAP sets out four objectives to achieve the goal, they are:</w:t>
      </w:r>
    </w:p>
    <w:p w14:paraId="0D209D31" w14:textId="77777777" w:rsidR="00FF6F90" w:rsidRPr="00AD5F24" w:rsidRDefault="00FF6F90" w:rsidP="001B6C1A">
      <w:pPr>
        <w:pStyle w:val="Bullet1"/>
      </w:pPr>
      <w:r w:rsidRPr="00AD5F24">
        <w:t>Effectively control feral cats in different landscapes</w:t>
      </w:r>
    </w:p>
    <w:p w14:paraId="373B1F5E" w14:textId="77777777" w:rsidR="00FF6F90" w:rsidRPr="00AD5F24" w:rsidRDefault="00FF6F90" w:rsidP="001B6C1A">
      <w:pPr>
        <w:pStyle w:val="Bullet1"/>
      </w:pPr>
      <w:r w:rsidRPr="00AD5F24">
        <w:t>Improve effectiveness of existing control options for feral cats</w:t>
      </w:r>
    </w:p>
    <w:p w14:paraId="722F2652" w14:textId="77777777" w:rsidR="00FF6F90" w:rsidRPr="00AD5F24" w:rsidRDefault="00FF6F90" w:rsidP="001B6C1A">
      <w:pPr>
        <w:pStyle w:val="Bullet1"/>
      </w:pPr>
      <w:r w:rsidRPr="00AD5F24">
        <w:t>Develop or maintain alternative strategies for threatened species recovery</w:t>
      </w:r>
    </w:p>
    <w:p w14:paraId="15DE1B71" w14:textId="77777777" w:rsidR="00FF6F90" w:rsidRPr="00AD5F24" w:rsidRDefault="00FF6F90" w:rsidP="001B6C1A">
      <w:pPr>
        <w:pStyle w:val="Bullet1"/>
      </w:pPr>
      <w:r w:rsidRPr="00AD5F24">
        <w:t>Increase public support for feral cat management and promote responsible cat ownership</w:t>
      </w:r>
    </w:p>
    <w:p w14:paraId="04CF7713" w14:textId="77777777" w:rsidR="00FF6F90" w:rsidRPr="00AD5F24" w:rsidRDefault="00FF6F90" w:rsidP="001B6C1A">
      <w:r w:rsidRPr="00AD5F24">
        <w:t>A set of actions have been identified to help achieve the objectives of the TAP. There are nine actions to improve the control of feral cats in different landscapes which relate to further research and development of current and new feral cat control options, improving understanding of the interactions between feral cats and other predators, and development of Code of Practice and/or Standard Operating Procedures for new tools.</w:t>
      </w:r>
    </w:p>
    <w:p w14:paraId="2617D026" w14:textId="77777777" w:rsidR="00FF6F90" w:rsidRPr="00AD5F24" w:rsidRDefault="00FF6F90" w:rsidP="001B6C1A">
      <w:r w:rsidRPr="00AD5F24">
        <w:t xml:space="preserve">There are four actions to improve the effectiveness of existing feral cat control options which relate to understanding how best to encourage land managers to include cat management programs within their activities, providing </w:t>
      </w:r>
      <w:r w:rsidRPr="00AD5F24">
        <w:lastRenderedPageBreak/>
        <w:t>information regarding best practice methods and standard operating procedures, and implementing a consistent regulatory approach across all state and territory governments.</w:t>
      </w:r>
    </w:p>
    <w:p w14:paraId="7A98F6C7" w14:textId="77777777" w:rsidR="00FF6F90" w:rsidRPr="00AD5F24" w:rsidRDefault="00FF6F90" w:rsidP="001B6C1A">
      <w:r w:rsidRPr="00AD5F24">
        <w:t>There are five actions to support the investigation of alternative strategies for threatened species recovery which include eradicating or controlling cats in priority areas, implementing, or improving biosecurity measures in cat-free areas, and creating fenced reserves to support the recovery of threatened species.</w:t>
      </w:r>
    </w:p>
    <w:p w14:paraId="59401A3E" w14:textId="77777777" w:rsidR="00FF6F90" w:rsidRPr="00AD5F24" w:rsidRDefault="00FF6F90" w:rsidP="001B6C1A">
      <w:r w:rsidRPr="00AD5F24">
        <w:t>There are four actions to increase public support for cat management which relate to increasing awareness and understanding about:</w:t>
      </w:r>
    </w:p>
    <w:p w14:paraId="0B3B905F" w14:textId="77777777" w:rsidR="00FF6F90" w:rsidRPr="00AD5F24" w:rsidRDefault="00FF6F90" w:rsidP="001B6C1A">
      <w:pPr>
        <w:pStyle w:val="Bullet1"/>
      </w:pPr>
      <w:r w:rsidRPr="00AD5F24">
        <w:t>The threat to biodiversity posed by cats</w:t>
      </w:r>
    </w:p>
    <w:p w14:paraId="071E49CF" w14:textId="77777777" w:rsidR="00FF6F90" w:rsidRPr="00AD5F24" w:rsidRDefault="00FF6F90" w:rsidP="001B6C1A">
      <w:pPr>
        <w:pStyle w:val="Bullet1"/>
      </w:pPr>
      <w:r w:rsidRPr="00AD5F24">
        <w:t>The need for responsible cat ownership</w:t>
      </w:r>
    </w:p>
    <w:p w14:paraId="30022DA4" w14:textId="77777777" w:rsidR="00FF6F90" w:rsidRPr="00AD5F24" w:rsidRDefault="00FF6F90" w:rsidP="001B6C1A">
      <w:pPr>
        <w:pStyle w:val="Bullet1"/>
      </w:pPr>
      <w:r w:rsidRPr="00AD5F24">
        <w:t>The containment of cats where their roaming may impact priority areas</w:t>
      </w:r>
    </w:p>
    <w:p w14:paraId="5E9DC332" w14:textId="77777777" w:rsidR="00FF6F90" w:rsidRPr="00AD5F24" w:rsidRDefault="00FF6F90" w:rsidP="001B6C1A">
      <w:pPr>
        <w:pStyle w:val="Heading4"/>
      </w:pPr>
      <w:r w:rsidRPr="00AD5F24">
        <w:t>Relevance of the TAP to the Plan</w:t>
      </w:r>
    </w:p>
    <w:p w14:paraId="65562E1A" w14:textId="77777777" w:rsidR="00FF6F90" w:rsidRPr="00780F2F" w:rsidRDefault="00FF6F90" w:rsidP="001B6C1A">
      <w:r w:rsidRPr="00AD5F24">
        <w:t>Total eradication of feral cats is not currently feasible and cat control is an ongoing issue across Australia. Current control programs focus on long-term management and suppression of feral cat populations.</w:t>
      </w:r>
    </w:p>
    <w:p w14:paraId="36338C97" w14:textId="77777777" w:rsidR="00FF6F90" w:rsidRDefault="00FF6F90" w:rsidP="001B6C1A">
      <w:r w:rsidRPr="00E150A3">
        <w:t>Existing land use within the Growth Areas and surrounding region includes residential areas and farming, which means cats are unlikely to pose a novel threat to native fauna in the area. However, proposed new urban development under the Plan means the threat is likely to be exacerbated. The main areas of concern relate to new urban development in proximity to</w:t>
      </w:r>
      <w:r>
        <w:t xml:space="preserve"> the NGGA Conservation Area, and </w:t>
      </w:r>
      <w:r w:rsidRPr="00E150A3">
        <w:t>in proximity to Cowies Creek in WGGA</w:t>
      </w:r>
      <w:r>
        <w:t>.</w:t>
      </w:r>
    </w:p>
    <w:p w14:paraId="72A53AF8" w14:textId="77777777" w:rsidR="00FF6F90" w:rsidRDefault="00FF6F90" w:rsidP="00326117">
      <w:r>
        <w:t>The existing standard mitigation measures are considered adequate in addressing the potential indirect impacts of development on protected matters in relation to predation or competition by pest or domestic fauna.</w:t>
      </w:r>
    </w:p>
    <w:p w14:paraId="47D42C30" w14:textId="77777777" w:rsidR="00FF6F90" w:rsidRPr="00491712" w:rsidRDefault="00FF6F90" w:rsidP="001B6C1A">
      <w:pPr>
        <w:pStyle w:val="Heading4"/>
      </w:pPr>
      <w:r w:rsidRPr="00491712">
        <w:t>Consistency with the TAP</w:t>
      </w:r>
    </w:p>
    <w:p w14:paraId="31AFFD16" w14:textId="77777777" w:rsidR="00FF6F90" w:rsidRPr="00B66E0D" w:rsidRDefault="00FF6F90" w:rsidP="001B6C1A">
      <w:r w:rsidRPr="00B66E0D">
        <w:t>The Plan is not inconsistent with the TAP on the basis that</w:t>
      </w:r>
      <w:r>
        <w:t xml:space="preserve"> t</w:t>
      </w:r>
      <w:r w:rsidRPr="00B66E0D">
        <w:t>he Plan will not prevent any of the actions of the TAP from being implemented</w:t>
      </w:r>
      <w:r>
        <w:t>.</w:t>
      </w:r>
    </w:p>
    <w:p w14:paraId="478D120E" w14:textId="77777777" w:rsidR="00FF6F90" w:rsidRPr="005D4103" w:rsidRDefault="00FF6F90" w:rsidP="001B6C1A">
      <w:pPr>
        <w:pStyle w:val="Heading4"/>
      </w:pPr>
      <w:r w:rsidRPr="005D4103">
        <w:t>How regard has been given for information within the TAP</w:t>
      </w:r>
    </w:p>
    <w:p w14:paraId="09FA6D7E" w14:textId="77777777" w:rsidR="00FF6F90" w:rsidRDefault="00FF6F90" w:rsidP="001B6C1A">
      <w:r>
        <w:t>The Strategic Assessment Report</w:t>
      </w:r>
      <w:r w:rsidRPr="005D4103">
        <w:t xml:space="preserve"> has had regard for the TAP through reviewing and considering information within the TAP and ensuring that</w:t>
      </w:r>
      <w:r>
        <w:t>:</w:t>
      </w:r>
    </w:p>
    <w:p w14:paraId="67473C69" w14:textId="77777777" w:rsidR="00FF6F90" w:rsidRDefault="00FF6F90" w:rsidP="001B6C1A">
      <w:pPr>
        <w:pStyle w:val="Bullet1"/>
      </w:pPr>
      <w:r>
        <w:t>T</w:t>
      </w:r>
      <w:r w:rsidRPr="005D4103">
        <w:t>he Plan is not inconsistent with the TAP</w:t>
      </w:r>
    </w:p>
    <w:p w14:paraId="32E5667B" w14:textId="77777777" w:rsidR="00FF6F90" w:rsidRPr="005D4103" w:rsidRDefault="00FF6F90" w:rsidP="001B6C1A">
      <w:pPr>
        <w:pStyle w:val="Bullet1"/>
      </w:pPr>
      <w:r>
        <w:t>The Plan will not exacerbate threats associated with this TAP</w:t>
      </w:r>
    </w:p>
    <w:p w14:paraId="25994A76" w14:textId="77777777" w:rsidR="00FF6F90" w:rsidRPr="00AD5F24" w:rsidRDefault="00FF6F90" w:rsidP="001B6C1A">
      <w:pPr>
        <w:pStyle w:val="Heading3"/>
      </w:pPr>
      <w:r w:rsidRPr="00AD5F24">
        <w:t>Threat abatement plan for predation by European red fox</w:t>
      </w:r>
    </w:p>
    <w:p w14:paraId="04CA592D" w14:textId="15C25695" w:rsidR="00FF6F90" w:rsidRPr="00AD5F24" w:rsidRDefault="00FF6F90" w:rsidP="001B6C1A">
      <w:r w:rsidRPr="00AD5F24">
        <w:t>The goal of this TAP is to minimise the impact of the European red fox (</w:t>
      </w:r>
      <w:r w:rsidRPr="00AD5F24">
        <w:rPr>
          <w:i/>
          <w:iCs/>
        </w:rPr>
        <w:t>Vulpes Vulpes</w:t>
      </w:r>
      <w:r w:rsidRPr="00AD5F24">
        <w:t xml:space="preserve">) on biodiversity in Australia </w:t>
      </w:r>
      <w:sdt>
        <w:sdtPr>
          <w:rPr>
            <w:color w:val="000000"/>
          </w:rPr>
          <w:tag w:val="MENDELEY_CITATION_v3_eyJjaXRhdGlvbklEIjoiTUVOREVMRVlfQ0lUQVRJT05fOWNkMzg4ZTEtMTU1ZS00MGVhLTlkYjktM2ViMDcwNWRjYzJlIiwicHJvcGVydGllcyI6eyJub3RlSW5kZXgiOjB9LCJpc0VkaXRlZCI6ZmFsc2UsIm1hbnVhbE92ZXJyaWRlIjp7ImNpdGVwcm9jVGV4dCI6IihERVdIQSwgMjAwOGI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880597135"/>
          <w:placeholder>
            <w:docPart w:val="DefaultPlaceholder_-1854013440"/>
          </w:placeholder>
        </w:sdtPr>
        <w:sdtContent>
          <w:r w:rsidR="007E7CCC" w:rsidRPr="007E7CCC">
            <w:rPr>
              <w:color w:val="000000"/>
            </w:rPr>
            <w:t>(DEWHA, 2008b)</w:t>
          </w:r>
        </w:sdtContent>
      </w:sdt>
      <w:r w:rsidRPr="00AD5F24">
        <w:t xml:space="preserve">. </w:t>
      </w:r>
    </w:p>
    <w:p w14:paraId="61CBD1B0" w14:textId="77777777" w:rsidR="00FF6F90" w:rsidRPr="00AD5F24" w:rsidRDefault="00FF6F90" w:rsidP="001B6C1A">
      <w:r w:rsidRPr="00AD5F24">
        <w:t>The European red fox can be found all over the Australian mainland, apart from in the far North. Fox predation is a threat to many threatened fauna species, in particular terrestrial mammals and ground-nesting birds.</w:t>
      </w:r>
    </w:p>
    <w:p w14:paraId="63382B92" w14:textId="77777777" w:rsidR="00FF6F90" w:rsidRPr="00AD5F24" w:rsidRDefault="00FF6F90" w:rsidP="001B6C1A">
      <w:pPr>
        <w:pStyle w:val="Heading4"/>
      </w:pPr>
      <w:r w:rsidRPr="00AD5F24">
        <w:t>Objectives and actions under the TAP</w:t>
      </w:r>
    </w:p>
    <w:p w14:paraId="7CEC69AF" w14:textId="77777777" w:rsidR="00FF6F90" w:rsidRPr="00AD5F24" w:rsidRDefault="00FF6F90" w:rsidP="001B6C1A">
      <w:pPr>
        <w:keepNext/>
        <w:keepLines/>
      </w:pPr>
      <w:r w:rsidRPr="00AD5F24">
        <w:t>The TAP sets out four objectives to achieve the goal, they are:</w:t>
      </w:r>
    </w:p>
    <w:p w14:paraId="149F6320" w14:textId="77777777" w:rsidR="00FF6F90" w:rsidRPr="00AD5F24" w:rsidRDefault="00FF6F90" w:rsidP="001B6C1A">
      <w:pPr>
        <w:pStyle w:val="Bullet1"/>
      </w:pPr>
      <w:r w:rsidRPr="00AD5F24">
        <w:t>Prevent foxes occupying new areas in Australia and eradicate foxes from high-conservation-value ‘islands’</w:t>
      </w:r>
    </w:p>
    <w:p w14:paraId="41AA828A" w14:textId="77777777" w:rsidR="00FF6F90" w:rsidRPr="00AD5F24" w:rsidRDefault="00FF6F90" w:rsidP="001B6C1A">
      <w:pPr>
        <w:pStyle w:val="Bullet1"/>
      </w:pPr>
      <w:r w:rsidRPr="00AD5F24">
        <w:t>Promote the maintenance and recovery of native species and ecological communities that are affected by fox predation</w:t>
      </w:r>
    </w:p>
    <w:p w14:paraId="455EBFA6" w14:textId="77777777" w:rsidR="00FF6F90" w:rsidRPr="00AD5F24" w:rsidRDefault="00FF6F90" w:rsidP="001B6C1A">
      <w:pPr>
        <w:pStyle w:val="Bullet1"/>
      </w:pPr>
      <w:r w:rsidRPr="00AD5F24">
        <w:t>Improve knowledge and understanding of fox impacts and interactions with other species and other ecological processes</w:t>
      </w:r>
    </w:p>
    <w:p w14:paraId="5EEB2323" w14:textId="77777777" w:rsidR="00FF6F90" w:rsidRPr="00AD5F24" w:rsidRDefault="00FF6F90" w:rsidP="001B6C1A">
      <w:pPr>
        <w:pStyle w:val="Bullet1"/>
      </w:pPr>
      <w:r w:rsidRPr="00AD5F24">
        <w:t>Improve the effectiveness, target specificity, integration, and humaneness of control options for foxes</w:t>
      </w:r>
    </w:p>
    <w:p w14:paraId="7DAFDBC4" w14:textId="77777777" w:rsidR="00FF6F90" w:rsidRPr="00AD5F24" w:rsidRDefault="00FF6F90" w:rsidP="001B6C1A">
      <w:pPr>
        <w:pStyle w:val="Bullet1"/>
      </w:pPr>
      <w:r w:rsidRPr="00AD5F24">
        <w:t>Increase awareness of all stakeholders of the objectives and actions of the TAP, and of the need to control and manage foxes</w:t>
      </w:r>
    </w:p>
    <w:p w14:paraId="5E8ED72D" w14:textId="77777777" w:rsidR="00FF6F90" w:rsidRPr="00AD5F24" w:rsidRDefault="00FF6F90" w:rsidP="001B6C1A">
      <w:r w:rsidRPr="00AD5F24">
        <w:lastRenderedPageBreak/>
        <w:t>A set of actions have been identified to help achieve the objectives of the TAP. There are four actions to prevent foxes occupying new areas in Australia which relate to collating data on areas with high conservation values, developing and implementing management plans, and eradicating populations of foxes from lands adjacent to priority areas.</w:t>
      </w:r>
    </w:p>
    <w:p w14:paraId="28E1C59F" w14:textId="77777777" w:rsidR="00FF6F90" w:rsidRPr="00AD5F24" w:rsidRDefault="00FF6F90" w:rsidP="001B6C1A">
      <w:r w:rsidRPr="00AD5F24">
        <w:t>There are three actions to promote the recovery of native species and ecological communities that are affected by fox predation which relate to identifying priority areas for fox control and undertaking and monitoring fox control at these locations.</w:t>
      </w:r>
    </w:p>
    <w:p w14:paraId="78672A4B" w14:textId="77777777" w:rsidR="00FF6F90" w:rsidRPr="00AD5F24" w:rsidRDefault="00FF6F90" w:rsidP="001B6C1A">
      <w:r w:rsidRPr="00AD5F24">
        <w:t>There are five actions to improve the knowledge and understanding of fox impacts which relate to developing methods for monitoring foxes, exploring the interactions between foxes, feral cats, wild dogs, and rabbits, and estimating the costs of impacts from foxes.</w:t>
      </w:r>
    </w:p>
    <w:p w14:paraId="28CE6EAB" w14:textId="77777777" w:rsidR="00FF6F90" w:rsidRPr="00AD5F24" w:rsidRDefault="00FF6F90" w:rsidP="001B6C1A">
      <w:r w:rsidRPr="00AD5F24">
        <w:t>There are seven actions to improve the control options for foxes which relate to investigating existing and new control techniques, developing training programs for land managers, and promoting best practice standards.</w:t>
      </w:r>
    </w:p>
    <w:p w14:paraId="12784D7F" w14:textId="77777777" w:rsidR="00FF6F90" w:rsidRPr="00780F2F" w:rsidRDefault="00FF6F90" w:rsidP="001B6C1A">
      <w:r w:rsidRPr="00AD5F24">
        <w:t>There is one action to increase awareness of the need to control and manage foxes which relates to ensuring that the actions in the TAP are better communicated.</w:t>
      </w:r>
    </w:p>
    <w:p w14:paraId="2C41BD88" w14:textId="77777777" w:rsidR="00FF6F90" w:rsidRPr="00E150A3" w:rsidRDefault="00FF6F90" w:rsidP="001B6C1A">
      <w:pPr>
        <w:pStyle w:val="Heading4"/>
      </w:pPr>
      <w:r w:rsidRPr="00E150A3">
        <w:t>Relevance of the TAP to the Plan</w:t>
      </w:r>
    </w:p>
    <w:p w14:paraId="7110CD51" w14:textId="12D257CC" w:rsidR="00FF6F90" w:rsidRDefault="00FF6F90" w:rsidP="001B6C1A">
      <w:r>
        <w:t xml:space="preserve">Foxes </w:t>
      </w:r>
      <w:r w:rsidRPr="006842BF">
        <w:t xml:space="preserve">are an existing threat within the Geelong locality, with evidence that the NWGGA is currently occupied by the species </w:t>
      </w:r>
      <w:sdt>
        <w:sdtPr>
          <w:rPr>
            <w:color w:val="000000"/>
          </w:rPr>
          <w:tag w:val="MENDELEY_CITATION_v3_eyJjaXRhdGlvbklEIjoiTUVOREVMRVlfQ0lUQVRJT05fYThhNTQyYjAtNWEyOS00ZDBlLTk2YzQtZGE5ZTY3YzRiNmIy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
          <w:id w:val="214248984"/>
          <w:placeholder>
            <w:docPart w:val="DefaultPlaceholder_-1854013440"/>
          </w:placeholder>
        </w:sdtPr>
        <w:sdtContent>
          <w:r w:rsidR="007E7CCC" w:rsidRPr="007E7CCC">
            <w:rPr>
              <w:color w:val="000000"/>
            </w:rPr>
            <w:t>(EHP, 2021a)</w:t>
          </w:r>
        </w:sdtContent>
      </w:sdt>
      <w:r w:rsidRPr="006842BF">
        <w:t xml:space="preserve">. </w:t>
      </w:r>
    </w:p>
    <w:p w14:paraId="2CA17E22" w14:textId="77777777" w:rsidR="00FF6F90" w:rsidRPr="00B66E0D" w:rsidRDefault="00FF6F90" w:rsidP="001B6C1A">
      <w:r w:rsidRPr="0093326E">
        <w:t>Development under the Plan is unlikely to exacerbate the threat posed by foxes.</w:t>
      </w:r>
    </w:p>
    <w:p w14:paraId="4A70B2CC" w14:textId="77777777" w:rsidR="00FF6F90" w:rsidRPr="00491712" w:rsidRDefault="00FF6F90" w:rsidP="001B6C1A">
      <w:pPr>
        <w:pStyle w:val="Heading4"/>
        <w:ind w:left="0" w:firstLine="0"/>
      </w:pPr>
      <w:r w:rsidRPr="00491712">
        <w:t>Consistency with the TAP</w:t>
      </w:r>
    </w:p>
    <w:p w14:paraId="60880AC8" w14:textId="77777777" w:rsidR="00FF6F90" w:rsidRPr="00B66E0D" w:rsidRDefault="00FF6F90" w:rsidP="001B6C1A">
      <w:r w:rsidRPr="00B66E0D">
        <w:t>The Plan is not inconsistent with the TAP on the basis that</w:t>
      </w:r>
      <w:r>
        <w:t xml:space="preserve"> t</w:t>
      </w:r>
      <w:r w:rsidRPr="00B66E0D">
        <w:t>he Plan will not prevent any of the actions of the TAP from being implemented</w:t>
      </w:r>
      <w:r>
        <w:t>.</w:t>
      </w:r>
    </w:p>
    <w:p w14:paraId="5E129038" w14:textId="77777777" w:rsidR="00FF6F90" w:rsidRPr="005D4103" w:rsidRDefault="00FF6F90" w:rsidP="001B6C1A">
      <w:pPr>
        <w:pStyle w:val="Heading4"/>
      </w:pPr>
      <w:r w:rsidRPr="005D4103">
        <w:t>How regard has been given for information within the TAP</w:t>
      </w:r>
    </w:p>
    <w:p w14:paraId="09338DF6" w14:textId="77777777" w:rsidR="00FF6F90" w:rsidRDefault="00FF6F90" w:rsidP="001B6C1A">
      <w:r>
        <w:t>The Strategic Assessment Report</w:t>
      </w:r>
      <w:r w:rsidRPr="005D4103">
        <w:t xml:space="preserve"> has had regard for the TAP through reviewing and considering information within the TAP and ensuring that</w:t>
      </w:r>
      <w:r>
        <w:t>:</w:t>
      </w:r>
    </w:p>
    <w:p w14:paraId="19D9D323" w14:textId="77777777" w:rsidR="00FF6F90" w:rsidRDefault="00FF6F90" w:rsidP="001B6C1A">
      <w:pPr>
        <w:pStyle w:val="Bullet1"/>
      </w:pPr>
      <w:r>
        <w:t>T</w:t>
      </w:r>
      <w:r w:rsidRPr="005D4103">
        <w:t>he Plan is not inconsistent with the TAP</w:t>
      </w:r>
    </w:p>
    <w:p w14:paraId="5485A51A" w14:textId="77777777" w:rsidR="00FF6F90" w:rsidRPr="005D4103" w:rsidRDefault="00FF6F90" w:rsidP="001B6C1A">
      <w:pPr>
        <w:pStyle w:val="Bullet1"/>
      </w:pPr>
      <w:r>
        <w:t>The Plan will not exacerbate threats associated with this TAP</w:t>
      </w:r>
    </w:p>
    <w:p w14:paraId="261BC9E9" w14:textId="77777777" w:rsidR="00FF6F90" w:rsidRPr="00AD5F24" w:rsidRDefault="00FF6F90" w:rsidP="001B6C1A">
      <w:pPr>
        <w:pStyle w:val="Heading3"/>
      </w:pPr>
      <w:bookmarkStart w:id="35" w:name="_Ref116652563"/>
      <w:r w:rsidRPr="00AD5F24">
        <w:t>Threat abatement plan for predation, habitat degradation, competition and disease transmission by feral pigs (</w:t>
      </w:r>
      <w:r w:rsidRPr="00AD5F24">
        <w:rPr>
          <w:i/>
          <w:iCs/>
        </w:rPr>
        <w:t>Sus scrofa</w:t>
      </w:r>
      <w:r w:rsidRPr="00AD5F24">
        <w:t>)</w:t>
      </w:r>
      <w:bookmarkEnd w:id="35"/>
    </w:p>
    <w:p w14:paraId="131DC5F7" w14:textId="77777777" w:rsidR="00FF6F90" w:rsidRPr="00AD5F24" w:rsidRDefault="00FF6F90" w:rsidP="001B6C1A">
      <w:r w:rsidRPr="00AD5F24">
        <w:t>The goal of this TAP is to prevent further species and ecological communities from becoming threatened or extinct due to the impacts of feral pigs.</w:t>
      </w:r>
    </w:p>
    <w:p w14:paraId="784051CB" w14:textId="77777777" w:rsidR="00FF6F90" w:rsidRPr="00AD5F24" w:rsidRDefault="00FF6F90" w:rsidP="001B6C1A">
      <w:r w:rsidRPr="00AD5F24">
        <w:t>Feral pigs are widespread throughout Australia and can affect threatened species and ecological communities by:</w:t>
      </w:r>
    </w:p>
    <w:p w14:paraId="568EDA5F" w14:textId="77777777" w:rsidR="00FF6F90" w:rsidRPr="00AD5F24" w:rsidRDefault="00FF6F90" w:rsidP="001B6C1A">
      <w:pPr>
        <w:pStyle w:val="Bullet1"/>
      </w:pPr>
      <w:r w:rsidRPr="00AD5F24">
        <w:t>Consuming threatened fauna species</w:t>
      </w:r>
    </w:p>
    <w:p w14:paraId="415C51A4" w14:textId="77777777" w:rsidR="00FF6F90" w:rsidRPr="00AD5F24" w:rsidRDefault="00FF6F90" w:rsidP="001B6C1A">
      <w:pPr>
        <w:pStyle w:val="Bullet1"/>
      </w:pPr>
      <w:r w:rsidRPr="00AD5F24">
        <w:t>Destroying threatened flora species</w:t>
      </w:r>
    </w:p>
    <w:p w14:paraId="0DB4E656" w14:textId="77777777" w:rsidR="00FF6F90" w:rsidRPr="00AD5F24" w:rsidRDefault="00FF6F90" w:rsidP="001B6C1A">
      <w:pPr>
        <w:pStyle w:val="Bullet1"/>
      </w:pPr>
      <w:r w:rsidRPr="00AD5F24">
        <w:t>Altering ecological parameters such as plant species composition and succession, nutrient and water cycles, and water quality</w:t>
      </w:r>
    </w:p>
    <w:p w14:paraId="6FF517FA" w14:textId="77777777" w:rsidR="00FF6F90" w:rsidRPr="00AD5F24" w:rsidRDefault="00FF6F90" w:rsidP="001B6C1A">
      <w:pPr>
        <w:pStyle w:val="Bullet1"/>
      </w:pPr>
      <w:r w:rsidRPr="00AD5F24">
        <w:t>Changing the composition of threatened plant communities</w:t>
      </w:r>
    </w:p>
    <w:p w14:paraId="28A5CE81" w14:textId="77777777" w:rsidR="00FF6F90" w:rsidRPr="00AD5F24" w:rsidRDefault="00FF6F90" w:rsidP="001B6C1A">
      <w:pPr>
        <w:pStyle w:val="Bullet1"/>
      </w:pPr>
      <w:r w:rsidRPr="00AD5F24">
        <w:t>Altering soil structure</w:t>
      </w:r>
    </w:p>
    <w:p w14:paraId="7BEFE7ED" w14:textId="77777777" w:rsidR="00FF6F90" w:rsidRPr="00AD5F24" w:rsidRDefault="00FF6F90" w:rsidP="001B6C1A">
      <w:pPr>
        <w:pStyle w:val="Bullet1"/>
      </w:pPr>
      <w:r w:rsidRPr="00AD5F24">
        <w:t>Increasing the spread of weeds</w:t>
      </w:r>
    </w:p>
    <w:p w14:paraId="3DA170B9" w14:textId="5B1C8C0F" w:rsidR="00FF6F90" w:rsidRPr="00AD5F24" w:rsidRDefault="00FF6F90" w:rsidP="001B6C1A">
      <w:pPr>
        <w:pStyle w:val="Bullet1"/>
      </w:pPr>
      <w:r w:rsidRPr="00AD5F24">
        <w:t xml:space="preserve">Spreading animal diseases such as leptospirosis, brucellosis, and plant pathogens such as </w:t>
      </w:r>
      <w:r w:rsidRPr="00AD5F24">
        <w:rPr>
          <w:i/>
          <w:iCs/>
        </w:rPr>
        <w:t xml:space="preserve">Phytophthora cinnamomic </w:t>
      </w:r>
      <w:sdt>
        <w:sdtPr>
          <w:rPr>
            <w:iCs/>
            <w:color w:val="000000"/>
          </w:rPr>
          <w:tag w:val="MENDELEY_CITATION_v3_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"/>
          <w:id w:val="-1165167900"/>
          <w:placeholder>
            <w:docPart w:val="DefaultPlaceholder_-1854013440"/>
          </w:placeholder>
        </w:sdtPr>
        <w:sdtEndPr>
          <w:rPr>
            <w:iCs w:val="0"/>
          </w:rPr>
        </w:sdtEndPr>
        <w:sdtContent>
          <w:r w:rsidR="007E7CCC" w:rsidRPr="007E7CCC">
            <w:rPr>
              <w:color w:val="000000"/>
            </w:rPr>
            <w:t>(DoEE, 2017)</w:t>
          </w:r>
        </w:sdtContent>
      </w:sdt>
    </w:p>
    <w:p w14:paraId="756E4C56" w14:textId="77777777" w:rsidR="00FF6F90" w:rsidRPr="00AD5F24" w:rsidRDefault="00FF6F90" w:rsidP="001B6C1A">
      <w:pPr>
        <w:pStyle w:val="Heading4"/>
      </w:pPr>
      <w:r w:rsidRPr="00AD5F24">
        <w:lastRenderedPageBreak/>
        <w:t>Objectives and actions under the TAP</w:t>
      </w:r>
    </w:p>
    <w:p w14:paraId="237364FF" w14:textId="77777777" w:rsidR="00FF6F90" w:rsidRPr="00AD5F24" w:rsidRDefault="00FF6F90" w:rsidP="00B66932">
      <w:pPr>
        <w:keepNext/>
        <w:keepLines/>
      </w:pPr>
      <w:r w:rsidRPr="00AD5F24">
        <w:t>The TAP sets out six objectives to achieve the goal, they are:</w:t>
      </w:r>
    </w:p>
    <w:p w14:paraId="1CF657E4" w14:textId="77777777" w:rsidR="00FF6F90" w:rsidRPr="00AD5F24" w:rsidRDefault="00FF6F90" w:rsidP="001B6C1A">
      <w:pPr>
        <w:pStyle w:val="Bullet1"/>
      </w:pPr>
      <w:r w:rsidRPr="00AD5F24">
        <w:t>Prioritise key species, ecological communities, ecosystems, and locations across Australia for strategic feral pig management</w:t>
      </w:r>
    </w:p>
    <w:p w14:paraId="319683B8" w14:textId="77777777" w:rsidR="00FF6F90" w:rsidRPr="00AD5F24" w:rsidRDefault="00FF6F90" w:rsidP="001B6C1A">
      <w:pPr>
        <w:pStyle w:val="Bullet1"/>
      </w:pPr>
      <w:r w:rsidRPr="00AD5F24">
        <w:t>Encourage the integration of feral pig management into land management activities at regional, state and territory, and national levels</w:t>
      </w:r>
    </w:p>
    <w:p w14:paraId="76480507" w14:textId="77777777" w:rsidR="00FF6F90" w:rsidRPr="00AD5F24" w:rsidRDefault="00FF6F90" w:rsidP="001B6C1A">
      <w:pPr>
        <w:pStyle w:val="Bullet1"/>
      </w:pPr>
      <w:r w:rsidRPr="00AD5F24">
        <w:t>Encourage further scientific research into feral pig impacts on nationally threatened species and ecological communities, and feral pig ecology and control</w:t>
      </w:r>
    </w:p>
    <w:p w14:paraId="43F5DFEB" w14:textId="77777777" w:rsidR="00FF6F90" w:rsidRPr="00AD5F24" w:rsidRDefault="00FF6F90" w:rsidP="001B6C1A">
      <w:pPr>
        <w:pStyle w:val="Bullet1"/>
      </w:pPr>
      <w:r w:rsidRPr="00AD5F24">
        <w:t>Record and monitor feral pig control programs, so their effectiveness can be evaluated</w:t>
      </w:r>
    </w:p>
    <w:p w14:paraId="4A9C164F" w14:textId="77777777" w:rsidR="00FF6F90" w:rsidRPr="00AD5F24" w:rsidRDefault="00FF6F90" w:rsidP="001B6C1A">
      <w:pPr>
        <w:pStyle w:val="Bullet1"/>
      </w:pPr>
      <w:r w:rsidRPr="00AD5F24">
        <w:t>Build capacity for feral pig management and raise feral pig awareness amongst landholders and land managers</w:t>
      </w:r>
    </w:p>
    <w:p w14:paraId="6110A9AB" w14:textId="77777777" w:rsidR="00FF6F90" w:rsidRPr="00AD5F24" w:rsidRDefault="00FF6F90" w:rsidP="001B6C1A">
      <w:pPr>
        <w:pStyle w:val="Bullet1"/>
      </w:pPr>
      <w:r w:rsidRPr="00AD5F24">
        <w:t>Improve public awareness about feral pigs and the environmental damage and problems they cause, and the need for the feral pig control</w:t>
      </w:r>
    </w:p>
    <w:p w14:paraId="5749DE36" w14:textId="77777777" w:rsidR="00FF6F90" w:rsidRPr="00AD5F24" w:rsidRDefault="00FF6F90" w:rsidP="001B6C1A">
      <w:r w:rsidRPr="00AD5F24">
        <w:t>A set of actions have been identified to help achieve the objectives of the TAP. There are two actions to support strategic feral pig management which include identifying priority species, ecological communities, ecosystems, and locations for priority protection, and implementing control measures in these areas.</w:t>
      </w:r>
    </w:p>
    <w:p w14:paraId="47DE9655" w14:textId="77777777" w:rsidR="00FF6F90" w:rsidRPr="00AD5F24" w:rsidRDefault="00FF6F90" w:rsidP="001B6C1A">
      <w:r w:rsidRPr="00AD5F24">
        <w:t>There is one action to support the integration of feral pig management into land management activities which relates to encouraging government departments and agencies, and regional groups, to integrate feral pig management into their land management activities.</w:t>
      </w:r>
    </w:p>
    <w:p w14:paraId="413A171E" w14:textId="77777777" w:rsidR="00FF6F90" w:rsidRPr="00AD5F24" w:rsidRDefault="00FF6F90" w:rsidP="001B6C1A">
      <w:pPr>
        <w:keepNext/>
      </w:pPr>
      <w:r w:rsidRPr="00AD5F24">
        <w:t>There are four actions to encourage further scientific research into feral pig impacts which include undertaking more research into:</w:t>
      </w:r>
    </w:p>
    <w:p w14:paraId="6C95A460" w14:textId="77777777" w:rsidR="00FF6F90" w:rsidRPr="00AD5F24" w:rsidRDefault="00FF6F90" w:rsidP="001B6C1A">
      <w:pPr>
        <w:pStyle w:val="Bullet1"/>
        <w:keepNext/>
      </w:pPr>
      <w:r w:rsidRPr="00AD5F24">
        <w:t>Feral pig impacts</w:t>
      </w:r>
    </w:p>
    <w:p w14:paraId="43CFE5D8" w14:textId="77777777" w:rsidR="00FF6F90" w:rsidRPr="00AD5F24" w:rsidRDefault="00FF6F90" w:rsidP="001B6C1A">
      <w:pPr>
        <w:pStyle w:val="Bullet1"/>
        <w:keepNext/>
      </w:pPr>
      <w:r w:rsidRPr="00AD5F24">
        <w:t>Feral pig population dynamics and ecology</w:t>
      </w:r>
    </w:p>
    <w:p w14:paraId="19B169C3" w14:textId="77777777" w:rsidR="00FF6F90" w:rsidRPr="00AD5F24" w:rsidRDefault="00FF6F90" w:rsidP="001B6C1A">
      <w:pPr>
        <w:pStyle w:val="Bullet1"/>
      </w:pPr>
      <w:r w:rsidRPr="00AD5F24">
        <w:t>Special and temporal use of landscapes by feral pigs</w:t>
      </w:r>
    </w:p>
    <w:p w14:paraId="46330C98" w14:textId="77777777" w:rsidR="00FF6F90" w:rsidRPr="00AD5F24" w:rsidRDefault="00FF6F90" w:rsidP="001B6C1A">
      <w:pPr>
        <w:pStyle w:val="Bullet1"/>
      </w:pPr>
      <w:r w:rsidRPr="00AD5F24">
        <w:t>The effectiveness of feral pig control methods</w:t>
      </w:r>
    </w:p>
    <w:p w14:paraId="2F770A3F" w14:textId="77777777" w:rsidR="00FF6F90" w:rsidRPr="00AD5F24" w:rsidRDefault="00FF6F90" w:rsidP="001B6C1A">
      <w:r w:rsidRPr="00AD5F24">
        <w:t>There are three actions to evaluate the effectiveness of feral pig control programs which relate to developing better monitoring techniques and encouraging centralised recording of feral pig control actions.</w:t>
      </w:r>
    </w:p>
    <w:p w14:paraId="04D0E35D" w14:textId="77777777" w:rsidR="00FF6F90" w:rsidRPr="00AD5F24" w:rsidRDefault="00FF6F90" w:rsidP="001B6C1A">
      <w:r w:rsidRPr="00AD5F24">
        <w:t>There are two actions to raise feral pig awareness amongst landholders and land managers which relate to increased delivery of training programs to build feral pig management skills and improve the understanding of special impediments to feral pig control.</w:t>
      </w:r>
    </w:p>
    <w:p w14:paraId="5CAF1D68" w14:textId="77777777" w:rsidR="00FF6F90" w:rsidRPr="00AD5F24" w:rsidRDefault="00FF6F90" w:rsidP="001B6C1A">
      <w:r w:rsidRPr="00AD5F24">
        <w:t>There are two actions to improve public awareness about feral pigs which include developing a public education program about feral pigs and the environmental damage and problems they could cause.</w:t>
      </w:r>
    </w:p>
    <w:p w14:paraId="45080894" w14:textId="77777777" w:rsidR="00FF6F90" w:rsidRPr="00AD5F24" w:rsidRDefault="00FF6F90" w:rsidP="001B6C1A">
      <w:pPr>
        <w:pStyle w:val="Heading4"/>
      </w:pPr>
      <w:r w:rsidRPr="00AD5F24">
        <w:t>Relevance of the TAP to the Plan</w:t>
      </w:r>
    </w:p>
    <w:p w14:paraId="603E01E3" w14:textId="45D6D0BB" w:rsidR="00FF6F90" w:rsidRDefault="00FF6F90" w:rsidP="001B6C1A">
      <w:r w:rsidRPr="00AD5F24">
        <w:t xml:space="preserve">Feral pigs are widely established in </w:t>
      </w:r>
      <w:r w:rsidR="00256283" w:rsidRPr="00AD5F24">
        <w:t>Australia,</w:t>
      </w:r>
      <w:r w:rsidRPr="00AD5F24">
        <w:t xml:space="preserve"> and it is not currently possible to completely eradicate them </w:t>
      </w:r>
      <w:sdt>
        <w:sdtPr>
          <w:rPr>
            <w:color w:val="000000"/>
          </w:rPr>
          <w:tag w:val="MENDELEY_CITATION_v3_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"/>
          <w:id w:val="-1879928237"/>
          <w:placeholder>
            <w:docPart w:val="DefaultPlaceholder_-1854013440"/>
          </w:placeholder>
        </w:sdtPr>
        <w:sdtContent>
          <w:r w:rsidR="007E7CCC" w:rsidRPr="007E7CCC">
            <w:rPr>
              <w:color w:val="000000"/>
            </w:rPr>
            <w:t>(DoEE, 2017)</w:t>
          </w:r>
        </w:sdtContent>
      </w:sdt>
      <w:r w:rsidRPr="00AD5F24">
        <w:t>.</w:t>
      </w:r>
    </w:p>
    <w:p w14:paraId="45DB3F6D" w14:textId="77777777" w:rsidR="00FF6F90" w:rsidRPr="006842BF" w:rsidRDefault="00FF6F90" w:rsidP="001B6C1A">
      <w:r w:rsidRPr="006842BF">
        <w:t xml:space="preserve">There is little information to suggest that </w:t>
      </w:r>
      <w:r>
        <w:t>feral pigs</w:t>
      </w:r>
      <w:r w:rsidRPr="006842BF">
        <w:t xml:space="preserve"> are currently a problem in the Strategic Assessment Area.</w:t>
      </w:r>
      <w:r>
        <w:t xml:space="preserve"> However, it is possible that feral pigs are present as they present a widespread threat within Australia.</w:t>
      </w:r>
    </w:p>
    <w:p w14:paraId="071D09E6" w14:textId="77777777" w:rsidR="00FF6F90" w:rsidRPr="0093326E" w:rsidRDefault="00FF6F90" w:rsidP="001B6C1A">
      <w:r w:rsidRPr="0093326E">
        <w:t xml:space="preserve">There are no activities under the Plan which are likely to lead to the introduction of </w:t>
      </w:r>
      <w:r>
        <w:t>feral pigs</w:t>
      </w:r>
      <w:r w:rsidRPr="0093326E">
        <w:t xml:space="preserve"> in the area</w:t>
      </w:r>
      <w:r>
        <w:t>, or which would otherwise exacerbate the threat of feral pigs.</w:t>
      </w:r>
    </w:p>
    <w:p w14:paraId="0011731B" w14:textId="77777777" w:rsidR="00FF6F90" w:rsidRPr="00491712" w:rsidRDefault="00FF6F90" w:rsidP="001B6C1A">
      <w:pPr>
        <w:pStyle w:val="Heading4"/>
      </w:pPr>
      <w:r w:rsidRPr="00491712">
        <w:t>Consistency with the TAP</w:t>
      </w:r>
    </w:p>
    <w:p w14:paraId="38798F47" w14:textId="77777777" w:rsidR="00FF6F90" w:rsidRPr="00B66E0D" w:rsidRDefault="00FF6F90" w:rsidP="001B6C1A">
      <w:r w:rsidRPr="00B66E0D">
        <w:t>The Plan is not inconsistent with the TAP on the basis that</w:t>
      </w:r>
      <w:r>
        <w:t xml:space="preserve"> t</w:t>
      </w:r>
      <w:r w:rsidRPr="00B66E0D">
        <w:t>he Plan will not prevent any of the actions of the TAP from being implemented</w:t>
      </w:r>
      <w:r>
        <w:t>.</w:t>
      </w:r>
    </w:p>
    <w:p w14:paraId="2A7A60AD" w14:textId="77777777" w:rsidR="00FF6F90" w:rsidRPr="005D4103" w:rsidRDefault="00FF6F90" w:rsidP="001B6C1A">
      <w:pPr>
        <w:pStyle w:val="Heading4"/>
      </w:pPr>
      <w:r w:rsidRPr="005D4103">
        <w:lastRenderedPageBreak/>
        <w:t>How regard has been given for information within the TAP</w:t>
      </w:r>
    </w:p>
    <w:p w14:paraId="33DB91B5" w14:textId="77777777" w:rsidR="00FF6F90" w:rsidRDefault="00FF6F90" w:rsidP="00B66932">
      <w:pPr>
        <w:keepNext/>
        <w:keepLines/>
      </w:pPr>
      <w:r>
        <w:t>The Strategic Assessment Report</w:t>
      </w:r>
      <w:r w:rsidRPr="005D4103">
        <w:t xml:space="preserve"> has had regard for the TAP through reviewing and considering information within the TAP and ensuring that</w:t>
      </w:r>
      <w:r>
        <w:t>:</w:t>
      </w:r>
    </w:p>
    <w:p w14:paraId="0971A3D3" w14:textId="77777777" w:rsidR="00FF6F90" w:rsidRDefault="00FF6F90" w:rsidP="001B6C1A">
      <w:pPr>
        <w:pStyle w:val="Bullet1"/>
      </w:pPr>
      <w:r>
        <w:t>T</w:t>
      </w:r>
      <w:r w:rsidRPr="005D4103">
        <w:t>he Plan is not inconsistent with the TAP</w:t>
      </w:r>
    </w:p>
    <w:p w14:paraId="67A68BAC" w14:textId="77777777" w:rsidR="00FF6F90" w:rsidRPr="005D4103" w:rsidRDefault="00FF6F90" w:rsidP="001B6C1A">
      <w:pPr>
        <w:pStyle w:val="Bullet1"/>
      </w:pPr>
      <w:r>
        <w:t>The Plan will not exacerbate threats associated with this TAP</w:t>
      </w:r>
    </w:p>
    <w:p w14:paraId="7B494442" w14:textId="77777777" w:rsidR="00FF6F90" w:rsidRDefault="00FF6F90" w:rsidP="00CE6315">
      <w:pPr>
        <w:pStyle w:val="Acronymsreferences"/>
        <w:sectPr w:rsidR="00FF6F90" w:rsidSect="004D5B2C">
          <w:pgSz w:w="11900" w:h="16840"/>
          <w:pgMar w:top="1247" w:right="1134" w:bottom="1247" w:left="1134" w:header="708" w:footer="708" w:gutter="0"/>
          <w:pgNumType w:start="1" w:chapStyle="1"/>
          <w:cols w:space="708"/>
          <w:docGrid w:linePitch="360"/>
        </w:sectPr>
      </w:pPr>
    </w:p>
    <w:p w14:paraId="44CCA511" w14:textId="77777777" w:rsidR="00FF6F90" w:rsidRDefault="00FF6F90" w:rsidP="00815FB3">
      <w:pPr>
        <w:pStyle w:val="Heading1"/>
      </w:pPr>
      <w:bookmarkStart w:id="36" w:name="_Toc115963047"/>
      <w:bookmarkStart w:id="37" w:name="_Toc134706947"/>
      <w:r>
        <w:lastRenderedPageBreak/>
        <w:t>Relevant protected matters</w:t>
      </w:r>
      <w:bookmarkEnd w:id="36"/>
      <w:bookmarkEnd w:id="37"/>
    </w:p>
    <w:p w14:paraId="79E55836" w14:textId="77777777" w:rsidR="00FF6F90" w:rsidRDefault="00FF6F90" w:rsidP="00815FB3">
      <w:pPr>
        <w:pStyle w:val="Heading2"/>
      </w:pPr>
      <w:bookmarkStart w:id="38" w:name="_Toc115963048"/>
      <w:bookmarkStart w:id="39" w:name="_Toc134706948"/>
      <w:r>
        <w:t>Introduction</w:t>
      </w:r>
      <w:bookmarkEnd w:id="38"/>
      <w:bookmarkEnd w:id="39"/>
    </w:p>
    <w:p w14:paraId="6E76040E" w14:textId="77777777" w:rsidR="00FF6F90" w:rsidRDefault="00FF6F90" w:rsidP="00815FB3">
      <w:r>
        <w:t xml:space="preserve">This Chapter lists the relevant protected matters for the assessment. </w:t>
      </w:r>
    </w:p>
    <w:p w14:paraId="4086716A" w14:textId="77777777" w:rsidR="00FF6F90" w:rsidRDefault="00FF6F90" w:rsidP="00815FB3">
      <w:pPr>
        <w:rPr>
          <w:i/>
          <w:iCs/>
        </w:rPr>
      </w:pPr>
      <w:r w:rsidRPr="00A17947">
        <w:t xml:space="preserve">The ‘relevant protected matters’ are defined in the ToR as </w:t>
      </w:r>
      <w:r w:rsidRPr="00A17947">
        <w:rPr>
          <w:i/>
          <w:iCs/>
        </w:rPr>
        <w:t>“…each protected matter that may be impacted directly, indirectly and/or cumulatively by actions proposed to be taken under the Plan”.</w:t>
      </w:r>
    </w:p>
    <w:p w14:paraId="00B9D1BE" w14:textId="77777777" w:rsidR="00FF6F90" w:rsidRDefault="00FF6F90" w:rsidP="002A2D10">
      <w:r>
        <w:t xml:space="preserve">The methods used to identify these matters according to this definition are described in </w:t>
      </w:r>
      <w:r w:rsidRPr="00B66932">
        <w:t>Chapter 12</w:t>
      </w:r>
      <w:r w:rsidRPr="00403908">
        <w:t xml:space="preserve"> of </w:t>
      </w:r>
      <w:r w:rsidRPr="00B66932">
        <w:t>Part 3</w:t>
      </w:r>
      <w:r>
        <w:t xml:space="preserve"> of this report. As described in </w:t>
      </w:r>
      <w:r w:rsidRPr="00B66932">
        <w:t>Chapter 12</w:t>
      </w:r>
      <w:r w:rsidRPr="00403908">
        <w:t>,</w:t>
      </w:r>
      <w:r>
        <w:t xml:space="preserve"> identification of the relevant protected matters was undertaken using different methods for each of the following groups:</w:t>
      </w:r>
    </w:p>
    <w:p w14:paraId="73B01E84" w14:textId="77777777" w:rsidR="00FF6F90" w:rsidRDefault="00FF6F90" w:rsidP="002A2D10">
      <w:pPr>
        <w:pStyle w:val="Bullet1"/>
      </w:pPr>
      <w:r>
        <w:t>Commonwealth threatened listed threatened species and species on the FPAL</w:t>
      </w:r>
    </w:p>
    <w:p w14:paraId="468FAC82" w14:textId="77777777" w:rsidR="00FF6F90" w:rsidRDefault="00FF6F90" w:rsidP="002A2D10">
      <w:pPr>
        <w:pStyle w:val="Bullet1"/>
      </w:pPr>
      <w:r>
        <w:t>Commonwealth listed threatened ecological communities</w:t>
      </w:r>
    </w:p>
    <w:p w14:paraId="10D9D4AA" w14:textId="77777777" w:rsidR="00FF6F90" w:rsidRDefault="00FF6F90" w:rsidP="002A2D10">
      <w:pPr>
        <w:pStyle w:val="Bullet1"/>
      </w:pPr>
      <w:r>
        <w:t>Commonwealth listed migratory species</w:t>
      </w:r>
    </w:p>
    <w:p w14:paraId="0FC044A5" w14:textId="77777777" w:rsidR="00FF6F90" w:rsidRDefault="00FF6F90" w:rsidP="002A2D10">
      <w:pPr>
        <w:pStyle w:val="Bullet1"/>
      </w:pPr>
      <w:r>
        <w:t xml:space="preserve">Wetlands of international importance (listed under the Ramsar Convention) </w:t>
      </w:r>
    </w:p>
    <w:p w14:paraId="5E161AF9" w14:textId="77777777" w:rsidR="00FF6F90" w:rsidRDefault="00FF6F90" w:rsidP="002A2D10">
      <w:pPr>
        <w:pStyle w:val="Bullet1"/>
      </w:pPr>
      <w:r>
        <w:t>Commonwealth land</w:t>
      </w:r>
    </w:p>
    <w:p w14:paraId="1115A2AB" w14:textId="77777777" w:rsidR="00FF6F90" w:rsidRDefault="00FF6F90" w:rsidP="002A2D10">
      <w:pPr>
        <w:pStyle w:val="Bullet1"/>
      </w:pPr>
      <w:r>
        <w:t>World heritage properties and national heritage properties</w:t>
      </w:r>
    </w:p>
    <w:p w14:paraId="060E364B" w14:textId="77777777" w:rsidR="00FF6F90" w:rsidRDefault="00FF6F90" w:rsidP="002A2D10">
      <w:r>
        <w:t xml:space="preserve">Matters that were considered relevant were assigned to ‘Category 1’ and assessed in detail in Part 4 of this report. Category 1 matters were those that were considered at risk of direct, indirect, or cumulative impacts due to implementation of the Plan. </w:t>
      </w:r>
    </w:p>
    <w:p w14:paraId="6A458940" w14:textId="6CCE1487" w:rsidR="00FF6F90" w:rsidRDefault="00FF6F90" w:rsidP="002A2D10">
      <w:r>
        <w:t xml:space="preserve">Matters that were identified and examined but determined not to be relevant </w:t>
      </w:r>
      <w:r w:rsidR="00FD6EA7">
        <w:t xml:space="preserve">based on the definition of ‘relevant protected matters’ provided by the ToR </w:t>
      </w:r>
      <w:r>
        <w:t>were assigned to ‘Category 2’. These matters are not at risk of direct, indirect, or cumulative impacts</w:t>
      </w:r>
      <w:r w:rsidRPr="003215BE">
        <w:t xml:space="preserve"> </w:t>
      </w:r>
      <w:r>
        <w:t>due to implementation of the Plan or are not reliant on or present within the Strategic Assessment Area. For these matters, n</w:t>
      </w:r>
      <w:r w:rsidRPr="00CB3E50">
        <w:t>o further assessment is required</w:t>
      </w:r>
      <w:r>
        <w:t xml:space="preserve">. </w:t>
      </w:r>
    </w:p>
    <w:p w14:paraId="08AF4A53" w14:textId="77777777" w:rsidR="00FF6F90" w:rsidRPr="00A17947" w:rsidRDefault="00FF6F90" w:rsidP="002A2D10">
      <w:r>
        <w:t xml:space="preserve">The detailed analysis and results of the categorisation process are presented in </w:t>
      </w:r>
      <w:r w:rsidRPr="00B66932">
        <w:rPr>
          <w:u w:val="single"/>
        </w:rPr>
        <w:t>Attachment A</w:t>
      </w:r>
      <w:r w:rsidRPr="00403908">
        <w:t>.</w:t>
      </w:r>
    </w:p>
    <w:p w14:paraId="47C2FF1C" w14:textId="77777777" w:rsidR="00FF6F90" w:rsidRPr="00EA414D" w:rsidRDefault="00FF6F90" w:rsidP="00815FB3">
      <w:pPr>
        <w:pStyle w:val="Heading2"/>
      </w:pPr>
      <w:bookmarkStart w:id="40" w:name="_Toc115963051"/>
      <w:bookmarkStart w:id="41" w:name="_Toc134706949"/>
      <w:r>
        <w:t>Categorisation results</w:t>
      </w:r>
      <w:bookmarkEnd w:id="40"/>
      <w:bookmarkEnd w:id="41"/>
    </w:p>
    <w:p w14:paraId="1EC1AE6A" w14:textId="77777777" w:rsidR="00FF6F90" w:rsidRDefault="00FF6F90" w:rsidP="00815FB3">
      <w:pPr>
        <w:pStyle w:val="Heading3"/>
      </w:pPr>
      <w:r>
        <w:t>Threatened species and ecological communities and FPAL species</w:t>
      </w:r>
    </w:p>
    <w:p w14:paraId="074CD8CD" w14:textId="50EC3942" w:rsidR="00FF6F90" w:rsidRDefault="00FF6F90" w:rsidP="00815FB3">
      <w:pPr>
        <w:keepNext/>
      </w:pPr>
      <w:r>
        <w:t xml:space="preserve">A total of </w:t>
      </w:r>
      <w:r w:rsidR="001726AF">
        <w:t>20</w:t>
      </w:r>
      <w:r w:rsidRPr="00B66932">
        <w:t xml:space="preserve"> threatened species</w:t>
      </w:r>
      <w:r>
        <w:t xml:space="preserve"> have been identified as Category 1 species requiring detailed assessment. These include:</w:t>
      </w:r>
    </w:p>
    <w:p w14:paraId="2A25DE1B" w14:textId="77777777" w:rsidR="00FF6F90" w:rsidRDefault="00FF6F90" w:rsidP="00815FB3">
      <w:pPr>
        <w:pStyle w:val="Bullet1"/>
        <w:keepNext/>
        <w:ind w:left="357" w:hanging="357"/>
      </w:pPr>
      <w:r>
        <w:t>Flora:</w:t>
      </w:r>
    </w:p>
    <w:p w14:paraId="09C67D0A" w14:textId="77777777" w:rsidR="00FF6F90" w:rsidRDefault="00FF6F90" w:rsidP="00815FB3">
      <w:pPr>
        <w:pStyle w:val="Bullet2"/>
      </w:pPr>
      <w:r w:rsidRPr="00CE305A">
        <w:rPr>
          <w:i/>
          <w:iCs/>
        </w:rPr>
        <w:t>Lachnagrostis adamsonii</w:t>
      </w:r>
      <w:r>
        <w:t xml:space="preserve"> (Adamson’s Blown-grass)</w:t>
      </w:r>
    </w:p>
    <w:p w14:paraId="1EB7AA33" w14:textId="77777777" w:rsidR="00FF6F90" w:rsidRDefault="00FF6F90" w:rsidP="00815FB3">
      <w:pPr>
        <w:pStyle w:val="Bullet2"/>
      </w:pPr>
      <w:r w:rsidRPr="00CE305A">
        <w:rPr>
          <w:i/>
          <w:iCs/>
        </w:rPr>
        <w:t>Pimelea spinescens</w:t>
      </w:r>
      <w:r>
        <w:t xml:space="preserve"> subsp. </w:t>
      </w:r>
      <w:r w:rsidRPr="00B66932">
        <w:rPr>
          <w:i/>
          <w:iCs/>
        </w:rPr>
        <w:t>spinescens (</w:t>
      </w:r>
      <w:r>
        <w:t>Spiny Rice-flower)</w:t>
      </w:r>
    </w:p>
    <w:p w14:paraId="07091789" w14:textId="77777777" w:rsidR="00FF6F90" w:rsidRDefault="00FF6F90" w:rsidP="00815FB3">
      <w:pPr>
        <w:pStyle w:val="Bullet1"/>
      </w:pPr>
      <w:r>
        <w:t>Fauna:</w:t>
      </w:r>
    </w:p>
    <w:p w14:paraId="02D88E4F" w14:textId="77777777" w:rsidR="00FF6F90" w:rsidRDefault="00FF6F90" w:rsidP="00815FB3">
      <w:pPr>
        <w:pStyle w:val="Bullet2"/>
      </w:pPr>
      <w:r w:rsidRPr="00C217BF">
        <w:rPr>
          <w:i/>
          <w:iCs/>
        </w:rPr>
        <w:t>Botaurus poiciloptilus</w:t>
      </w:r>
      <w:r>
        <w:t xml:space="preserve"> (Australasian Bittern)</w:t>
      </w:r>
    </w:p>
    <w:p w14:paraId="48D80E44" w14:textId="77777777" w:rsidR="00FF6F90" w:rsidRDefault="00FF6F90" w:rsidP="00815FB3">
      <w:pPr>
        <w:pStyle w:val="Bullet2"/>
      </w:pPr>
      <w:r w:rsidRPr="00C217BF">
        <w:rPr>
          <w:i/>
          <w:iCs/>
        </w:rPr>
        <w:t>Calidris canutus</w:t>
      </w:r>
      <w:r>
        <w:t xml:space="preserve"> (Red Knot)</w:t>
      </w:r>
    </w:p>
    <w:p w14:paraId="23A82EEF" w14:textId="77777777" w:rsidR="00FF6F90" w:rsidRDefault="00FF6F90" w:rsidP="00815FB3">
      <w:pPr>
        <w:pStyle w:val="Bullet2"/>
      </w:pPr>
      <w:r w:rsidRPr="00C217BF">
        <w:rPr>
          <w:i/>
          <w:iCs/>
        </w:rPr>
        <w:t>Calidris ferruginea</w:t>
      </w:r>
      <w:r>
        <w:t xml:space="preserve"> (Curlew Sandpiper)</w:t>
      </w:r>
    </w:p>
    <w:p w14:paraId="061D4458" w14:textId="77777777" w:rsidR="00FF6F90" w:rsidRDefault="00FF6F90" w:rsidP="00815FB3">
      <w:pPr>
        <w:pStyle w:val="Bullet2"/>
      </w:pPr>
      <w:r w:rsidRPr="00C217BF">
        <w:rPr>
          <w:i/>
          <w:iCs/>
        </w:rPr>
        <w:t>Calidris tenuirostris</w:t>
      </w:r>
      <w:r>
        <w:t xml:space="preserve"> (Great Knot)</w:t>
      </w:r>
    </w:p>
    <w:p w14:paraId="2BD39C51" w14:textId="77777777" w:rsidR="00FF6F90" w:rsidRDefault="00FF6F90" w:rsidP="00815FB3">
      <w:pPr>
        <w:pStyle w:val="Bullet2"/>
      </w:pPr>
      <w:r w:rsidRPr="00C217BF">
        <w:rPr>
          <w:i/>
          <w:iCs/>
        </w:rPr>
        <w:t>Charadrius leschenaultii</w:t>
      </w:r>
      <w:r>
        <w:t xml:space="preserve"> (Greater Sand Plover)</w:t>
      </w:r>
    </w:p>
    <w:p w14:paraId="702099AD" w14:textId="77777777" w:rsidR="00FF6F90" w:rsidRDefault="00FF6F90" w:rsidP="00815FB3">
      <w:pPr>
        <w:pStyle w:val="Bullet2"/>
      </w:pPr>
      <w:r w:rsidRPr="00C217BF">
        <w:rPr>
          <w:i/>
          <w:iCs/>
        </w:rPr>
        <w:t>Charadrius mongolus</w:t>
      </w:r>
      <w:r>
        <w:t xml:space="preserve"> (Lesser Sand Plover)</w:t>
      </w:r>
    </w:p>
    <w:p w14:paraId="2DB48247" w14:textId="77777777" w:rsidR="00FF6F90" w:rsidRDefault="00FF6F90" w:rsidP="00815FB3">
      <w:pPr>
        <w:pStyle w:val="Bullet2"/>
      </w:pPr>
      <w:r w:rsidRPr="00C217BF">
        <w:rPr>
          <w:i/>
          <w:iCs/>
        </w:rPr>
        <w:t>Delma impar</w:t>
      </w:r>
      <w:r>
        <w:t xml:space="preserve"> (Striped Legless Lizard)</w:t>
      </w:r>
    </w:p>
    <w:p w14:paraId="00F69E29" w14:textId="77777777" w:rsidR="00FF6F90" w:rsidRPr="00C217BF" w:rsidRDefault="00FF6F90" w:rsidP="00815FB3">
      <w:pPr>
        <w:pStyle w:val="Bullet2"/>
        <w:rPr>
          <w:i/>
          <w:iCs/>
        </w:rPr>
      </w:pPr>
      <w:r w:rsidRPr="00C217BF">
        <w:rPr>
          <w:i/>
          <w:iCs/>
        </w:rPr>
        <w:t>Galaxiella toourtkoourt</w:t>
      </w:r>
      <w:r>
        <w:rPr>
          <w:i/>
          <w:iCs/>
        </w:rPr>
        <w:t xml:space="preserve"> </w:t>
      </w:r>
      <w:r>
        <w:t xml:space="preserve">(Eastern Dwarf Galaxias) (previously </w:t>
      </w:r>
      <w:r>
        <w:rPr>
          <w:i/>
          <w:iCs/>
        </w:rPr>
        <w:t>Galaxiella pusilla</w:t>
      </w:r>
      <w:r>
        <w:t>)</w:t>
      </w:r>
    </w:p>
    <w:p w14:paraId="101E3F7F" w14:textId="77777777" w:rsidR="00FF6F90" w:rsidRDefault="00FF6F90" w:rsidP="00815FB3">
      <w:pPr>
        <w:pStyle w:val="Bullet2"/>
      </w:pPr>
      <w:r w:rsidRPr="00C217BF">
        <w:rPr>
          <w:i/>
          <w:iCs/>
        </w:rPr>
        <w:t>Limosa lapponica baueri</w:t>
      </w:r>
      <w:r>
        <w:t xml:space="preserve"> (Western Alaskan Bar-tailed Godwit)</w:t>
      </w:r>
    </w:p>
    <w:p w14:paraId="7376B23E" w14:textId="77777777" w:rsidR="00FF6F90" w:rsidRDefault="00FF6F90" w:rsidP="00815FB3">
      <w:pPr>
        <w:pStyle w:val="Bullet2"/>
      </w:pPr>
      <w:r w:rsidRPr="00C217BF">
        <w:rPr>
          <w:i/>
          <w:iCs/>
        </w:rPr>
        <w:t>Litoria raniformis</w:t>
      </w:r>
      <w:r>
        <w:t xml:space="preserve"> (Growling Grass Frog)</w:t>
      </w:r>
    </w:p>
    <w:p w14:paraId="2BA0E854" w14:textId="77777777" w:rsidR="00FF6F90" w:rsidRDefault="00FF6F90" w:rsidP="00815FB3">
      <w:pPr>
        <w:pStyle w:val="Bullet2"/>
      </w:pPr>
      <w:r w:rsidRPr="00C217BF">
        <w:rPr>
          <w:i/>
          <w:iCs/>
        </w:rPr>
        <w:t>Nannoperca obscura</w:t>
      </w:r>
      <w:r>
        <w:t xml:space="preserve"> (Yarra Pygmy Perch)</w:t>
      </w:r>
    </w:p>
    <w:p w14:paraId="56FD9AAF" w14:textId="77777777" w:rsidR="00FF6F90" w:rsidRDefault="00FF6F90" w:rsidP="00815FB3">
      <w:pPr>
        <w:pStyle w:val="Bullet2"/>
      </w:pPr>
      <w:r w:rsidRPr="00C217BF">
        <w:rPr>
          <w:i/>
          <w:iCs/>
        </w:rPr>
        <w:t>Neophema chrysogaster</w:t>
      </w:r>
      <w:r>
        <w:t xml:space="preserve"> (Orange-bellied Parrot)</w:t>
      </w:r>
    </w:p>
    <w:p w14:paraId="6AE0332A" w14:textId="5A650790" w:rsidR="001726AF" w:rsidRDefault="001726AF" w:rsidP="00815FB3">
      <w:pPr>
        <w:pStyle w:val="Bullet2"/>
      </w:pPr>
      <w:r>
        <w:rPr>
          <w:i/>
          <w:iCs/>
        </w:rPr>
        <w:lastRenderedPageBreak/>
        <w:t xml:space="preserve">Neophema chrysostoma </w:t>
      </w:r>
      <w:r>
        <w:t>(Blue-winged Parrot)</w:t>
      </w:r>
    </w:p>
    <w:p w14:paraId="5A23FFF1" w14:textId="77777777" w:rsidR="00FF6F90" w:rsidRDefault="00FF6F90" w:rsidP="00815FB3">
      <w:pPr>
        <w:pStyle w:val="Bullet2"/>
      </w:pPr>
      <w:r w:rsidRPr="00C217BF">
        <w:rPr>
          <w:i/>
          <w:iCs/>
        </w:rPr>
        <w:t>Numenius madagascariensis</w:t>
      </w:r>
      <w:r>
        <w:t xml:space="preserve"> (Eastern Curlew)</w:t>
      </w:r>
    </w:p>
    <w:p w14:paraId="321EAE9F" w14:textId="77777777" w:rsidR="00FF6F90" w:rsidRDefault="00FF6F90" w:rsidP="00815FB3">
      <w:pPr>
        <w:pStyle w:val="Bullet2"/>
      </w:pPr>
      <w:r w:rsidRPr="00C217BF">
        <w:rPr>
          <w:i/>
          <w:iCs/>
        </w:rPr>
        <w:t>Prototroctes maraena</w:t>
      </w:r>
      <w:r>
        <w:t xml:space="preserve"> (Australian Grayling)</w:t>
      </w:r>
    </w:p>
    <w:p w14:paraId="5E1DDD15" w14:textId="77777777" w:rsidR="00FF6F90" w:rsidRDefault="00FF6F90" w:rsidP="00815FB3">
      <w:pPr>
        <w:pStyle w:val="Bullet2"/>
      </w:pPr>
      <w:r w:rsidRPr="00C217BF">
        <w:rPr>
          <w:i/>
          <w:iCs/>
        </w:rPr>
        <w:t>Rostratula australis</w:t>
      </w:r>
      <w:r>
        <w:t xml:space="preserve"> (Australian Painted Snipe)</w:t>
      </w:r>
    </w:p>
    <w:p w14:paraId="3AB747DF" w14:textId="77777777" w:rsidR="00FF6F90" w:rsidRDefault="00FF6F90" w:rsidP="00815FB3">
      <w:pPr>
        <w:pStyle w:val="Bullet2"/>
      </w:pPr>
      <w:r w:rsidRPr="00C217BF">
        <w:rPr>
          <w:i/>
          <w:iCs/>
        </w:rPr>
        <w:t>Sternula nereis nereis</w:t>
      </w:r>
      <w:r>
        <w:t xml:space="preserve"> (Australian Fairy Tern)</w:t>
      </w:r>
    </w:p>
    <w:p w14:paraId="244CF64D" w14:textId="5C693D49" w:rsidR="00FF6F90" w:rsidRDefault="00FF6F90" w:rsidP="00815FB3">
      <w:pPr>
        <w:pStyle w:val="Bullet2"/>
      </w:pPr>
      <w:r w:rsidRPr="00C217BF">
        <w:rPr>
          <w:i/>
          <w:iCs/>
        </w:rPr>
        <w:t>Synemon plana</w:t>
      </w:r>
      <w:r>
        <w:t xml:space="preserve"> (Golden Sun Moth)</w:t>
      </w:r>
    </w:p>
    <w:p w14:paraId="4C610E68" w14:textId="77777777" w:rsidR="008D1B1A" w:rsidRDefault="008D1B1A" w:rsidP="00E51769">
      <w:pPr>
        <w:pStyle w:val="Bullet2"/>
        <w:numPr>
          <w:ilvl w:val="0"/>
          <w:numId w:val="0"/>
        </w:numPr>
        <w:ind w:left="786"/>
      </w:pPr>
    </w:p>
    <w:tbl>
      <w:tblPr>
        <w:tblStyle w:val="TableGrid"/>
        <w:tblW w:w="0" w:type="auto"/>
        <w:tblLook w:val="04A0" w:firstRow="1" w:lastRow="0" w:firstColumn="1" w:lastColumn="0" w:noHBand="0" w:noVBand="1"/>
      </w:tblPr>
      <w:tblGrid>
        <w:gridCol w:w="9622"/>
      </w:tblGrid>
      <w:tr w:rsidR="008D1B1A" w14:paraId="3F966E0B" w14:textId="77777777" w:rsidTr="00E51769">
        <w:tc>
          <w:tcPr>
            <w:tcW w:w="9622" w:type="dxa"/>
            <w:shd w:val="clear" w:color="auto" w:fill="F2F2F2" w:themeFill="background1" w:themeFillShade="F2"/>
          </w:tcPr>
          <w:p w14:paraId="4308B1B6" w14:textId="3B5D912A" w:rsidR="007E7CCC" w:rsidRPr="00E51769" w:rsidRDefault="007E7CCC" w:rsidP="00E51769">
            <w:pPr>
              <w:pStyle w:val="Tabletext"/>
            </w:pPr>
            <w:r w:rsidRPr="007E7CCC">
              <w:t>It is noted that further work is required to categorise the Victorian Grassland Earless Dragon (</w:t>
            </w:r>
            <w:r w:rsidRPr="007E7CCC">
              <w:rPr>
                <w:i/>
                <w:iCs/>
              </w:rPr>
              <w:t>Tympanocryptis pinguicolla</w:t>
            </w:r>
            <w:r w:rsidRPr="007E7CCC">
              <w:t>). Until recently, the species was considered likely to be extinct in Victoria. The species was excluded from targeted surveys of the Growth Areas as the species was presumed to be extinct in Victoria at the time</w:t>
            </w:r>
            <w:r>
              <w:t xml:space="preserve"> </w:t>
            </w:r>
            <w:sdt>
              <w:sdtPr>
                <w:rPr>
                  <w:color w:val="000000"/>
                </w:rPr>
                <w:tag w:val="MENDELEY_CITATION_v3_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"/>
                <w:id w:val="1262258138"/>
                <w:placeholder>
                  <w:docPart w:val="DefaultPlaceholder_-1854013440"/>
                </w:placeholder>
              </w:sdtPr>
              <w:sdtContent>
                <w:r w:rsidRPr="007E7CCC">
                  <w:rPr>
                    <w:color w:val="000000"/>
                  </w:rPr>
                  <w:t>(EHP, 2021b)</w:t>
                </w:r>
              </w:sdtContent>
            </w:sdt>
            <w:r w:rsidRPr="007E7CCC">
              <w:t>. The Study Area may provide habitat for the Grassland Earless Dragon. Targeted field investigations are now planned for the coming 2023/2024 summer within the likely distribution of the species. This work will inform the need for a detailed assessment of potential impacts. The outcomes of these surveys and any associated assessment will be presented in the final Strategic Assessment Report. Refer to Appendix A for further detail.</w:t>
            </w:r>
          </w:p>
        </w:tc>
      </w:tr>
    </w:tbl>
    <w:p w14:paraId="6CE4E452" w14:textId="77777777" w:rsidR="00FF6F90" w:rsidRDefault="00FF6F90" w:rsidP="00815FB3">
      <w:r w:rsidRPr="00B66932">
        <w:t>One TEC</w:t>
      </w:r>
      <w:r>
        <w:t xml:space="preserve"> has been identified as a Category 1 TEC requiring detailed assessment. This TEC is Natural Temperate Grassland of the Victorian Volcanic Plain.</w:t>
      </w:r>
    </w:p>
    <w:p w14:paraId="241805B7" w14:textId="77777777" w:rsidR="00FF6F90" w:rsidRPr="00C217BF" w:rsidRDefault="00FF6F90" w:rsidP="00815FB3">
      <w:r>
        <w:t xml:space="preserve">Refer </w:t>
      </w:r>
      <w:r w:rsidRPr="00403908">
        <w:t xml:space="preserve">to </w:t>
      </w:r>
      <w:r w:rsidRPr="00B66932">
        <w:rPr>
          <w:u w:val="single"/>
        </w:rPr>
        <w:t>Attachment A</w:t>
      </w:r>
      <w:r>
        <w:t xml:space="preserve"> for a detailed overview of results.</w:t>
      </w:r>
    </w:p>
    <w:p w14:paraId="48A014EC" w14:textId="77777777" w:rsidR="00FF6F90" w:rsidRDefault="00FF6F90" w:rsidP="00815FB3">
      <w:pPr>
        <w:pStyle w:val="Heading3"/>
      </w:pPr>
      <w:r>
        <w:t>Migratory species</w:t>
      </w:r>
    </w:p>
    <w:p w14:paraId="404F7A9A" w14:textId="77777777" w:rsidR="00FF6F90" w:rsidRDefault="00FF6F90" w:rsidP="00815FB3">
      <w:pPr>
        <w:keepNext/>
      </w:pPr>
      <w:r>
        <w:t xml:space="preserve">A total of </w:t>
      </w:r>
      <w:r w:rsidRPr="00B66932">
        <w:t>seven</w:t>
      </w:r>
      <w:r>
        <w:t xml:space="preserve"> non-threatened species have been identified as Category 1 species requiring detailed assessment. All non-threatened migratory species requiring assessment are migratory birds. These include:</w:t>
      </w:r>
    </w:p>
    <w:p w14:paraId="441F29C1" w14:textId="77777777" w:rsidR="00FF6F90" w:rsidRPr="00444750" w:rsidRDefault="00FF6F90" w:rsidP="00815FB3">
      <w:pPr>
        <w:pStyle w:val="Bullet1"/>
      </w:pPr>
      <w:r w:rsidRPr="00444750">
        <w:rPr>
          <w:i/>
          <w:iCs/>
        </w:rPr>
        <w:t>Calidris acuminata</w:t>
      </w:r>
      <w:r w:rsidRPr="00444750">
        <w:t xml:space="preserve"> (Sharp-tailed Sandpiper)</w:t>
      </w:r>
    </w:p>
    <w:p w14:paraId="7A91B9B6" w14:textId="77777777" w:rsidR="00FF6F90" w:rsidRPr="00444750" w:rsidRDefault="00FF6F90" w:rsidP="00815FB3">
      <w:pPr>
        <w:pStyle w:val="Bullet1"/>
      </w:pPr>
      <w:r w:rsidRPr="00444750">
        <w:rPr>
          <w:i/>
          <w:iCs/>
        </w:rPr>
        <w:t>Calidris ruficollis</w:t>
      </w:r>
      <w:r w:rsidRPr="00444750">
        <w:t xml:space="preserve"> (Red-necked Stint)</w:t>
      </w:r>
    </w:p>
    <w:p w14:paraId="438E6AD6" w14:textId="77777777" w:rsidR="00FF6F90" w:rsidRPr="00444750" w:rsidRDefault="00FF6F90" w:rsidP="00815FB3">
      <w:pPr>
        <w:pStyle w:val="Bullet1"/>
      </w:pPr>
      <w:r w:rsidRPr="00444750">
        <w:rPr>
          <w:i/>
          <w:iCs/>
        </w:rPr>
        <w:t>Charadrius bicinctus</w:t>
      </w:r>
      <w:r w:rsidRPr="00444750">
        <w:t xml:space="preserve"> (Double-banded Plover)</w:t>
      </w:r>
    </w:p>
    <w:p w14:paraId="49A566FD" w14:textId="77777777" w:rsidR="00FF6F90" w:rsidRPr="00444750" w:rsidRDefault="00FF6F90" w:rsidP="00815FB3">
      <w:pPr>
        <w:pStyle w:val="Bullet1"/>
      </w:pPr>
      <w:r w:rsidRPr="00444750">
        <w:rPr>
          <w:i/>
          <w:iCs/>
        </w:rPr>
        <w:t>Gallinago hardwickii</w:t>
      </w:r>
      <w:r w:rsidRPr="00444750">
        <w:t xml:space="preserve"> (Latham's Snipe)</w:t>
      </w:r>
    </w:p>
    <w:p w14:paraId="696CCA2E" w14:textId="77777777" w:rsidR="00FF6F90" w:rsidRPr="00444750" w:rsidRDefault="00FF6F90" w:rsidP="00815FB3">
      <w:pPr>
        <w:pStyle w:val="Bullet1"/>
      </w:pPr>
      <w:r w:rsidRPr="00444750">
        <w:rPr>
          <w:i/>
          <w:iCs/>
        </w:rPr>
        <w:t>Sternula albifrons</w:t>
      </w:r>
      <w:r w:rsidRPr="00444750">
        <w:t xml:space="preserve"> (Little Tern)</w:t>
      </w:r>
    </w:p>
    <w:p w14:paraId="0D95317D" w14:textId="77777777" w:rsidR="00FF6F90" w:rsidRPr="00444750" w:rsidRDefault="00FF6F90" w:rsidP="00815FB3">
      <w:pPr>
        <w:pStyle w:val="Bullet1"/>
      </w:pPr>
      <w:r w:rsidRPr="00444750">
        <w:rPr>
          <w:i/>
          <w:iCs/>
        </w:rPr>
        <w:t>Tringa nebularia</w:t>
      </w:r>
      <w:r w:rsidRPr="00444750">
        <w:t xml:space="preserve"> (Common Greenshank)</w:t>
      </w:r>
    </w:p>
    <w:p w14:paraId="2F9835AB" w14:textId="77777777" w:rsidR="00FF6F90" w:rsidRDefault="00FF6F90" w:rsidP="00815FB3">
      <w:pPr>
        <w:pStyle w:val="Bullet1"/>
      </w:pPr>
      <w:r w:rsidRPr="00444750">
        <w:rPr>
          <w:i/>
          <w:iCs/>
        </w:rPr>
        <w:t>Tringa stagnatilis</w:t>
      </w:r>
      <w:r w:rsidRPr="00444750">
        <w:t xml:space="preserve"> (Marsh Sandpiper)</w:t>
      </w:r>
    </w:p>
    <w:p w14:paraId="7D4FAFDE" w14:textId="77777777" w:rsidR="00FF6F90" w:rsidRDefault="00FF6F90" w:rsidP="00815FB3">
      <w:r>
        <w:t xml:space="preserve">Note that there are </w:t>
      </w:r>
      <w:r w:rsidRPr="00403908">
        <w:t xml:space="preserve">also </w:t>
      </w:r>
      <w:r w:rsidRPr="00B66932">
        <w:t>six</w:t>
      </w:r>
      <w:r w:rsidRPr="00403908">
        <w:t xml:space="preserve"> threatened</w:t>
      </w:r>
      <w:r>
        <w:t xml:space="preserve"> migratory species which have been assigned to Category 1 as part of the threatened species categorisation process. These species are assessed within the threatened fauna chapter </w:t>
      </w:r>
      <w:r w:rsidRPr="00403908">
        <w:t>(</w:t>
      </w:r>
      <w:r w:rsidRPr="00B66932">
        <w:t>Chapter 19</w:t>
      </w:r>
      <w:r w:rsidRPr="00403908">
        <w:t>).</w:t>
      </w:r>
      <w:r>
        <w:t xml:space="preserve"> They include:</w:t>
      </w:r>
    </w:p>
    <w:p w14:paraId="751AD42D" w14:textId="77777777" w:rsidR="00FF6F90" w:rsidRPr="00202DC9" w:rsidRDefault="00FF6F90" w:rsidP="00815FB3">
      <w:pPr>
        <w:pStyle w:val="Bullet1"/>
      </w:pPr>
      <w:r w:rsidRPr="00E75A02">
        <w:rPr>
          <w:i/>
          <w:iCs/>
        </w:rPr>
        <w:t>Calidris canutus</w:t>
      </w:r>
      <w:r w:rsidRPr="00E75A02">
        <w:t xml:space="preserve"> (Red Knot)</w:t>
      </w:r>
    </w:p>
    <w:p w14:paraId="214ABE5B" w14:textId="77777777" w:rsidR="00FF6F90" w:rsidRDefault="00FF6F90" w:rsidP="00815FB3">
      <w:pPr>
        <w:pStyle w:val="Bullet1"/>
      </w:pPr>
      <w:r w:rsidRPr="00E00C17">
        <w:rPr>
          <w:i/>
          <w:iCs/>
        </w:rPr>
        <w:t>Calidris ferruginea</w:t>
      </w:r>
      <w:r w:rsidRPr="00E00C17">
        <w:t xml:space="preserve"> (Curlew Sandpiper)</w:t>
      </w:r>
    </w:p>
    <w:p w14:paraId="4B757436" w14:textId="77777777" w:rsidR="00FF6F90" w:rsidRDefault="00FF6F90" w:rsidP="00815FB3">
      <w:pPr>
        <w:pStyle w:val="Bullet1"/>
      </w:pPr>
      <w:r>
        <w:rPr>
          <w:i/>
          <w:iCs/>
        </w:rPr>
        <w:t xml:space="preserve">Calidris tenuirostris </w:t>
      </w:r>
      <w:r>
        <w:t>(Great Knot)</w:t>
      </w:r>
    </w:p>
    <w:p w14:paraId="73F81C92" w14:textId="77777777" w:rsidR="00FF6F90" w:rsidRPr="00202DC9" w:rsidRDefault="00FF6F90" w:rsidP="00815FB3">
      <w:pPr>
        <w:pStyle w:val="Bullet1"/>
      </w:pPr>
      <w:r w:rsidRPr="0023049C">
        <w:rPr>
          <w:i/>
          <w:iCs/>
          <w:szCs w:val="18"/>
        </w:rPr>
        <w:t>Charadrius leschenaultii</w:t>
      </w:r>
      <w:r w:rsidRPr="0023049C">
        <w:rPr>
          <w:szCs w:val="18"/>
        </w:rPr>
        <w:t xml:space="preserve"> (Greater Sand Plover)</w:t>
      </w:r>
    </w:p>
    <w:p w14:paraId="106D0EE5" w14:textId="77777777" w:rsidR="00FF6F90" w:rsidRDefault="00FF6F90" w:rsidP="00815FB3">
      <w:pPr>
        <w:pStyle w:val="Bullet1"/>
      </w:pPr>
      <w:r>
        <w:rPr>
          <w:i/>
          <w:iCs/>
        </w:rPr>
        <w:t xml:space="preserve">Charadrius mongolus </w:t>
      </w:r>
      <w:r>
        <w:t>(Lesser Sand Plover)</w:t>
      </w:r>
    </w:p>
    <w:p w14:paraId="42E1126D" w14:textId="77777777" w:rsidR="00FF6F90" w:rsidRDefault="00FF6F90" w:rsidP="00815FB3">
      <w:pPr>
        <w:pStyle w:val="Bullet1"/>
      </w:pPr>
      <w:r w:rsidRPr="00A34381">
        <w:rPr>
          <w:i/>
          <w:iCs/>
        </w:rPr>
        <w:t>Numenius madagascariensis</w:t>
      </w:r>
      <w:r w:rsidRPr="00A34381">
        <w:t xml:space="preserve"> (Eastern Curlew)</w:t>
      </w:r>
    </w:p>
    <w:p w14:paraId="4F8CB205" w14:textId="77777777" w:rsidR="00FF6F90" w:rsidRDefault="00FF6F90" w:rsidP="00815FB3">
      <w:r>
        <w:t xml:space="preserve">Refer to </w:t>
      </w:r>
      <w:r w:rsidRPr="00B66932">
        <w:rPr>
          <w:u w:val="single"/>
        </w:rPr>
        <w:t>Attachment A</w:t>
      </w:r>
      <w:r w:rsidRPr="00403908">
        <w:t xml:space="preserve"> for</w:t>
      </w:r>
      <w:r>
        <w:t xml:space="preserve"> a detailed overview of results.</w:t>
      </w:r>
    </w:p>
    <w:p w14:paraId="63963C29" w14:textId="77777777" w:rsidR="00FF6F90" w:rsidRDefault="00FF6F90" w:rsidP="00815FB3">
      <w:pPr>
        <w:pStyle w:val="Heading3"/>
      </w:pPr>
      <w:r>
        <w:t>Ramsar wetlands</w:t>
      </w:r>
    </w:p>
    <w:p w14:paraId="158EE2A3" w14:textId="77777777" w:rsidR="00FF6F90" w:rsidRPr="001F7934" w:rsidRDefault="00FF6F90" w:rsidP="00815FB3">
      <w:pPr>
        <w:rPr>
          <w:highlight w:val="yellow"/>
        </w:rPr>
      </w:pPr>
      <w:r>
        <w:t xml:space="preserve">One Ramsar site, the Port Phillip Bay (Western Shoreline) and Bellarine Peninsula, was identified within the Study Area. </w:t>
      </w:r>
      <w:r w:rsidRPr="001F7934">
        <w:t xml:space="preserve">Areas of this Ramsar site are located downstream of the Growth Areas and have </w:t>
      </w:r>
      <w:r>
        <w:t xml:space="preserve">the </w:t>
      </w:r>
      <w:r w:rsidRPr="001F7934">
        <w:t xml:space="preserve">potential to be indirectly impacted by </w:t>
      </w:r>
      <w:r>
        <w:t xml:space="preserve">development under </w:t>
      </w:r>
      <w:r w:rsidRPr="001F7934">
        <w:t>the Plan. The site has been assigned to Category 1 for detailed assessment.</w:t>
      </w:r>
    </w:p>
    <w:p w14:paraId="259956B7" w14:textId="77777777" w:rsidR="00FF6F90" w:rsidRDefault="00FF6F90" w:rsidP="00815FB3">
      <w:pPr>
        <w:pStyle w:val="Heading3"/>
      </w:pPr>
      <w:r>
        <w:t>Commonwealth Land</w:t>
      </w:r>
    </w:p>
    <w:p w14:paraId="06A0799C" w14:textId="77777777" w:rsidR="00FF6F90" w:rsidRDefault="00FF6F90" w:rsidP="00815FB3">
      <w:r>
        <w:t>Four Commonwealth land sites were identified through the PMST report. They are:</w:t>
      </w:r>
    </w:p>
    <w:p w14:paraId="556601F4" w14:textId="77777777" w:rsidR="00FF6F90" w:rsidRDefault="00FF6F90" w:rsidP="00815FB3">
      <w:pPr>
        <w:pStyle w:val="Bullet1"/>
      </w:pPr>
      <w:r w:rsidRPr="002E23E8">
        <w:lastRenderedPageBreak/>
        <w:t>AIRTC Geelong</w:t>
      </w:r>
      <w:r>
        <w:t>. This site occurs more than 3 km to the south of the Strategic Assessment Area in a built up area of Geelong</w:t>
      </w:r>
    </w:p>
    <w:p w14:paraId="4565D4E4" w14:textId="77777777" w:rsidR="00FF6F90" w:rsidRDefault="00FF6F90" w:rsidP="00815FB3">
      <w:pPr>
        <w:pStyle w:val="Bullet1"/>
      </w:pPr>
      <w:r>
        <w:t>Avalon Airfield. This site occurs more than 6 km to the east of the Strategic Assessment Area</w:t>
      </w:r>
    </w:p>
    <w:p w14:paraId="6EA51434" w14:textId="77777777" w:rsidR="00FF6F90" w:rsidRDefault="00FF6F90" w:rsidP="00815FB3">
      <w:pPr>
        <w:pStyle w:val="Bullet1"/>
      </w:pPr>
      <w:r>
        <w:t>Myers Street (opp. Geelong Hospital). This site occurs approximately 4 km to the south of the Strategic Assessment Area in a built up area of Geelong</w:t>
      </w:r>
    </w:p>
    <w:p w14:paraId="4E0505E0" w14:textId="77777777" w:rsidR="00FF6F90" w:rsidRDefault="00FF6F90" w:rsidP="00815FB3">
      <w:pPr>
        <w:pStyle w:val="Bullet1"/>
      </w:pPr>
      <w:r>
        <w:t>Point Wilson Explosives Area. This site occurs more than 13 km to the east of the Strategic Assessment Area</w:t>
      </w:r>
    </w:p>
    <w:p w14:paraId="31BF4D4D" w14:textId="77777777" w:rsidR="00FF6F90" w:rsidRDefault="00FF6F90" w:rsidP="00815FB3">
      <w:r>
        <w:t xml:space="preserve">The existing landscape context of the sites and the distance to the Growth Areas means that impacts to Commonwealth land will not occur as a result of implementation of the Plan. All sites were assigned to Category 2. </w:t>
      </w:r>
    </w:p>
    <w:p w14:paraId="13053E2B" w14:textId="77777777" w:rsidR="00FF6F90" w:rsidRDefault="00FF6F90" w:rsidP="00815FB3">
      <w:pPr>
        <w:pStyle w:val="Heading3"/>
      </w:pPr>
      <w:r>
        <w:t xml:space="preserve">World heritage properties, national heritage properties </w:t>
      </w:r>
    </w:p>
    <w:p w14:paraId="4B2EBE21" w14:textId="77777777" w:rsidR="00FF6F90" w:rsidRPr="00EA414D" w:rsidRDefault="00FF6F90" w:rsidP="00815FB3">
      <w:r>
        <w:t>No world heritage properties or national heritage places were identified through this search. No further assessment was undertaken of these matters.</w:t>
      </w:r>
    </w:p>
    <w:p w14:paraId="5B40CEE7" w14:textId="77777777" w:rsidR="00FF6F90" w:rsidRDefault="00FF6F90" w:rsidP="00815FB3"/>
    <w:p w14:paraId="604E68BB" w14:textId="77777777" w:rsidR="00FF6F90" w:rsidRDefault="00FF6F90" w:rsidP="00815FB3"/>
    <w:p w14:paraId="3B14AE97" w14:textId="77777777" w:rsidR="00FF6F90" w:rsidRPr="00247009" w:rsidRDefault="00FF6F90" w:rsidP="00815FB3"/>
    <w:p w14:paraId="237ABCD6" w14:textId="77777777" w:rsidR="00FF6F90" w:rsidRDefault="00FF6F90" w:rsidP="00CE6315">
      <w:pPr>
        <w:pStyle w:val="Acronymsreferences"/>
        <w:sectPr w:rsidR="00FF6F90" w:rsidSect="001911CB">
          <w:pgSz w:w="11900" w:h="16840"/>
          <w:pgMar w:top="1247" w:right="1134" w:bottom="1247" w:left="1134" w:header="708" w:footer="708" w:gutter="0"/>
          <w:pgNumType w:start="1" w:chapStyle="1"/>
          <w:cols w:space="708"/>
          <w:docGrid w:linePitch="360"/>
        </w:sectPr>
      </w:pPr>
    </w:p>
    <w:p w14:paraId="36AB1963" w14:textId="77777777" w:rsidR="00FF6F90" w:rsidRDefault="00FF6F90" w:rsidP="00CE6315">
      <w:pPr>
        <w:pStyle w:val="Acronymsreferences"/>
      </w:pPr>
      <w:bookmarkStart w:id="42" w:name="_Toc134706950"/>
      <w:r>
        <w:lastRenderedPageBreak/>
        <w:t>References</w:t>
      </w:r>
      <w:bookmarkEnd w:id="7"/>
      <w:bookmarkEnd w:id="42"/>
    </w:p>
    <w:sdt>
      <w:sdtPr>
        <w:tag w:val="MENDELEY_BIBLIOGRAPHY"/>
        <w:id w:val="604307233"/>
        <w:placeholder>
          <w:docPart w:val="DefaultPlaceholder_-1854013440"/>
        </w:placeholder>
      </w:sdtPr>
      <w:sdtContent>
        <w:p w14:paraId="6D8F7FE3" w14:textId="77777777" w:rsidR="007E7CCC" w:rsidRDefault="007E7CCC">
          <w:pPr>
            <w:divId w:val="712925594"/>
            <w:rPr>
              <w:rFonts w:eastAsia="Times New Roman"/>
              <w:sz w:val="24"/>
              <w:szCs w:val="24"/>
            </w:rPr>
          </w:pPr>
          <w:r>
            <w:rPr>
              <w:rFonts w:eastAsia="Times New Roman"/>
            </w:rPr>
            <w:t xml:space="preserve">Bradley, C.A. and Altizer, S. (2007) ‘Urbanization and the ecology of wildlife diseases’, </w:t>
          </w:r>
          <w:r>
            <w:rPr>
              <w:rFonts w:eastAsia="Times New Roman"/>
              <w:i/>
              <w:iCs/>
            </w:rPr>
            <w:t>Trends in Ecology &amp; Evolution</w:t>
          </w:r>
          <w:r>
            <w:rPr>
              <w:rFonts w:eastAsia="Times New Roman"/>
            </w:rPr>
            <w:t>, 22(2), pp. 95–102.</w:t>
          </w:r>
        </w:p>
        <w:p w14:paraId="352A1AC8" w14:textId="77777777" w:rsidR="007E7CCC" w:rsidRDefault="007E7CCC">
          <w:pPr>
            <w:divId w:val="1890334606"/>
            <w:rPr>
              <w:rFonts w:eastAsia="Times New Roman"/>
            </w:rPr>
          </w:pPr>
          <w:r>
            <w:rPr>
              <w:rFonts w:eastAsia="Times New Roman"/>
            </w:rPr>
            <w:t xml:space="preserve">Conservation Volunteers Australia (2022) </w:t>
          </w:r>
          <w:r>
            <w:rPr>
              <w:rFonts w:eastAsia="Times New Roman"/>
              <w:i/>
              <w:iCs/>
            </w:rPr>
            <w:t>The Spit Nature Conservation Reserve - Avalon</w:t>
          </w:r>
          <w:r>
            <w:rPr>
              <w:rFonts w:eastAsia="Times New Roman"/>
            </w:rPr>
            <w:t>. Available at: https://bookings.conservationvolunteers.org/project/the-spit-nature-conservation-reserve-avalon (Accessed: 19 July 2022).</w:t>
          </w:r>
        </w:p>
        <w:p w14:paraId="2B52331D" w14:textId="77777777" w:rsidR="007E7CCC" w:rsidRDefault="007E7CCC">
          <w:pPr>
            <w:divId w:val="1658414502"/>
            <w:rPr>
              <w:rFonts w:eastAsia="Times New Roman"/>
            </w:rPr>
          </w:pPr>
          <w:r>
            <w:rPr>
              <w:rFonts w:eastAsia="Times New Roman"/>
            </w:rPr>
            <w:t>Corangamite CMA (2014) ‘Corangamite Waterway Strategy 2014 - 2022’.</w:t>
          </w:r>
        </w:p>
        <w:p w14:paraId="0B7FABD1" w14:textId="77777777" w:rsidR="007E7CCC" w:rsidRDefault="007E7CCC">
          <w:pPr>
            <w:divId w:val="850993351"/>
            <w:rPr>
              <w:rFonts w:eastAsia="Times New Roman"/>
            </w:rPr>
          </w:pPr>
          <w:r>
            <w:rPr>
              <w:rFonts w:eastAsia="Times New Roman"/>
            </w:rPr>
            <w:t>DELWP (2019) ‘Moolap Coastal Strategic Framework Plan’. Department of Environment, Land, Water and Planning.</w:t>
          </w:r>
        </w:p>
        <w:p w14:paraId="3BEF20F5" w14:textId="77777777" w:rsidR="007E7CCC" w:rsidRDefault="007E7CCC">
          <w:pPr>
            <w:divId w:val="2009285177"/>
            <w:rPr>
              <w:rFonts w:eastAsia="Times New Roman"/>
            </w:rPr>
          </w:pPr>
          <w:r>
            <w:rPr>
              <w:rFonts w:eastAsia="Times New Roman"/>
            </w:rPr>
            <w:t>DELWP (2020) ‘Port Phillip Bay (Western Shoreline) &amp; Bellarine Peninsula Ramsar Site Ecological Character Description’. Department of Environment, Land, Water and Planning.</w:t>
          </w:r>
        </w:p>
        <w:p w14:paraId="5FD01B0A" w14:textId="77777777" w:rsidR="007E7CCC" w:rsidRDefault="007E7CCC">
          <w:pPr>
            <w:divId w:val="486167377"/>
            <w:rPr>
              <w:rFonts w:eastAsia="Times New Roman"/>
            </w:rPr>
          </w:pPr>
          <w:r>
            <w:rPr>
              <w:rFonts w:eastAsia="Times New Roman"/>
            </w:rPr>
            <w:t>DEWHA (2008a) ‘Threat abatement plan for competition and land degradation by unmanaged goats’. Department of Environment, Water, Heritage and Arts.</w:t>
          </w:r>
        </w:p>
        <w:p w14:paraId="4DAA25C6" w14:textId="77777777" w:rsidR="007E7CCC" w:rsidRDefault="007E7CCC">
          <w:pPr>
            <w:divId w:val="2060666793"/>
            <w:rPr>
              <w:rFonts w:eastAsia="Times New Roman"/>
            </w:rPr>
          </w:pPr>
          <w:r>
            <w:rPr>
              <w:rFonts w:eastAsia="Times New Roman"/>
            </w:rPr>
            <w:t xml:space="preserve">DEWHA (2008b) </w:t>
          </w:r>
          <w:r>
            <w:rPr>
              <w:rFonts w:eastAsia="Times New Roman"/>
              <w:i/>
              <w:iCs/>
            </w:rPr>
            <w:t>Threat abatement plan for predation by the European red fox.</w:t>
          </w:r>
          <w:r>
            <w:rPr>
              <w:rFonts w:eastAsia="Times New Roman"/>
            </w:rPr>
            <w:t xml:space="preserve"> Canberra, ACT: Dept. of the Environment, Water, Heritage, and the Arts.</w:t>
          </w:r>
        </w:p>
        <w:p w14:paraId="1378004A" w14:textId="77777777" w:rsidR="007E7CCC" w:rsidRDefault="007E7CCC">
          <w:pPr>
            <w:divId w:val="1028750105"/>
            <w:rPr>
              <w:rFonts w:eastAsia="Times New Roman"/>
            </w:rPr>
          </w:pPr>
          <w:r>
            <w:rPr>
              <w:rFonts w:eastAsia="Times New Roman"/>
            </w:rPr>
            <w:t xml:space="preserve">DoE (2015) </w:t>
          </w:r>
          <w:r>
            <w:rPr>
              <w:rFonts w:eastAsia="Times New Roman"/>
              <w:i/>
              <w:iCs/>
            </w:rPr>
            <w:t>Threat abatement plan for predation by feral cats</w:t>
          </w:r>
          <w:r>
            <w:rPr>
              <w:rFonts w:eastAsia="Times New Roman"/>
            </w:rPr>
            <w:t>. Canberra.</w:t>
          </w:r>
        </w:p>
        <w:p w14:paraId="7DAFC4CF" w14:textId="77777777" w:rsidR="007E7CCC" w:rsidRDefault="007E7CCC">
          <w:pPr>
            <w:divId w:val="647901879"/>
            <w:rPr>
              <w:rFonts w:eastAsia="Times New Roman"/>
            </w:rPr>
          </w:pPr>
          <w:r>
            <w:rPr>
              <w:rFonts w:eastAsia="Times New Roman"/>
            </w:rPr>
            <w:t xml:space="preserve">DoEE (2016a) </w:t>
          </w:r>
          <w:r>
            <w:rPr>
              <w:rFonts w:eastAsia="Times New Roman"/>
              <w:i/>
              <w:iCs/>
            </w:rPr>
            <w:t>Threat abatement plan for competition and land degradation by rabbits</w:t>
          </w:r>
          <w:r>
            <w:rPr>
              <w:rFonts w:eastAsia="Times New Roman"/>
            </w:rPr>
            <w:t>. Department of Environment and Energy, Canberra.</w:t>
          </w:r>
        </w:p>
        <w:p w14:paraId="5B1E46AA" w14:textId="77777777" w:rsidR="007E7CCC" w:rsidRDefault="007E7CCC">
          <w:pPr>
            <w:divId w:val="688676194"/>
            <w:rPr>
              <w:rFonts w:eastAsia="Times New Roman"/>
            </w:rPr>
          </w:pPr>
          <w:r>
            <w:rPr>
              <w:rFonts w:eastAsia="Times New Roman"/>
            </w:rPr>
            <w:t xml:space="preserve">DoEE (2016b) </w:t>
          </w:r>
          <w:r>
            <w:rPr>
              <w:rFonts w:eastAsia="Times New Roman"/>
              <w:i/>
              <w:iCs/>
            </w:rPr>
            <w:t>Threat Abatement Plan for infection of amphibians with chytrid fungus resulting in chytridiomycosis</w:t>
          </w:r>
          <w:r>
            <w:rPr>
              <w:rFonts w:eastAsia="Times New Roman"/>
            </w:rPr>
            <w:t>. Department of Environment and Energy.</w:t>
          </w:r>
        </w:p>
        <w:p w14:paraId="3389BF33" w14:textId="77777777" w:rsidR="007E7CCC" w:rsidRDefault="007E7CCC">
          <w:pPr>
            <w:divId w:val="385105263"/>
            <w:rPr>
              <w:rFonts w:eastAsia="Times New Roman"/>
            </w:rPr>
          </w:pPr>
          <w:r>
            <w:rPr>
              <w:rFonts w:eastAsia="Times New Roman"/>
            </w:rPr>
            <w:t xml:space="preserve">DoEE (2017) </w:t>
          </w:r>
          <w:r>
            <w:rPr>
              <w:rFonts w:eastAsia="Times New Roman"/>
              <w:i/>
              <w:iCs/>
            </w:rPr>
            <w:t>Threat Abatement Plan for predation, habitat degradation, competition and disease transmission by feral pigs (Sus scrofa)</w:t>
          </w:r>
          <w:r>
            <w:rPr>
              <w:rFonts w:eastAsia="Times New Roman"/>
            </w:rPr>
            <w:t>.</w:t>
          </w:r>
        </w:p>
        <w:p w14:paraId="4678E064" w14:textId="77777777" w:rsidR="007E7CCC" w:rsidRDefault="007E7CCC">
          <w:pPr>
            <w:divId w:val="1964379954"/>
            <w:rPr>
              <w:rFonts w:eastAsia="Times New Roman"/>
            </w:rPr>
          </w:pPr>
          <w:r>
            <w:rPr>
              <w:rFonts w:eastAsia="Times New Roman"/>
            </w:rPr>
            <w:t>EHP (2021a) ‘Existing Ecological Conditions: Northern and Western Geelong Growth Areas’. Prepared for the City of Greater Geelong.</w:t>
          </w:r>
        </w:p>
        <w:p w14:paraId="26454681" w14:textId="77777777" w:rsidR="007E7CCC" w:rsidRDefault="007E7CCC">
          <w:pPr>
            <w:divId w:val="2112970531"/>
            <w:rPr>
              <w:rFonts w:eastAsia="Times New Roman"/>
            </w:rPr>
          </w:pPr>
          <w:r>
            <w:rPr>
              <w:rFonts w:eastAsia="Times New Roman"/>
            </w:rPr>
            <w:t>EHP (2021b) ‘Existing Ecological Conditions: Northern and Western Geelong Growth Areas’. Prepared for the City of Greater Geelong.</w:t>
          </w:r>
        </w:p>
        <w:p w14:paraId="4AAE8519" w14:textId="77777777" w:rsidR="007E7CCC" w:rsidRDefault="007E7CCC">
          <w:pPr>
            <w:divId w:val="1640762620"/>
            <w:rPr>
              <w:rFonts w:eastAsia="Times New Roman"/>
            </w:rPr>
          </w:pPr>
          <w:r>
            <w:rPr>
              <w:rFonts w:eastAsia="Times New Roman"/>
            </w:rPr>
            <w:t xml:space="preserve">Gaertner, M. </w:t>
          </w:r>
          <w:r>
            <w:rPr>
              <w:rFonts w:eastAsia="Times New Roman"/>
              <w:i/>
              <w:iCs/>
            </w:rPr>
            <w:t>et al.</w:t>
          </w:r>
          <w:r>
            <w:rPr>
              <w:rFonts w:eastAsia="Times New Roman"/>
            </w:rPr>
            <w:t xml:space="preserve"> (2017) ‘Non-native species in urban environments: patterns, processes, impacts and challenges’, </w:t>
          </w:r>
          <w:r>
            <w:rPr>
              <w:rFonts w:eastAsia="Times New Roman"/>
              <w:i/>
              <w:iCs/>
            </w:rPr>
            <w:t>Biological Invasions</w:t>
          </w:r>
          <w:r>
            <w:rPr>
              <w:rFonts w:eastAsia="Times New Roman"/>
            </w:rPr>
            <w:t>, 19(12), pp. 3461–3469. Available at: https://doi.org/10.1007/s10530-017-1598-7.</w:t>
          </w:r>
        </w:p>
        <w:p w14:paraId="2434FFCD" w14:textId="77777777" w:rsidR="007E7CCC" w:rsidRDefault="007E7CCC">
          <w:pPr>
            <w:divId w:val="959995068"/>
            <w:rPr>
              <w:rFonts w:eastAsia="Times New Roman"/>
            </w:rPr>
          </w:pPr>
          <w:r>
            <w:rPr>
              <w:rFonts w:eastAsia="Times New Roman"/>
            </w:rPr>
            <w:t>Geelong Region Alliance (2013) ‘G21 Regional Growth Plan’. G21 Geelong Region Alliance.</w:t>
          </w:r>
        </w:p>
        <w:p w14:paraId="20462EA5" w14:textId="77777777" w:rsidR="007E7CCC" w:rsidRDefault="007E7CCC">
          <w:pPr>
            <w:divId w:val="748385618"/>
            <w:rPr>
              <w:rFonts w:eastAsia="Times New Roman"/>
            </w:rPr>
          </w:pPr>
          <w:r>
            <w:rPr>
              <w:rFonts w:eastAsia="Times New Roman"/>
            </w:rPr>
            <w:t xml:space="preserve">Gregory, R. </w:t>
          </w:r>
          <w:r>
            <w:rPr>
              <w:rFonts w:eastAsia="Times New Roman"/>
              <w:i/>
              <w:iCs/>
            </w:rPr>
            <w:t>et al.</w:t>
          </w:r>
          <w:r>
            <w:rPr>
              <w:rFonts w:eastAsia="Times New Roman"/>
            </w:rPr>
            <w:t xml:space="preserve"> (2010) </w:t>
          </w:r>
          <w:r>
            <w:rPr>
              <w:rFonts w:eastAsia="Times New Roman"/>
              <w:i/>
              <w:iCs/>
            </w:rPr>
            <w:t>Structured Decision Making: A practical guide to environmental management choices</w:t>
          </w:r>
          <w:r>
            <w:rPr>
              <w:rFonts w:eastAsia="Times New Roman"/>
            </w:rPr>
            <w:t>. Wiley-Blackwell.</w:t>
          </w:r>
        </w:p>
        <w:p w14:paraId="3F783B3F" w14:textId="77777777" w:rsidR="007E7CCC" w:rsidRDefault="007E7CCC">
          <w:pPr>
            <w:divId w:val="2070761406"/>
            <w:rPr>
              <w:rFonts w:eastAsia="Times New Roman"/>
            </w:rPr>
          </w:pPr>
          <w:r>
            <w:rPr>
              <w:rFonts w:eastAsia="Times New Roman"/>
            </w:rPr>
            <w:t>Parks Victoria (2022a) ‘Barwon river estuary walk (Lake Connewarre Wildlife Reserve)’. Available at: https://www.parks.vic.gov.au/places-to-see/sites/barwon-river-estuary-walk.</w:t>
          </w:r>
        </w:p>
        <w:p w14:paraId="0285A86C" w14:textId="77777777" w:rsidR="007E7CCC" w:rsidRDefault="007E7CCC">
          <w:pPr>
            <w:divId w:val="1095400391"/>
            <w:rPr>
              <w:rFonts w:eastAsia="Times New Roman"/>
            </w:rPr>
          </w:pPr>
          <w:r>
            <w:rPr>
              <w:rFonts w:eastAsia="Times New Roman"/>
            </w:rPr>
            <w:t>Parks Victoria (2022b) ‘Limeburners Bay Wildlife Reserve (Limeburners Lagoon (Hovells Creek) Flora and Fauna Reserve)’. Available at: https://www.parks.vic.gov.au/places-to-see/sites/limeburners-bay-wildlife-reserve.</w:t>
          </w:r>
        </w:p>
        <w:p w14:paraId="5C9AE41D" w14:textId="77777777" w:rsidR="007E7CCC" w:rsidRDefault="007E7CCC">
          <w:pPr>
            <w:divId w:val="504057046"/>
            <w:rPr>
              <w:rFonts w:eastAsia="Times New Roman"/>
            </w:rPr>
          </w:pPr>
          <w:r>
            <w:rPr>
              <w:rFonts w:eastAsia="Times New Roman"/>
            </w:rPr>
            <w:t>Parks Victoria (2022c) ‘Lower Barwon River - Minah Street Day Visitor Area (Lake Connewarre Wildlife Reserve)’. Available at: https://www.parks.vic.gov.au/places-to-see/sites/lower-barwon-river---minah-street-day-visitor-area.</w:t>
          </w:r>
        </w:p>
        <w:p w14:paraId="3D2E252C" w14:textId="77777777" w:rsidR="007E7CCC" w:rsidRDefault="007E7CCC">
          <w:pPr>
            <w:divId w:val="1288849507"/>
            <w:rPr>
              <w:rFonts w:eastAsia="Times New Roman"/>
            </w:rPr>
          </w:pPr>
          <w:r>
            <w:rPr>
              <w:rFonts w:eastAsia="Times New Roman"/>
            </w:rPr>
            <w:t>Parks Victoria (2022d) ‘Lower Barwon River - Sheepwash (Lake Connewarre Wildlife Reserve)’. Available at: https://www.parks.vic.gov.au/places-to-see/sites/lower-barwon-river---sheepwash.</w:t>
          </w:r>
        </w:p>
        <w:p w14:paraId="2E54E466" w14:textId="77777777" w:rsidR="007E7CCC" w:rsidRDefault="007E7CCC">
          <w:pPr>
            <w:divId w:val="490367951"/>
            <w:rPr>
              <w:rFonts w:eastAsia="Times New Roman"/>
            </w:rPr>
          </w:pPr>
          <w:r>
            <w:rPr>
              <w:rFonts w:eastAsia="Times New Roman"/>
            </w:rPr>
            <w:t>Parks Victoria (2022e) ‘Taits point day visitor area (Lake Connewarre Wildlife Reserve’. Available at: https://www.parks.vic.gov.au/places-to-see/sites/taits-point-day-visitor-area.</w:t>
          </w:r>
        </w:p>
        <w:p w14:paraId="09CAE79D" w14:textId="77777777" w:rsidR="007E7CCC" w:rsidRDefault="007E7CCC">
          <w:pPr>
            <w:divId w:val="2034571527"/>
            <w:rPr>
              <w:rFonts w:eastAsia="Times New Roman"/>
            </w:rPr>
          </w:pPr>
          <w:r>
            <w:rPr>
              <w:rFonts w:eastAsia="Times New Roman"/>
            </w:rPr>
            <w:lastRenderedPageBreak/>
            <w:t>Parks Victoria (2022f) ‘The spit (Murcaim) (the spit wildlife reserve)’. Available at: https://www.parks.vic.gov.au/places-to-see/sites/the-spit-(murcaim).</w:t>
          </w:r>
        </w:p>
        <w:p w14:paraId="48241B3F" w14:textId="77777777" w:rsidR="007E7CCC" w:rsidRDefault="007E7CCC">
          <w:pPr>
            <w:divId w:val="689529728"/>
            <w:rPr>
              <w:rFonts w:eastAsia="Times New Roman"/>
            </w:rPr>
          </w:pPr>
          <w:r>
            <w:rPr>
              <w:rFonts w:eastAsia="Times New Roman"/>
            </w:rPr>
            <w:t>The Breamlea Association (2016) ‘Breamlea Fauna and Flora’. Available at: https://breamlea.com.au/main.asp?_=Flora and Fauna#Breamlea Flora Reserve.</w:t>
          </w:r>
        </w:p>
        <w:p w14:paraId="2C3615FB" w14:textId="77777777" w:rsidR="007E7CCC" w:rsidRDefault="007E7CCC">
          <w:pPr>
            <w:divId w:val="1352729857"/>
            <w:rPr>
              <w:rFonts w:eastAsia="Times New Roman"/>
            </w:rPr>
          </w:pPr>
          <w:r>
            <w:rPr>
              <w:rFonts w:eastAsia="Times New Roman"/>
            </w:rPr>
            <w:t>The City of Greater Geelong (2021) ‘The Northern and Western Geelong Growth Areas Framework Plan.’</w:t>
          </w:r>
        </w:p>
        <w:p w14:paraId="31F60CB6" w14:textId="77777777" w:rsidR="007E7CCC" w:rsidRDefault="007E7CCC">
          <w:pPr>
            <w:divId w:val="39135418"/>
            <w:rPr>
              <w:rFonts w:eastAsia="Times New Roman"/>
            </w:rPr>
          </w:pPr>
          <w:r>
            <w:rPr>
              <w:rFonts w:eastAsia="Times New Roman"/>
            </w:rPr>
            <w:t>The City of Greater Geelong (2022) ‘Domestic animal management plan 2022-2025’.</w:t>
          </w:r>
        </w:p>
        <w:p w14:paraId="47526361" w14:textId="77777777" w:rsidR="007E7CCC" w:rsidRDefault="007E7CCC">
          <w:pPr>
            <w:divId w:val="50352436"/>
            <w:rPr>
              <w:rFonts w:eastAsia="Times New Roman"/>
            </w:rPr>
          </w:pPr>
          <w:r>
            <w:rPr>
              <w:rFonts w:eastAsia="Times New Roman"/>
            </w:rPr>
            <w:t>Victoria State Government (2017) ‘Plan Melbourne 2017-2050’.</w:t>
          </w:r>
        </w:p>
        <w:p w14:paraId="5CF9B4EB" w14:textId="3EBB6218" w:rsidR="00FF6F90" w:rsidRDefault="007E7CCC">
          <w:r>
            <w:rPr>
              <w:rFonts w:eastAsia="Times New Roman"/>
            </w:rPr>
            <w:t> </w:t>
          </w:r>
        </w:p>
      </w:sdtContent>
    </w:sdt>
    <w:p w14:paraId="2440E578" w14:textId="77777777" w:rsidR="008C1AD8" w:rsidRDefault="008C1AD8"/>
    <w:p w14:paraId="422D766E" w14:textId="77777777" w:rsidR="008C1AD8" w:rsidRDefault="008C1AD8"/>
    <w:p w14:paraId="6E70840B" w14:textId="77777777" w:rsidR="008C1AD8" w:rsidRDefault="008C1AD8">
      <w:pPr>
        <w:sectPr w:rsidR="008C1AD8" w:rsidSect="00417E97">
          <w:footerReference w:type="default" r:id="rId17"/>
          <w:pgSz w:w="11900" w:h="16840"/>
          <w:pgMar w:top="1247" w:right="1134" w:bottom="1247" w:left="1134" w:header="708" w:footer="708" w:gutter="0"/>
          <w:pgNumType w:fmt="upperLetter" w:start="1"/>
          <w:cols w:space="708"/>
          <w:docGrid w:linePitch="360"/>
        </w:sectPr>
      </w:pPr>
    </w:p>
    <w:p w14:paraId="6AA4C2EC" w14:textId="77777777" w:rsidR="008C1AD8" w:rsidRDefault="008C1AD8" w:rsidP="008C1AD8">
      <w:pPr>
        <w:jc w:val="center"/>
      </w:pPr>
      <w:r w:rsidRPr="002B70F0">
        <w:rPr>
          <w:noProof/>
          <w:lang w:val="en-US" w:eastAsia="en-US"/>
        </w:rPr>
        <w:lastRenderedPageBreak/>
        <w:drawing>
          <wp:anchor distT="0" distB="0" distL="114300" distR="114300" simplePos="0" relativeHeight="251663360" behindDoc="1" locked="0" layoutInCell="1" allowOverlap="1" wp14:anchorId="02F55EE9" wp14:editId="1A46B476">
            <wp:simplePos x="0" y="0"/>
            <wp:positionH relativeFrom="margin">
              <wp:posOffset>346075</wp:posOffset>
            </wp:positionH>
            <wp:positionV relativeFrom="paragraph">
              <wp:posOffset>-89011</wp:posOffset>
            </wp:positionV>
            <wp:extent cx="2091690" cy="479536"/>
            <wp:effectExtent l="0" t="0" r="0" b="3175"/>
            <wp:wrapNone/>
            <wp:docPr id="710809605" name="Picture 7108096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is-logo-rgb-pos-sml.png"/>
                    <pic:cNvPicPr/>
                  </pic:nvPicPr>
                  <pic:blipFill>
                    <a:blip r:embed="rId8" cstate="screen">
                      <a:extLst>
                        <a:ext uri="{28A0092B-C50C-407E-A947-70E740481C1C}">
                          <a14:useLocalDpi xmlns:a14="http://schemas.microsoft.com/office/drawing/2010/main"/>
                        </a:ext>
                      </a:extLst>
                    </a:blip>
                    <a:stretch>
                      <a:fillRect/>
                    </a:stretch>
                  </pic:blipFill>
                  <pic:spPr>
                    <a:xfrm>
                      <a:off x="0" y="0"/>
                      <a:ext cx="2091690" cy="479536"/>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1" locked="0" layoutInCell="1" allowOverlap="1" wp14:anchorId="2585E5F8" wp14:editId="1CD41012">
            <wp:simplePos x="0" y="0"/>
            <wp:positionH relativeFrom="column">
              <wp:posOffset>-11878</wp:posOffset>
            </wp:positionH>
            <wp:positionV relativeFrom="paragraph">
              <wp:posOffset>-615017</wp:posOffset>
            </wp:positionV>
            <wp:extent cx="7606665" cy="10744200"/>
            <wp:effectExtent l="0" t="0" r="0" b="0"/>
            <wp:wrapNone/>
            <wp:docPr id="1863975185" name="Picture 1863975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report-cover"/>
                    <pic:cNvPicPr>
                      <a:picLocks/>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7606665"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6C9DA" w14:textId="77777777" w:rsidR="008C1AD8" w:rsidRDefault="008C1AD8" w:rsidP="008C1AD8"/>
    <w:p w14:paraId="440A7C2C" w14:textId="77777777" w:rsidR="008C1AD8" w:rsidRDefault="008C1AD8" w:rsidP="008C1AD8"/>
    <w:p w14:paraId="614A84DD" w14:textId="77777777" w:rsidR="008C1AD8" w:rsidRPr="003F36B6" w:rsidRDefault="008C1AD8" w:rsidP="008C1AD8">
      <w:pPr>
        <w:pStyle w:val="Reportdateclient"/>
      </w:pPr>
      <w:r>
        <w:t>MAY 2O23</w:t>
      </w:r>
    </w:p>
    <w:p w14:paraId="02D80D2C" w14:textId="77777777" w:rsidR="008C1AD8" w:rsidRPr="00362323" w:rsidRDefault="008C1AD8" w:rsidP="008C1AD8"/>
    <w:p w14:paraId="357E0044" w14:textId="77777777" w:rsidR="008C1AD8" w:rsidRPr="00362323" w:rsidRDefault="008C1AD8" w:rsidP="008C1AD8"/>
    <w:p w14:paraId="3DDCFBC9" w14:textId="77777777" w:rsidR="008C1AD8" w:rsidRPr="00DA74E6" w:rsidRDefault="008C1AD8" w:rsidP="008C1AD8">
      <w:pPr>
        <w:pStyle w:val="Reporttitle"/>
      </w:pPr>
      <w:r>
        <w:t xml:space="preserve">DRAFT NWGGA STRATEGIC ASSESSMENT REPORT </w:t>
      </w:r>
    </w:p>
    <w:p w14:paraId="61B418A5" w14:textId="77777777" w:rsidR="008C1AD8" w:rsidRDefault="008C1AD8" w:rsidP="008C1AD8">
      <w:pPr>
        <w:pStyle w:val="Reporttitle2"/>
      </w:pPr>
      <w:r>
        <w:t>PUBLIC EXHIBITION VERSION</w:t>
      </w:r>
    </w:p>
    <w:p w14:paraId="55226ED9" w14:textId="77777777" w:rsidR="008C1AD8" w:rsidRPr="00964E79" w:rsidRDefault="008C1AD8" w:rsidP="008C1AD8">
      <w:pPr>
        <w:pStyle w:val="Reporttitle2"/>
      </w:pPr>
    </w:p>
    <w:p w14:paraId="25034CCE" w14:textId="77777777" w:rsidR="008C1AD8" w:rsidRPr="00964E79" w:rsidRDefault="008C1AD8" w:rsidP="008C1AD8">
      <w:pPr>
        <w:pStyle w:val="Reporttitle2"/>
        <w:rPr>
          <w:sz w:val="36"/>
          <w:szCs w:val="36"/>
        </w:rPr>
      </w:pPr>
      <w:r w:rsidRPr="00964E79">
        <w:rPr>
          <w:sz w:val="36"/>
          <w:szCs w:val="36"/>
        </w:rPr>
        <w:t>PART 4: IMPACT ASSESSMENT</w:t>
      </w:r>
    </w:p>
    <w:p w14:paraId="0AA649BD" w14:textId="77777777" w:rsidR="008C1AD8" w:rsidRDefault="008C1AD8" w:rsidP="008C1AD8">
      <w:pPr>
        <w:pStyle w:val="Reporttitle2"/>
        <w:rPr>
          <w:szCs w:val="24"/>
        </w:rPr>
      </w:pPr>
      <w:r w:rsidRPr="00964E79">
        <w:rPr>
          <w:szCs w:val="24"/>
        </w:rPr>
        <w:t>CHAPTER 19 – LISTED THREATENED FAUNA</w:t>
      </w:r>
    </w:p>
    <w:p w14:paraId="28679567" w14:textId="77777777" w:rsidR="008C1AD8" w:rsidRDefault="008C1AD8" w:rsidP="008C1AD8">
      <w:pPr>
        <w:pStyle w:val="Reporttitle2"/>
        <w:rPr>
          <w:szCs w:val="24"/>
        </w:rPr>
      </w:pPr>
      <w:r>
        <w:rPr>
          <w:szCs w:val="24"/>
        </w:rPr>
        <w:t>CHAPTER 20 – LISTED THREATENED FLORA</w:t>
      </w:r>
    </w:p>
    <w:p w14:paraId="28DB5DAC" w14:textId="77777777" w:rsidR="008C1AD8" w:rsidRDefault="008C1AD8" w:rsidP="008C1AD8">
      <w:pPr>
        <w:pStyle w:val="Reporttitle2"/>
        <w:rPr>
          <w:szCs w:val="24"/>
        </w:rPr>
      </w:pPr>
      <w:r>
        <w:rPr>
          <w:szCs w:val="24"/>
        </w:rPr>
        <w:t>CHAPTER 21 – LISTED THREATENED ECOLOGICAL COMMUNITIES</w:t>
      </w:r>
    </w:p>
    <w:p w14:paraId="02A54D61" w14:textId="77777777" w:rsidR="008C1AD8" w:rsidRDefault="008C1AD8" w:rsidP="008C1AD8">
      <w:pPr>
        <w:pStyle w:val="Reporttitle2"/>
        <w:rPr>
          <w:szCs w:val="24"/>
        </w:rPr>
      </w:pPr>
      <w:r>
        <w:rPr>
          <w:szCs w:val="24"/>
        </w:rPr>
        <w:t>CHAPTER 22 – RAMSAR WETLANDS</w:t>
      </w:r>
    </w:p>
    <w:p w14:paraId="1A963711" w14:textId="77777777" w:rsidR="008C1AD8" w:rsidRDefault="008C1AD8" w:rsidP="008C1AD8">
      <w:pPr>
        <w:pStyle w:val="Reporttitle2"/>
        <w:rPr>
          <w:szCs w:val="24"/>
        </w:rPr>
      </w:pPr>
      <w:r>
        <w:rPr>
          <w:szCs w:val="24"/>
        </w:rPr>
        <w:t>CHAPTER 23 – MIGRATORY SPECIES</w:t>
      </w:r>
    </w:p>
    <w:p w14:paraId="0FCB3CD4" w14:textId="77777777" w:rsidR="008C1AD8" w:rsidRDefault="008C1AD8" w:rsidP="008C1AD8">
      <w:pPr>
        <w:pStyle w:val="Reporttitle2"/>
        <w:rPr>
          <w:szCs w:val="24"/>
        </w:rPr>
      </w:pPr>
      <w:r>
        <w:rPr>
          <w:szCs w:val="24"/>
        </w:rPr>
        <w:t>CHAPTER 24 – FINALISED PRIORITY ASSESSMENT LIST (FPAL)</w:t>
      </w:r>
    </w:p>
    <w:p w14:paraId="02E95D99" w14:textId="77777777" w:rsidR="008C1AD8" w:rsidRDefault="008C1AD8" w:rsidP="008C1AD8">
      <w:pPr>
        <w:pStyle w:val="Reporttitle2"/>
        <w:rPr>
          <w:szCs w:val="24"/>
        </w:rPr>
      </w:pPr>
      <w:r>
        <w:rPr>
          <w:szCs w:val="24"/>
        </w:rPr>
        <w:t>CHAPTER 25 – CUMULATIVE IMPACT ASSESSMENT</w:t>
      </w:r>
    </w:p>
    <w:p w14:paraId="4DB85C1F" w14:textId="77777777" w:rsidR="008C1AD8" w:rsidRPr="00964E79" w:rsidRDefault="008C1AD8" w:rsidP="008C1AD8">
      <w:pPr>
        <w:pStyle w:val="Reporttitle2"/>
        <w:rPr>
          <w:szCs w:val="24"/>
        </w:rPr>
      </w:pPr>
      <w:r>
        <w:rPr>
          <w:szCs w:val="24"/>
        </w:rPr>
        <w:t>CHAPTER 26 – SOCIO-ECONOMIC IMPACT ASSESSMENT</w:t>
      </w:r>
    </w:p>
    <w:p w14:paraId="34B2EB2E" w14:textId="77777777" w:rsidR="008C1AD8" w:rsidRDefault="008C1AD8" w:rsidP="008C1AD8">
      <w:pPr>
        <w:pStyle w:val="Reporttitle2"/>
        <w:ind w:left="0"/>
      </w:pPr>
    </w:p>
    <w:p w14:paraId="4EF50CFD" w14:textId="77777777" w:rsidR="008C1AD8" w:rsidRPr="00DA74E6" w:rsidRDefault="008C1AD8" w:rsidP="008C1AD8"/>
    <w:p w14:paraId="2A00387A" w14:textId="77777777" w:rsidR="008C1AD8" w:rsidRDefault="008C1AD8" w:rsidP="008C1AD8"/>
    <w:p w14:paraId="65836FBE" w14:textId="77777777" w:rsidR="008C1AD8" w:rsidRDefault="008C1AD8" w:rsidP="008C1AD8"/>
    <w:p w14:paraId="7E62BA8A" w14:textId="77777777" w:rsidR="008C1AD8" w:rsidRDefault="008C1AD8" w:rsidP="008C1AD8"/>
    <w:p w14:paraId="2C9B3D44" w14:textId="77777777" w:rsidR="008C1AD8" w:rsidRDefault="008C1AD8" w:rsidP="008C1AD8"/>
    <w:p w14:paraId="5A8A1A37" w14:textId="77777777" w:rsidR="008C1AD8" w:rsidRDefault="008C1AD8" w:rsidP="008C1AD8"/>
    <w:p w14:paraId="7F1C98E0" w14:textId="77777777" w:rsidR="008C1AD8" w:rsidRDefault="008C1AD8" w:rsidP="008C1AD8"/>
    <w:p w14:paraId="0721D4F8" w14:textId="77777777" w:rsidR="008C1AD8" w:rsidRDefault="008C1AD8" w:rsidP="008C1AD8"/>
    <w:p w14:paraId="37F3F0DB" w14:textId="77777777" w:rsidR="008C1AD8" w:rsidRDefault="008C1AD8" w:rsidP="008C1AD8"/>
    <w:p w14:paraId="246BD555" w14:textId="77777777" w:rsidR="008C1AD8" w:rsidRDefault="008C1AD8" w:rsidP="008C1AD8">
      <w:pPr>
        <w:pStyle w:val="Reportdateclient"/>
      </w:pPr>
      <w:r w:rsidRPr="003F36B6">
        <w:t>PREPARED FOR</w:t>
      </w:r>
      <w:r>
        <w:t xml:space="preserve"> THE CITY OF GREATER GEELONG</w:t>
      </w:r>
    </w:p>
    <w:p w14:paraId="57E3D433" w14:textId="77777777" w:rsidR="008C1AD8" w:rsidRDefault="008C1AD8" w:rsidP="008C1AD8">
      <w:pPr>
        <w:pStyle w:val="Reportdateclient"/>
      </w:pPr>
    </w:p>
    <w:p w14:paraId="5A509CD1" w14:textId="77777777" w:rsidR="008C1AD8" w:rsidRDefault="008C1AD8" w:rsidP="008C1AD8">
      <w:pPr>
        <w:sectPr w:rsidR="008C1AD8" w:rsidSect="009E1D0C">
          <w:headerReference w:type="even" r:id="rId18"/>
          <w:headerReference w:type="default" r:id="rId19"/>
          <w:footerReference w:type="default" r:id="rId20"/>
          <w:headerReference w:type="first" r:id="rId21"/>
          <w:pgSz w:w="11900" w:h="16840"/>
          <w:pgMar w:top="0" w:right="0" w:bottom="0" w:left="0" w:header="709" w:footer="709" w:gutter="0"/>
          <w:cols w:space="708"/>
          <w:titlePg/>
          <w:docGrid w:linePitch="360"/>
        </w:sectPr>
      </w:pPr>
    </w:p>
    <w:p w14:paraId="619CD42B" w14:textId="77777777" w:rsidR="008C1AD8" w:rsidRDefault="008C1AD8" w:rsidP="008C1AD8">
      <w:pPr>
        <w:pStyle w:val="Documenttracking"/>
        <w:spacing w:before="120" w:after="120"/>
      </w:pPr>
    </w:p>
    <w:p w14:paraId="58845215" w14:textId="77777777" w:rsidR="008C1AD8" w:rsidRDefault="008C1AD8" w:rsidP="008C1AD8">
      <w:pPr>
        <w:pStyle w:val="Documenttracking"/>
        <w:spacing w:before="120" w:after="120"/>
      </w:pPr>
    </w:p>
    <w:p w14:paraId="674DCF03" w14:textId="77777777" w:rsidR="008C1AD8" w:rsidRDefault="008C1AD8" w:rsidP="008C1AD8">
      <w:pPr>
        <w:pStyle w:val="Documenttracking"/>
        <w:spacing w:before="120" w:after="120"/>
      </w:pPr>
    </w:p>
    <w:p w14:paraId="2F0B88B2" w14:textId="77777777" w:rsidR="008C1AD8" w:rsidRDefault="008C1AD8" w:rsidP="008C1AD8">
      <w:pPr>
        <w:pStyle w:val="Documenttracking"/>
        <w:spacing w:before="120" w:after="120"/>
      </w:pPr>
    </w:p>
    <w:p w14:paraId="6887F000" w14:textId="77777777" w:rsidR="008C1AD8" w:rsidRDefault="008C1AD8" w:rsidP="008C1AD8">
      <w:pPr>
        <w:pStyle w:val="Documenttracking"/>
        <w:spacing w:before="120" w:after="120"/>
      </w:pPr>
    </w:p>
    <w:p w14:paraId="420F19F3" w14:textId="77777777" w:rsidR="008C1AD8" w:rsidRDefault="008C1AD8" w:rsidP="008C1AD8">
      <w:pPr>
        <w:pStyle w:val="Documenttracking"/>
        <w:spacing w:before="120" w:after="120"/>
      </w:pPr>
    </w:p>
    <w:p w14:paraId="586352F9" w14:textId="77777777" w:rsidR="008C1AD8" w:rsidRDefault="008C1AD8" w:rsidP="008C1AD8">
      <w:pPr>
        <w:pStyle w:val="Documenttracking"/>
        <w:spacing w:before="120" w:after="120"/>
      </w:pPr>
    </w:p>
    <w:p w14:paraId="7572F02C" w14:textId="77777777" w:rsidR="008C1AD8" w:rsidRDefault="008C1AD8" w:rsidP="008C1AD8">
      <w:pPr>
        <w:pStyle w:val="Documenttracking"/>
        <w:spacing w:before="120" w:after="120"/>
      </w:pPr>
    </w:p>
    <w:p w14:paraId="5574C065" w14:textId="77777777" w:rsidR="008C1AD8" w:rsidRDefault="008C1AD8" w:rsidP="008C1AD8">
      <w:pPr>
        <w:pStyle w:val="Documenttracking"/>
        <w:spacing w:before="120" w:after="120"/>
      </w:pPr>
    </w:p>
    <w:p w14:paraId="7B05B8A2" w14:textId="77777777" w:rsidR="008C1AD8" w:rsidRDefault="008C1AD8" w:rsidP="008C1AD8">
      <w:pPr>
        <w:pStyle w:val="Documenttracking"/>
        <w:spacing w:before="120" w:after="120"/>
      </w:pPr>
    </w:p>
    <w:p w14:paraId="258905CE" w14:textId="77777777" w:rsidR="008C1AD8" w:rsidRDefault="008C1AD8" w:rsidP="008C1AD8">
      <w:pPr>
        <w:pStyle w:val="Documenttracking"/>
        <w:spacing w:before="120" w:after="120"/>
      </w:pPr>
    </w:p>
    <w:p w14:paraId="14B07958" w14:textId="77777777" w:rsidR="008C1AD8" w:rsidRDefault="008C1AD8" w:rsidP="008C1AD8">
      <w:pPr>
        <w:pStyle w:val="Documenttracking"/>
        <w:spacing w:before="120" w:after="120"/>
      </w:pPr>
    </w:p>
    <w:p w14:paraId="512BDFB6" w14:textId="77777777" w:rsidR="008C1AD8" w:rsidRDefault="008C1AD8" w:rsidP="008C1AD8">
      <w:pPr>
        <w:pStyle w:val="Documenttracking"/>
        <w:spacing w:before="120" w:after="120"/>
      </w:pPr>
    </w:p>
    <w:p w14:paraId="1B32328B" w14:textId="77777777" w:rsidR="008C1AD8" w:rsidRDefault="008C1AD8" w:rsidP="008C1AD8">
      <w:pPr>
        <w:pStyle w:val="Documenttracking"/>
        <w:spacing w:before="120" w:after="120"/>
      </w:pPr>
    </w:p>
    <w:p w14:paraId="6FC9C7C6" w14:textId="77777777" w:rsidR="008C1AD8" w:rsidRDefault="008C1AD8" w:rsidP="008C1AD8">
      <w:pPr>
        <w:pStyle w:val="Documenttracking"/>
        <w:spacing w:before="120" w:after="120"/>
      </w:pPr>
    </w:p>
    <w:p w14:paraId="2B01E97F" w14:textId="77777777" w:rsidR="008C1AD8" w:rsidRDefault="008C1AD8" w:rsidP="008C1AD8">
      <w:pPr>
        <w:pStyle w:val="Documenttracking"/>
        <w:spacing w:before="120" w:after="120"/>
      </w:pPr>
    </w:p>
    <w:p w14:paraId="03677CA4" w14:textId="77777777" w:rsidR="008C1AD8" w:rsidRDefault="008C1AD8" w:rsidP="008C1AD8">
      <w:pPr>
        <w:pStyle w:val="Documenttracking"/>
        <w:spacing w:before="120" w:after="120"/>
      </w:pPr>
    </w:p>
    <w:p w14:paraId="34254857" w14:textId="77777777" w:rsidR="008C1AD8" w:rsidRDefault="008C1AD8" w:rsidP="008C1AD8">
      <w:pPr>
        <w:pStyle w:val="Documenttracking"/>
        <w:spacing w:before="120" w:after="120"/>
      </w:pPr>
    </w:p>
    <w:p w14:paraId="15550441" w14:textId="77777777" w:rsidR="008C1AD8" w:rsidRDefault="008C1AD8" w:rsidP="008C1AD8">
      <w:pPr>
        <w:pStyle w:val="Documenttracking"/>
        <w:spacing w:before="120" w:after="120"/>
      </w:pPr>
    </w:p>
    <w:p w14:paraId="7990F27F" w14:textId="77777777" w:rsidR="008C1AD8" w:rsidRDefault="008C1AD8" w:rsidP="008C1AD8">
      <w:pPr>
        <w:pStyle w:val="Documenttracking"/>
        <w:spacing w:before="120" w:after="120"/>
      </w:pPr>
    </w:p>
    <w:p w14:paraId="48B3FDE1" w14:textId="77777777" w:rsidR="008C1AD8" w:rsidRDefault="008C1AD8" w:rsidP="008C1AD8">
      <w:pPr>
        <w:pStyle w:val="Documenttracking"/>
        <w:spacing w:before="120" w:after="120"/>
      </w:pPr>
    </w:p>
    <w:p w14:paraId="3C1F7170" w14:textId="77777777" w:rsidR="008C1AD8" w:rsidRDefault="008C1AD8" w:rsidP="008C1AD8">
      <w:pPr>
        <w:pStyle w:val="Documenttracking"/>
        <w:spacing w:before="120" w:after="120"/>
      </w:pPr>
    </w:p>
    <w:p w14:paraId="1D4FA138" w14:textId="77777777" w:rsidR="008C1AD8" w:rsidRDefault="008C1AD8" w:rsidP="008C1AD8">
      <w:pPr>
        <w:pStyle w:val="Documenttracking"/>
        <w:spacing w:before="120" w:after="120"/>
      </w:pPr>
    </w:p>
    <w:p w14:paraId="12E8986B" w14:textId="77777777" w:rsidR="008C1AD8" w:rsidRDefault="008C1AD8" w:rsidP="008C1AD8">
      <w:pPr>
        <w:pStyle w:val="Documenttracking"/>
        <w:spacing w:before="120" w:after="120"/>
      </w:pPr>
    </w:p>
    <w:p w14:paraId="002C07C2" w14:textId="77777777" w:rsidR="008C1AD8" w:rsidRDefault="008C1AD8" w:rsidP="008C1AD8">
      <w:pPr>
        <w:pStyle w:val="Documenttracking"/>
        <w:spacing w:before="120" w:after="120"/>
      </w:pPr>
    </w:p>
    <w:p w14:paraId="34324A82" w14:textId="77777777" w:rsidR="008C1AD8" w:rsidRDefault="008C1AD8" w:rsidP="008C1AD8">
      <w:pPr>
        <w:pStyle w:val="Documenttracking"/>
        <w:spacing w:before="120" w:after="120"/>
      </w:pPr>
    </w:p>
    <w:p w14:paraId="08613D71" w14:textId="77777777" w:rsidR="008C1AD8" w:rsidRDefault="008C1AD8" w:rsidP="008C1AD8">
      <w:pPr>
        <w:pStyle w:val="Documenttracking"/>
        <w:spacing w:before="120" w:after="120"/>
      </w:pPr>
    </w:p>
    <w:p w14:paraId="157EBC3E" w14:textId="77777777" w:rsidR="008C1AD8" w:rsidRPr="00375EE0" w:rsidRDefault="008C1AD8" w:rsidP="008C1AD8">
      <w:pPr>
        <w:pStyle w:val="Documenttracking"/>
        <w:spacing w:before="120" w:after="120"/>
      </w:pPr>
      <w:r w:rsidRPr="00D97CAB">
        <w:t>DOCUMENT TRACKING</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firstRow="1" w:lastRow="0" w:firstColumn="1" w:lastColumn="0" w:noHBand="0" w:noVBand="0"/>
      </w:tblPr>
      <w:tblGrid>
        <w:gridCol w:w="2600"/>
        <w:gridCol w:w="7022"/>
      </w:tblGrid>
      <w:tr w:rsidR="008C1AD8" w:rsidRPr="00362323" w14:paraId="6F41A32C" w14:textId="77777777" w:rsidTr="00A15226">
        <w:tc>
          <w:tcPr>
            <w:tcW w:w="5000" w:type="pct"/>
            <w:gridSpan w:val="2"/>
            <w:shd w:val="clear" w:color="auto" w:fill="B4C6E7" w:themeFill="accent1" w:themeFillTint="66"/>
          </w:tcPr>
          <w:p w14:paraId="3A086619" w14:textId="77777777" w:rsidR="008C1AD8" w:rsidRPr="00EC3979" w:rsidRDefault="008C1AD8" w:rsidP="00A15226">
            <w:pPr>
              <w:pStyle w:val="Documenttracking"/>
              <w:spacing w:before="120" w:after="120"/>
            </w:pPr>
            <w:r w:rsidRPr="003612D2">
              <w:t>PREPARED BY:</w:t>
            </w:r>
          </w:p>
        </w:tc>
      </w:tr>
      <w:tr w:rsidR="008C1AD8" w:rsidRPr="00362323" w14:paraId="44F029A3" w14:textId="77777777" w:rsidTr="00A15226">
        <w:tc>
          <w:tcPr>
            <w:tcW w:w="5000" w:type="pct"/>
            <w:gridSpan w:val="2"/>
          </w:tcPr>
          <w:p w14:paraId="441DC3DF" w14:textId="77777777" w:rsidR="008C1AD8" w:rsidRPr="00EC3979" w:rsidRDefault="008C1AD8" w:rsidP="00A15226">
            <w:pPr>
              <w:spacing w:before="120" w:after="120"/>
            </w:pPr>
            <w:r>
              <w:t>Heather Tolley, Peter Hemphill, Natasha Buckingham, Heidi Birkby (Open Lines)</w:t>
            </w:r>
          </w:p>
        </w:tc>
      </w:tr>
      <w:tr w:rsidR="008C1AD8" w:rsidRPr="001E638D" w14:paraId="072C78EC" w14:textId="77777777" w:rsidTr="00A15226">
        <w:tc>
          <w:tcPr>
            <w:tcW w:w="5000" w:type="pct"/>
            <w:gridSpan w:val="2"/>
            <w:shd w:val="clear" w:color="auto" w:fill="B4C6E7" w:themeFill="accent1" w:themeFillTint="66"/>
          </w:tcPr>
          <w:p w14:paraId="4C7A3412" w14:textId="77777777" w:rsidR="008C1AD8" w:rsidRPr="001E638D" w:rsidRDefault="008C1AD8" w:rsidP="00A15226">
            <w:pPr>
              <w:spacing w:before="120" w:after="120"/>
              <w:rPr>
                <w:b/>
              </w:rPr>
            </w:pPr>
            <w:r w:rsidRPr="001E638D">
              <w:rPr>
                <w:b/>
              </w:rPr>
              <w:t>REVIEWED BY:</w:t>
            </w:r>
          </w:p>
        </w:tc>
      </w:tr>
      <w:tr w:rsidR="008C1AD8" w:rsidRPr="00362323" w14:paraId="55C5EC9C" w14:textId="77777777" w:rsidTr="00A15226">
        <w:tc>
          <w:tcPr>
            <w:tcW w:w="5000" w:type="pct"/>
            <w:gridSpan w:val="2"/>
          </w:tcPr>
          <w:p w14:paraId="5027BC2B" w14:textId="77777777" w:rsidR="008C1AD8" w:rsidRDefault="008C1AD8" w:rsidP="00A15226">
            <w:pPr>
              <w:spacing w:before="120" w:after="120"/>
            </w:pPr>
            <w:r>
              <w:t>Heather Tolley, Peter Hemphill (Open Lines)</w:t>
            </w:r>
          </w:p>
          <w:p w14:paraId="1F6A8D92" w14:textId="77777777" w:rsidR="008C1AD8" w:rsidRPr="00DF2B7F" w:rsidRDefault="008C1AD8" w:rsidP="00A15226">
            <w:pPr>
              <w:spacing w:before="120" w:after="120"/>
            </w:pPr>
            <w:r>
              <w:t>Mitchell Deaves, Steve Mueck, Mark Venosta (Biosis)</w:t>
            </w:r>
          </w:p>
        </w:tc>
      </w:tr>
      <w:tr w:rsidR="008C1AD8" w:rsidRPr="001E638D" w14:paraId="647F0623" w14:textId="77777777" w:rsidTr="00A15226">
        <w:tc>
          <w:tcPr>
            <w:tcW w:w="5000" w:type="pct"/>
            <w:gridSpan w:val="2"/>
            <w:shd w:val="clear" w:color="auto" w:fill="B4C6E7" w:themeFill="accent1" w:themeFillTint="66"/>
          </w:tcPr>
          <w:p w14:paraId="2512FCF5" w14:textId="77777777" w:rsidR="008C1AD8" w:rsidRPr="001E638D" w:rsidRDefault="008C1AD8" w:rsidP="00A15226">
            <w:pPr>
              <w:spacing w:before="120" w:after="120"/>
              <w:rPr>
                <w:b/>
              </w:rPr>
            </w:pPr>
            <w:r w:rsidRPr="001E638D">
              <w:rPr>
                <w:b/>
              </w:rPr>
              <w:t>VERSION CONTROL:</w:t>
            </w:r>
          </w:p>
        </w:tc>
      </w:tr>
      <w:tr w:rsidR="008C1AD8" w:rsidRPr="00362323" w14:paraId="19E69E62" w14:textId="77777777" w:rsidTr="00A15226">
        <w:tc>
          <w:tcPr>
            <w:tcW w:w="1351" w:type="pct"/>
          </w:tcPr>
          <w:p w14:paraId="781B6353" w14:textId="77777777" w:rsidR="008C1AD8" w:rsidRPr="004C61F4" w:rsidRDefault="008C1AD8" w:rsidP="00A15226">
            <w:pPr>
              <w:pStyle w:val="Documenttracking"/>
              <w:spacing w:before="120" w:after="120"/>
            </w:pPr>
            <w:r w:rsidRPr="004C61F4">
              <w:t>VERSION:</w:t>
            </w:r>
          </w:p>
        </w:tc>
        <w:tc>
          <w:tcPr>
            <w:tcW w:w="3649" w:type="pct"/>
            <w:shd w:val="clear" w:color="auto" w:fill="auto"/>
          </w:tcPr>
          <w:p w14:paraId="4DBE5599" w14:textId="77777777" w:rsidR="008C1AD8" w:rsidRPr="00EC3979" w:rsidRDefault="008C1AD8" w:rsidP="00A15226">
            <w:pPr>
              <w:spacing w:before="120" w:after="120"/>
            </w:pPr>
            <w:r>
              <w:t>Public exhibition version</w:t>
            </w:r>
          </w:p>
        </w:tc>
      </w:tr>
      <w:tr w:rsidR="008C1AD8" w:rsidRPr="00362323" w14:paraId="3254EA8A" w14:textId="77777777" w:rsidTr="00A15226">
        <w:tc>
          <w:tcPr>
            <w:tcW w:w="1351" w:type="pct"/>
          </w:tcPr>
          <w:p w14:paraId="3F56DA3C" w14:textId="77777777" w:rsidR="008C1AD8" w:rsidRPr="004C61F4" w:rsidRDefault="008C1AD8" w:rsidP="00A15226">
            <w:pPr>
              <w:pStyle w:val="Documenttracking"/>
              <w:spacing w:before="120" w:after="120"/>
            </w:pPr>
            <w:r w:rsidRPr="004C61F4">
              <w:t>DATE:</w:t>
            </w:r>
          </w:p>
        </w:tc>
        <w:tc>
          <w:tcPr>
            <w:tcW w:w="3649" w:type="pct"/>
          </w:tcPr>
          <w:p w14:paraId="01FF1853" w14:textId="77777777" w:rsidR="008C1AD8" w:rsidRPr="00EC3979" w:rsidRDefault="008C1AD8" w:rsidP="00A15226">
            <w:pPr>
              <w:spacing w:before="120" w:after="120"/>
            </w:pPr>
            <w:r>
              <w:t>May 2023</w:t>
            </w:r>
          </w:p>
        </w:tc>
      </w:tr>
    </w:tbl>
    <w:p w14:paraId="7EB6876C" w14:textId="77777777" w:rsidR="008C1AD8" w:rsidRDefault="008C1AD8" w:rsidP="008C1AD8">
      <w:pPr>
        <w:tabs>
          <w:tab w:val="clear" w:pos="4962"/>
        </w:tabs>
        <w:spacing w:before="0" w:after="0" w:line="240" w:lineRule="auto"/>
      </w:pPr>
      <w:r>
        <w:br w:type="page"/>
      </w:r>
    </w:p>
    <w:p w14:paraId="3B764288" w14:textId="77777777" w:rsidR="008C1AD8" w:rsidRPr="007221D0" w:rsidRDefault="008C1AD8" w:rsidP="008C1AD8">
      <w:pPr>
        <w:pStyle w:val="Contentsacronymsreferences"/>
      </w:pPr>
      <w:bookmarkStart w:id="43" w:name="_Toc135122667"/>
      <w:r w:rsidRPr="006E333F">
        <w:lastRenderedPageBreak/>
        <w:t>Contents</w:t>
      </w:r>
      <w:bookmarkEnd w:id="43"/>
    </w:p>
    <w:p w14:paraId="42E31E78"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r>
        <w:rPr>
          <w:color w:val="3FA297"/>
        </w:rPr>
        <w:fldChar w:fldCharType="begin"/>
      </w:r>
      <w:r w:rsidRPr="00BE7001">
        <w:rPr>
          <w:color w:val="3FA297"/>
        </w:rPr>
        <w:instrText xml:space="preserve"> TOC \o "1-2" \h \z \u </w:instrText>
      </w:r>
      <w:r>
        <w:rPr>
          <w:color w:val="3FA297"/>
        </w:rPr>
        <w:fldChar w:fldCharType="separate"/>
      </w:r>
      <w:hyperlink w:anchor="_Toc135122667" w:history="1">
        <w:r w:rsidRPr="000E2884">
          <w:rPr>
            <w:rStyle w:val="Hyperlink"/>
            <w:noProof/>
          </w:rPr>
          <w:t>Contents</w:t>
        </w:r>
        <w:r>
          <w:rPr>
            <w:noProof/>
            <w:webHidden/>
          </w:rPr>
          <w:tab/>
        </w:r>
        <w:r>
          <w:rPr>
            <w:noProof/>
            <w:webHidden/>
          </w:rPr>
          <w:fldChar w:fldCharType="begin"/>
        </w:r>
        <w:r>
          <w:rPr>
            <w:noProof/>
            <w:webHidden/>
          </w:rPr>
          <w:instrText xml:space="preserve"> PAGEREF _Toc135122667 \h </w:instrText>
        </w:r>
        <w:r>
          <w:rPr>
            <w:noProof/>
            <w:webHidden/>
          </w:rPr>
        </w:r>
        <w:r>
          <w:rPr>
            <w:noProof/>
            <w:webHidden/>
          </w:rPr>
          <w:fldChar w:fldCharType="separate"/>
        </w:r>
        <w:r>
          <w:rPr>
            <w:noProof/>
            <w:webHidden/>
          </w:rPr>
          <w:t>ii</w:t>
        </w:r>
        <w:r>
          <w:rPr>
            <w:noProof/>
            <w:webHidden/>
          </w:rPr>
          <w:fldChar w:fldCharType="end"/>
        </w:r>
      </w:hyperlink>
    </w:p>
    <w:p w14:paraId="1E14AAE0"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668" w:history="1">
        <w:r w:rsidRPr="000E2884">
          <w:rPr>
            <w:rStyle w:val="Hyperlink"/>
            <w:noProof/>
          </w:rPr>
          <w:t>List of tables</w:t>
        </w:r>
        <w:r>
          <w:rPr>
            <w:noProof/>
            <w:webHidden/>
          </w:rPr>
          <w:tab/>
        </w:r>
        <w:r>
          <w:rPr>
            <w:noProof/>
            <w:webHidden/>
          </w:rPr>
          <w:fldChar w:fldCharType="begin"/>
        </w:r>
        <w:r>
          <w:rPr>
            <w:noProof/>
            <w:webHidden/>
          </w:rPr>
          <w:instrText xml:space="preserve"> PAGEREF _Toc135122668 \h </w:instrText>
        </w:r>
        <w:r>
          <w:rPr>
            <w:noProof/>
            <w:webHidden/>
          </w:rPr>
        </w:r>
        <w:r>
          <w:rPr>
            <w:noProof/>
            <w:webHidden/>
          </w:rPr>
          <w:fldChar w:fldCharType="separate"/>
        </w:r>
        <w:r>
          <w:rPr>
            <w:noProof/>
            <w:webHidden/>
          </w:rPr>
          <w:t>iii</w:t>
        </w:r>
        <w:r>
          <w:rPr>
            <w:noProof/>
            <w:webHidden/>
          </w:rPr>
          <w:fldChar w:fldCharType="end"/>
        </w:r>
      </w:hyperlink>
    </w:p>
    <w:p w14:paraId="19EC1F94"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669" w:history="1">
        <w:r w:rsidRPr="000E2884">
          <w:rPr>
            <w:rStyle w:val="Hyperlink"/>
            <w:noProof/>
          </w:rPr>
          <w:t>List of figures</w:t>
        </w:r>
        <w:r>
          <w:rPr>
            <w:noProof/>
            <w:webHidden/>
          </w:rPr>
          <w:tab/>
        </w:r>
        <w:r>
          <w:rPr>
            <w:noProof/>
            <w:webHidden/>
          </w:rPr>
          <w:fldChar w:fldCharType="begin"/>
        </w:r>
        <w:r>
          <w:rPr>
            <w:noProof/>
            <w:webHidden/>
          </w:rPr>
          <w:instrText xml:space="preserve"> PAGEREF _Toc135122669 \h </w:instrText>
        </w:r>
        <w:r>
          <w:rPr>
            <w:noProof/>
            <w:webHidden/>
          </w:rPr>
        </w:r>
        <w:r>
          <w:rPr>
            <w:noProof/>
            <w:webHidden/>
          </w:rPr>
          <w:fldChar w:fldCharType="separate"/>
        </w:r>
        <w:r>
          <w:rPr>
            <w:noProof/>
            <w:webHidden/>
          </w:rPr>
          <w:t>iv</w:t>
        </w:r>
        <w:r>
          <w:rPr>
            <w:noProof/>
            <w:webHidden/>
          </w:rPr>
          <w:fldChar w:fldCharType="end"/>
        </w:r>
      </w:hyperlink>
    </w:p>
    <w:p w14:paraId="12844031"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670" w:history="1">
        <w:r w:rsidRPr="000E2884">
          <w:rPr>
            <w:rStyle w:val="Hyperlink"/>
            <w:noProof/>
          </w:rPr>
          <w:t>19</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Listed threatened fauna</w:t>
        </w:r>
        <w:r>
          <w:rPr>
            <w:noProof/>
            <w:webHidden/>
          </w:rPr>
          <w:tab/>
        </w:r>
        <w:r>
          <w:rPr>
            <w:noProof/>
            <w:webHidden/>
          </w:rPr>
          <w:fldChar w:fldCharType="begin"/>
        </w:r>
        <w:r>
          <w:rPr>
            <w:noProof/>
            <w:webHidden/>
          </w:rPr>
          <w:instrText xml:space="preserve"> PAGEREF _Toc135122670 \h </w:instrText>
        </w:r>
        <w:r>
          <w:rPr>
            <w:noProof/>
            <w:webHidden/>
          </w:rPr>
        </w:r>
        <w:r>
          <w:rPr>
            <w:noProof/>
            <w:webHidden/>
          </w:rPr>
          <w:fldChar w:fldCharType="separate"/>
        </w:r>
        <w:r>
          <w:rPr>
            <w:noProof/>
            <w:webHidden/>
          </w:rPr>
          <w:t>19-1</w:t>
        </w:r>
        <w:r>
          <w:rPr>
            <w:noProof/>
            <w:webHidden/>
          </w:rPr>
          <w:fldChar w:fldCharType="end"/>
        </w:r>
      </w:hyperlink>
    </w:p>
    <w:p w14:paraId="769F5FF4"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1" w:history="1">
        <w:r w:rsidRPr="000E2884">
          <w:rPr>
            <w:rStyle w:val="Hyperlink"/>
            <w:noProof/>
          </w:rPr>
          <w:t>Known to occur within the Growth Areas</w:t>
        </w:r>
        <w:r>
          <w:rPr>
            <w:noProof/>
            <w:webHidden/>
          </w:rPr>
          <w:tab/>
        </w:r>
        <w:r>
          <w:rPr>
            <w:noProof/>
            <w:webHidden/>
          </w:rPr>
          <w:fldChar w:fldCharType="begin"/>
        </w:r>
        <w:r>
          <w:rPr>
            <w:noProof/>
            <w:webHidden/>
          </w:rPr>
          <w:instrText xml:space="preserve"> PAGEREF _Toc135122671 \h </w:instrText>
        </w:r>
        <w:r>
          <w:rPr>
            <w:noProof/>
            <w:webHidden/>
          </w:rPr>
        </w:r>
        <w:r>
          <w:rPr>
            <w:noProof/>
            <w:webHidden/>
          </w:rPr>
          <w:fldChar w:fldCharType="separate"/>
        </w:r>
        <w:r>
          <w:rPr>
            <w:noProof/>
            <w:webHidden/>
          </w:rPr>
          <w:t>19-1</w:t>
        </w:r>
        <w:r>
          <w:rPr>
            <w:noProof/>
            <w:webHidden/>
          </w:rPr>
          <w:fldChar w:fldCharType="end"/>
        </w:r>
      </w:hyperlink>
    </w:p>
    <w:p w14:paraId="5B3110C5"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2" w:history="1">
        <w:r w:rsidRPr="000E2884">
          <w:rPr>
            <w:rStyle w:val="Hyperlink"/>
            <w:noProof/>
          </w:rPr>
          <w:t>19.1</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Golden Sun Moth (</w:t>
        </w:r>
        <w:r w:rsidRPr="000E2884">
          <w:rPr>
            <w:rStyle w:val="Hyperlink"/>
            <w:i/>
            <w:iCs/>
            <w:noProof/>
          </w:rPr>
          <w:t>Synemon plana</w:t>
        </w:r>
        <w:r w:rsidRPr="000E2884">
          <w:rPr>
            <w:rStyle w:val="Hyperlink"/>
            <w:noProof/>
          </w:rPr>
          <w:t>)</w:t>
        </w:r>
        <w:r>
          <w:rPr>
            <w:noProof/>
            <w:webHidden/>
          </w:rPr>
          <w:tab/>
        </w:r>
        <w:r>
          <w:rPr>
            <w:noProof/>
            <w:webHidden/>
          </w:rPr>
          <w:fldChar w:fldCharType="begin"/>
        </w:r>
        <w:r>
          <w:rPr>
            <w:noProof/>
            <w:webHidden/>
          </w:rPr>
          <w:instrText xml:space="preserve"> PAGEREF _Toc135122672 \h </w:instrText>
        </w:r>
        <w:r>
          <w:rPr>
            <w:noProof/>
            <w:webHidden/>
          </w:rPr>
        </w:r>
        <w:r>
          <w:rPr>
            <w:noProof/>
            <w:webHidden/>
          </w:rPr>
          <w:fldChar w:fldCharType="separate"/>
        </w:r>
        <w:r>
          <w:rPr>
            <w:noProof/>
            <w:webHidden/>
          </w:rPr>
          <w:t>19-1</w:t>
        </w:r>
        <w:r>
          <w:rPr>
            <w:noProof/>
            <w:webHidden/>
          </w:rPr>
          <w:fldChar w:fldCharType="end"/>
        </w:r>
      </w:hyperlink>
    </w:p>
    <w:p w14:paraId="045D3C72"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3" w:history="1">
        <w:r w:rsidRPr="000E2884">
          <w:rPr>
            <w:rStyle w:val="Hyperlink"/>
            <w:noProof/>
          </w:rPr>
          <w:t>19.2</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Growling Grass Frog</w:t>
        </w:r>
        <w:r w:rsidRPr="000E2884">
          <w:rPr>
            <w:rStyle w:val="Hyperlink"/>
            <w:rFonts w:cs="Arial"/>
            <w:i/>
            <w:iCs/>
            <w:noProof/>
          </w:rPr>
          <w:t xml:space="preserve"> </w:t>
        </w:r>
        <w:r w:rsidRPr="000E2884">
          <w:rPr>
            <w:rStyle w:val="Hyperlink"/>
            <w:rFonts w:cs="Arial"/>
            <w:noProof/>
          </w:rPr>
          <w:t>(</w:t>
        </w:r>
        <w:r w:rsidRPr="000E2884">
          <w:rPr>
            <w:rStyle w:val="Hyperlink"/>
            <w:rFonts w:cs="Arial"/>
            <w:i/>
            <w:iCs/>
            <w:noProof/>
          </w:rPr>
          <w:t>Litoria raniformis</w:t>
        </w:r>
        <w:r w:rsidRPr="000E2884">
          <w:rPr>
            <w:rStyle w:val="Hyperlink"/>
            <w:rFonts w:cs="Arial"/>
            <w:noProof/>
          </w:rPr>
          <w:t>)</w:t>
        </w:r>
        <w:r>
          <w:rPr>
            <w:noProof/>
            <w:webHidden/>
          </w:rPr>
          <w:tab/>
        </w:r>
        <w:r>
          <w:rPr>
            <w:noProof/>
            <w:webHidden/>
          </w:rPr>
          <w:fldChar w:fldCharType="begin"/>
        </w:r>
        <w:r>
          <w:rPr>
            <w:noProof/>
            <w:webHidden/>
          </w:rPr>
          <w:instrText xml:space="preserve"> PAGEREF _Toc135122673 \h </w:instrText>
        </w:r>
        <w:r>
          <w:rPr>
            <w:noProof/>
            <w:webHidden/>
          </w:rPr>
        </w:r>
        <w:r>
          <w:rPr>
            <w:noProof/>
            <w:webHidden/>
          </w:rPr>
          <w:fldChar w:fldCharType="separate"/>
        </w:r>
        <w:r>
          <w:rPr>
            <w:noProof/>
            <w:webHidden/>
          </w:rPr>
          <w:t>19-12</w:t>
        </w:r>
        <w:r>
          <w:rPr>
            <w:noProof/>
            <w:webHidden/>
          </w:rPr>
          <w:fldChar w:fldCharType="end"/>
        </w:r>
      </w:hyperlink>
    </w:p>
    <w:p w14:paraId="07E4A3F4"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4" w:history="1">
        <w:r w:rsidRPr="000E2884">
          <w:rPr>
            <w:rStyle w:val="Hyperlink"/>
            <w:noProof/>
          </w:rPr>
          <w:t>19.3</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Striped Legless Lizard</w:t>
        </w:r>
        <w:r w:rsidRPr="000E2884">
          <w:rPr>
            <w:rStyle w:val="Hyperlink"/>
            <w:i/>
            <w:iCs/>
            <w:noProof/>
          </w:rPr>
          <w:t xml:space="preserve"> </w:t>
        </w:r>
        <w:r w:rsidRPr="000E2884">
          <w:rPr>
            <w:rStyle w:val="Hyperlink"/>
            <w:noProof/>
          </w:rPr>
          <w:t>(</w:t>
        </w:r>
        <w:r w:rsidRPr="000E2884">
          <w:rPr>
            <w:rStyle w:val="Hyperlink"/>
            <w:i/>
            <w:iCs/>
            <w:noProof/>
          </w:rPr>
          <w:t>Delma impar</w:t>
        </w:r>
        <w:r w:rsidRPr="000E2884">
          <w:rPr>
            <w:rStyle w:val="Hyperlink"/>
            <w:noProof/>
          </w:rPr>
          <w:t>)</w:t>
        </w:r>
        <w:r>
          <w:rPr>
            <w:noProof/>
            <w:webHidden/>
          </w:rPr>
          <w:tab/>
        </w:r>
        <w:r>
          <w:rPr>
            <w:noProof/>
            <w:webHidden/>
          </w:rPr>
          <w:fldChar w:fldCharType="begin"/>
        </w:r>
        <w:r>
          <w:rPr>
            <w:noProof/>
            <w:webHidden/>
          </w:rPr>
          <w:instrText xml:space="preserve"> PAGEREF _Toc135122674 \h </w:instrText>
        </w:r>
        <w:r>
          <w:rPr>
            <w:noProof/>
            <w:webHidden/>
          </w:rPr>
        </w:r>
        <w:r>
          <w:rPr>
            <w:noProof/>
            <w:webHidden/>
          </w:rPr>
          <w:fldChar w:fldCharType="separate"/>
        </w:r>
        <w:r>
          <w:rPr>
            <w:noProof/>
            <w:webHidden/>
          </w:rPr>
          <w:t>19-27</w:t>
        </w:r>
        <w:r>
          <w:rPr>
            <w:noProof/>
            <w:webHidden/>
          </w:rPr>
          <w:fldChar w:fldCharType="end"/>
        </w:r>
      </w:hyperlink>
    </w:p>
    <w:p w14:paraId="69728681"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5" w:history="1">
        <w:r w:rsidRPr="000E2884">
          <w:rPr>
            <w:rStyle w:val="Hyperlink"/>
            <w:noProof/>
          </w:rPr>
          <w:t>Potential to occur within the growth areas</w:t>
        </w:r>
        <w:r>
          <w:rPr>
            <w:noProof/>
            <w:webHidden/>
          </w:rPr>
          <w:tab/>
        </w:r>
        <w:r>
          <w:rPr>
            <w:noProof/>
            <w:webHidden/>
          </w:rPr>
          <w:fldChar w:fldCharType="begin"/>
        </w:r>
        <w:r>
          <w:rPr>
            <w:noProof/>
            <w:webHidden/>
          </w:rPr>
          <w:instrText xml:space="preserve"> PAGEREF _Toc135122675 \h </w:instrText>
        </w:r>
        <w:r>
          <w:rPr>
            <w:noProof/>
            <w:webHidden/>
          </w:rPr>
        </w:r>
        <w:r>
          <w:rPr>
            <w:noProof/>
            <w:webHidden/>
          </w:rPr>
          <w:fldChar w:fldCharType="separate"/>
        </w:r>
        <w:r>
          <w:rPr>
            <w:noProof/>
            <w:webHidden/>
          </w:rPr>
          <w:t>19-38</w:t>
        </w:r>
        <w:r>
          <w:rPr>
            <w:noProof/>
            <w:webHidden/>
          </w:rPr>
          <w:fldChar w:fldCharType="end"/>
        </w:r>
      </w:hyperlink>
    </w:p>
    <w:p w14:paraId="699EEBE9"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6" w:history="1">
        <w:r w:rsidRPr="000E2884">
          <w:rPr>
            <w:rStyle w:val="Hyperlink"/>
            <w:noProof/>
          </w:rPr>
          <w:t>19.4</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Blue-winged Parrot (</w:t>
        </w:r>
        <w:r w:rsidRPr="000E2884">
          <w:rPr>
            <w:rStyle w:val="Hyperlink"/>
            <w:i/>
            <w:iCs/>
            <w:noProof/>
          </w:rPr>
          <w:t>Neophema chrysostoma</w:t>
        </w:r>
        <w:r w:rsidRPr="000E2884">
          <w:rPr>
            <w:rStyle w:val="Hyperlink"/>
            <w:noProof/>
          </w:rPr>
          <w:t>)</w:t>
        </w:r>
        <w:r>
          <w:rPr>
            <w:noProof/>
            <w:webHidden/>
          </w:rPr>
          <w:tab/>
        </w:r>
        <w:r>
          <w:rPr>
            <w:noProof/>
            <w:webHidden/>
          </w:rPr>
          <w:fldChar w:fldCharType="begin"/>
        </w:r>
        <w:r>
          <w:rPr>
            <w:noProof/>
            <w:webHidden/>
          </w:rPr>
          <w:instrText xml:space="preserve"> PAGEREF _Toc135122676 \h </w:instrText>
        </w:r>
        <w:r>
          <w:rPr>
            <w:noProof/>
            <w:webHidden/>
          </w:rPr>
        </w:r>
        <w:r>
          <w:rPr>
            <w:noProof/>
            <w:webHidden/>
          </w:rPr>
          <w:fldChar w:fldCharType="separate"/>
        </w:r>
        <w:r>
          <w:rPr>
            <w:noProof/>
            <w:webHidden/>
          </w:rPr>
          <w:t>19-38</w:t>
        </w:r>
        <w:r>
          <w:rPr>
            <w:noProof/>
            <w:webHidden/>
          </w:rPr>
          <w:fldChar w:fldCharType="end"/>
        </w:r>
      </w:hyperlink>
    </w:p>
    <w:p w14:paraId="10CD3CD0"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7" w:history="1">
        <w:r w:rsidRPr="000E2884">
          <w:rPr>
            <w:rStyle w:val="Hyperlink"/>
            <w:noProof/>
          </w:rPr>
          <w:t>Occur outside the Growth Areas</w:t>
        </w:r>
        <w:r>
          <w:rPr>
            <w:noProof/>
            <w:webHidden/>
          </w:rPr>
          <w:tab/>
        </w:r>
        <w:r>
          <w:rPr>
            <w:noProof/>
            <w:webHidden/>
          </w:rPr>
          <w:fldChar w:fldCharType="begin"/>
        </w:r>
        <w:r>
          <w:rPr>
            <w:noProof/>
            <w:webHidden/>
          </w:rPr>
          <w:instrText xml:space="preserve"> PAGEREF _Toc135122677 \h </w:instrText>
        </w:r>
        <w:r>
          <w:rPr>
            <w:noProof/>
            <w:webHidden/>
          </w:rPr>
        </w:r>
        <w:r>
          <w:rPr>
            <w:noProof/>
            <w:webHidden/>
          </w:rPr>
          <w:fldChar w:fldCharType="separate"/>
        </w:r>
        <w:r>
          <w:rPr>
            <w:noProof/>
            <w:webHidden/>
          </w:rPr>
          <w:t>19-42</w:t>
        </w:r>
        <w:r>
          <w:rPr>
            <w:noProof/>
            <w:webHidden/>
          </w:rPr>
          <w:fldChar w:fldCharType="end"/>
        </w:r>
      </w:hyperlink>
    </w:p>
    <w:p w14:paraId="2CA2B202"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78" w:history="1">
        <w:r w:rsidRPr="000E2884">
          <w:rPr>
            <w:rStyle w:val="Hyperlink"/>
            <w:noProof/>
          </w:rPr>
          <w:t>19.5</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Combined species assessment</w:t>
        </w:r>
        <w:r>
          <w:rPr>
            <w:noProof/>
            <w:webHidden/>
          </w:rPr>
          <w:tab/>
        </w:r>
        <w:r>
          <w:rPr>
            <w:noProof/>
            <w:webHidden/>
          </w:rPr>
          <w:fldChar w:fldCharType="begin"/>
        </w:r>
        <w:r>
          <w:rPr>
            <w:noProof/>
            <w:webHidden/>
          </w:rPr>
          <w:instrText xml:space="preserve"> PAGEREF _Toc135122678 \h </w:instrText>
        </w:r>
        <w:r>
          <w:rPr>
            <w:noProof/>
            <w:webHidden/>
          </w:rPr>
        </w:r>
        <w:r>
          <w:rPr>
            <w:noProof/>
            <w:webHidden/>
          </w:rPr>
          <w:fldChar w:fldCharType="separate"/>
        </w:r>
        <w:r>
          <w:rPr>
            <w:noProof/>
            <w:webHidden/>
          </w:rPr>
          <w:t>19-42</w:t>
        </w:r>
        <w:r>
          <w:rPr>
            <w:noProof/>
            <w:webHidden/>
          </w:rPr>
          <w:fldChar w:fldCharType="end"/>
        </w:r>
      </w:hyperlink>
    </w:p>
    <w:p w14:paraId="7893C446"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679" w:history="1">
        <w:r w:rsidRPr="000E2884">
          <w:rPr>
            <w:rStyle w:val="Hyperlink"/>
            <w:noProof/>
          </w:rPr>
          <w:t>20</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Listed threatened flora</w:t>
        </w:r>
        <w:r>
          <w:rPr>
            <w:noProof/>
            <w:webHidden/>
          </w:rPr>
          <w:tab/>
        </w:r>
        <w:r>
          <w:rPr>
            <w:noProof/>
            <w:webHidden/>
          </w:rPr>
          <w:fldChar w:fldCharType="begin"/>
        </w:r>
        <w:r>
          <w:rPr>
            <w:noProof/>
            <w:webHidden/>
          </w:rPr>
          <w:instrText xml:space="preserve"> PAGEREF _Toc135122679 \h </w:instrText>
        </w:r>
        <w:r>
          <w:rPr>
            <w:noProof/>
            <w:webHidden/>
          </w:rPr>
        </w:r>
        <w:r>
          <w:rPr>
            <w:noProof/>
            <w:webHidden/>
          </w:rPr>
          <w:fldChar w:fldCharType="separate"/>
        </w:r>
        <w:r>
          <w:rPr>
            <w:noProof/>
            <w:webHidden/>
          </w:rPr>
          <w:t>20-1</w:t>
        </w:r>
        <w:r>
          <w:rPr>
            <w:noProof/>
            <w:webHidden/>
          </w:rPr>
          <w:fldChar w:fldCharType="end"/>
        </w:r>
      </w:hyperlink>
    </w:p>
    <w:p w14:paraId="57DDB18E"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0" w:history="1">
        <w:r w:rsidRPr="000E2884">
          <w:rPr>
            <w:rStyle w:val="Hyperlink"/>
            <w:noProof/>
          </w:rPr>
          <w:t>Known to occur within the Growth Areas</w:t>
        </w:r>
        <w:r>
          <w:rPr>
            <w:noProof/>
            <w:webHidden/>
          </w:rPr>
          <w:tab/>
        </w:r>
        <w:r>
          <w:rPr>
            <w:noProof/>
            <w:webHidden/>
          </w:rPr>
          <w:fldChar w:fldCharType="begin"/>
        </w:r>
        <w:r>
          <w:rPr>
            <w:noProof/>
            <w:webHidden/>
          </w:rPr>
          <w:instrText xml:space="preserve"> PAGEREF _Toc135122680 \h </w:instrText>
        </w:r>
        <w:r>
          <w:rPr>
            <w:noProof/>
            <w:webHidden/>
          </w:rPr>
        </w:r>
        <w:r>
          <w:rPr>
            <w:noProof/>
            <w:webHidden/>
          </w:rPr>
          <w:fldChar w:fldCharType="separate"/>
        </w:r>
        <w:r>
          <w:rPr>
            <w:noProof/>
            <w:webHidden/>
          </w:rPr>
          <w:t>20-1</w:t>
        </w:r>
        <w:r>
          <w:rPr>
            <w:noProof/>
            <w:webHidden/>
          </w:rPr>
          <w:fldChar w:fldCharType="end"/>
        </w:r>
      </w:hyperlink>
    </w:p>
    <w:p w14:paraId="6EF185A6"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1" w:history="1">
        <w:r w:rsidRPr="000E2884">
          <w:rPr>
            <w:rStyle w:val="Hyperlink"/>
            <w:noProof/>
          </w:rPr>
          <w:t>20.1</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 xml:space="preserve">Adamson’s Blown-grass </w:t>
        </w:r>
        <w:r w:rsidRPr="000E2884">
          <w:rPr>
            <w:rStyle w:val="Hyperlink"/>
            <w:i/>
            <w:iCs/>
            <w:noProof/>
          </w:rPr>
          <w:t>(Lachnagrostis adamsonii)</w:t>
        </w:r>
        <w:r>
          <w:rPr>
            <w:noProof/>
            <w:webHidden/>
          </w:rPr>
          <w:tab/>
        </w:r>
        <w:r>
          <w:rPr>
            <w:noProof/>
            <w:webHidden/>
          </w:rPr>
          <w:fldChar w:fldCharType="begin"/>
        </w:r>
        <w:r>
          <w:rPr>
            <w:noProof/>
            <w:webHidden/>
          </w:rPr>
          <w:instrText xml:space="preserve"> PAGEREF _Toc135122681 \h </w:instrText>
        </w:r>
        <w:r>
          <w:rPr>
            <w:noProof/>
            <w:webHidden/>
          </w:rPr>
        </w:r>
        <w:r>
          <w:rPr>
            <w:noProof/>
            <w:webHidden/>
          </w:rPr>
          <w:fldChar w:fldCharType="separate"/>
        </w:r>
        <w:r>
          <w:rPr>
            <w:noProof/>
            <w:webHidden/>
          </w:rPr>
          <w:t>20-1</w:t>
        </w:r>
        <w:r>
          <w:rPr>
            <w:noProof/>
            <w:webHidden/>
          </w:rPr>
          <w:fldChar w:fldCharType="end"/>
        </w:r>
      </w:hyperlink>
    </w:p>
    <w:p w14:paraId="42A1352E"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2" w:history="1">
        <w:r w:rsidRPr="000E2884">
          <w:rPr>
            <w:rStyle w:val="Hyperlink"/>
            <w:noProof/>
          </w:rPr>
          <w:t>Occur outside the Growth Areas</w:t>
        </w:r>
        <w:r>
          <w:rPr>
            <w:noProof/>
            <w:webHidden/>
          </w:rPr>
          <w:tab/>
        </w:r>
        <w:r>
          <w:rPr>
            <w:noProof/>
            <w:webHidden/>
          </w:rPr>
          <w:fldChar w:fldCharType="begin"/>
        </w:r>
        <w:r>
          <w:rPr>
            <w:noProof/>
            <w:webHidden/>
          </w:rPr>
          <w:instrText xml:space="preserve"> PAGEREF _Toc135122682 \h </w:instrText>
        </w:r>
        <w:r>
          <w:rPr>
            <w:noProof/>
            <w:webHidden/>
          </w:rPr>
        </w:r>
        <w:r>
          <w:rPr>
            <w:noProof/>
            <w:webHidden/>
          </w:rPr>
          <w:fldChar w:fldCharType="separate"/>
        </w:r>
        <w:r>
          <w:rPr>
            <w:noProof/>
            <w:webHidden/>
          </w:rPr>
          <w:t>20-8</w:t>
        </w:r>
        <w:r>
          <w:rPr>
            <w:noProof/>
            <w:webHidden/>
          </w:rPr>
          <w:fldChar w:fldCharType="end"/>
        </w:r>
      </w:hyperlink>
    </w:p>
    <w:p w14:paraId="3D81F390"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3" w:history="1">
        <w:r w:rsidRPr="000E2884">
          <w:rPr>
            <w:rStyle w:val="Hyperlink"/>
            <w:noProof/>
          </w:rPr>
          <w:t>20.2</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 xml:space="preserve">Spiny Rice-flower </w:t>
        </w:r>
        <w:r w:rsidRPr="000E2884">
          <w:rPr>
            <w:rStyle w:val="Hyperlink"/>
            <w:i/>
            <w:iCs/>
            <w:noProof/>
          </w:rPr>
          <w:t>(Pimelea spinescens</w:t>
        </w:r>
        <w:r w:rsidRPr="000E2884">
          <w:rPr>
            <w:rStyle w:val="Hyperlink"/>
            <w:noProof/>
          </w:rPr>
          <w:t xml:space="preserve"> subsp. </w:t>
        </w:r>
        <w:r w:rsidRPr="000E2884">
          <w:rPr>
            <w:rStyle w:val="Hyperlink"/>
            <w:i/>
            <w:iCs/>
            <w:noProof/>
          </w:rPr>
          <w:t>spinescens)</w:t>
        </w:r>
        <w:r>
          <w:rPr>
            <w:noProof/>
            <w:webHidden/>
          </w:rPr>
          <w:tab/>
        </w:r>
        <w:r>
          <w:rPr>
            <w:noProof/>
            <w:webHidden/>
          </w:rPr>
          <w:fldChar w:fldCharType="begin"/>
        </w:r>
        <w:r>
          <w:rPr>
            <w:noProof/>
            <w:webHidden/>
          </w:rPr>
          <w:instrText xml:space="preserve"> PAGEREF _Toc135122683 \h </w:instrText>
        </w:r>
        <w:r>
          <w:rPr>
            <w:noProof/>
            <w:webHidden/>
          </w:rPr>
        </w:r>
        <w:r>
          <w:rPr>
            <w:noProof/>
            <w:webHidden/>
          </w:rPr>
          <w:fldChar w:fldCharType="separate"/>
        </w:r>
        <w:r>
          <w:rPr>
            <w:noProof/>
            <w:webHidden/>
          </w:rPr>
          <w:t>20-8</w:t>
        </w:r>
        <w:r>
          <w:rPr>
            <w:noProof/>
            <w:webHidden/>
          </w:rPr>
          <w:fldChar w:fldCharType="end"/>
        </w:r>
      </w:hyperlink>
    </w:p>
    <w:p w14:paraId="3D69AA96"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684" w:history="1">
        <w:r w:rsidRPr="000E2884">
          <w:rPr>
            <w:rStyle w:val="Hyperlink"/>
            <w:noProof/>
          </w:rPr>
          <w:t>21</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Listed threatened ecological communities</w:t>
        </w:r>
        <w:r>
          <w:rPr>
            <w:noProof/>
            <w:webHidden/>
          </w:rPr>
          <w:tab/>
        </w:r>
        <w:r>
          <w:rPr>
            <w:noProof/>
            <w:webHidden/>
          </w:rPr>
          <w:fldChar w:fldCharType="begin"/>
        </w:r>
        <w:r>
          <w:rPr>
            <w:noProof/>
            <w:webHidden/>
          </w:rPr>
          <w:instrText xml:space="preserve"> PAGEREF _Toc135122684 \h </w:instrText>
        </w:r>
        <w:r>
          <w:rPr>
            <w:noProof/>
            <w:webHidden/>
          </w:rPr>
        </w:r>
        <w:r>
          <w:rPr>
            <w:noProof/>
            <w:webHidden/>
          </w:rPr>
          <w:fldChar w:fldCharType="separate"/>
        </w:r>
        <w:r>
          <w:rPr>
            <w:noProof/>
            <w:webHidden/>
          </w:rPr>
          <w:t>21-1</w:t>
        </w:r>
        <w:r>
          <w:rPr>
            <w:noProof/>
            <w:webHidden/>
          </w:rPr>
          <w:fldChar w:fldCharType="end"/>
        </w:r>
      </w:hyperlink>
    </w:p>
    <w:p w14:paraId="19C21D14"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5" w:history="1">
        <w:r w:rsidRPr="000E2884">
          <w:rPr>
            <w:rStyle w:val="Hyperlink"/>
            <w:noProof/>
          </w:rPr>
          <w:t>Known to occur within the Growth Areas</w:t>
        </w:r>
        <w:r>
          <w:rPr>
            <w:noProof/>
            <w:webHidden/>
          </w:rPr>
          <w:tab/>
        </w:r>
        <w:r>
          <w:rPr>
            <w:noProof/>
            <w:webHidden/>
          </w:rPr>
          <w:fldChar w:fldCharType="begin"/>
        </w:r>
        <w:r>
          <w:rPr>
            <w:noProof/>
            <w:webHidden/>
          </w:rPr>
          <w:instrText xml:space="preserve"> PAGEREF _Toc135122685 \h </w:instrText>
        </w:r>
        <w:r>
          <w:rPr>
            <w:noProof/>
            <w:webHidden/>
          </w:rPr>
        </w:r>
        <w:r>
          <w:rPr>
            <w:noProof/>
            <w:webHidden/>
          </w:rPr>
          <w:fldChar w:fldCharType="separate"/>
        </w:r>
        <w:r>
          <w:rPr>
            <w:noProof/>
            <w:webHidden/>
          </w:rPr>
          <w:t>21-1</w:t>
        </w:r>
        <w:r>
          <w:rPr>
            <w:noProof/>
            <w:webHidden/>
          </w:rPr>
          <w:fldChar w:fldCharType="end"/>
        </w:r>
      </w:hyperlink>
    </w:p>
    <w:p w14:paraId="46E240E9"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6" w:history="1">
        <w:r w:rsidRPr="000E2884">
          <w:rPr>
            <w:rStyle w:val="Hyperlink"/>
            <w:noProof/>
          </w:rPr>
          <w:t>21.1</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Natural temperate grassland of the victorian volcanic plain</w:t>
        </w:r>
        <w:r>
          <w:rPr>
            <w:noProof/>
            <w:webHidden/>
          </w:rPr>
          <w:tab/>
        </w:r>
        <w:r>
          <w:rPr>
            <w:noProof/>
            <w:webHidden/>
          </w:rPr>
          <w:fldChar w:fldCharType="begin"/>
        </w:r>
        <w:r>
          <w:rPr>
            <w:noProof/>
            <w:webHidden/>
          </w:rPr>
          <w:instrText xml:space="preserve"> PAGEREF _Toc135122686 \h </w:instrText>
        </w:r>
        <w:r>
          <w:rPr>
            <w:noProof/>
            <w:webHidden/>
          </w:rPr>
        </w:r>
        <w:r>
          <w:rPr>
            <w:noProof/>
            <w:webHidden/>
          </w:rPr>
          <w:fldChar w:fldCharType="separate"/>
        </w:r>
        <w:r>
          <w:rPr>
            <w:noProof/>
            <w:webHidden/>
          </w:rPr>
          <w:t>21-1</w:t>
        </w:r>
        <w:r>
          <w:rPr>
            <w:noProof/>
            <w:webHidden/>
          </w:rPr>
          <w:fldChar w:fldCharType="end"/>
        </w:r>
      </w:hyperlink>
    </w:p>
    <w:p w14:paraId="70E110C5"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687" w:history="1">
        <w:r w:rsidRPr="000E2884">
          <w:rPr>
            <w:rStyle w:val="Hyperlink"/>
            <w:noProof/>
          </w:rPr>
          <w:t>22</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Ramsar wetlands</w:t>
        </w:r>
        <w:r>
          <w:rPr>
            <w:noProof/>
            <w:webHidden/>
          </w:rPr>
          <w:tab/>
        </w:r>
        <w:r>
          <w:rPr>
            <w:noProof/>
            <w:webHidden/>
          </w:rPr>
          <w:fldChar w:fldCharType="begin"/>
        </w:r>
        <w:r>
          <w:rPr>
            <w:noProof/>
            <w:webHidden/>
          </w:rPr>
          <w:instrText xml:space="preserve"> PAGEREF _Toc135122687 \h </w:instrText>
        </w:r>
        <w:r>
          <w:rPr>
            <w:noProof/>
            <w:webHidden/>
          </w:rPr>
        </w:r>
        <w:r>
          <w:rPr>
            <w:noProof/>
            <w:webHidden/>
          </w:rPr>
          <w:fldChar w:fldCharType="separate"/>
        </w:r>
        <w:r>
          <w:rPr>
            <w:noProof/>
            <w:webHidden/>
          </w:rPr>
          <w:t>22-1</w:t>
        </w:r>
        <w:r>
          <w:rPr>
            <w:noProof/>
            <w:webHidden/>
          </w:rPr>
          <w:fldChar w:fldCharType="end"/>
        </w:r>
      </w:hyperlink>
    </w:p>
    <w:p w14:paraId="054D4583"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8" w:history="1">
        <w:r w:rsidRPr="000E2884">
          <w:rPr>
            <w:rStyle w:val="Hyperlink"/>
            <w:noProof/>
          </w:rPr>
          <w:t>22.1</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Introduction</w:t>
        </w:r>
        <w:r>
          <w:rPr>
            <w:noProof/>
            <w:webHidden/>
          </w:rPr>
          <w:tab/>
        </w:r>
        <w:r>
          <w:rPr>
            <w:noProof/>
            <w:webHidden/>
          </w:rPr>
          <w:fldChar w:fldCharType="begin"/>
        </w:r>
        <w:r>
          <w:rPr>
            <w:noProof/>
            <w:webHidden/>
          </w:rPr>
          <w:instrText xml:space="preserve"> PAGEREF _Toc135122688 \h </w:instrText>
        </w:r>
        <w:r>
          <w:rPr>
            <w:noProof/>
            <w:webHidden/>
          </w:rPr>
        </w:r>
        <w:r>
          <w:rPr>
            <w:noProof/>
            <w:webHidden/>
          </w:rPr>
          <w:fldChar w:fldCharType="separate"/>
        </w:r>
        <w:r>
          <w:rPr>
            <w:noProof/>
            <w:webHidden/>
          </w:rPr>
          <w:t>22-1</w:t>
        </w:r>
        <w:r>
          <w:rPr>
            <w:noProof/>
            <w:webHidden/>
          </w:rPr>
          <w:fldChar w:fldCharType="end"/>
        </w:r>
      </w:hyperlink>
    </w:p>
    <w:p w14:paraId="0070744E"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89" w:history="1">
        <w:r w:rsidRPr="000E2884">
          <w:rPr>
            <w:rStyle w:val="Hyperlink"/>
            <w:noProof/>
          </w:rPr>
          <w:t>22.2</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Regulatory context</w:t>
        </w:r>
        <w:r>
          <w:rPr>
            <w:noProof/>
            <w:webHidden/>
          </w:rPr>
          <w:tab/>
        </w:r>
        <w:r>
          <w:rPr>
            <w:noProof/>
            <w:webHidden/>
          </w:rPr>
          <w:fldChar w:fldCharType="begin"/>
        </w:r>
        <w:r>
          <w:rPr>
            <w:noProof/>
            <w:webHidden/>
          </w:rPr>
          <w:instrText xml:space="preserve"> PAGEREF _Toc135122689 \h </w:instrText>
        </w:r>
        <w:r>
          <w:rPr>
            <w:noProof/>
            <w:webHidden/>
          </w:rPr>
        </w:r>
        <w:r>
          <w:rPr>
            <w:noProof/>
            <w:webHidden/>
          </w:rPr>
          <w:fldChar w:fldCharType="separate"/>
        </w:r>
        <w:r>
          <w:rPr>
            <w:noProof/>
            <w:webHidden/>
          </w:rPr>
          <w:t>22-1</w:t>
        </w:r>
        <w:r>
          <w:rPr>
            <w:noProof/>
            <w:webHidden/>
          </w:rPr>
          <w:fldChar w:fldCharType="end"/>
        </w:r>
      </w:hyperlink>
    </w:p>
    <w:p w14:paraId="752A9346"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0" w:history="1">
        <w:r w:rsidRPr="000E2884">
          <w:rPr>
            <w:rStyle w:val="Hyperlink"/>
            <w:noProof/>
          </w:rPr>
          <w:t>22.3</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General Description of the Ramsar site</w:t>
        </w:r>
        <w:r>
          <w:rPr>
            <w:noProof/>
            <w:webHidden/>
          </w:rPr>
          <w:tab/>
        </w:r>
        <w:r>
          <w:rPr>
            <w:noProof/>
            <w:webHidden/>
          </w:rPr>
          <w:fldChar w:fldCharType="begin"/>
        </w:r>
        <w:r>
          <w:rPr>
            <w:noProof/>
            <w:webHidden/>
          </w:rPr>
          <w:instrText xml:space="preserve"> PAGEREF _Toc135122690 \h </w:instrText>
        </w:r>
        <w:r>
          <w:rPr>
            <w:noProof/>
            <w:webHidden/>
          </w:rPr>
        </w:r>
        <w:r>
          <w:rPr>
            <w:noProof/>
            <w:webHidden/>
          </w:rPr>
          <w:fldChar w:fldCharType="separate"/>
        </w:r>
        <w:r>
          <w:rPr>
            <w:noProof/>
            <w:webHidden/>
          </w:rPr>
          <w:t>22-2</w:t>
        </w:r>
        <w:r>
          <w:rPr>
            <w:noProof/>
            <w:webHidden/>
          </w:rPr>
          <w:fldChar w:fldCharType="end"/>
        </w:r>
      </w:hyperlink>
    </w:p>
    <w:p w14:paraId="7D60D472"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1" w:history="1">
        <w:r w:rsidRPr="000E2884">
          <w:rPr>
            <w:rStyle w:val="Hyperlink"/>
            <w:noProof/>
          </w:rPr>
          <w:t>22.4</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Ramsar listing criteria</w:t>
        </w:r>
        <w:r>
          <w:rPr>
            <w:noProof/>
            <w:webHidden/>
          </w:rPr>
          <w:tab/>
        </w:r>
        <w:r>
          <w:rPr>
            <w:noProof/>
            <w:webHidden/>
          </w:rPr>
          <w:fldChar w:fldCharType="begin"/>
        </w:r>
        <w:r>
          <w:rPr>
            <w:noProof/>
            <w:webHidden/>
          </w:rPr>
          <w:instrText xml:space="preserve"> PAGEREF _Toc135122691 \h </w:instrText>
        </w:r>
        <w:r>
          <w:rPr>
            <w:noProof/>
            <w:webHidden/>
          </w:rPr>
        </w:r>
        <w:r>
          <w:rPr>
            <w:noProof/>
            <w:webHidden/>
          </w:rPr>
          <w:fldChar w:fldCharType="separate"/>
        </w:r>
        <w:r>
          <w:rPr>
            <w:noProof/>
            <w:webHidden/>
          </w:rPr>
          <w:t>22-2</w:t>
        </w:r>
        <w:r>
          <w:rPr>
            <w:noProof/>
            <w:webHidden/>
          </w:rPr>
          <w:fldChar w:fldCharType="end"/>
        </w:r>
      </w:hyperlink>
    </w:p>
    <w:p w14:paraId="06C313ED"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2" w:history="1">
        <w:r w:rsidRPr="000E2884">
          <w:rPr>
            <w:rStyle w:val="Hyperlink"/>
            <w:noProof/>
          </w:rPr>
          <w:t>22.5</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Summary of the ecological character</w:t>
        </w:r>
        <w:r>
          <w:rPr>
            <w:noProof/>
            <w:webHidden/>
          </w:rPr>
          <w:tab/>
        </w:r>
        <w:r>
          <w:rPr>
            <w:noProof/>
            <w:webHidden/>
          </w:rPr>
          <w:fldChar w:fldCharType="begin"/>
        </w:r>
        <w:r>
          <w:rPr>
            <w:noProof/>
            <w:webHidden/>
          </w:rPr>
          <w:instrText xml:space="preserve"> PAGEREF _Toc135122692 \h </w:instrText>
        </w:r>
        <w:r>
          <w:rPr>
            <w:noProof/>
            <w:webHidden/>
          </w:rPr>
        </w:r>
        <w:r>
          <w:rPr>
            <w:noProof/>
            <w:webHidden/>
          </w:rPr>
          <w:fldChar w:fldCharType="separate"/>
        </w:r>
        <w:r>
          <w:rPr>
            <w:noProof/>
            <w:webHidden/>
          </w:rPr>
          <w:t>22-4</w:t>
        </w:r>
        <w:r>
          <w:rPr>
            <w:noProof/>
            <w:webHidden/>
          </w:rPr>
          <w:fldChar w:fldCharType="end"/>
        </w:r>
      </w:hyperlink>
    </w:p>
    <w:p w14:paraId="04E01DFA"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3" w:history="1">
        <w:r w:rsidRPr="000E2884">
          <w:rPr>
            <w:rStyle w:val="Hyperlink"/>
            <w:noProof/>
          </w:rPr>
          <w:t>22.6</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How the Growth Areas relate to the Ramsar site</w:t>
        </w:r>
        <w:r>
          <w:rPr>
            <w:noProof/>
            <w:webHidden/>
          </w:rPr>
          <w:tab/>
        </w:r>
        <w:r>
          <w:rPr>
            <w:noProof/>
            <w:webHidden/>
          </w:rPr>
          <w:fldChar w:fldCharType="begin"/>
        </w:r>
        <w:r>
          <w:rPr>
            <w:noProof/>
            <w:webHidden/>
          </w:rPr>
          <w:instrText xml:space="preserve"> PAGEREF _Toc135122693 \h </w:instrText>
        </w:r>
        <w:r>
          <w:rPr>
            <w:noProof/>
            <w:webHidden/>
          </w:rPr>
        </w:r>
        <w:r>
          <w:rPr>
            <w:noProof/>
            <w:webHidden/>
          </w:rPr>
          <w:fldChar w:fldCharType="separate"/>
        </w:r>
        <w:r>
          <w:rPr>
            <w:noProof/>
            <w:webHidden/>
          </w:rPr>
          <w:t>22-10</w:t>
        </w:r>
        <w:r>
          <w:rPr>
            <w:noProof/>
            <w:webHidden/>
          </w:rPr>
          <w:fldChar w:fldCharType="end"/>
        </w:r>
      </w:hyperlink>
    </w:p>
    <w:p w14:paraId="24EAC01C"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4" w:history="1">
        <w:r w:rsidRPr="000E2884">
          <w:rPr>
            <w:rStyle w:val="Hyperlink"/>
            <w:noProof/>
          </w:rPr>
          <w:t>22.7</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Analysis of potential impacts</w:t>
        </w:r>
        <w:r>
          <w:rPr>
            <w:noProof/>
            <w:webHidden/>
          </w:rPr>
          <w:tab/>
        </w:r>
        <w:r>
          <w:rPr>
            <w:noProof/>
            <w:webHidden/>
          </w:rPr>
          <w:fldChar w:fldCharType="begin"/>
        </w:r>
        <w:r>
          <w:rPr>
            <w:noProof/>
            <w:webHidden/>
          </w:rPr>
          <w:instrText xml:space="preserve"> PAGEREF _Toc135122694 \h </w:instrText>
        </w:r>
        <w:r>
          <w:rPr>
            <w:noProof/>
            <w:webHidden/>
          </w:rPr>
        </w:r>
        <w:r>
          <w:rPr>
            <w:noProof/>
            <w:webHidden/>
          </w:rPr>
          <w:fldChar w:fldCharType="separate"/>
        </w:r>
        <w:r>
          <w:rPr>
            <w:noProof/>
            <w:webHidden/>
          </w:rPr>
          <w:t>22-10</w:t>
        </w:r>
        <w:r>
          <w:rPr>
            <w:noProof/>
            <w:webHidden/>
          </w:rPr>
          <w:fldChar w:fldCharType="end"/>
        </w:r>
      </w:hyperlink>
    </w:p>
    <w:p w14:paraId="5CD8C62A"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5" w:history="1">
        <w:r w:rsidRPr="000E2884">
          <w:rPr>
            <w:rStyle w:val="Hyperlink"/>
            <w:noProof/>
          </w:rPr>
          <w:t>22.8</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Addressing obligations under the Ramsar convention</w:t>
        </w:r>
        <w:r>
          <w:rPr>
            <w:noProof/>
            <w:webHidden/>
          </w:rPr>
          <w:tab/>
        </w:r>
        <w:r>
          <w:rPr>
            <w:noProof/>
            <w:webHidden/>
          </w:rPr>
          <w:fldChar w:fldCharType="begin"/>
        </w:r>
        <w:r>
          <w:rPr>
            <w:noProof/>
            <w:webHidden/>
          </w:rPr>
          <w:instrText xml:space="preserve"> PAGEREF _Toc135122695 \h </w:instrText>
        </w:r>
        <w:r>
          <w:rPr>
            <w:noProof/>
            <w:webHidden/>
          </w:rPr>
        </w:r>
        <w:r>
          <w:rPr>
            <w:noProof/>
            <w:webHidden/>
          </w:rPr>
          <w:fldChar w:fldCharType="separate"/>
        </w:r>
        <w:r>
          <w:rPr>
            <w:noProof/>
            <w:webHidden/>
          </w:rPr>
          <w:t>22-17</w:t>
        </w:r>
        <w:r>
          <w:rPr>
            <w:noProof/>
            <w:webHidden/>
          </w:rPr>
          <w:fldChar w:fldCharType="end"/>
        </w:r>
      </w:hyperlink>
    </w:p>
    <w:p w14:paraId="03372ADA"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696" w:history="1">
        <w:r w:rsidRPr="000E2884">
          <w:rPr>
            <w:rStyle w:val="Hyperlink"/>
            <w:noProof/>
          </w:rPr>
          <w:t>23</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Non-threatened migratory species</w:t>
        </w:r>
        <w:r>
          <w:rPr>
            <w:noProof/>
            <w:webHidden/>
          </w:rPr>
          <w:tab/>
        </w:r>
        <w:r>
          <w:rPr>
            <w:noProof/>
            <w:webHidden/>
          </w:rPr>
          <w:fldChar w:fldCharType="begin"/>
        </w:r>
        <w:r>
          <w:rPr>
            <w:noProof/>
            <w:webHidden/>
          </w:rPr>
          <w:instrText xml:space="preserve"> PAGEREF _Toc135122696 \h </w:instrText>
        </w:r>
        <w:r>
          <w:rPr>
            <w:noProof/>
            <w:webHidden/>
          </w:rPr>
        </w:r>
        <w:r>
          <w:rPr>
            <w:noProof/>
            <w:webHidden/>
          </w:rPr>
          <w:fldChar w:fldCharType="separate"/>
        </w:r>
        <w:r>
          <w:rPr>
            <w:noProof/>
            <w:webHidden/>
          </w:rPr>
          <w:t>23-1</w:t>
        </w:r>
        <w:r>
          <w:rPr>
            <w:noProof/>
            <w:webHidden/>
          </w:rPr>
          <w:fldChar w:fldCharType="end"/>
        </w:r>
      </w:hyperlink>
    </w:p>
    <w:p w14:paraId="7673AEC1"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7" w:history="1">
        <w:r w:rsidRPr="000E2884">
          <w:rPr>
            <w:rStyle w:val="Hyperlink"/>
            <w:noProof/>
          </w:rPr>
          <w:t>23.1</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Introduction</w:t>
        </w:r>
        <w:r>
          <w:rPr>
            <w:noProof/>
            <w:webHidden/>
          </w:rPr>
          <w:tab/>
        </w:r>
        <w:r>
          <w:rPr>
            <w:noProof/>
            <w:webHidden/>
          </w:rPr>
          <w:fldChar w:fldCharType="begin"/>
        </w:r>
        <w:r>
          <w:rPr>
            <w:noProof/>
            <w:webHidden/>
          </w:rPr>
          <w:instrText xml:space="preserve"> PAGEREF _Toc135122697 \h </w:instrText>
        </w:r>
        <w:r>
          <w:rPr>
            <w:noProof/>
            <w:webHidden/>
          </w:rPr>
        </w:r>
        <w:r>
          <w:rPr>
            <w:noProof/>
            <w:webHidden/>
          </w:rPr>
          <w:fldChar w:fldCharType="separate"/>
        </w:r>
        <w:r>
          <w:rPr>
            <w:noProof/>
            <w:webHidden/>
          </w:rPr>
          <w:t>23-1</w:t>
        </w:r>
        <w:r>
          <w:rPr>
            <w:noProof/>
            <w:webHidden/>
          </w:rPr>
          <w:fldChar w:fldCharType="end"/>
        </w:r>
      </w:hyperlink>
    </w:p>
    <w:p w14:paraId="4F041FD8"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8" w:history="1">
        <w:r w:rsidRPr="000E2884">
          <w:rPr>
            <w:rStyle w:val="Hyperlink"/>
            <w:noProof/>
          </w:rPr>
          <w:t>23.2</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Regulatory requirements</w:t>
        </w:r>
        <w:r>
          <w:rPr>
            <w:noProof/>
            <w:webHidden/>
          </w:rPr>
          <w:tab/>
        </w:r>
        <w:r>
          <w:rPr>
            <w:noProof/>
            <w:webHidden/>
          </w:rPr>
          <w:fldChar w:fldCharType="begin"/>
        </w:r>
        <w:r>
          <w:rPr>
            <w:noProof/>
            <w:webHidden/>
          </w:rPr>
          <w:instrText xml:space="preserve"> PAGEREF _Toc135122698 \h </w:instrText>
        </w:r>
        <w:r>
          <w:rPr>
            <w:noProof/>
            <w:webHidden/>
          </w:rPr>
        </w:r>
        <w:r>
          <w:rPr>
            <w:noProof/>
            <w:webHidden/>
          </w:rPr>
          <w:fldChar w:fldCharType="separate"/>
        </w:r>
        <w:r>
          <w:rPr>
            <w:noProof/>
            <w:webHidden/>
          </w:rPr>
          <w:t>23-1</w:t>
        </w:r>
        <w:r>
          <w:rPr>
            <w:noProof/>
            <w:webHidden/>
          </w:rPr>
          <w:fldChar w:fldCharType="end"/>
        </w:r>
      </w:hyperlink>
    </w:p>
    <w:p w14:paraId="6C468A4B"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699" w:history="1">
        <w:r w:rsidRPr="000E2884">
          <w:rPr>
            <w:rStyle w:val="Hyperlink"/>
            <w:noProof/>
          </w:rPr>
          <w:t>23.3</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Identification of species requiring assessment</w:t>
        </w:r>
        <w:r>
          <w:rPr>
            <w:noProof/>
            <w:webHidden/>
          </w:rPr>
          <w:tab/>
        </w:r>
        <w:r>
          <w:rPr>
            <w:noProof/>
            <w:webHidden/>
          </w:rPr>
          <w:fldChar w:fldCharType="begin"/>
        </w:r>
        <w:r>
          <w:rPr>
            <w:noProof/>
            <w:webHidden/>
          </w:rPr>
          <w:instrText xml:space="preserve"> PAGEREF _Toc135122699 \h </w:instrText>
        </w:r>
        <w:r>
          <w:rPr>
            <w:noProof/>
            <w:webHidden/>
          </w:rPr>
        </w:r>
        <w:r>
          <w:rPr>
            <w:noProof/>
            <w:webHidden/>
          </w:rPr>
          <w:fldChar w:fldCharType="separate"/>
        </w:r>
        <w:r>
          <w:rPr>
            <w:noProof/>
            <w:webHidden/>
          </w:rPr>
          <w:t>23-2</w:t>
        </w:r>
        <w:r>
          <w:rPr>
            <w:noProof/>
            <w:webHidden/>
          </w:rPr>
          <w:fldChar w:fldCharType="end"/>
        </w:r>
      </w:hyperlink>
    </w:p>
    <w:p w14:paraId="69343D81"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0" w:history="1">
        <w:r w:rsidRPr="000E2884">
          <w:rPr>
            <w:rStyle w:val="Hyperlink"/>
            <w:noProof/>
          </w:rPr>
          <w:t>23.4</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Assessment of migratory shorebirds</w:t>
        </w:r>
        <w:r>
          <w:rPr>
            <w:noProof/>
            <w:webHidden/>
          </w:rPr>
          <w:tab/>
        </w:r>
        <w:r>
          <w:rPr>
            <w:noProof/>
            <w:webHidden/>
          </w:rPr>
          <w:fldChar w:fldCharType="begin"/>
        </w:r>
        <w:r>
          <w:rPr>
            <w:noProof/>
            <w:webHidden/>
          </w:rPr>
          <w:instrText xml:space="preserve"> PAGEREF _Toc135122700 \h </w:instrText>
        </w:r>
        <w:r>
          <w:rPr>
            <w:noProof/>
            <w:webHidden/>
          </w:rPr>
        </w:r>
        <w:r>
          <w:rPr>
            <w:noProof/>
            <w:webHidden/>
          </w:rPr>
          <w:fldChar w:fldCharType="separate"/>
        </w:r>
        <w:r>
          <w:rPr>
            <w:noProof/>
            <w:webHidden/>
          </w:rPr>
          <w:t>23-3</w:t>
        </w:r>
        <w:r>
          <w:rPr>
            <w:noProof/>
            <w:webHidden/>
          </w:rPr>
          <w:fldChar w:fldCharType="end"/>
        </w:r>
      </w:hyperlink>
    </w:p>
    <w:p w14:paraId="14286B09"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1" w:history="1">
        <w:r w:rsidRPr="000E2884">
          <w:rPr>
            <w:rStyle w:val="Hyperlink"/>
            <w:noProof/>
          </w:rPr>
          <w:t>23.5</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Assessment of migratory birds which do not have guidelines</w:t>
        </w:r>
        <w:r>
          <w:rPr>
            <w:noProof/>
            <w:webHidden/>
          </w:rPr>
          <w:tab/>
        </w:r>
        <w:r>
          <w:rPr>
            <w:noProof/>
            <w:webHidden/>
          </w:rPr>
          <w:fldChar w:fldCharType="begin"/>
        </w:r>
        <w:r>
          <w:rPr>
            <w:noProof/>
            <w:webHidden/>
          </w:rPr>
          <w:instrText xml:space="preserve"> PAGEREF _Toc135122701 \h </w:instrText>
        </w:r>
        <w:r>
          <w:rPr>
            <w:noProof/>
            <w:webHidden/>
          </w:rPr>
        </w:r>
        <w:r>
          <w:rPr>
            <w:noProof/>
            <w:webHidden/>
          </w:rPr>
          <w:fldChar w:fldCharType="separate"/>
        </w:r>
        <w:r>
          <w:rPr>
            <w:noProof/>
            <w:webHidden/>
          </w:rPr>
          <w:t>23-15</w:t>
        </w:r>
        <w:r>
          <w:rPr>
            <w:noProof/>
            <w:webHidden/>
          </w:rPr>
          <w:fldChar w:fldCharType="end"/>
        </w:r>
      </w:hyperlink>
    </w:p>
    <w:p w14:paraId="6D9F04B2"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702" w:history="1">
        <w:r w:rsidRPr="000E2884">
          <w:rPr>
            <w:rStyle w:val="Hyperlink"/>
            <w:noProof/>
          </w:rPr>
          <w:t>24</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Finalised Priority Assessment List (FPAL)</w:t>
        </w:r>
        <w:r>
          <w:rPr>
            <w:noProof/>
            <w:webHidden/>
          </w:rPr>
          <w:tab/>
        </w:r>
        <w:r>
          <w:rPr>
            <w:noProof/>
            <w:webHidden/>
          </w:rPr>
          <w:fldChar w:fldCharType="begin"/>
        </w:r>
        <w:r>
          <w:rPr>
            <w:noProof/>
            <w:webHidden/>
          </w:rPr>
          <w:instrText xml:space="preserve"> PAGEREF _Toc135122702 \h </w:instrText>
        </w:r>
        <w:r>
          <w:rPr>
            <w:noProof/>
            <w:webHidden/>
          </w:rPr>
        </w:r>
        <w:r>
          <w:rPr>
            <w:noProof/>
            <w:webHidden/>
          </w:rPr>
          <w:fldChar w:fldCharType="separate"/>
        </w:r>
        <w:r>
          <w:rPr>
            <w:noProof/>
            <w:webHidden/>
          </w:rPr>
          <w:t>24-1</w:t>
        </w:r>
        <w:r>
          <w:rPr>
            <w:noProof/>
            <w:webHidden/>
          </w:rPr>
          <w:fldChar w:fldCharType="end"/>
        </w:r>
      </w:hyperlink>
    </w:p>
    <w:p w14:paraId="088404FF"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703" w:history="1">
        <w:r w:rsidRPr="000E2884">
          <w:rPr>
            <w:rStyle w:val="Hyperlink"/>
            <w:noProof/>
          </w:rPr>
          <w:t>25</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Cumulative impact assessment</w:t>
        </w:r>
        <w:r>
          <w:rPr>
            <w:noProof/>
            <w:webHidden/>
          </w:rPr>
          <w:tab/>
        </w:r>
        <w:r>
          <w:rPr>
            <w:noProof/>
            <w:webHidden/>
          </w:rPr>
          <w:fldChar w:fldCharType="begin"/>
        </w:r>
        <w:r>
          <w:rPr>
            <w:noProof/>
            <w:webHidden/>
          </w:rPr>
          <w:instrText xml:space="preserve"> PAGEREF _Toc135122703 \h </w:instrText>
        </w:r>
        <w:r>
          <w:rPr>
            <w:noProof/>
            <w:webHidden/>
          </w:rPr>
        </w:r>
        <w:r>
          <w:rPr>
            <w:noProof/>
            <w:webHidden/>
          </w:rPr>
          <w:fldChar w:fldCharType="separate"/>
        </w:r>
        <w:r>
          <w:rPr>
            <w:noProof/>
            <w:webHidden/>
          </w:rPr>
          <w:t>25-1</w:t>
        </w:r>
        <w:r>
          <w:rPr>
            <w:noProof/>
            <w:webHidden/>
          </w:rPr>
          <w:fldChar w:fldCharType="end"/>
        </w:r>
      </w:hyperlink>
    </w:p>
    <w:p w14:paraId="4BC06681"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4" w:history="1">
        <w:r w:rsidRPr="000E2884">
          <w:rPr>
            <w:rStyle w:val="Hyperlink"/>
            <w:noProof/>
          </w:rPr>
          <w:t>25.1</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Introduction</w:t>
        </w:r>
        <w:r>
          <w:rPr>
            <w:noProof/>
            <w:webHidden/>
          </w:rPr>
          <w:tab/>
        </w:r>
        <w:r>
          <w:rPr>
            <w:noProof/>
            <w:webHidden/>
          </w:rPr>
          <w:fldChar w:fldCharType="begin"/>
        </w:r>
        <w:r>
          <w:rPr>
            <w:noProof/>
            <w:webHidden/>
          </w:rPr>
          <w:instrText xml:space="preserve"> PAGEREF _Toc135122704 \h </w:instrText>
        </w:r>
        <w:r>
          <w:rPr>
            <w:noProof/>
            <w:webHidden/>
          </w:rPr>
        </w:r>
        <w:r>
          <w:rPr>
            <w:noProof/>
            <w:webHidden/>
          </w:rPr>
          <w:fldChar w:fldCharType="separate"/>
        </w:r>
        <w:r>
          <w:rPr>
            <w:noProof/>
            <w:webHidden/>
          </w:rPr>
          <w:t>25-1</w:t>
        </w:r>
        <w:r>
          <w:rPr>
            <w:noProof/>
            <w:webHidden/>
          </w:rPr>
          <w:fldChar w:fldCharType="end"/>
        </w:r>
      </w:hyperlink>
    </w:p>
    <w:p w14:paraId="2F2941B9"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5" w:history="1">
        <w:r w:rsidRPr="000E2884">
          <w:rPr>
            <w:rStyle w:val="Hyperlink"/>
            <w:noProof/>
          </w:rPr>
          <w:t>25.2</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Requirements and purpose of the CIA</w:t>
        </w:r>
        <w:r>
          <w:rPr>
            <w:noProof/>
            <w:webHidden/>
          </w:rPr>
          <w:tab/>
        </w:r>
        <w:r>
          <w:rPr>
            <w:noProof/>
            <w:webHidden/>
          </w:rPr>
          <w:fldChar w:fldCharType="begin"/>
        </w:r>
        <w:r>
          <w:rPr>
            <w:noProof/>
            <w:webHidden/>
          </w:rPr>
          <w:instrText xml:space="preserve"> PAGEREF _Toc135122705 \h </w:instrText>
        </w:r>
        <w:r>
          <w:rPr>
            <w:noProof/>
            <w:webHidden/>
          </w:rPr>
        </w:r>
        <w:r>
          <w:rPr>
            <w:noProof/>
            <w:webHidden/>
          </w:rPr>
          <w:fldChar w:fldCharType="separate"/>
        </w:r>
        <w:r>
          <w:rPr>
            <w:noProof/>
            <w:webHidden/>
          </w:rPr>
          <w:t>25-1</w:t>
        </w:r>
        <w:r>
          <w:rPr>
            <w:noProof/>
            <w:webHidden/>
          </w:rPr>
          <w:fldChar w:fldCharType="end"/>
        </w:r>
      </w:hyperlink>
    </w:p>
    <w:p w14:paraId="5CCB2E65"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6" w:history="1">
        <w:r w:rsidRPr="000E2884">
          <w:rPr>
            <w:rStyle w:val="Hyperlink"/>
            <w:noProof/>
          </w:rPr>
          <w:t>25.3</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Overview and structure</w:t>
        </w:r>
        <w:r>
          <w:rPr>
            <w:noProof/>
            <w:webHidden/>
          </w:rPr>
          <w:tab/>
        </w:r>
        <w:r>
          <w:rPr>
            <w:noProof/>
            <w:webHidden/>
          </w:rPr>
          <w:fldChar w:fldCharType="begin"/>
        </w:r>
        <w:r>
          <w:rPr>
            <w:noProof/>
            <w:webHidden/>
          </w:rPr>
          <w:instrText xml:space="preserve"> PAGEREF _Toc135122706 \h </w:instrText>
        </w:r>
        <w:r>
          <w:rPr>
            <w:noProof/>
            <w:webHidden/>
          </w:rPr>
        </w:r>
        <w:r>
          <w:rPr>
            <w:noProof/>
            <w:webHidden/>
          </w:rPr>
          <w:fldChar w:fldCharType="separate"/>
        </w:r>
        <w:r>
          <w:rPr>
            <w:noProof/>
            <w:webHidden/>
          </w:rPr>
          <w:t>25-2</w:t>
        </w:r>
        <w:r>
          <w:rPr>
            <w:noProof/>
            <w:webHidden/>
          </w:rPr>
          <w:fldChar w:fldCharType="end"/>
        </w:r>
      </w:hyperlink>
    </w:p>
    <w:p w14:paraId="79BFD0E0"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7" w:history="1">
        <w:r w:rsidRPr="000E2884">
          <w:rPr>
            <w:rStyle w:val="Hyperlink"/>
            <w:noProof/>
          </w:rPr>
          <w:t>25.4</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Cumulative impacts and threatning processes</w:t>
        </w:r>
        <w:r>
          <w:rPr>
            <w:noProof/>
            <w:webHidden/>
          </w:rPr>
          <w:tab/>
        </w:r>
        <w:r>
          <w:rPr>
            <w:noProof/>
            <w:webHidden/>
          </w:rPr>
          <w:fldChar w:fldCharType="begin"/>
        </w:r>
        <w:r>
          <w:rPr>
            <w:noProof/>
            <w:webHidden/>
          </w:rPr>
          <w:instrText xml:space="preserve"> PAGEREF _Toc135122707 \h </w:instrText>
        </w:r>
        <w:r>
          <w:rPr>
            <w:noProof/>
            <w:webHidden/>
          </w:rPr>
        </w:r>
        <w:r>
          <w:rPr>
            <w:noProof/>
            <w:webHidden/>
          </w:rPr>
          <w:fldChar w:fldCharType="separate"/>
        </w:r>
        <w:r>
          <w:rPr>
            <w:noProof/>
            <w:webHidden/>
          </w:rPr>
          <w:t>25-2</w:t>
        </w:r>
        <w:r>
          <w:rPr>
            <w:noProof/>
            <w:webHidden/>
          </w:rPr>
          <w:fldChar w:fldCharType="end"/>
        </w:r>
      </w:hyperlink>
    </w:p>
    <w:p w14:paraId="4EBD08B3"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8" w:history="1">
        <w:r w:rsidRPr="000E2884">
          <w:rPr>
            <w:rStyle w:val="Hyperlink"/>
            <w:noProof/>
          </w:rPr>
          <w:t>25.5</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MNES subject to the CIA</w:t>
        </w:r>
        <w:r>
          <w:rPr>
            <w:noProof/>
            <w:webHidden/>
          </w:rPr>
          <w:tab/>
        </w:r>
        <w:r>
          <w:rPr>
            <w:noProof/>
            <w:webHidden/>
          </w:rPr>
          <w:fldChar w:fldCharType="begin"/>
        </w:r>
        <w:r>
          <w:rPr>
            <w:noProof/>
            <w:webHidden/>
          </w:rPr>
          <w:instrText xml:space="preserve"> PAGEREF _Toc135122708 \h </w:instrText>
        </w:r>
        <w:r>
          <w:rPr>
            <w:noProof/>
            <w:webHidden/>
          </w:rPr>
        </w:r>
        <w:r>
          <w:rPr>
            <w:noProof/>
            <w:webHidden/>
          </w:rPr>
          <w:fldChar w:fldCharType="separate"/>
        </w:r>
        <w:r>
          <w:rPr>
            <w:noProof/>
            <w:webHidden/>
          </w:rPr>
          <w:t>25-3</w:t>
        </w:r>
        <w:r>
          <w:rPr>
            <w:noProof/>
            <w:webHidden/>
          </w:rPr>
          <w:fldChar w:fldCharType="end"/>
        </w:r>
      </w:hyperlink>
    </w:p>
    <w:p w14:paraId="4503A773"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09" w:history="1">
        <w:r w:rsidRPr="000E2884">
          <w:rPr>
            <w:rStyle w:val="Hyperlink"/>
            <w:noProof/>
          </w:rPr>
          <w:t>25.6</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Quantitative CIA</w:t>
        </w:r>
        <w:r>
          <w:rPr>
            <w:noProof/>
            <w:webHidden/>
          </w:rPr>
          <w:tab/>
        </w:r>
        <w:r>
          <w:rPr>
            <w:noProof/>
            <w:webHidden/>
          </w:rPr>
          <w:fldChar w:fldCharType="begin"/>
        </w:r>
        <w:r>
          <w:rPr>
            <w:noProof/>
            <w:webHidden/>
          </w:rPr>
          <w:instrText xml:space="preserve"> PAGEREF _Toc135122709 \h </w:instrText>
        </w:r>
        <w:r>
          <w:rPr>
            <w:noProof/>
            <w:webHidden/>
          </w:rPr>
        </w:r>
        <w:r>
          <w:rPr>
            <w:noProof/>
            <w:webHidden/>
          </w:rPr>
          <w:fldChar w:fldCharType="separate"/>
        </w:r>
        <w:r>
          <w:rPr>
            <w:noProof/>
            <w:webHidden/>
          </w:rPr>
          <w:t>25-3</w:t>
        </w:r>
        <w:r>
          <w:rPr>
            <w:noProof/>
            <w:webHidden/>
          </w:rPr>
          <w:fldChar w:fldCharType="end"/>
        </w:r>
      </w:hyperlink>
    </w:p>
    <w:p w14:paraId="383BBA40"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10" w:history="1">
        <w:r w:rsidRPr="000E2884">
          <w:rPr>
            <w:rStyle w:val="Hyperlink"/>
            <w:noProof/>
          </w:rPr>
          <w:t>25.7</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Qualitative CIA</w:t>
        </w:r>
        <w:r>
          <w:rPr>
            <w:noProof/>
            <w:webHidden/>
          </w:rPr>
          <w:tab/>
        </w:r>
        <w:r>
          <w:rPr>
            <w:noProof/>
            <w:webHidden/>
          </w:rPr>
          <w:fldChar w:fldCharType="begin"/>
        </w:r>
        <w:r>
          <w:rPr>
            <w:noProof/>
            <w:webHidden/>
          </w:rPr>
          <w:instrText xml:space="preserve"> PAGEREF _Toc135122710 \h </w:instrText>
        </w:r>
        <w:r>
          <w:rPr>
            <w:noProof/>
            <w:webHidden/>
          </w:rPr>
        </w:r>
        <w:r>
          <w:rPr>
            <w:noProof/>
            <w:webHidden/>
          </w:rPr>
          <w:fldChar w:fldCharType="separate"/>
        </w:r>
        <w:r>
          <w:rPr>
            <w:noProof/>
            <w:webHidden/>
          </w:rPr>
          <w:t>25-11</w:t>
        </w:r>
        <w:r>
          <w:rPr>
            <w:noProof/>
            <w:webHidden/>
          </w:rPr>
          <w:fldChar w:fldCharType="end"/>
        </w:r>
      </w:hyperlink>
    </w:p>
    <w:p w14:paraId="6664EA10"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711" w:history="1">
        <w:r w:rsidRPr="000E2884">
          <w:rPr>
            <w:rStyle w:val="Hyperlink"/>
            <w:noProof/>
          </w:rPr>
          <w:t>26</w:t>
        </w:r>
        <w:r>
          <w:rPr>
            <w:rFonts w:asciiTheme="minorHAnsi" w:eastAsiaTheme="minorEastAsia" w:hAnsiTheme="minorHAnsi" w:cstheme="minorBidi"/>
            <w:b w:val="0"/>
            <w:bCs w:val="0"/>
            <w:caps w:val="0"/>
            <w:noProof/>
            <w:kern w:val="2"/>
            <w:sz w:val="24"/>
            <w:szCs w:val="24"/>
            <w:lang w:eastAsia="en-GB"/>
            <w14:ligatures w14:val="standardContextual"/>
          </w:rPr>
          <w:tab/>
        </w:r>
        <w:r w:rsidRPr="000E2884">
          <w:rPr>
            <w:rStyle w:val="Hyperlink"/>
            <w:noProof/>
          </w:rPr>
          <w:t>Socio-economic impact assessment</w:t>
        </w:r>
        <w:r>
          <w:rPr>
            <w:noProof/>
            <w:webHidden/>
          </w:rPr>
          <w:tab/>
        </w:r>
        <w:r>
          <w:rPr>
            <w:noProof/>
            <w:webHidden/>
          </w:rPr>
          <w:fldChar w:fldCharType="begin"/>
        </w:r>
        <w:r>
          <w:rPr>
            <w:noProof/>
            <w:webHidden/>
          </w:rPr>
          <w:instrText xml:space="preserve"> PAGEREF _Toc135122711 \h </w:instrText>
        </w:r>
        <w:r>
          <w:rPr>
            <w:noProof/>
            <w:webHidden/>
          </w:rPr>
        </w:r>
        <w:r>
          <w:rPr>
            <w:noProof/>
            <w:webHidden/>
          </w:rPr>
          <w:fldChar w:fldCharType="separate"/>
        </w:r>
        <w:r>
          <w:rPr>
            <w:noProof/>
            <w:webHidden/>
          </w:rPr>
          <w:t>26-1</w:t>
        </w:r>
        <w:r>
          <w:rPr>
            <w:noProof/>
            <w:webHidden/>
          </w:rPr>
          <w:fldChar w:fldCharType="end"/>
        </w:r>
      </w:hyperlink>
    </w:p>
    <w:p w14:paraId="48744639"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12" w:history="1">
        <w:r w:rsidRPr="000E2884">
          <w:rPr>
            <w:rStyle w:val="Hyperlink"/>
            <w:noProof/>
          </w:rPr>
          <w:t>26.1</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Introduction</w:t>
        </w:r>
        <w:r>
          <w:rPr>
            <w:noProof/>
            <w:webHidden/>
          </w:rPr>
          <w:tab/>
        </w:r>
        <w:r>
          <w:rPr>
            <w:noProof/>
            <w:webHidden/>
          </w:rPr>
          <w:fldChar w:fldCharType="begin"/>
        </w:r>
        <w:r>
          <w:rPr>
            <w:noProof/>
            <w:webHidden/>
          </w:rPr>
          <w:instrText xml:space="preserve"> PAGEREF _Toc135122712 \h </w:instrText>
        </w:r>
        <w:r>
          <w:rPr>
            <w:noProof/>
            <w:webHidden/>
          </w:rPr>
        </w:r>
        <w:r>
          <w:rPr>
            <w:noProof/>
            <w:webHidden/>
          </w:rPr>
          <w:fldChar w:fldCharType="separate"/>
        </w:r>
        <w:r>
          <w:rPr>
            <w:noProof/>
            <w:webHidden/>
          </w:rPr>
          <w:t>26-1</w:t>
        </w:r>
        <w:r>
          <w:rPr>
            <w:noProof/>
            <w:webHidden/>
          </w:rPr>
          <w:fldChar w:fldCharType="end"/>
        </w:r>
      </w:hyperlink>
    </w:p>
    <w:p w14:paraId="2FB6CD74"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13" w:history="1">
        <w:r w:rsidRPr="000E2884">
          <w:rPr>
            <w:rStyle w:val="Hyperlink"/>
            <w:noProof/>
          </w:rPr>
          <w:t>26.2</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Approach to the socio-economic impact assessment</w:t>
        </w:r>
        <w:r>
          <w:rPr>
            <w:noProof/>
            <w:webHidden/>
          </w:rPr>
          <w:tab/>
        </w:r>
        <w:r>
          <w:rPr>
            <w:noProof/>
            <w:webHidden/>
          </w:rPr>
          <w:fldChar w:fldCharType="begin"/>
        </w:r>
        <w:r>
          <w:rPr>
            <w:noProof/>
            <w:webHidden/>
          </w:rPr>
          <w:instrText xml:space="preserve"> PAGEREF _Toc135122713 \h </w:instrText>
        </w:r>
        <w:r>
          <w:rPr>
            <w:noProof/>
            <w:webHidden/>
          </w:rPr>
        </w:r>
        <w:r>
          <w:rPr>
            <w:noProof/>
            <w:webHidden/>
          </w:rPr>
          <w:fldChar w:fldCharType="separate"/>
        </w:r>
        <w:r>
          <w:rPr>
            <w:noProof/>
            <w:webHidden/>
          </w:rPr>
          <w:t>26-1</w:t>
        </w:r>
        <w:r>
          <w:rPr>
            <w:noProof/>
            <w:webHidden/>
          </w:rPr>
          <w:fldChar w:fldCharType="end"/>
        </w:r>
      </w:hyperlink>
    </w:p>
    <w:p w14:paraId="12F49F54"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14" w:history="1">
        <w:r w:rsidRPr="000E2884">
          <w:rPr>
            <w:rStyle w:val="Hyperlink"/>
            <w:noProof/>
          </w:rPr>
          <w:t>26.3</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Socio-economic impact assessment</w:t>
        </w:r>
        <w:r>
          <w:rPr>
            <w:noProof/>
            <w:webHidden/>
          </w:rPr>
          <w:tab/>
        </w:r>
        <w:r>
          <w:rPr>
            <w:noProof/>
            <w:webHidden/>
          </w:rPr>
          <w:fldChar w:fldCharType="begin"/>
        </w:r>
        <w:r>
          <w:rPr>
            <w:noProof/>
            <w:webHidden/>
          </w:rPr>
          <w:instrText xml:space="preserve"> PAGEREF _Toc135122714 \h </w:instrText>
        </w:r>
        <w:r>
          <w:rPr>
            <w:noProof/>
            <w:webHidden/>
          </w:rPr>
        </w:r>
        <w:r>
          <w:rPr>
            <w:noProof/>
            <w:webHidden/>
          </w:rPr>
          <w:fldChar w:fldCharType="separate"/>
        </w:r>
        <w:r>
          <w:rPr>
            <w:noProof/>
            <w:webHidden/>
          </w:rPr>
          <w:t>26-4</w:t>
        </w:r>
        <w:r>
          <w:rPr>
            <w:noProof/>
            <w:webHidden/>
          </w:rPr>
          <w:fldChar w:fldCharType="end"/>
        </w:r>
      </w:hyperlink>
    </w:p>
    <w:p w14:paraId="4D91183B" w14:textId="77777777" w:rsidR="008C1AD8" w:rsidRDefault="008C1AD8" w:rsidP="008C1AD8">
      <w:pPr>
        <w:pStyle w:val="TOC2"/>
        <w:rPr>
          <w:rFonts w:asciiTheme="minorHAnsi" w:eastAsiaTheme="minorEastAsia" w:hAnsiTheme="minorHAnsi" w:cstheme="minorBidi"/>
          <w:noProof/>
          <w:kern w:val="2"/>
          <w:sz w:val="24"/>
          <w:szCs w:val="24"/>
          <w:lang w:eastAsia="en-GB"/>
          <w14:ligatures w14:val="standardContextual"/>
        </w:rPr>
      </w:pPr>
      <w:hyperlink w:anchor="_Toc135122715" w:history="1">
        <w:r w:rsidRPr="000E2884">
          <w:rPr>
            <w:rStyle w:val="Hyperlink"/>
            <w:noProof/>
          </w:rPr>
          <w:t>26.4</w:t>
        </w:r>
        <w:r>
          <w:rPr>
            <w:rFonts w:asciiTheme="minorHAnsi" w:eastAsiaTheme="minorEastAsia" w:hAnsiTheme="minorHAnsi" w:cstheme="minorBidi"/>
            <w:noProof/>
            <w:kern w:val="2"/>
            <w:sz w:val="24"/>
            <w:szCs w:val="24"/>
            <w:lang w:eastAsia="en-GB"/>
            <w14:ligatures w14:val="standardContextual"/>
          </w:rPr>
          <w:tab/>
        </w:r>
        <w:r w:rsidRPr="000E2884">
          <w:rPr>
            <w:rStyle w:val="Hyperlink"/>
            <w:noProof/>
          </w:rPr>
          <w:t>Consultation and procedural fairness</w:t>
        </w:r>
        <w:r>
          <w:rPr>
            <w:noProof/>
            <w:webHidden/>
          </w:rPr>
          <w:tab/>
        </w:r>
        <w:r>
          <w:rPr>
            <w:noProof/>
            <w:webHidden/>
          </w:rPr>
          <w:fldChar w:fldCharType="begin"/>
        </w:r>
        <w:r>
          <w:rPr>
            <w:noProof/>
            <w:webHidden/>
          </w:rPr>
          <w:instrText xml:space="preserve"> PAGEREF _Toc135122715 \h </w:instrText>
        </w:r>
        <w:r>
          <w:rPr>
            <w:noProof/>
            <w:webHidden/>
          </w:rPr>
        </w:r>
        <w:r>
          <w:rPr>
            <w:noProof/>
            <w:webHidden/>
          </w:rPr>
          <w:fldChar w:fldCharType="separate"/>
        </w:r>
        <w:r>
          <w:rPr>
            <w:noProof/>
            <w:webHidden/>
          </w:rPr>
          <w:t>26-15</w:t>
        </w:r>
        <w:r>
          <w:rPr>
            <w:noProof/>
            <w:webHidden/>
          </w:rPr>
          <w:fldChar w:fldCharType="end"/>
        </w:r>
      </w:hyperlink>
    </w:p>
    <w:p w14:paraId="525B6A8C" w14:textId="77777777" w:rsidR="008C1AD8" w:rsidRDefault="008C1AD8" w:rsidP="008C1AD8">
      <w:pPr>
        <w:pStyle w:val="TOC1"/>
        <w:rPr>
          <w:rFonts w:asciiTheme="minorHAnsi" w:eastAsiaTheme="minorEastAsia" w:hAnsiTheme="minorHAnsi" w:cstheme="minorBidi"/>
          <w:b w:val="0"/>
          <w:bCs w:val="0"/>
          <w:caps w:val="0"/>
          <w:noProof/>
          <w:kern w:val="2"/>
          <w:sz w:val="24"/>
          <w:szCs w:val="24"/>
          <w:lang w:eastAsia="en-GB"/>
          <w14:ligatures w14:val="standardContextual"/>
        </w:rPr>
      </w:pPr>
      <w:hyperlink w:anchor="_Toc135122716" w:history="1">
        <w:r w:rsidRPr="000E2884">
          <w:rPr>
            <w:rStyle w:val="Hyperlink"/>
            <w:noProof/>
          </w:rPr>
          <w:t>References</w:t>
        </w:r>
        <w:r>
          <w:rPr>
            <w:noProof/>
            <w:webHidden/>
          </w:rPr>
          <w:tab/>
        </w:r>
        <w:r>
          <w:rPr>
            <w:noProof/>
            <w:webHidden/>
          </w:rPr>
          <w:fldChar w:fldCharType="begin"/>
        </w:r>
        <w:r>
          <w:rPr>
            <w:noProof/>
            <w:webHidden/>
          </w:rPr>
          <w:instrText xml:space="preserve"> PAGEREF _Toc135122716 \h </w:instrText>
        </w:r>
        <w:r>
          <w:rPr>
            <w:noProof/>
            <w:webHidden/>
          </w:rPr>
        </w:r>
        <w:r>
          <w:rPr>
            <w:noProof/>
            <w:webHidden/>
          </w:rPr>
          <w:fldChar w:fldCharType="separate"/>
        </w:r>
        <w:r>
          <w:rPr>
            <w:noProof/>
            <w:webHidden/>
          </w:rPr>
          <w:t>A</w:t>
        </w:r>
        <w:r>
          <w:rPr>
            <w:noProof/>
            <w:webHidden/>
          </w:rPr>
          <w:fldChar w:fldCharType="end"/>
        </w:r>
      </w:hyperlink>
    </w:p>
    <w:p w14:paraId="181351E8" w14:textId="77777777" w:rsidR="008C1AD8" w:rsidRDefault="008C1AD8" w:rsidP="008C1AD8">
      <w:r>
        <w:fldChar w:fldCharType="end"/>
      </w:r>
    </w:p>
    <w:p w14:paraId="3839EAFA" w14:textId="77777777" w:rsidR="008C1AD8" w:rsidRDefault="008C1AD8" w:rsidP="008C1AD8">
      <w:pPr>
        <w:pStyle w:val="Contentsacronymsreferences"/>
      </w:pPr>
      <w:bookmarkStart w:id="44" w:name="_Toc135122668"/>
      <w:r>
        <w:t>List of tables</w:t>
      </w:r>
      <w:bookmarkEnd w:id="44"/>
    </w:p>
    <w:p w14:paraId="20F84D6B"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\h \z \c "Table" </w:instrText>
      </w:r>
      <w:r>
        <w:fldChar w:fldCharType="separate"/>
      </w:r>
      <w:hyperlink w:anchor="_Toc135122717" w:history="1">
        <w:r w:rsidRPr="00BB15E1">
          <w:rPr>
            <w:rStyle w:val="Hyperlink"/>
            <w:noProof/>
          </w:rPr>
          <w:t>Table 19</w:t>
        </w:r>
        <w:r w:rsidRPr="00BB15E1">
          <w:rPr>
            <w:rStyle w:val="Hyperlink"/>
            <w:noProof/>
          </w:rPr>
          <w:noBreakHyphen/>
          <w:t>1:  Golden Sun Moth habitat occurring within surveyed areas of the NGGA</w:t>
        </w:r>
        <w:r>
          <w:rPr>
            <w:noProof/>
            <w:webHidden/>
          </w:rPr>
          <w:tab/>
        </w:r>
        <w:r>
          <w:rPr>
            <w:noProof/>
            <w:webHidden/>
          </w:rPr>
          <w:fldChar w:fldCharType="begin"/>
        </w:r>
        <w:r>
          <w:rPr>
            <w:noProof/>
            <w:webHidden/>
          </w:rPr>
          <w:instrText xml:space="preserve"> PAGEREF _Toc135122717 \h </w:instrText>
        </w:r>
        <w:r>
          <w:rPr>
            <w:noProof/>
            <w:webHidden/>
          </w:rPr>
        </w:r>
        <w:r>
          <w:rPr>
            <w:noProof/>
            <w:webHidden/>
          </w:rPr>
          <w:fldChar w:fldCharType="separate"/>
        </w:r>
        <w:r>
          <w:rPr>
            <w:noProof/>
            <w:webHidden/>
          </w:rPr>
          <w:t>19-5</w:t>
        </w:r>
        <w:r>
          <w:rPr>
            <w:noProof/>
            <w:webHidden/>
          </w:rPr>
          <w:fldChar w:fldCharType="end"/>
        </w:r>
      </w:hyperlink>
    </w:p>
    <w:p w14:paraId="70BEB81E"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18" w:history="1">
        <w:r w:rsidRPr="00BB15E1">
          <w:rPr>
            <w:rStyle w:val="Hyperlink"/>
            <w:noProof/>
          </w:rPr>
          <w:t>Table 19</w:t>
        </w:r>
        <w:r w:rsidRPr="00BB15E1">
          <w:rPr>
            <w:rStyle w:val="Hyperlink"/>
            <w:noProof/>
          </w:rPr>
          <w:noBreakHyphen/>
          <w:t>2:  GSM habitat occurring across the broader Study Area</w:t>
        </w:r>
        <w:r>
          <w:rPr>
            <w:noProof/>
            <w:webHidden/>
          </w:rPr>
          <w:tab/>
        </w:r>
        <w:r>
          <w:rPr>
            <w:noProof/>
            <w:webHidden/>
          </w:rPr>
          <w:fldChar w:fldCharType="begin"/>
        </w:r>
        <w:r>
          <w:rPr>
            <w:noProof/>
            <w:webHidden/>
          </w:rPr>
          <w:instrText xml:space="preserve"> PAGEREF _Toc135122718 \h </w:instrText>
        </w:r>
        <w:r>
          <w:rPr>
            <w:noProof/>
            <w:webHidden/>
          </w:rPr>
        </w:r>
        <w:r>
          <w:rPr>
            <w:noProof/>
            <w:webHidden/>
          </w:rPr>
          <w:fldChar w:fldCharType="separate"/>
        </w:r>
        <w:r>
          <w:rPr>
            <w:noProof/>
            <w:webHidden/>
          </w:rPr>
          <w:t>19-6</w:t>
        </w:r>
        <w:r>
          <w:rPr>
            <w:noProof/>
            <w:webHidden/>
          </w:rPr>
          <w:fldChar w:fldCharType="end"/>
        </w:r>
      </w:hyperlink>
    </w:p>
    <w:p w14:paraId="5FAA4438"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19" w:history="1">
        <w:r w:rsidRPr="00BB15E1">
          <w:rPr>
            <w:rStyle w:val="Hyperlink"/>
            <w:noProof/>
          </w:rPr>
          <w:t>Table 19</w:t>
        </w:r>
        <w:r w:rsidRPr="00BB15E1">
          <w:rPr>
            <w:rStyle w:val="Hyperlink"/>
            <w:noProof/>
          </w:rPr>
          <w:noBreakHyphen/>
          <w:t>3: Relevant Key Threatening Processes and associated Threat Abatement Plans for the Golden Sun Moth</w:t>
        </w:r>
        <w:r>
          <w:rPr>
            <w:noProof/>
            <w:webHidden/>
          </w:rPr>
          <w:tab/>
        </w:r>
        <w:r>
          <w:rPr>
            <w:noProof/>
            <w:webHidden/>
          </w:rPr>
          <w:fldChar w:fldCharType="begin"/>
        </w:r>
        <w:r>
          <w:rPr>
            <w:noProof/>
            <w:webHidden/>
          </w:rPr>
          <w:instrText xml:space="preserve"> PAGEREF _Toc135122719 \h </w:instrText>
        </w:r>
        <w:r>
          <w:rPr>
            <w:noProof/>
            <w:webHidden/>
          </w:rPr>
        </w:r>
        <w:r>
          <w:rPr>
            <w:noProof/>
            <w:webHidden/>
          </w:rPr>
          <w:fldChar w:fldCharType="separate"/>
        </w:r>
        <w:r>
          <w:rPr>
            <w:noProof/>
            <w:webHidden/>
          </w:rPr>
          <w:t>19-11</w:t>
        </w:r>
        <w:r>
          <w:rPr>
            <w:noProof/>
            <w:webHidden/>
          </w:rPr>
          <w:fldChar w:fldCharType="end"/>
        </w:r>
      </w:hyperlink>
    </w:p>
    <w:p w14:paraId="2207F2C9"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0" w:history="1">
        <w:r w:rsidRPr="00BB15E1">
          <w:rPr>
            <w:rStyle w:val="Hyperlink"/>
            <w:noProof/>
          </w:rPr>
          <w:t>Table 19</w:t>
        </w:r>
        <w:r w:rsidRPr="00BB15E1">
          <w:rPr>
            <w:rStyle w:val="Hyperlink"/>
            <w:noProof/>
          </w:rPr>
          <w:noBreakHyphen/>
          <w:t>4: Relevant Key Threatening Processes and associated Threat Abatement Plans for GGF</w:t>
        </w:r>
        <w:r>
          <w:rPr>
            <w:noProof/>
            <w:webHidden/>
          </w:rPr>
          <w:tab/>
        </w:r>
        <w:r>
          <w:rPr>
            <w:noProof/>
            <w:webHidden/>
          </w:rPr>
          <w:fldChar w:fldCharType="begin"/>
        </w:r>
        <w:r>
          <w:rPr>
            <w:noProof/>
            <w:webHidden/>
          </w:rPr>
          <w:instrText xml:space="preserve"> PAGEREF _Toc135122720 \h </w:instrText>
        </w:r>
        <w:r>
          <w:rPr>
            <w:noProof/>
            <w:webHidden/>
          </w:rPr>
        </w:r>
        <w:r>
          <w:rPr>
            <w:noProof/>
            <w:webHidden/>
          </w:rPr>
          <w:fldChar w:fldCharType="separate"/>
        </w:r>
        <w:r>
          <w:rPr>
            <w:noProof/>
            <w:webHidden/>
          </w:rPr>
          <w:t>19-26</w:t>
        </w:r>
        <w:r>
          <w:rPr>
            <w:noProof/>
            <w:webHidden/>
          </w:rPr>
          <w:fldChar w:fldCharType="end"/>
        </w:r>
      </w:hyperlink>
    </w:p>
    <w:p w14:paraId="25F9C5B7"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1" w:history="1">
        <w:r w:rsidRPr="00BB15E1">
          <w:rPr>
            <w:rStyle w:val="Hyperlink"/>
            <w:noProof/>
          </w:rPr>
          <w:t>Table 19</w:t>
        </w:r>
        <w:r w:rsidRPr="00BB15E1">
          <w:rPr>
            <w:rStyle w:val="Hyperlink"/>
            <w:noProof/>
          </w:rPr>
          <w:noBreakHyphen/>
          <w:t>5: Relevant Key Threatening Processes and associated Threat Abatement Plans for the Striped Legless Lizard</w:t>
        </w:r>
        <w:r>
          <w:rPr>
            <w:noProof/>
            <w:webHidden/>
          </w:rPr>
          <w:tab/>
        </w:r>
        <w:r>
          <w:rPr>
            <w:noProof/>
            <w:webHidden/>
          </w:rPr>
          <w:fldChar w:fldCharType="begin"/>
        </w:r>
        <w:r>
          <w:rPr>
            <w:noProof/>
            <w:webHidden/>
          </w:rPr>
          <w:instrText xml:space="preserve"> PAGEREF _Toc135122721 \h </w:instrText>
        </w:r>
        <w:r>
          <w:rPr>
            <w:noProof/>
            <w:webHidden/>
          </w:rPr>
        </w:r>
        <w:r>
          <w:rPr>
            <w:noProof/>
            <w:webHidden/>
          </w:rPr>
          <w:fldChar w:fldCharType="separate"/>
        </w:r>
        <w:r>
          <w:rPr>
            <w:noProof/>
            <w:webHidden/>
          </w:rPr>
          <w:t>19-37</w:t>
        </w:r>
        <w:r>
          <w:rPr>
            <w:noProof/>
            <w:webHidden/>
          </w:rPr>
          <w:fldChar w:fldCharType="end"/>
        </w:r>
      </w:hyperlink>
    </w:p>
    <w:p w14:paraId="7A22B5E6"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2" w:history="1">
        <w:r w:rsidRPr="00BB15E1">
          <w:rPr>
            <w:rStyle w:val="Hyperlink"/>
            <w:noProof/>
          </w:rPr>
          <w:t>Table 19</w:t>
        </w:r>
        <w:r w:rsidRPr="00BB15E1">
          <w:rPr>
            <w:rStyle w:val="Hyperlink"/>
            <w:noProof/>
          </w:rPr>
          <w:noBreakHyphen/>
          <w:t>6: Relevant Key Threatening Processes and associated Threat Abatement Plans for the Blue-winged Parrot</w:t>
        </w:r>
        <w:r>
          <w:rPr>
            <w:noProof/>
            <w:webHidden/>
          </w:rPr>
          <w:tab/>
        </w:r>
        <w:r>
          <w:rPr>
            <w:noProof/>
            <w:webHidden/>
          </w:rPr>
          <w:fldChar w:fldCharType="begin"/>
        </w:r>
        <w:r>
          <w:rPr>
            <w:noProof/>
            <w:webHidden/>
          </w:rPr>
          <w:instrText xml:space="preserve"> PAGEREF _Toc135122722 \h </w:instrText>
        </w:r>
        <w:r>
          <w:rPr>
            <w:noProof/>
            <w:webHidden/>
          </w:rPr>
        </w:r>
        <w:r>
          <w:rPr>
            <w:noProof/>
            <w:webHidden/>
          </w:rPr>
          <w:fldChar w:fldCharType="separate"/>
        </w:r>
        <w:r>
          <w:rPr>
            <w:noProof/>
            <w:webHidden/>
          </w:rPr>
          <w:t>19-41</w:t>
        </w:r>
        <w:r>
          <w:rPr>
            <w:noProof/>
            <w:webHidden/>
          </w:rPr>
          <w:fldChar w:fldCharType="end"/>
        </w:r>
      </w:hyperlink>
    </w:p>
    <w:p w14:paraId="20A93024"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3" w:history="1">
        <w:r w:rsidRPr="00BB15E1">
          <w:rPr>
            <w:rStyle w:val="Hyperlink"/>
            <w:noProof/>
          </w:rPr>
          <w:t>Table 19</w:t>
        </w:r>
        <w:r w:rsidRPr="00BB15E1">
          <w:rPr>
            <w:rStyle w:val="Hyperlink"/>
            <w:noProof/>
          </w:rPr>
          <w:noBreakHyphen/>
          <w:t>7: The occurrence in the Study Area and relevant indirect impacts under the Plan for each of the bird species considered in the combined assessment</w:t>
        </w:r>
        <w:r>
          <w:rPr>
            <w:noProof/>
            <w:webHidden/>
          </w:rPr>
          <w:tab/>
        </w:r>
        <w:r>
          <w:rPr>
            <w:noProof/>
            <w:webHidden/>
          </w:rPr>
          <w:fldChar w:fldCharType="begin"/>
        </w:r>
        <w:r>
          <w:rPr>
            <w:noProof/>
            <w:webHidden/>
          </w:rPr>
          <w:instrText xml:space="preserve"> PAGEREF _Toc135122723 \h </w:instrText>
        </w:r>
        <w:r>
          <w:rPr>
            <w:noProof/>
            <w:webHidden/>
          </w:rPr>
        </w:r>
        <w:r>
          <w:rPr>
            <w:noProof/>
            <w:webHidden/>
          </w:rPr>
          <w:fldChar w:fldCharType="separate"/>
        </w:r>
        <w:r>
          <w:rPr>
            <w:noProof/>
            <w:webHidden/>
          </w:rPr>
          <w:t>19-44</w:t>
        </w:r>
        <w:r>
          <w:rPr>
            <w:noProof/>
            <w:webHidden/>
          </w:rPr>
          <w:fldChar w:fldCharType="end"/>
        </w:r>
      </w:hyperlink>
    </w:p>
    <w:p w14:paraId="15A8AB06"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4" w:history="1">
        <w:r w:rsidRPr="00BB15E1">
          <w:rPr>
            <w:rStyle w:val="Hyperlink"/>
            <w:noProof/>
          </w:rPr>
          <w:t>Table 19</w:t>
        </w:r>
        <w:r w:rsidRPr="00BB15E1">
          <w:rPr>
            <w:rStyle w:val="Hyperlink"/>
            <w:noProof/>
          </w:rPr>
          <w:noBreakHyphen/>
          <w:t>8: The occurrence in the Study Area and relevant indirect impacts under the Plan for each of the fish species considered in the combined assessment</w:t>
        </w:r>
        <w:r>
          <w:rPr>
            <w:noProof/>
            <w:webHidden/>
          </w:rPr>
          <w:tab/>
        </w:r>
        <w:r>
          <w:rPr>
            <w:noProof/>
            <w:webHidden/>
          </w:rPr>
          <w:fldChar w:fldCharType="begin"/>
        </w:r>
        <w:r>
          <w:rPr>
            <w:noProof/>
            <w:webHidden/>
          </w:rPr>
          <w:instrText xml:space="preserve"> PAGEREF _Toc135122724 \h </w:instrText>
        </w:r>
        <w:r>
          <w:rPr>
            <w:noProof/>
            <w:webHidden/>
          </w:rPr>
        </w:r>
        <w:r>
          <w:rPr>
            <w:noProof/>
            <w:webHidden/>
          </w:rPr>
          <w:fldChar w:fldCharType="separate"/>
        </w:r>
        <w:r>
          <w:rPr>
            <w:noProof/>
            <w:webHidden/>
          </w:rPr>
          <w:t>19-47</w:t>
        </w:r>
        <w:r>
          <w:rPr>
            <w:noProof/>
            <w:webHidden/>
          </w:rPr>
          <w:fldChar w:fldCharType="end"/>
        </w:r>
      </w:hyperlink>
    </w:p>
    <w:p w14:paraId="02B5C5C6"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5" w:history="1">
        <w:r w:rsidRPr="00BB15E1">
          <w:rPr>
            <w:rStyle w:val="Hyperlink"/>
            <w:noProof/>
          </w:rPr>
          <w:t>Table 19</w:t>
        </w:r>
        <w:r w:rsidRPr="00BB15E1">
          <w:rPr>
            <w:rStyle w:val="Hyperlink"/>
            <w:noProof/>
          </w:rPr>
          <w:noBreakHyphen/>
          <w:t>9: Sites within the Geelong region with existing management in place to minimise human disturbance</w:t>
        </w:r>
        <w:r>
          <w:rPr>
            <w:noProof/>
            <w:webHidden/>
          </w:rPr>
          <w:tab/>
        </w:r>
        <w:r>
          <w:rPr>
            <w:noProof/>
            <w:webHidden/>
          </w:rPr>
          <w:fldChar w:fldCharType="begin"/>
        </w:r>
        <w:r>
          <w:rPr>
            <w:noProof/>
            <w:webHidden/>
          </w:rPr>
          <w:instrText xml:space="preserve"> PAGEREF _Toc135122725 \h </w:instrText>
        </w:r>
        <w:r>
          <w:rPr>
            <w:noProof/>
            <w:webHidden/>
          </w:rPr>
        </w:r>
        <w:r>
          <w:rPr>
            <w:noProof/>
            <w:webHidden/>
          </w:rPr>
          <w:fldChar w:fldCharType="separate"/>
        </w:r>
        <w:r>
          <w:rPr>
            <w:noProof/>
            <w:webHidden/>
          </w:rPr>
          <w:t>19-53</w:t>
        </w:r>
        <w:r>
          <w:rPr>
            <w:noProof/>
            <w:webHidden/>
          </w:rPr>
          <w:fldChar w:fldCharType="end"/>
        </w:r>
      </w:hyperlink>
    </w:p>
    <w:p w14:paraId="1270E013"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6" w:history="1">
        <w:r w:rsidRPr="00BB15E1">
          <w:rPr>
            <w:rStyle w:val="Hyperlink"/>
            <w:noProof/>
          </w:rPr>
          <w:t>Table 20</w:t>
        </w:r>
        <w:r w:rsidRPr="00BB15E1">
          <w:rPr>
            <w:rStyle w:val="Hyperlink"/>
            <w:noProof/>
          </w:rPr>
          <w:noBreakHyphen/>
          <w:t>1: Relevant Key Threatening Processes and associated Threat Abatement Plans for Adamson’s Blown-grass</w:t>
        </w:r>
        <w:r>
          <w:rPr>
            <w:noProof/>
            <w:webHidden/>
          </w:rPr>
          <w:tab/>
        </w:r>
        <w:r>
          <w:rPr>
            <w:noProof/>
            <w:webHidden/>
          </w:rPr>
          <w:fldChar w:fldCharType="begin"/>
        </w:r>
        <w:r>
          <w:rPr>
            <w:noProof/>
            <w:webHidden/>
          </w:rPr>
          <w:instrText xml:space="preserve"> PAGEREF _Toc135122726 \h </w:instrText>
        </w:r>
        <w:r>
          <w:rPr>
            <w:noProof/>
            <w:webHidden/>
          </w:rPr>
        </w:r>
        <w:r>
          <w:rPr>
            <w:noProof/>
            <w:webHidden/>
          </w:rPr>
          <w:fldChar w:fldCharType="separate"/>
        </w:r>
        <w:r>
          <w:rPr>
            <w:noProof/>
            <w:webHidden/>
          </w:rPr>
          <w:t>20-7</w:t>
        </w:r>
        <w:r>
          <w:rPr>
            <w:noProof/>
            <w:webHidden/>
          </w:rPr>
          <w:fldChar w:fldCharType="end"/>
        </w:r>
      </w:hyperlink>
    </w:p>
    <w:p w14:paraId="0F50F3A7"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7" w:history="1">
        <w:r w:rsidRPr="00BB15E1">
          <w:rPr>
            <w:rStyle w:val="Hyperlink"/>
            <w:noProof/>
          </w:rPr>
          <w:t>Table 20</w:t>
        </w:r>
        <w:r w:rsidRPr="00BB15E1">
          <w:rPr>
            <w:rStyle w:val="Hyperlink"/>
            <w:noProof/>
          </w:rPr>
          <w:noBreakHyphen/>
          <w:t>2: Relevant Key Threatening Processes and associated Threat Abatement Plans for Spiny Rice-flower</w:t>
        </w:r>
        <w:r>
          <w:rPr>
            <w:noProof/>
            <w:webHidden/>
          </w:rPr>
          <w:tab/>
        </w:r>
        <w:r>
          <w:rPr>
            <w:noProof/>
            <w:webHidden/>
          </w:rPr>
          <w:fldChar w:fldCharType="begin"/>
        </w:r>
        <w:r>
          <w:rPr>
            <w:noProof/>
            <w:webHidden/>
          </w:rPr>
          <w:instrText xml:space="preserve"> PAGEREF _Toc135122727 \h </w:instrText>
        </w:r>
        <w:r>
          <w:rPr>
            <w:noProof/>
            <w:webHidden/>
          </w:rPr>
        </w:r>
        <w:r>
          <w:rPr>
            <w:noProof/>
            <w:webHidden/>
          </w:rPr>
          <w:fldChar w:fldCharType="separate"/>
        </w:r>
        <w:r>
          <w:rPr>
            <w:noProof/>
            <w:webHidden/>
          </w:rPr>
          <w:t>20-13</w:t>
        </w:r>
        <w:r>
          <w:rPr>
            <w:noProof/>
            <w:webHidden/>
          </w:rPr>
          <w:fldChar w:fldCharType="end"/>
        </w:r>
      </w:hyperlink>
    </w:p>
    <w:p w14:paraId="2FA0015F"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8" w:history="1">
        <w:r w:rsidRPr="00BB15E1">
          <w:rPr>
            <w:rStyle w:val="Hyperlink"/>
            <w:noProof/>
          </w:rPr>
          <w:t>Table 21</w:t>
        </w:r>
        <w:r w:rsidRPr="00BB15E1">
          <w:rPr>
            <w:rStyle w:val="Hyperlink"/>
            <w:noProof/>
          </w:rPr>
          <w:noBreakHyphen/>
          <w:t>1: Relevant Key Threatening Processes and associated Threat Abatement Plans for Adamson’s Blown Grass</w:t>
        </w:r>
        <w:r>
          <w:rPr>
            <w:noProof/>
            <w:webHidden/>
          </w:rPr>
          <w:tab/>
        </w:r>
        <w:r>
          <w:rPr>
            <w:noProof/>
            <w:webHidden/>
          </w:rPr>
          <w:fldChar w:fldCharType="begin"/>
        </w:r>
        <w:r>
          <w:rPr>
            <w:noProof/>
            <w:webHidden/>
          </w:rPr>
          <w:instrText xml:space="preserve"> PAGEREF _Toc135122728 \h </w:instrText>
        </w:r>
        <w:r>
          <w:rPr>
            <w:noProof/>
            <w:webHidden/>
          </w:rPr>
        </w:r>
        <w:r>
          <w:rPr>
            <w:noProof/>
            <w:webHidden/>
          </w:rPr>
          <w:fldChar w:fldCharType="separate"/>
        </w:r>
        <w:r>
          <w:rPr>
            <w:noProof/>
            <w:webHidden/>
          </w:rPr>
          <w:t>21-7</w:t>
        </w:r>
        <w:r>
          <w:rPr>
            <w:noProof/>
            <w:webHidden/>
          </w:rPr>
          <w:fldChar w:fldCharType="end"/>
        </w:r>
      </w:hyperlink>
    </w:p>
    <w:p w14:paraId="286159BA"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29" w:history="1">
        <w:r w:rsidRPr="00BB15E1">
          <w:rPr>
            <w:rStyle w:val="Hyperlink"/>
            <w:noProof/>
          </w:rPr>
          <w:t>Table 22</w:t>
        </w:r>
        <w:r w:rsidRPr="00BB15E1">
          <w:rPr>
            <w:rStyle w:val="Hyperlink"/>
            <w:noProof/>
          </w:rPr>
          <w:noBreakHyphen/>
          <w:t>1: Criteria for Ramsar listing (DELWP, 2020)</w:t>
        </w:r>
        <w:r>
          <w:rPr>
            <w:noProof/>
            <w:webHidden/>
          </w:rPr>
          <w:tab/>
        </w:r>
        <w:r>
          <w:rPr>
            <w:noProof/>
            <w:webHidden/>
          </w:rPr>
          <w:fldChar w:fldCharType="begin"/>
        </w:r>
        <w:r>
          <w:rPr>
            <w:noProof/>
            <w:webHidden/>
          </w:rPr>
          <w:instrText xml:space="preserve"> PAGEREF _Toc135122729 \h </w:instrText>
        </w:r>
        <w:r>
          <w:rPr>
            <w:noProof/>
            <w:webHidden/>
          </w:rPr>
        </w:r>
        <w:r>
          <w:rPr>
            <w:noProof/>
            <w:webHidden/>
          </w:rPr>
          <w:fldChar w:fldCharType="separate"/>
        </w:r>
        <w:r>
          <w:rPr>
            <w:noProof/>
            <w:webHidden/>
          </w:rPr>
          <w:t>22-3</w:t>
        </w:r>
        <w:r>
          <w:rPr>
            <w:noProof/>
            <w:webHidden/>
          </w:rPr>
          <w:fldChar w:fldCharType="end"/>
        </w:r>
      </w:hyperlink>
    </w:p>
    <w:p w14:paraId="39BC0199"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0" w:history="1">
        <w:r w:rsidRPr="00BB15E1">
          <w:rPr>
            <w:rStyle w:val="Hyperlink"/>
            <w:noProof/>
          </w:rPr>
          <w:t>Table 22</w:t>
        </w:r>
        <w:r w:rsidRPr="00BB15E1">
          <w:rPr>
            <w:rStyle w:val="Hyperlink"/>
            <w:noProof/>
          </w:rPr>
          <w:noBreakHyphen/>
          <w:t>2: High level summary of the ecological character of the Port Phillip Bay (Western Shoreline) and Bellarine Peninsula Ramsar site (adapted from (DEWHA, 2008b))</w:t>
        </w:r>
        <w:r>
          <w:rPr>
            <w:noProof/>
            <w:webHidden/>
          </w:rPr>
          <w:tab/>
        </w:r>
        <w:r>
          <w:rPr>
            <w:noProof/>
            <w:webHidden/>
          </w:rPr>
          <w:fldChar w:fldCharType="begin"/>
        </w:r>
        <w:r>
          <w:rPr>
            <w:noProof/>
            <w:webHidden/>
          </w:rPr>
          <w:instrText xml:space="preserve"> PAGEREF _Toc135122730 \h </w:instrText>
        </w:r>
        <w:r>
          <w:rPr>
            <w:noProof/>
            <w:webHidden/>
          </w:rPr>
        </w:r>
        <w:r>
          <w:rPr>
            <w:noProof/>
            <w:webHidden/>
          </w:rPr>
          <w:fldChar w:fldCharType="separate"/>
        </w:r>
        <w:r>
          <w:rPr>
            <w:noProof/>
            <w:webHidden/>
          </w:rPr>
          <w:t>22-5</w:t>
        </w:r>
        <w:r>
          <w:rPr>
            <w:noProof/>
            <w:webHidden/>
          </w:rPr>
          <w:fldChar w:fldCharType="end"/>
        </w:r>
      </w:hyperlink>
    </w:p>
    <w:p w14:paraId="7C9619ED"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1" w:history="1">
        <w:r w:rsidRPr="00BB15E1">
          <w:rPr>
            <w:rStyle w:val="Hyperlink"/>
            <w:noProof/>
          </w:rPr>
          <w:t>Table 22</w:t>
        </w:r>
        <w:r w:rsidRPr="00BB15E1">
          <w:rPr>
            <w:rStyle w:val="Hyperlink"/>
            <w:noProof/>
          </w:rPr>
          <w:noBreakHyphen/>
          <w:t>3: Priority threats at the relevant locations of the Port Phillip Bay (Western Shoreline) and Bellarine Peninsula Ramsar site (DELWP, 2020)</w:t>
        </w:r>
        <w:r>
          <w:rPr>
            <w:noProof/>
            <w:webHidden/>
          </w:rPr>
          <w:tab/>
        </w:r>
        <w:r>
          <w:rPr>
            <w:noProof/>
            <w:webHidden/>
          </w:rPr>
          <w:fldChar w:fldCharType="begin"/>
        </w:r>
        <w:r>
          <w:rPr>
            <w:noProof/>
            <w:webHidden/>
          </w:rPr>
          <w:instrText xml:space="preserve"> PAGEREF _Toc135122731 \h </w:instrText>
        </w:r>
        <w:r>
          <w:rPr>
            <w:noProof/>
            <w:webHidden/>
          </w:rPr>
        </w:r>
        <w:r>
          <w:rPr>
            <w:noProof/>
            <w:webHidden/>
          </w:rPr>
          <w:fldChar w:fldCharType="separate"/>
        </w:r>
        <w:r>
          <w:rPr>
            <w:noProof/>
            <w:webHidden/>
          </w:rPr>
          <w:t>22-11</w:t>
        </w:r>
        <w:r>
          <w:rPr>
            <w:noProof/>
            <w:webHidden/>
          </w:rPr>
          <w:fldChar w:fldCharType="end"/>
        </w:r>
      </w:hyperlink>
    </w:p>
    <w:p w14:paraId="256DA704"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2" w:history="1">
        <w:r w:rsidRPr="00BB15E1">
          <w:rPr>
            <w:rStyle w:val="Hyperlink"/>
            <w:noProof/>
          </w:rPr>
          <w:t>Table 23</w:t>
        </w:r>
        <w:r w:rsidRPr="00BB15E1">
          <w:rPr>
            <w:rStyle w:val="Hyperlink"/>
            <w:noProof/>
          </w:rPr>
          <w:noBreakHyphen/>
          <w:t>1: Overview of Category 1 migratory shorebirds</w:t>
        </w:r>
        <w:r>
          <w:rPr>
            <w:noProof/>
            <w:webHidden/>
          </w:rPr>
          <w:tab/>
        </w:r>
        <w:r>
          <w:rPr>
            <w:noProof/>
            <w:webHidden/>
          </w:rPr>
          <w:fldChar w:fldCharType="begin"/>
        </w:r>
        <w:r>
          <w:rPr>
            <w:noProof/>
            <w:webHidden/>
          </w:rPr>
          <w:instrText xml:space="preserve"> PAGEREF _Toc135122732 \h </w:instrText>
        </w:r>
        <w:r>
          <w:rPr>
            <w:noProof/>
            <w:webHidden/>
          </w:rPr>
        </w:r>
        <w:r>
          <w:rPr>
            <w:noProof/>
            <w:webHidden/>
          </w:rPr>
          <w:fldChar w:fldCharType="separate"/>
        </w:r>
        <w:r>
          <w:rPr>
            <w:noProof/>
            <w:webHidden/>
          </w:rPr>
          <w:t>23-4</w:t>
        </w:r>
        <w:r>
          <w:rPr>
            <w:noProof/>
            <w:webHidden/>
          </w:rPr>
          <w:fldChar w:fldCharType="end"/>
        </w:r>
      </w:hyperlink>
    </w:p>
    <w:p w14:paraId="7AACF8F9"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3" w:history="1">
        <w:r w:rsidRPr="00BB15E1">
          <w:rPr>
            <w:rStyle w:val="Hyperlink"/>
            <w:noProof/>
          </w:rPr>
          <w:t>Table 23</w:t>
        </w:r>
        <w:r w:rsidRPr="00BB15E1">
          <w:rPr>
            <w:rStyle w:val="Hyperlink"/>
            <w:noProof/>
          </w:rPr>
          <w:noBreakHyphen/>
          <w:t>2: Existing management of important shorebird habitat within the Study Area</w:t>
        </w:r>
        <w:r>
          <w:rPr>
            <w:noProof/>
            <w:webHidden/>
          </w:rPr>
          <w:tab/>
        </w:r>
        <w:r>
          <w:rPr>
            <w:noProof/>
            <w:webHidden/>
          </w:rPr>
          <w:fldChar w:fldCharType="begin"/>
        </w:r>
        <w:r>
          <w:rPr>
            <w:noProof/>
            <w:webHidden/>
          </w:rPr>
          <w:instrText xml:space="preserve"> PAGEREF _Toc135122733 \h </w:instrText>
        </w:r>
        <w:r>
          <w:rPr>
            <w:noProof/>
            <w:webHidden/>
          </w:rPr>
        </w:r>
        <w:r>
          <w:rPr>
            <w:noProof/>
            <w:webHidden/>
          </w:rPr>
          <w:fldChar w:fldCharType="separate"/>
        </w:r>
        <w:r>
          <w:rPr>
            <w:noProof/>
            <w:webHidden/>
          </w:rPr>
          <w:t>23-12</w:t>
        </w:r>
        <w:r>
          <w:rPr>
            <w:noProof/>
            <w:webHidden/>
          </w:rPr>
          <w:fldChar w:fldCharType="end"/>
        </w:r>
      </w:hyperlink>
    </w:p>
    <w:p w14:paraId="58D87552"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4" w:history="1">
        <w:r w:rsidRPr="00BB15E1">
          <w:rPr>
            <w:rStyle w:val="Hyperlink"/>
            <w:noProof/>
          </w:rPr>
          <w:t>Table 25</w:t>
        </w:r>
        <w:r w:rsidRPr="00BB15E1">
          <w:rPr>
            <w:rStyle w:val="Hyperlink"/>
            <w:noProof/>
          </w:rPr>
          <w:noBreakHyphen/>
          <w:t>1: Other projects included in the quantitative cumulative impact assessment and data availability</w:t>
        </w:r>
        <w:r>
          <w:rPr>
            <w:noProof/>
            <w:webHidden/>
          </w:rPr>
          <w:tab/>
        </w:r>
        <w:r>
          <w:rPr>
            <w:noProof/>
            <w:webHidden/>
          </w:rPr>
          <w:fldChar w:fldCharType="begin"/>
        </w:r>
        <w:r>
          <w:rPr>
            <w:noProof/>
            <w:webHidden/>
          </w:rPr>
          <w:instrText xml:space="preserve"> PAGEREF _Toc135122734 \h </w:instrText>
        </w:r>
        <w:r>
          <w:rPr>
            <w:noProof/>
            <w:webHidden/>
          </w:rPr>
        </w:r>
        <w:r>
          <w:rPr>
            <w:noProof/>
            <w:webHidden/>
          </w:rPr>
          <w:fldChar w:fldCharType="separate"/>
        </w:r>
        <w:r>
          <w:rPr>
            <w:noProof/>
            <w:webHidden/>
          </w:rPr>
          <w:t>25-6</w:t>
        </w:r>
        <w:r>
          <w:rPr>
            <w:noProof/>
            <w:webHidden/>
          </w:rPr>
          <w:fldChar w:fldCharType="end"/>
        </w:r>
      </w:hyperlink>
    </w:p>
    <w:p w14:paraId="0319B737"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5" w:history="1">
        <w:r w:rsidRPr="00BB15E1">
          <w:rPr>
            <w:rStyle w:val="Hyperlink"/>
            <w:noProof/>
          </w:rPr>
          <w:t>Table 25</w:t>
        </w:r>
        <w:r w:rsidRPr="00BB15E1">
          <w:rPr>
            <w:rStyle w:val="Hyperlink"/>
            <w:noProof/>
          </w:rPr>
          <w:noBreakHyphen/>
          <w:t>2: Potential cumulative impacts to species and TECs directly impacted by Plan</w:t>
        </w:r>
        <w:r>
          <w:rPr>
            <w:noProof/>
            <w:webHidden/>
          </w:rPr>
          <w:tab/>
        </w:r>
        <w:r>
          <w:rPr>
            <w:noProof/>
            <w:webHidden/>
          </w:rPr>
          <w:fldChar w:fldCharType="begin"/>
        </w:r>
        <w:r>
          <w:rPr>
            <w:noProof/>
            <w:webHidden/>
          </w:rPr>
          <w:instrText xml:space="preserve"> PAGEREF _Toc135122735 \h </w:instrText>
        </w:r>
        <w:r>
          <w:rPr>
            <w:noProof/>
            <w:webHidden/>
          </w:rPr>
        </w:r>
        <w:r>
          <w:rPr>
            <w:noProof/>
            <w:webHidden/>
          </w:rPr>
          <w:fldChar w:fldCharType="separate"/>
        </w:r>
        <w:r>
          <w:rPr>
            <w:noProof/>
            <w:webHidden/>
          </w:rPr>
          <w:t>25-8</w:t>
        </w:r>
        <w:r>
          <w:rPr>
            <w:noProof/>
            <w:webHidden/>
          </w:rPr>
          <w:fldChar w:fldCharType="end"/>
        </w:r>
      </w:hyperlink>
    </w:p>
    <w:p w14:paraId="0C966617"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6" w:history="1">
        <w:r w:rsidRPr="00BB15E1">
          <w:rPr>
            <w:rStyle w:val="Hyperlink"/>
            <w:noProof/>
          </w:rPr>
          <w:t>Table 25</w:t>
        </w:r>
        <w:r w:rsidRPr="00BB15E1">
          <w:rPr>
            <w:rStyle w:val="Hyperlink"/>
            <w:noProof/>
          </w:rPr>
          <w:noBreakHyphen/>
          <w:t>3: Offset commitments for species and TECs directly impacted by Plan</w:t>
        </w:r>
        <w:r>
          <w:rPr>
            <w:noProof/>
            <w:webHidden/>
          </w:rPr>
          <w:tab/>
        </w:r>
        <w:r>
          <w:rPr>
            <w:noProof/>
            <w:webHidden/>
          </w:rPr>
          <w:fldChar w:fldCharType="begin"/>
        </w:r>
        <w:r>
          <w:rPr>
            <w:noProof/>
            <w:webHidden/>
          </w:rPr>
          <w:instrText xml:space="preserve"> PAGEREF _Toc135122736 \h </w:instrText>
        </w:r>
        <w:r>
          <w:rPr>
            <w:noProof/>
            <w:webHidden/>
          </w:rPr>
        </w:r>
        <w:r>
          <w:rPr>
            <w:noProof/>
            <w:webHidden/>
          </w:rPr>
          <w:fldChar w:fldCharType="separate"/>
        </w:r>
        <w:r>
          <w:rPr>
            <w:noProof/>
            <w:webHidden/>
          </w:rPr>
          <w:t>25-10</w:t>
        </w:r>
        <w:r>
          <w:rPr>
            <w:noProof/>
            <w:webHidden/>
          </w:rPr>
          <w:fldChar w:fldCharType="end"/>
        </w:r>
      </w:hyperlink>
    </w:p>
    <w:p w14:paraId="00D7412D"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7" w:history="1">
        <w:r w:rsidRPr="00BB15E1">
          <w:rPr>
            <w:rStyle w:val="Hyperlink"/>
            <w:noProof/>
          </w:rPr>
          <w:t>Table 26</w:t>
        </w:r>
        <w:r w:rsidRPr="00BB15E1">
          <w:rPr>
            <w:rStyle w:val="Hyperlink"/>
            <w:noProof/>
          </w:rPr>
          <w:noBreakHyphen/>
          <w:t>1: Components considered to be relevant to the Plan for each of the socio-economic aspects as defined in (Vanclay, Esteves et al., 2015)</w:t>
        </w:r>
        <w:r>
          <w:rPr>
            <w:noProof/>
            <w:webHidden/>
          </w:rPr>
          <w:tab/>
        </w:r>
        <w:r>
          <w:rPr>
            <w:noProof/>
            <w:webHidden/>
          </w:rPr>
          <w:fldChar w:fldCharType="begin"/>
        </w:r>
        <w:r>
          <w:rPr>
            <w:noProof/>
            <w:webHidden/>
          </w:rPr>
          <w:instrText xml:space="preserve"> PAGEREF _Toc135122737 \h </w:instrText>
        </w:r>
        <w:r>
          <w:rPr>
            <w:noProof/>
            <w:webHidden/>
          </w:rPr>
        </w:r>
        <w:r>
          <w:rPr>
            <w:noProof/>
            <w:webHidden/>
          </w:rPr>
          <w:fldChar w:fldCharType="separate"/>
        </w:r>
        <w:r>
          <w:rPr>
            <w:noProof/>
            <w:webHidden/>
          </w:rPr>
          <w:t>26-2</w:t>
        </w:r>
        <w:r>
          <w:rPr>
            <w:noProof/>
            <w:webHidden/>
          </w:rPr>
          <w:fldChar w:fldCharType="end"/>
        </w:r>
      </w:hyperlink>
    </w:p>
    <w:p w14:paraId="5CEC0406" w14:textId="77777777" w:rsidR="008C1AD8" w:rsidRDefault="008C1AD8" w:rsidP="008C1AD8">
      <w:r>
        <w:fldChar w:fldCharType="end"/>
      </w:r>
      <w:bookmarkStart w:id="45" w:name="_Toc35532305"/>
      <w:bookmarkStart w:id="46" w:name="_Toc46064346"/>
      <w:bookmarkStart w:id="47" w:name="_Toc46083198"/>
      <w:bookmarkStart w:id="48" w:name="_Toc47453386"/>
      <w:bookmarkStart w:id="49" w:name="_Toc47463488"/>
      <w:bookmarkStart w:id="50" w:name="_Toc83632533"/>
      <w:bookmarkStart w:id="51" w:name="_Toc87336474"/>
    </w:p>
    <w:p w14:paraId="65633CF6" w14:textId="77777777" w:rsidR="008C1AD8" w:rsidRDefault="008C1AD8" w:rsidP="008C1AD8">
      <w:pPr>
        <w:pStyle w:val="Contentsacronymsreferences"/>
      </w:pPr>
      <w:bookmarkStart w:id="52" w:name="_Toc135122669"/>
      <w:r>
        <w:t>List of figures</w:t>
      </w:r>
      <w:bookmarkEnd w:id="52"/>
    </w:p>
    <w:p w14:paraId="2B26A586" w14:textId="77777777" w:rsidR="008C1AD8" w:rsidRPr="00A42239" w:rsidRDefault="008C1AD8" w:rsidP="008C1AD8">
      <w:pPr>
        <w:rPr>
          <w:b/>
          <w:bCs/>
          <w:i/>
          <w:iCs/>
        </w:rPr>
      </w:pPr>
      <w:r w:rsidRPr="00A42239">
        <w:rPr>
          <w:b/>
          <w:bCs/>
          <w:i/>
          <w:iCs/>
        </w:rPr>
        <w:t xml:space="preserve">NB: </w:t>
      </w:r>
      <w:r>
        <w:rPr>
          <w:b/>
          <w:bCs/>
          <w:i/>
          <w:iCs/>
        </w:rPr>
        <w:t>Maps</w:t>
      </w:r>
      <w:r w:rsidRPr="00A42239">
        <w:rPr>
          <w:b/>
          <w:bCs/>
          <w:i/>
          <w:iCs/>
        </w:rPr>
        <w:t xml:space="preserve"> are provided as separate pdf files. </w:t>
      </w:r>
    </w:p>
    <w:p w14:paraId="04A8DEB3"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\h \z \c "Figure" </w:instrText>
      </w:r>
      <w:r>
        <w:fldChar w:fldCharType="separate"/>
      </w:r>
      <w:hyperlink w:anchor="_Toc135122738" w:history="1">
        <w:r w:rsidRPr="009E48CE">
          <w:rPr>
            <w:rStyle w:val="Hyperlink"/>
            <w:noProof/>
          </w:rPr>
          <w:t>Figure 19</w:t>
        </w:r>
        <w:r w:rsidRPr="009E48CE">
          <w:rPr>
            <w:rStyle w:val="Hyperlink"/>
            <w:noProof/>
          </w:rPr>
          <w:noBreakHyphen/>
          <w:t>1: Open pool along Cowies Creek (taken from (AECOM, 2021)</w:t>
        </w:r>
        <w:r>
          <w:rPr>
            <w:noProof/>
            <w:webHidden/>
          </w:rPr>
          <w:tab/>
        </w:r>
        <w:r>
          <w:rPr>
            <w:noProof/>
            <w:webHidden/>
          </w:rPr>
          <w:fldChar w:fldCharType="begin"/>
        </w:r>
        <w:r>
          <w:rPr>
            <w:noProof/>
            <w:webHidden/>
          </w:rPr>
          <w:instrText xml:space="preserve"> PAGEREF _Toc135122738 \h </w:instrText>
        </w:r>
        <w:r>
          <w:rPr>
            <w:noProof/>
            <w:webHidden/>
          </w:rPr>
        </w:r>
        <w:r>
          <w:rPr>
            <w:noProof/>
            <w:webHidden/>
          </w:rPr>
          <w:fldChar w:fldCharType="separate"/>
        </w:r>
        <w:r>
          <w:rPr>
            <w:noProof/>
            <w:webHidden/>
          </w:rPr>
          <w:t>19-17</w:t>
        </w:r>
        <w:r>
          <w:rPr>
            <w:noProof/>
            <w:webHidden/>
          </w:rPr>
          <w:fldChar w:fldCharType="end"/>
        </w:r>
      </w:hyperlink>
    </w:p>
    <w:p w14:paraId="5D742469"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39" w:history="1">
        <w:r w:rsidRPr="009E48CE">
          <w:rPr>
            <w:rStyle w:val="Hyperlink"/>
            <w:noProof/>
          </w:rPr>
          <w:t>Figure 19</w:t>
        </w:r>
        <w:r w:rsidRPr="009E48CE">
          <w:rPr>
            <w:rStyle w:val="Hyperlink"/>
            <w:noProof/>
          </w:rPr>
          <w:noBreakHyphen/>
          <w:t>2: Section of Cowies Creek dominated by reeds and spiny rush (taken from (AECOM, 2021)</w:t>
        </w:r>
        <w:r>
          <w:rPr>
            <w:noProof/>
            <w:webHidden/>
          </w:rPr>
          <w:tab/>
        </w:r>
        <w:r>
          <w:rPr>
            <w:noProof/>
            <w:webHidden/>
          </w:rPr>
          <w:fldChar w:fldCharType="begin"/>
        </w:r>
        <w:r>
          <w:rPr>
            <w:noProof/>
            <w:webHidden/>
          </w:rPr>
          <w:instrText xml:space="preserve"> PAGEREF _Toc135122739 \h </w:instrText>
        </w:r>
        <w:r>
          <w:rPr>
            <w:noProof/>
            <w:webHidden/>
          </w:rPr>
        </w:r>
        <w:r>
          <w:rPr>
            <w:noProof/>
            <w:webHidden/>
          </w:rPr>
          <w:fldChar w:fldCharType="separate"/>
        </w:r>
        <w:r>
          <w:rPr>
            <w:noProof/>
            <w:webHidden/>
          </w:rPr>
          <w:t>19-17</w:t>
        </w:r>
        <w:r>
          <w:rPr>
            <w:noProof/>
            <w:webHidden/>
          </w:rPr>
          <w:fldChar w:fldCharType="end"/>
        </w:r>
      </w:hyperlink>
    </w:p>
    <w:p w14:paraId="4BA5B080"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40" w:history="1">
        <w:r w:rsidRPr="009E48CE">
          <w:rPr>
            <w:rStyle w:val="Hyperlink"/>
            <w:noProof/>
          </w:rPr>
          <w:t>Figure 19</w:t>
        </w:r>
        <w:r w:rsidRPr="009E48CE">
          <w:rPr>
            <w:rStyle w:val="Hyperlink"/>
            <w:noProof/>
          </w:rPr>
          <w:noBreakHyphen/>
          <w:t>3: Cropped area adjacent to Cowies Creek (taken from (AECOM, 2021)</w:t>
        </w:r>
        <w:r>
          <w:rPr>
            <w:noProof/>
            <w:webHidden/>
          </w:rPr>
          <w:tab/>
        </w:r>
        <w:r>
          <w:rPr>
            <w:noProof/>
            <w:webHidden/>
          </w:rPr>
          <w:fldChar w:fldCharType="begin"/>
        </w:r>
        <w:r>
          <w:rPr>
            <w:noProof/>
            <w:webHidden/>
          </w:rPr>
          <w:instrText xml:space="preserve"> PAGEREF _Toc135122740 \h </w:instrText>
        </w:r>
        <w:r>
          <w:rPr>
            <w:noProof/>
            <w:webHidden/>
          </w:rPr>
        </w:r>
        <w:r>
          <w:rPr>
            <w:noProof/>
            <w:webHidden/>
          </w:rPr>
          <w:fldChar w:fldCharType="separate"/>
        </w:r>
        <w:r>
          <w:rPr>
            <w:noProof/>
            <w:webHidden/>
          </w:rPr>
          <w:t>19-18</w:t>
        </w:r>
        <w:r>
          <w:rPr>
            <w:noProof/>
            <w:webHidden/>
          </w:rPr>
          <w:fldChar w:fldCharType="end"/>
        </w:r>
      </w:hyperlink>
    </w:p>
    <w:p w14:paraId="2E710EF8" w14:textId="77777777" w:rsidR="008C1AD8" w:rsidRDefault="008C1AD8" w:rsidP="008C1AD8">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5122741" w:history="1">
        <w:r w:rsidRPr="009E48CE">
          <w:rPr>
            <w:rStyle w:val="Hyperlink"/>
            <w:noProof/>
          </w:rPr>
          <w:t>Figure 19</w:t>
        </w:r>
        <w:r w:rsidRPr="009E48CE">
          <w:rPr>
            <w:rStyle w:val="Hyperlink"/>
            <w:noProof/>
          </w:rPr>
          <w:noBreakHyphen/>
          <w:t>4: Steep rocky slope with scattered native grasses (taken from (AECOM, 2021)</w:t>
        </w:r>
        <w:r>
          <w:rPr>
            <w:noProof/>
            <w:webHidden/>
          </w:rPr>
          <w:tab/>
        </w:r>
        <w:r>
          <w:rPr>
            <w:noProof/>
            <w:webHidden/>
          </w:rPr>
          <w:fldChar w:fldCharType="begin"/>
        </w:r>
        <w:r>
          <w:rPr>
            <w:noProof/>
            <w:webHidden/>
          </w:rPr>
          <w:instrText xml:space="preserve"> PAGEREF _Toc135122741 \h </w:instrText>
        </w:r>
        <w:r>
          <w:rPr>
            <w:noProof/>
            <w:webHidden/>
          </w:rPr>
        </w:r>
        <w:r>
          <w:rPr>
            <w:noProof/>
            <w:webHidden/>
          </w:rPr>
          <w:fldChar w:fldCharType="separate"/>
        </w:r>
        <w:r>
          <w:rPr>
            <w:noProof/>
            <w:webHidden/>
          </w:rPr>
          <w:t>19-18</w:t>
        </w:r>
        <w:r>
          <w:rPr>
            <w:noProof/>
            <w:webHidden/>
          </w:rPr>
          <w:fldChar w:fldCharType="end"/>
        </w:r>
      </w:hyperlink>
    </w:p>
    <w:p w14:paraId="42580C39" w14:textId="77777777" w:rsidR="008C1AD8" w:rsidRDefault="008C1AD8" w:rsidP="008C1AD8">
      <w:r>
        <w:fldChar w:fldCharType="end"/>
      </w:r>
    </w:p>
    <w:bookmarkEnd w:id="45"/>
    <w:bookmarkEnd w:id="46"/>
    <w:bookmarkEnd w:id="47"/>
    <w:bookmarkEnd w:id="48"/>
    <w:bookmarkEnd w:id="49"/>
    <w:bookmarkEnd w:id="50"/>
    <w:bookmarkEnd w:id="51"/>
    <w:p w14:paraId="46D9AF2A" w14:textId="77777777" w:rsidR="008C1AD8" w:rsidRPr="00B87BED" w:rsidRDefault="008C1AD8" w:rsidP="008C1AD8">
      <w:pPr>
        <w:sectPr w:rsidR="008C1AD8" w:rsidRPr="00B87BED" w:rsidSect="00096439">
          <w:headerReference w:type="default" r:id="rId22"/>
          <w:footerReference w:type="default" r:id="rId23"/>
          <w:pgSz w:w="11900" w:h="16840"/>
          <w:pgMar w:top="1247" w:right="1134" w:bottom="1247" w:left="1134" w:header="708" w:footer="708" w:gutter="0"/>
          <w:pgNumType w:fmt="lowerRoman" w:start="1"/>
          <w:cols w:space="708"/>
          <w:docGrid w:linePitch="360"/>
        </w:sectPr>
      </w:pPr>
    </w:p>
    <w:p w14:paraId="2821AA89" w14:textId="77777777" w:rsidR="008C1AD8" w:rsidRDefault="008C1AD8" w:rsidP="008C1AD8">
      <w:pPr>
        <w:pStyle w:val="Heading1"/>
      </w:pPr>
      <w:bookmarkStart w:id="53" w:name="_Toc115885152"/>
      <w:bookmarkStart w:id="54" w:name="_Toc135122670"/>
      <w:bookmarkStart w:id="55" w:name="_Toc113444793"/>
      <w:r>
        <w:lastRenderedPageBreak/>
        <w:t>Listed threatened fauna</w:t>
      </w:r>
      <w:bookmarkEnd w:id="53"/>
      <w:bookmarkEnd w:id="54"/>
    </w:p>
    <w:p w14:paraId="2E98202A" w14:textId="77777777" w:rsidR="008C1AD8" w:rsidRDefault="008C1AD8" w:rsidP="008C1AD8">
      <w:r>
        <w:t>This chapter assesses the potential impacts of the Plan on fauna species listed as threatened under the EPBC Act.</w:t>
      </w:r>
    </w:p>
    <w:p w14:paraId="1D16AF4C" w14:textId="77777777" w:rsidR="008C1AD8" w:rsidRDefault="008C1AD8" w:rsidP="008C1AD8">
      <w:r>
        <w:t xml:space="preserve">The categorisation process for the assessment identified 18 threatened fauna species which may potentially be impacted by implementation of the Plan. Sections </w:t>
      </w:r>
      <w:r>
        <w:fldChar w:fldCharType="begin"/>
      </w:r>
      <w:r>
        <w:instrText xml:space="preserve"> REF _Ref116566057 \n </w:instrText>
      </w:r>
      <w:r>
        <w:fldChar w:fldCharType="separate"/>
      </w:r>
      <w:r>
        <w:t>19.1</w:t>
      </w:r>
      <w:r>
        <w:fldChar w:fldCharType="end"/>
      </w:r>
      <w:r>
        <w:t xml:space="preserve"> to </w:t>
      </w:r>
      <w:r>
        <w:fldChar w:fldCharType="begin"/>
      </w:r>
      <w:r>
        <w:instrText xml:space="preserve"> REF _Ref116483041 \r \h </w:instrText>
      </w:r>
      <w:r>
        <w:fldChar w:fldCharType="separate"/>
      </w:r>
      <w:r>
        <w:t>19.5</w:t>
      </w:r>
      <w:r>
        <w:fldChar w:fldCharType="end"/>
      </w:r>
      <w:r>
        <w:t xml:space="preserve"> assess the potential impacts of the Plan on these species.</w:t>
      </w:r>
    </w:p>
    <w:p w14:paraId="0A4FA764" w14:textId="77777777" w:rsidR="008C1AD8" w:rsidRDefault="008C1AD8" w:rsidP="008C1AD8">
      <w:r>
        <w:t xml:space="preserve">Refer to </w:t>
      </w:r>
      <w:r w:rsidRPr="0085400C">
        <w:t>Section 12.3</w:t>
      </w:r>
      <w:r w:rsidRPr="009B2BD1">
        <w:t xml:space="preserve"> of </w:t>
      </w:r>
      <w:r w:rsidRPr="0085400C">
        <w:t>Chapter 12</w:t>
      </w:r>
      <w:r>
        <w:t xml:space="preserve"> for the method used to identify relevant protected matters. </w:t>
      </w:r>
    </w:p>
    <w:p w14:paraId="2CD56452" w14:textId="77777777" w:rsidR="008C1AD8" w:rsidRPr="00A979B0" w:rsidRDefault="008C1AD8" w:rsidP="008C1AD8">
      <w:pPr>
        <w:pStyle w:val="Heading2"/>
        <w:numPr>
          <w:ilvl w:val="0"/>
          <w:numId w:val="0"/>
        </w:numPr>
        <w:shd w:val="clear" w:color="auto" w:fill="B4C6E7" w:themeFill="accent1" w:themeFillTint="66"/>
      </w:pPr>
      <w:bookmarkStart w:id="56" w:name="_Toc115885153"/>
      <w:bookmarkStart w:id="57" w:name="_Toc135122671"/>
      <w:r>
        <w:t>Known to occur within the Growth Areas</w:t>
      </w:r>
      <w:bookmarkEnd w:id="56"/>
      <w:bookmarkEnd w:id="57"/>
    </w:p>
    <w:p w14:paraId="11767216" w14:textId="77777777" w:rsidR="008C1AD8" w:rsidRDefault="008C1AD8" w:rsidP="008C1AD8">
      <w:bookmarkStart w:id="58" w:name="_Toc115885154"/>
      <w:r>
        <w:t>Three threatened fauna species are known to occur within the Growth Areas and are assessed in this section. They are:</w:t>
      </w:r>
    </w:p>
    <w:p w14:paraId="080376BC" w14:textId="77777777" w:rsidR="008C1AD8" w:rsidRDefault="008C1AD8" w:rsidP="008C1AD8">
      <w:pPr>
        <w:pStyle w:val="Bullet1"/>
      </w:pPr>
      <w:r>
        <w:t xml:space="preserve">Golden Sun Moth </w:t>
      </w:r>
    </w:p>
    <w:p w14:paraId="07EEBB61" w14:textId="77777777" w:rsidR="008C1AD8" w:rsidRDefault="008C1AD8" w:rsidP="008C1AD8">
      <w:pPr>
        <w:pStyle w:val="Bullet1"/>
      </w:pPr>
      <w:r>
        <w:t>Growling Grass Frog</w:t>
      </w:r>
    </w:p>
    <w:p w14:paraId="6C972ABD" w14:textId="77777777" w:rsidR="008C1AD8" w:rsidRDefault="008C1AD8" w:rsidP="008C1AD8">
      <w:pPr>
        <w:pStyle w:val="Bullet1"/>
      </w:pPr>
      <w:r>
        <w:t>Striped Legless Lizard</w:t>
      </w:r>
    </w:p>
    <w:p w14:paraId="7E4F7ED4" w14:textId="77777777" w:rsidR="008C1AD8" w:rsidRPr="00297975" w:rsidRDefault="008C1AD8" w:rsidP="008C1AD8">
      <w:pPr>
        <w:pStyle w:val="Heading2"/>
      </w:pPr>
      <w:bookmarkStart w:id="59" w:name="_Ref116566057"/>
      <w:bookmarkStart w:id="60" w:name="_Toc135122672"/>
      <w:r>
        <w:t xml:space="preserve">Golden Sun Moth </w:t>
      </w:r>
      <w:r w:rsidRPr="008208EB">
        <w:t>(</w:t>
      </w:r>
      <w:r>
        <w:rPr>
          <w:i/>
          <w:iCs/>
        </w:rPr>
        <w:t>Synemon plana</w:t>
      </w:r>
      <w:r w:rsidRPr="00AD2552">
        <w:t>)</w:t>
      </w:r>
      <w:bookmarkEnd w:id="58"/>
      <w:bookmarkEnd w:id="59"/>
      <w:bookmarkEnd w:id="60"/>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8C1AD8" w:rsidRPr="000816D6" w14:paraId="003FDB7D" w14:textId="77777777" w:rsidTr="00A15226">
        <w:trPr>
          <w:tblHeader/>
        </w:trPr>
        <w:tc>
          <w:tcPr>
            <w:tcW w:w="9747" w:type="dxa"/>
            <w:shd w:val="clear" w:color="auto" w:fill="D9D9D9" w:themeFill="background1" w:themeFillShade="D9"/>
            <w:vAlign w:val="center"/>
          </w:tcPr>
          <w:p w14:paraId="4AC19A0E" w14:textId="77777777" w:rsidR="008C1AD8" w:rsidRPr="000816D6" w:rsidRDefault="008C1AD8" w:rsidP="00A15226">
            <w:pPr>
              <w:pStyle w:val="TableHeadingLarge"/>
              <w:rPr>
                <w:rFonts w:ascii="Helvetica" w:hAnsi="Helvetica"/>
              </w:rPr>
            </w:pPr>
            <w:r w:rsidRPr="000816D6">
              <w:rPr>
                <w:rFonts w:ascii="Helvetica" w:hAnsi="Helvetica"/>
              </w:rPr>
              <w:t>SPECIES BACKGROUND</w:t>
            </w:r>
          </w:p>
        </w:tc>
      </w:tr>
    </w:tbl>
    <w:p w14:paraId="2CD3FA11" w14:textId="77777777" w:rsidR="008C1AD8" w:rsidRPr="000816D6" w:rsidRDefault="008C1AD8" w:rsidP="008C1AD8">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0816D6" w14:paraId="14B775DD" w14:textId="77777777" w:rsidTr="00A15226">
        <w:tc>
          <w:tcPr>
            <w:tcW w:w="1526" w:type="dxa"/>
            <w:vAlign w:val="center"/>
          </w:tcPr>
          <w:p w14:paraId="5B2D25BC"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6E0D7110" w14:textId="77777777" w:rsidR="008C1AD8" w:rsidRPr="003E1ADD" w:rsidRDefault="008C1AD8" w:rsidP="00A15226">
            <w:pPr>
              <w:pStyle w:val="Tabletext"/>
            </w:pPr>
            <w:r>
              <w:t>Vulnerable</w:t>
            </w:r>
          </w:p>
        </w:tc>
      </w:tr>
      <w:tr w:rsidR="008C1AD8" w:rsidRPr="000816D6" w14:paraId="7783EC45" w14:textId="77777777" w:rsidTr="00A15226">
        <w:tc>
          <w:tcPr>
            <w:tcW w:w="1526" w:type="dxa"/>
            <w:vAlign w:val="center"/>
          </w:tcPr>
          <w:p w14:paraId="5D316D49"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4C3A66BB" w14:textId="77777777" w:rsidR="008C1AD8" w:rsidRPr="00D26AC6" w:rsidRDefault="008C1AD8" w:rsidP="00A15226">
            <w:pPr>
              <w:pStyle w:val="Tabletext"/>
            </w:pPr>
            <w:r>
              <w:t>Golden Sun Moth (GSM) (</w:t>
            </w:r>
            <w:r>
              <w:rPr>
                <w:i/>
                <w:iCs/>
              </w:rPr>
              <w:t>Synemon plana</w:t>
            </w:r>
            <w:r w:rsidRPr="00AD2552">
              <w:t>)</w:t>
            </w:r>
            <w:r>
              <w:t xml:space="preserve"> is a medium-sized day-flying moth. The sexes are distinguished by wing colour. Males are dark brown with pale grey patterning and a hind wing that is dark bronze-brown with dark brown patches. Females are dark grey with pale grey patterning and a hind wing that is bright orange with black submarginal spots </w:t>
            </w:r>
            <w:sdt>
              <w:sdtPr>
                <w:rPr>
                  <w:color w:val="000000"/>
                </w:rPr>
                <w:tag w:val="MENDELEY_CITATION_v3_eyJjaXRhdGlvbklEIjoiTUVOREVMRVlfQ0lUQVRJT05fZTE5MzNiMWQtZGM0NS00ZDU2LTgzMTEtMzVlY2EzNzMwYjMx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954634678"/>
                <w:placeholder>
                  <w:docPart w:val="EA492B379251784A8EF33F6B6775C3A8"/>
                </w:placeholder>
              </w:sdtPr>
              <w:sdtContent>
                <w:r w:rsidRPr="00273871">
                  <w:rPr>
                    <w:color w:val="000000"/>
                  </w:rPr>
                  <w:t>(DAWE, 2021a)</w:t>
                </w:r>
              </w:sdtContent>
            </w:sdt>
            <w:r>
              <w:t>.</w:t>
            </w:r>
          </w:p>
        </w:tc>
      </w:tr>
      <w:tr w:rsidR="008C1AD8" w:rsidRPr="000816D6" w14:paraId="3B251D7E" w14:textId="77777777" w:rsidTr="00A15226">
        <w:tc>
          <w:tcPr>
            <w:tcW w:w="1526" w:type="dxa"/>
            <w:vAlign w:val="center"/>
          </w:tcPr>
          <w:p w14:paraId="1B0C1931"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3A2F2586" w14:textId="77777777" w:rsidR="008C1AD8" w:rsidRDefault="008C1AD8" w:rsidP="00A15226">
            <w:pPr>
              <w:pStyle w:val="Tabletext"/>
            </w:pPr>
            <w:r>
              <w:t>The life cycle of GSM comprises an underground stage (egg, larva and pupa) that can last up to 2 or 3 years, and an adult stage that lasts only a few days.</w:t>
            </w:r>
          </w:p>
          <w:p w14:paraId="3DBF4C6A" w14:textId="77777777" w:rsidR="008C1AD8" w:rsidRDefault="008C1AD8" w:rsidP="00A15226">
            <w:pPr>
              <w:pStyle w:val="Tabletext"/>
            </w:pPr>
            <w:r>
              <w:t xml:space="preserve">Females lay their eggs at the base of grass tussocks. Once hatched, the larvae develop underground where they feed on the roots of the tussocks. Pupation occurs in Spring and the adults emerge during the breeding season, which is between mid-October to early January. </w:t>
            </w:r>
          </w:p>
          <w:p w14:paraId="6EE343F7" w14:textId="77777777" w:rsidR="008C1AD8" w:rsidRDefault="008C1AD8" w:rsidP="00A15226">
            <w:pPr>
              <w:pStyle w:val="Tabletext"/>
            </w:pPr>
            <w:r>
              <w:t xml:space="preserve">Adults have no functional mouth parts and do not feed. They are most active during sunny, still, warm to hot days when males can be found patrolling habitat for females by flying about 1 m above the ground in rapid, short bursts during late morning and early afternoon. </w:t>
            </w:r>
          </w:p>
          <w:p w14:paraId="1FB3432F" w14:textId="77777777" w:rsidR="008C1AD8" w:rsidRPr="003E1ADD" w:rsidRDefault="008C1AD8" w:rsidP="00A15226">
            <w:pPr>
              <w:pStyle w:val="Tabletext"/>
            </w:pPr>
            <w:r>
              <w:t xml:space="preserve">Males are capable of active and prolonged flight, though are unlikely to travel long distances (greater than 100 m) away from suitable habitat. Females are typically active later in the afternoon and are semi-flightless, flashing their bright wings in sedentary positions. After mating, females lay their eggs and then the adult moths die </w:t>
            </w:r>
            <w:sdt>
              <w:sdtPr>
                <w:rPr>
                  <w:color w:val="000000"/>
                </w:rPr>
                <w:tag w:val="MENDELEY_CITATION_v3_eyJjaXRhdGlvbklEIjoiTUVOREVMRVlfQ0lUQVRJT05fMzI4NjY2YjAtNDNjZC00NjBiLThiNGItMDQ2OGRmM2VmZDAx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112824148"/>
                <w:placeholder>
                  <w:docPart w:val="DAB2BF17DBB6CA42B964E8924C553FEF"/>
                </w:placeholder>
              </w:sdtPr>
              <w:sdtContent>
                <w:r w:rsidRPr="00273871">
                  <w:rPr>
                    <w:color w:val="000000"/>
                  </w:rPr>
                  <w:t>(DAWE, 2021a)</w:t>
                </w:r>
              </w:sdtContent>
            </w:sdt>
            <w:r>
              <w:t>.</w:t>
            </w:r>
          </w:p>
        </w:tc>
      </w:tr>
      <w:tr w:rsidR="008C1AD8" w:rsidRPr="000816D6" w14:paraId="18DFC35D" w14:textId="77777777" w:rsidTr="00A15226">
        <w:tc>
          <w:tcPr>
            <w:tcW w:w="1526" w:type="dxa"/>
            <w:vAlign w:val="center"/>
          </w:tcPr>
          <w:p w14:paraId="19E94630"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253669FE" w14:textId="77777777" w:rsidR="008C1AD8" w:rsidRDefault="008C1AD8" w:rsidP="00A15226">
            <w:pPr>
              <w:pStyle w:val="Tabletext"/>
            </w:pPr>
            <w:r>
              <w:t>GSM is found in grassland habitat in south-eastern Australia. Its distribution ranges from central NSW between Parkes and Bathurst, through the ACT, down to central and western Victoria and just across the border to eastern South Australia.</w:t>
            </w:r>
          </w:p>
          <w:p w14:paraId="338D04D9" w14:textId="77777777" w:rsidR="008C1AD8" w:rsidRDefault="008C1AD8" w:rsidP="00A15226">
            <w:pPr>
              <w:pStyle w:val="Tabletext"/>
            </w:pPr>
            <w:r>
              <w:t>The Extent of Occurrence and Area of Occupation are currently understood to be 145,322 km</w:t>
            </w:r>
            <w:r w:rsidRPr="000B24CB">
              <w:t>²</w:t>
            </w:r>
            <w:r>
              <w:t xml:space="preserve"> and 1,596 km</w:t>
            </w:r>
            <w:r w:rsidRPr="000B24CB">
              <w:t>²</w:t>
            </w:r>
            <w:r>
              <w:t xml:space="preserve"> respectively </w:t>
            </w:r>
            <w:sdt>
              <w:sdtPr>
                <w:rPr>
                  <w:color w:val="000000"/>
                </w:rPr>
                <w:tag w:val="MENDELEY_CITATION_v3_eyJjaXRhdGlvbklEIjoiTUVOREVMRVlfQ0lUQVRJT05fNDUzZGE5OGYtZTc5Yy00ZGU4LWFlMjMtMGJiNzVhZWQzNmNi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73787676"/>
                <w:placeholder>
                  <w:docPart w:val="EA492B379251784A8EF33F6B6775C3A8"/>
                </w:placeholder>
              </w:sdtPr>
              <w:sdtContent>
                <w:r w:rsidRPr="00273871">
                  <w:rPr>
                    <w:color w:val="000000"/>
                  </w:rPr>
                  <w:t>(DAWE, 2021a)</w:t>
                </w:r>
              </w:sdtContent>
            </w:sdt>
            <w:r>
              <w:t>.</w:t>
            </w:r>
          </w:p>
          <w:p w14:paraId="43FFCEED" w14:textId="77777777" w:rsidR="008C1AD8" w:rsidRDefault="008C1AD8" w:rsidP="00A15226">
            <w:pPr>
              <w:pStyle w:val="Tabletext"/>
            </w:pPr>
            <w:r>
              <w:t xml:space="preserve">Within Victoria, 11 Local Government Areas are recognised as important for the species  </w:t>
            </w:r>
            <w:sdt>
              <w:sdtPr>
                <w:rPr>
                  <w:color w:val="000000"/>
                </w:rPr>
                <w:tag w:val="MENDELEY_CITATION_v3_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"/>
                <w:id w:val="700057990"/>
                <w:placeholder>
                  <w:docPart w:val="EA492B379251784A8EF33F6B6775C3A8"/>
                </w:placeholder>
              </w:sdtPr>
              <w:sdtContent>
                <w:r w:rsidRPr="00273871">
                  <w:rPr>
                    <w:color w:val="000000"/>
                  </w:rPr>
                  <w:t>(SWIFFT, 2022a)</w:t>
                </w:r>
              </w:sdtContent>
            </w:sdt>
            <w:r>
              <w:t>. The species is known to occur within the City of Greater Geelong, however it is not listed as an important LGA.</w:t>
            </w:r>
          </w:p>
          <w:p w14:paraId="47B2289F" w14:textId="77777777" w:rsidR="008C1AD8" w:rsidRDefault="008C1AD8" w:rsidP="00A15226">
            <w:pPr>
              <w:pStyle w:val="Tabletext"/>
            </w:pPr>
            <w:r>
              <w:t xml:space="preserve">Habitat for GSM comprises generally flat or gently sloping areas exposed to full sun that contain (or have once contained) native grassland, open grassy woodlands and secondary grasslands that retain a component of larval food species. Previously, GSM was only thought to occur in </w:t>
            </w:r>
            <w:r>
              <w:lastRenderedPageBreak/>
              <w:t xml:space="preserve">grasslands </w:t>
            </w:r>
            <w:r w:rsidRPr="00C276B2">
              <w:t xml:space="preserve">dominated by species from the genus </w:t>
            </w:r>
            <w:r w:rsidRPr="001E34D1">
              <w:rPr>
                <w:i/>
                <w:iCs/>
              </w:rPr>
              <w:t>Rytidosperma</w:t>
            </w:r>
            <w:r>
              <w:t xml:space="preserve">, or </w:t>
            </w:r>
            <w:r w:rsidRPr="00C276B2">
              <w:t>Wallaby Grass</w:t>
            </w:r>
            <w:r>
              <w:t xml:space="preserve">. However, GSM is also known to occur in degraded areas that retain some native larval food species, or have been invaded by the introduced Needlegrass species such as Chilean Needle-grass </w:t>
            </w:r>
            <w:r w:rsidRPr="001E34D1">
              <w:rPr>
                <w:i/>
                <w:iCs/>
              </w:rPr>
              <w:t>Nassella neesiana</w:t>
            </w:r>
            <w:r>
              <w:t xml:space="preserve">, which is also a known food plant </w:t>
            </w:r>
            <w:sdt>
              <w:sdtPr>
                <w:rPr>
                  <w:color w:val="000000"/>
                </w:rPr>
                <w:tag w:val="MENDELEY_CITATION_v3_eyJjaXRhdGlvbklEIjoiTUVOREVMRVlfQ0lUQVRJT05fMTk4OGJjM2QtNzlhYy00YzE3LWE0MzAtZWZkNTAzZWNhNGRi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253667378"/>
                <w:placeholder>
                  <w:docPart w:val="DAB2BF17DBB6CA42B964E8924C553FEF"/>
                </w:placeholder>
              </w:sdtPr>
              <w:sdtContent>
                <w:r w:rsidRPr="00273871">
                  <w:rPr>
                    <w:color w:val="000000"/>
                  </w:rPr>
                  <w:t>(DAWE, 2021a)</w:t>
                </w:r>
              </w:sdtContent>
            </w:sdt>
            <w:r>
              <w:t>.</w:t>
            </w:r>
          </w:p>
          <w:p w14:paraId="18CD4364" w14:textId="77777777" w:rsidR="008C1AD8" w:rsidRDefault="008C1AD8" w:rsidP="00A15226">
            <w:pPr>
              <w:pStyle w:val="Tabletext"/>
              <w:keepNext/>
              <w:keepLines/>
            </w:pPr>
            <w:r>
              <w:t xml:space="preserve">Despite this, it is important to note that the natural habitat of GSM </w:t>
            </w:r>
            <w:r w:rsidRPr="00804762">
              <w:t>is native grasslands</w:t>
            </w:r>
            <w:r>
              <w:t xml:space="preserve"> which include </w:t>
            </w:r>
            <w:r w:rsidRPr="00804762">
              <w:t>Wallaby</w:t>
            </w:r>
            <w:r>
              <w:t>-g</w:t>
            </w:r>
            <w:r w:rsidRPr="00804762">
              <w:t>rass</w:t>
            </w:r>
            <w:r w:rsidRPr="001E34D1">
              <w:rPr>
                <w:i/>
                <w:iCs/>
              </w:rPr>
              <w:t xml:space="preserve"> Rytidosperma</w:t>
            </w:r>
            <w:r w:rsidRPr="00804762">
              <w:t xml:space="preserve"> </w:t>
            </w:r>
            <w:r>
              <w:t xml:space="preserve">and Spear-grass </w:t>
            </w:r>
            <w:r w:rsidRPr="00E21020">
              <w:rPr>
                <w:i/>
                <w:iCs/>
              </w:rPr>
              <w:t>Austrostipa</w:t>
            </w:r>
            <w:r>
              <w:t xml:space="preserve"> species</w:t>
            </w:r>
            <w:r w:rsidRPr="00804762">
              <w:t xml:space="preserve"> </w:t>
            </w:r>
            <w:r>
              <w:t>(</w:t>
            </w:r>
            <w:sdt>
              <w:sdtPr>
                <w:rPr>
                  <w:color w:val="000000"/>
                </w:rPr>
                <w:tag w:val="MENDELEY_CITATION_v3_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"/>
                <w:id w:val="448586246"/>
                <w:placeholder>
                  <w:docPart w:val="EA492B379251784A8EF33F6B6775C3A8"/>
                </w:placeholder>
              </w:sdtPr>
              <w:sdtContent>
                <w:r w:rsidRPr="00273871">
                  <w:rPr>
                    <w:color w:val="000000"/>
                  </w:rPr>
                  <w:t>(SWIFFT, 2022a)</w:t>
                </w:r>
              </w:sdtContent>
            </w:sdt>
            <w:r>
              <w:t xml:space="preserve">. The species Conservation Advice refers to important (or high quality) habitat areas as those comprising </w:t>
            </w:r>
            <w:sdt>
              <w:sdtPr>
                <w:rPr>
                  <w:color w:val="000000"/>
                </w:rPr>
                <w:tag w:val="MENDELEY_CITATION_v3_eyJjaXRhdGlvbklEIjoiTUVOREVMRVlfQ0lUQVRJT05fOGJmMmQwMzktOGNlMC00NmQ3LWE1ZDQtNjcxZmE5YzY2Nzk1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961920270"/>
                <w:placeholder>
                  <w:docPart w:val="EA492B379251784A8EF33F6B6775C3A8"/>
                </w:placeholder>
              </w:sdtPr>
              <w:sdtContent>
                <w:r w:rsidRPr="00273871">
                  <w:rPr>
                    <w:color w:val="000000"/>
                  </w:rPr>
                  <w:t>(DAWE, 2021a)</w:t>
                </w:r>
              </w:sdtContent>
            </w:sdt>
            <w:r>
              <w:t>:</w:t>
            </w:r>
          </w:p>
          <w:p w14:paraId="159F0ED3" w14:textId="77777777" w:rsidR="008C1AD8" w:rsidRPr="001E34D1" w:rsidRDefault="008C1AD8" w:rsidP="00A15226">
            <w:pPr>
              <w:pStyle w:val="Tabletext"/>
              <w:ind w:left="216" w:right="173"/>
              <w:rPr>
                <w:i/>
                <w:iCs/>
              </w:rPr>
            </w:pPr>
            <w:r w:rsidRPr="001E34D1">
              <w:rPr>
                <w:i/>
                <w:iCs/>
              </w:rPr>
              <w:t>“…medium to large sites containing native grassland with an abundant component of larval food species (i.e., Rytidosperma spp. and/or Austrostipa spp.) with low weed cover, inter-tussock spaces, and land-use/management that is consistent with the ecological values of the site.”</w:t>
            </w:r>
          </w:p>
          <w:p w14:paraId="120870AC" w14:textId="77777777" w:rsidR="008C1AD8" w:rsidRDefault="008C1AD8" w:rsidP="00A15226">
            <w:pPr>
              <w:pStyle w:val="Tabletext"/>
            </w:pPr>
            <w:r>
              <w:t>According to the Conservation Advice, large subpopulations, or smaller, well-connected subpopulations that occur within high quality habitat are likely to be important in the long-term maintenance of the species, including maintenance of genetic diversity and long-term evolutionary development.</w:t>
            </w:r>
          </w:p>
          <w:p w14:paraId="68D73CEA" w14:textId="77777777" w:rsidR="008C1AD8" w:rsidRDefault="008C1AD8" w:rsidP="00A15226">
            <w:pPr>
              <w:pStyle w:val="Tabletext"/>
            </w:pPr>
            <w:r>
              <w:t xml:space="preserve">The definition of habitat critical to the survival of the species is yet to be resolved, but is currently defined broadly as </w:t>
            </w:r>
            <w:sdt>
              <w:sdtPr>
                <w:rPr>
                  <w:color w:val="000000"/>
                </w:rPr>
                <w:tag w:val="MENDELEY_CITATION_v3_eyJjaXRhdGlvbklEIjoiTUVOREVMRVlfQ0lUQVRJT05fZjkzOWE0YmUtYjA4NC00ZGI5LTk0MmYtZDVlMmJhNjNiNGQw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792315588"/>
                <w:placeholder>
                  <w:docPart w:val="EA492B379251784A8EF33F6B6775C3A8"/>
                </w:placeholder>
              </w:sdtPr>
              <w:sdtContent>
                <w:r w:rsidRPr="00273871">
                  <w:rPr>
                    <w:color w:val="000000"/>
                  </w:rPr>
                  <w:t>(DAWE, 2021a)</w:t>
                </w:r>
              </w:sdtContent>
            </w:sdt>
            <w:r>
              <w:t xml:space="preserve">: </w:t>
            </w:r>
          </w:p>
          <w:p w14:paraId="2448D352" w14:textId="77777777" w:rsidR="008C1AD8" w:rsidRPr="003E1ADD" w:rsidRDefault="008C1AD8" w:rsidP="00A15226">
            <w:pPr>
              <w:pStyle w:val="Tabletext"/>
              <w:ind w:left="216" w:right="173"/>
            </w:pPr>
            <w:r>
              <w:rPr>
                <w:i/>
                <w:iCs/>
              </w:rPr>
              <w:t>“…</w:t>
            </w:r>
            <w:r w:rsidRPr="00C6506A">
              <w:rPr>
                <w:i/>
                <w:iCs/>
              </w:rPr>
              <w:t>all native grassland and open grassy woodland habitat occupied by the species across its range</w:t>
            </w:r>
            <w:r>
              <w:rPr>
                <w:i/>
                <w:iCs/>
              </w:rPr>
              <w:t xml:space="preserve">… </w:t>
            </w:r>
            <w:r>
              <w:t>[as well as] …</w:t>
            </w:r>
            <w:r>
              <w:rPr>
                <w:i/>
                <w:iCs/>
              </w:rPr>
              <w:t>s</w:t>
            </w:r>
            <w:r w:rsidRPr="00C6506A">
              <w:rPr>
                <w:i/>
                <w:iCs/>
              </w:rPr>
              <w:t>ites occurring at or toward the limit of the species range, or sites that are a long distance from other known subpopulations</w:t>
            </w:r>
            <w:r>
              <w:rPr>
                <w:i/>
                <w:iCs/>
              </w:rPr>
              <w:t>”.</w:t>
            </w:r>
          </w:p>
        </w:tc>
      </w:tr>
      <w:tr w:rsidR="008C1AD8" w:rsidRPr="000816D6" w14:paraId="333DE859" w14:textId="77777777" w:rsidTr="00A15226">
        <w:tc>
          <w:tcPr>
            <w:tcW w:w="1526" w:type="dxa"/>
            <w:vAlign w:val="center"/>
          </w:tcPr>
          <w:p w14:paraId="5B5680B4" w14:textId="77777777" w:rsidR="008C1AD8" w:rsidRPr="000816D6" w:rsidRDefault="008C1AD8" w:rsidP="00A15226">
            <w:pPr>
              <w:pStyle w:val="Tabletext"/>
              <w:rPr>
                <w:rFonts w:ascii="Helvetica" w:hAnsi="Helvetica"/>
                <w:b/>
                <w:bCs/>
                <w:sz w:val="14"/>
              </w:rPr>
            </w:pPr>
            <w:r w:rsidRPr="000816D6">
              <w:rPr>
                <w:rFonts w:ascii="Helvetica" w:hAnsi="Helvetica"/>
                <w:b/>
                <w:bCs/>
                <w:sz w:val="14"/>
              </w:rPr>
              <w:lastRenderedPageBreak/>
              <w:t xml:space="preserve">POPULATIONS </w:t>
            </w:r>
          </w:p>
        </w:tc>
        <w:tc>
          <w:tcPr>
            <w:tcW w:w="8113" w:type="dxa"/>
            <w:vAlign w:val="center"/>
          </w:tcPr>
          <w:p w14:paraId="209462E4" w14:textId="77777777" w:rsidR="008C1AD8" w:rsidRDefault="008C1AD8" w:rsidP="00A15226">
            <w:pPr>
              <w:pStyle w:val="Tabletext"/>
            </w:pPr>
            <w:r>
              <w:t xml:space="preserve">According to the Conservation Advice, GSM is known from 164 sites </w:t>
            </w:r>
            <w:sdt>
              <w:sdtPr>
                <w:rPr>
                  <w:color w:val="000000"/>
                </w:rPr>
                <w:tag w:val="MENDELEY_CITATION_v3_eyJjaXRhdGlvbklEIjoiTUVOREVMRVlfQ0lUQVRJT05fZWVlNDUyZjYtYjk4OS00ZmYwLWFiNTMtMzc2MTFkNjVjZDAz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577023695"/>
                <w:placeholder>
                  <w:docPart w:val="EA492B379251784A8EF33F6B6775C3A8"/>
                </w:placeholder>
              </w:sdtPr>
              <w:sdtContent>
                <w:r w:rsidRPr="00273871">
                  <w:rPr>
                    <w:color w:val="000000"/>
                  </w:rPr>
                  <w:t>(DAWE, 2021a)</w:t>
                </w:r>
              </w:sdtContent>
            </w:sdt>
            <w:r>
              <w:t>. Of these, 104 sites occur in Victoria. Sites separated by distances of greater than 200 m are likely to be geographically isolated.</w:t>
            </w:r>
          </w:p>
          <w:p w14:paraId="77A29513" w14:textId="77777777" w:rsidR="008C1AD8" w:rsidRPr="003E1ADD" w:rsidRDefault="008C1AD8" w:rsidP="00A15226">
            <w:pPr>
              <w:pStyle w:val="Tabletext"/>
            </w:pPr>
            <w:r>
              <w:t xml:space="preserve">Genetic differentiation among subpopulations is correlated with geographic distance. The Victorian subpopulations are evolutionarily distinct from the NSW/ACT subpopulations, and represent evolutionarily significant units </w:t>
            </w:r>
            <w:sdt>
              <w:sdtPr>
                <w:rPr>
                  <w:color w:val="000000"/>
                </w:rPr>
                <w:tag w:val="MENDELEY_CITATION_v3_eyJjaXRhdGlvbklEIjoiTUVOREVMRVlfQ0lUQVRJT05fMzg2MzAyMDctZmEyMC00YTk0LTgwYTEtOGRmYzAyMDVkYzhm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606624217"/>
                <w:placeholder>
                  <w:docPart w:val="EA492B379251784A8EF33F6B6775C3A8"/>
                </w:placeholder>
              </w:sdtPr>
              <w:sdtContent>
                <w:r w:rsidRPr="00273871">
                  <w:rPr>
                    <w:color w:val="000000"/>
                  </w:rPr>
                  <w:t>(DAWE, 2021a)</w:t>
                </w:r>
              </w:sdtContent>
            </w:sdt>
            <w:r>
              <w:t>.</w:t>
            </w:r>
          </w:p>
        </w:tc>
      </w:tr>
      <w:tr w:rsidR="008C1AD8" w:rsidRPr="002F23FB" w14:paraId="30F5AFD8" w14:textId="77777777" w:rsidTr="00A15226">
        <w:tc>
          <w:tcPr>
            <w:tcW w:w="1526" w:type="dxa"/>
            <w:vAlign w:val="center"/>
          </w:tcPr>
          <w:p w14:paraId="69076E21" w14:textId="77777777" w:rsidR="008C1AD8" w:rsidRPr="000816D6" w:rsidRDefault="008C1AD8" w:rsidP="00A15226">
            <w:pPr>
              <w:pStyle w:val="Tabletext"/>
              <w:rPr>
                <w:rFonts w:ascii="Helvetica" w:hAnsi="Helvetica"/>
                <w:b/>
                <w:bCs/>
                <w:sz w:val="14"/>
              </w:rPr>
            </w:pPr>
            <w:r>
              <w:rPr>
                <w:rFonts w:ascii="Helvetica" w:hAnsi="Helvetica"/>
                <w:b/>
                <w:bCs/>
                <w:sz w:val="14"/>
              </w:rPr>
              <w:t>THREATS</w:t>
            </w:r>
          </w:p>
        </w:tc>
        <w:tc>
          <w:tcPr>
            <w:tcW w:w="8113" w:type="dxa"/>
            <w:vAlign w:val="center"/>
          </w:tcPr>
          <w:p w14:paraId="5D18D2FC" w14:textId="77777777" w:rsidR="008C1AD8" w:rsidRDefault="008C1AD8" w:rsidP="00A15226">
            <w:pPr>
              <w:pStyle w:val="Tabletext"/>
            </w:pPr>
            <w:r>
              <w:t xml:space="preserve">The Conservation Advice </w:t>
            </w:r>
            <w:sdt>
              <w:sdtPr>
                <w:rPr>
                  <w:color w:val="000000"/>
                </w:rPr>
                <w:tag w:val="MENDELEY_CITATION_v3_eyJjaXRhdGlvbklEIjoiTUVOREVMRVlfQ0lUQVRJT05fNjEzOWFhYTItZDY2NC00ZjE5LWE3ZDYtYmU5N2Y3MDI5YTIx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535950277"/>
                <w:placeholder>
                  <w:docPart w:val="EA492B379251784A8EF33F6B6775C3A8"/>
                </w:placeholder>
              </w:sdtPr>
              <w:sdtContent>
                <w:r w:rsidRPr="00273871">
                  <w:rPr>
                    <w:color w:val="000000"/>
                  </w:rPr>
                  <w:t>(DAWE, 2021a)</w:t>
                </w:r>
              </w:sdtContent>
            </w:sdt>
            <w:r>
              <w:t xml:space="preserve"> for the species has identified a number of threats, including:</w:t>
            </w:r>
          </w:p>
          <w:p w14:paraId="1C62F613" w14:textId="77777777" w:rsidR="008C1AD8" w:rsidRDefault="008C1AD8" w:rsidP="00A15226">
            <w:pPr>
              <w:pStyle w:val="Bullet1"/>
            </w:pPr>
            <w:r>
              <w:t>Habitat loss, degradation, and fragmentation, including:</w:t>
            </w:r>
          </w:p>
          <w:p w14:paraId="1B86F94B" w14:textId="77777777" w:rsidR="008C1AD8" w:rsidRDefault="008C1AD8" w:rsidP="00A15226">
            <w:pPr>
              <w:pStyle w:val="Bullet2"/>
            </w:pPr>
            <w:r>
              <w:t>Land clearing for urban development and agriculture</w:t>
            </w:r>
          </w:p>
          <w:p w14:paraId="2416632D" w14:textId="77777777" w:rsidR="008C1AD8" w:rsidRDefault="008C1AD8" w:rsidP="00A15226">
            <w:pPr>
              <w:pStyle w:val="Bullet2"/>
            </w:pPr>
            <w:r>
              <w:t xml:space="preserve">Soil disturbance, due to </w:t>
            </w:r>
            <w:r w:rsidRPr="00701885">
              <w:t>laying of infrastructure</w:t>
            </w:r>
            <w:r>
              <w:t xml:space="preserve">, </w:t>
            </w:r>
            <w:r w:rsidRPr="00701885">
              <w:t>driving of vehicles and other machinery on wet soil</w:t>
            </w:r>
            <w:r>
              <w:t xml:space="preserve">, </w:t>
            </w:r>
            <w:r w:rsidRPr="00701885">
              <w:t>activities such</w:t>
            </w:r>
            <w:r>
              <w:t xml:space="preserve"> as ploughing, cultivation and ripping, and due to rabbit burrows</w:t>
            </w:r>
          </w:p>
          <w:p w14:paraId="09E78048" w14:textId="77777777" w:rsidR="008C1AD8" w:rsidRDefault="008C1AD8" w:rsidP="00A15226">
            <w:pPr>
              <w:pStyle w:val="Bullet2"/>
            </w:pPr>
            <w:r>
              <w:t>Inappropriate removal of biomass from grasslands, including lack of biomass removal, or intense grazing and/or mowing</w:t>
            </w:r>
          </w:p>
          <w:p w14:paraId="1130EFD9" w14:textId="77777777" w:rsidR="008C1AD8" w:rsidRDefault="008C1AD8" w:rsidP="00A15226">
            <w:pPr>
              <w:pStyle w:val="Bullet2"/>
            </w:pPr>
            <w:r>
              <w:t>Application of chemicals such as herbicides, pesticides, or fertilisers</w:t>
            </w:r>
          </w:p>
          <w:p w14:paraId="1D6E1952" w14:textId="77777777" w:rsidR="008C1AD8" w:rsidRDefault="008C1AD8" w:rsidP="00A15226">
            <w:pPr>
              <w:pStyle w:val="Bullet2"/>
            </w:pPr>
            <w:r>
              <w:t>Planting and / or regeneration of shrubs / trees</w:t>
            </w:r>
          </w:p>
          <w:p w14:paraId="23CE2F30" w14:textId="77777777" w:rsidR="008C1AD8" w:rsidRDefault="008C1AD8" w:rsidP="00A15226">
            <w:pPr>
              <w:pStyle w:val="Bullet1"/>
            </w:pPr>
            <w:r>
              <w:t>Invasive species, including:</w:t>
            </w:r>
          </w:p>
          <w:p w14:paraId="37F51A75" w14:textId="77777777" w:rsidR="008C1AD8" w:rsidRDefault="008C1AD8" w:rsidP="00A15226">
            <w:pPr>
              <w:pStyle w:val="Bullet2"/>
            </w:pPr>
            <w:r>
              <w:t>Weed invasion</w:t>
            </w:r>
          </w:p>
          <w:p w14:paraId="5104C20F" w14:textId="77777777" w:rsidR="008C1AD8" w:rsidRDefault="008C1AD8" w:rsidP="00A15226">
            <w:pPr>
              <w:pStyle w:val="Bullet2"/>
            </w:pPr>
            <w:r>
              <w:t>Habitat degradation by rabbits</w:t>
            </w:r>
          </w:p>
          <w:p w14:paraId="3E95A532" w14:textId="77777777" w:rsidR="008C1AD8" w:rsidRDefault="008C1AD8" w:rsidP="00A15226">
            <w:pPr>
              <w:pStyle w:val="Bullet1"/>
            </w:pPr>
            <w:r>
              <w:t>Installation of artificial structures which increases predation by native and introduced birds</w:t>
            </w:r>
          </w:p>
          <w:p w14:paraId="0DEF50A6" w14:textId="77777777" w:rsidR="008C1AD8" w:rsidRPr="003E1ADD" w:rsidRDefault="008C1AD8" w:rsidP="00A15226">
            <w:pPr>
              <w:pStyle w:val="Bullet1"/>
            </w:pPr>
            <w:r>
              <w:t>Inappropriate fire regimes</w:t>
            </w:r>
          </w:p>
        </w:tc>
      </w:tr>
      <w:tr w:rsidR="008C1AD8" w:rsidRPr="002F23FB" w14:paraId="35EBEF63" w14:textId="77777777" w:rsidTr="00A15226">
        <w:tc>
          <w:tcPr>
            <w:tcW w:w="1526" w:type="dxa"/>
            <w:vAlign w:val="center"/>
          </w:tcPr>
          <w:p w14:paraId="5C67CC81"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151D654E" w14:textId="77777777" w:rsidR="008C1AD8" w:rsidRDefault="008C1AD8" w:rsidP="00A15226">
            <w:pPr>
              <w:pStyle w:val="Tabletext"/>
            </w:pPr>
            <w:r w:rsidRPr="003E1ADD">
              <w:t>Conservation</w:t>
            </w:r>
            <w:r>
              <w:t xml:space="preserve"> Advice for </w:t>
            </w:r>
            <w:r>
              <w:rPr>
                <w:i/>
                <w:iCs/>
              </w:rPr>
              <w:t xml:space="preserve">Synemon plana </w:t>
            </w:r>
            <w:r>
              <w:t xml:space="preserve">(Golden Sun Moth) </w:t>
            </w:r>
            <w:sdt>
              <w:sdtPr>
                <w:rPr>
                  <w:color w:val="000000"/>
                </w:rPr>
                <w:tag w:val="MENDELEY_CITATION_v3_eyJjaXRhdGlvbklEIjoiTUVOREVMRVlfQ0lUQVRJT05fM2ZlZmFlYzQtMjA0NS00ZTkyLWIxZDYtOThiZDdhOWM4MDcz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2111007936"/>
                <w:placeholder>
                  <w:docPart w:val="EA492B379251784A8EF33F6B6775C3A8"/>
                </w:placeholder>
              </w:sdtPr>
              <w:sdtContent>
                <w:r w:rsidRPr="00273871">
                  <w:rPr>
                    <w:color w:val="000000"/>
                  </w:rPr>
                  <w:t>(DAWE, 2021a)</w:t>
                </w:r>
              </w:sdtContent>
            </w:sdt>
          </w:p>
          <w:p w14:paraId="23C41F27" w14:textId="77777777" w:rsidR="008C1AD8" w:rsidRPr="002D3B63" w:rsidRDefault="008C1AD8" w:rsidP="00A15226">
            <w:pPr>
              <w:pStyle w:val="Tabletext"/>
              <w:rPr>
                <w:iCs/>
              </w:rPr>
            </w:pPr>
            <w:r>
              <w:rPr>
                <w:iCs/>
              </w:rPr>
              <w:t xml:space="preserve">Threat abatement plan for competition and land degradation by rabbits </w:t>
            </w:r>
            <w:sdt>
              <w:sdtPr>
                <w:rPr>
                  <w:iCs/>
                  <w:color w:val="000000"/>
                </w:rPr>
                <w:tag w:val="MENDELEY_CITATION_v3_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"/>
                <w:id w:val="1507243485"/>
                <w:placeholder>
                  <w:docPart w:val="EA492B379251784A8EF33F6B6775C3A8"/>
                </w:placeholder>
              </w:sdtPr>
              <w:sdtEndPr>
                <w:rPr>
                  <w:iCs w:val="0"/>
                </w:rPr>
              </w:sdtEndPr>
              <w:sdtContent>
                <w:r w:rsidRPr="00273871">
                  <w:rPr>
                    <w:color w:val="000000"/>
                  </w:rPr>
                  <w:t>(DoEE, 2016a)</w:t>
                </w:r>
              </w:sdtContent>
            </w:sdt>
          </w:p>
        </w:tc>
      </w:tr>
      <w:tr w:rsidR="008C1AD8" w:rsidRPr="000816D6" w14:paraId="4C7D156E" w14:textId="77777777" w:rsidTr="00A15226">
        <w:tc>
          <w:tcPr>
            <w:tcW w:w="1526" w:type="dxa"/>
            <w:vAlign w:val="center"/>
          </w:tcPr>
          <w:p w14:paraId="374B8919"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67D75FA4" w14:textId="77777777" w:rsidR="008C1AD8" w:rsidRPr="00047780" w:rsidRDefault="008C1AD8" w:rsidP="00A15226">
            <w:pPr>
              <w:pStyle w:val="Tabletext"/>
            </w:pPr>
            <w:r>
              <w:t xml:space="preserve">There are no current Significant Impact Guidelines or other species-specific policy statements for the GSM. However, significant impact guidelines have been prepared for the species when it was listed as Critically Endangered - Significant impact guidelines for the critically endangered golden sun moth (Synemon plana): Nationally threatened species and ecological communities EPBC Act policy statement 3.12 </w:t>
            </w:r>
            <w:sdt>
              <w:sdtPr>
                <w:rPr>
                  <w:color w:val="000000"/>
                </w:rPr>
                <w:tag w:val="MENDELEY_CITATION_v3_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"/>
                <w:id w:val="-1553995682"/>
                <w:placeholder>
                  <w:docPart w:val="EA492B379251784A8EF33F6B6775C3A8"/>
                </w:placeholder>
              </w:sdtPr>
              <w:sdtContent>
                <w:r w:rsidRPr="00273871">
                  <w:rPr>
                    <w:color w:val="000000"/>
                  </w:rPr>
                  <w:t>(DEWHA, 2009e)</w:t>
                </w:r>
              </w:sdtContent>
            </w:sdt>
          </w:p>
        </w:tc>
      </w:tr>
      <w:tr w:rsidR="008C1AD8" w:rsidRPr="000816D6" w14:paraId="79E549EE" w14:textId="77777777" w:rsidTr="00A15226">
        <w:tc>
          <w:tcPr>
            <w:tcW w:w="1526" w:type="dxa"/>
            <w:vAlign w:val="center"/>
          </w:tcPr>
          <w:p w14:paraId="75AC0AA7"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6421A5DF" w14:textId="77777777" w:rsidR="008C1AD8" w:rsidRPr="003E1ADD" w:rsidRDefault="008C1AD8" w:rsidP="00A15226">
            <w:pPr>
              <w:pStyle w:val="Tabletext"/>
            </w:pPr>
            <w:r w:rsidRPr="00D77BAF">
              <w:t>http://www.environment.gov.au/cgi-bin/sprat/public/publicspecies.pl?taxon_id=25234</w:t>
            </w:r>
          </w:p>
        </w:tc>
      </w:tr>
    </w:tbl>
    <w:p w14:paraId="6C521B35"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584B8F46" w14:textId="77777777" w:rsidTr="00A15226">
        <w:tc>
          <w:tcPr>
            <w:tcW w:w="9622" w:type="dxa"/>
            <w:shd w:val="clear" w:color="auto" w:fill="C9C9C9" w:themeFill="accent3" w:themeFillTint="99"/>
          </w:tcPr>
          <w:p w14:paraId="24EAA1BD" w14:textId="77777777" w:rsidR="008C1AD8" w:rsidRPr="008F55BC" w:rsidRDefault="008C1AD8" w:rsidP="00A15226">
            <w:pPr>
              <w:pStyle w:val="Tabletext"/>
              <w:keepNext/>
              <w:keepLines/>
              <w:rPr>
                <w:b/>
                <w:bCs/>
              </w:rPr>
            </w:pPr>
            <w:r>
              <w:rPr>
                <w:rFonts w:ascii="Helvetica" w:hAnsi="Helvetica"/>
                <w:b/>
                <w:sz w:val="16"/>
                <w:szCs w:val="16"/>
              </w:rPr>
              <w:lastRenderedPageBreak/>
              <w:t>APPROACH TO BASELINE DATA</w:t>
            </w:r>
          </w:p>
        </w:tc>
      </w:tr>
    </w:tbl>
    <w:p w14:paraId="65C4526F" w14:textId="77777777" w:rsidR="008C1AD8" w:rsidRPr="0007741A" w:rsidRDefault="008C1AD8" w:rsidP="008C1AD8">
      <w:pPr>
        <w:keepNext/>
        <w:keepLines/>
        <w:rPr>
          <w:i/>
          <w:iCs/>
          <w:color w:val="4472C4" w:themeColor="accent1"/>
        </w:rPr>
      </w:pPr>
      <w:r w:rsidRPr="0007741A">
        <w:rPr>
          <w:i/>
          <w:iCs/>
          <w:color w:val="4472C4" w:themeColor="accent1"/>
        </w:rPr>
        <w:t>This section provides a summary of the baseline information used in the assessment. It sets out:</w:t>
      </w:r>
    </w:p>
    <w:p w14:paraId="379B5CA4" w14:textId="77777777" w:rsidR="008C1AD8" w:rsidRPr="0007741A" w:rsidRDefault="008C1AD8" w:rsidP="008C1AD8">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5E3DE421" w14:textId="77777777" w:rsidR="008C1AD8" w:rsidRDefault="008C1AD8" w:rsidP="008C1AD8">
      <w:pPr>
        <w:pStyle w:val="Bullet1"/>
        <w:rPr>
          <w:i/>
          <w:iCs/>
          <w:color w:val="4472C4" w:themeColor="accent1"/>
        </w:rPr>
      </w:pPr>
      <w:r w:rsidRPr="0007741A">
        <w:rPr>
          <w:i/>
          <w:iCs/>
          <w:color w:val="4472C4" w:themeColor="accent1"/>
        </w:rPr>
        <w:t>An overview of the population mapping for the species</w:t>
      </w:r>
    </w:p>
    <w:p w14:paraId="0765BD0E" w14:textId="77777777" w:rsidR="008C1AD8" w:rsidRPr="00296917" w:rsidRDefault="008C1AD8" w:rsidP="008C1AD8">
      <w:pPr>
        <w:rPr>
          <w:i/>
          <w:color w:val="4472C4" w:themeColor="accent1"/>
        </w:rPr>
      </w:pPr>
      <w:r w:rsidRPr="000816D6">
        <w:rPr>
          <w:i/>
          <w:color w:val="4472C4" w:themeColor="accent1"/>
        </w:rPr>
        <w:t xml:space="preserve">Please </w:t>
      </w:r>
      <w:r w:rsidRPr="00A47923">
        <w:rPr>
          <w:i/>
          <w:color w:val="4472C4" w:themeColor="accent1"/>
        </w:rPr>
        <w:t xml:space="preserve">refer to </w:t>
      </w:r>
      <w:r w:rsidRPr="009E63A2">
        <w:rPr>
          <w:i/>
          <w:color w:val="4472C4" w:themeColor="accent1"/>
        </w:rPr>
        <w:t>Chapter 13</w:t>
      </w:r>
      <w:r w:rsidRPr="00A47923">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980D4D" w14:paraId="120529D3" w14:textId="77777777" w:rsidTr="00A15226">
        <w:tc>
          <w:tcPr>
            <w:tcW w:w="1526" w:type="dxa"/>
            <w:vMerge w:val="restart"/>
            <w:vAlign w:val="center"/>
          </w:tcPr>
          <w:p w14:paraId="65126740" w14:textId="77777777" w:rsidR="008C1AD8" w:rsidRDefault="008C1AD8"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0E0FDFB0" w14:textId="77777777" w:rsidR="008C1AD8" w:rsidRDefault="008C1AD8"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8C1AD8" w:rsidRPr="00980D4D" w14:paraId="3A7E2BC1" w14:textId="77777777" w:rsidTr="00A15226">
        <w:trPr>
          <w:trHeight w:val="5134"/>
        </w:trPr>
        <w:tc>
          <w:tcPr>
            <w:tcW w:w="1526" w:type="dxa"/>
            <w:vMerge/>
            <w:vAlign w:val="center"/>
          </w:tcPr>
          <w:p w14:paraId="6B2230AF" w14:textId="77777777" w:rsidR="008C1AD8" w:rsidRDefault="008C1AD8" w:rsidP="00A15226">
            <w:pPr>
              <w:pStyle w:val="Tabletext"/>
              <w:rPr>
                <w:rFonts w:ascii="Helvetica" w:hAnsi="Helvetica"/>
                <w:b/>
                <w:bCs/>
                <w:sz w:val="14"/>
              </w:rPr>
            </w:pPr>
          </w:p>
        </w:tc>
        <w:tc>
          <w:tcPr>
            <w:tcW w:w="8113" w:type="dxa"/>
            <w:tcBorders>
              <w:bottom w:val="single" w:sz="4" w:space="0" w:color="D9D9D9" w:themeColor="background1" w:themeShade="D9"/>
            </w:tcBorders>
            <w:vAlign w:val="center"/>
          </w:tcPr>
          <w:p w14:paraId="19B289C9" w14:textId="77777777" w:rsidR="008C1AD8" w:rsidRDefault="008C1AD8" w:rsidP="00A15226">
            <w:pPr>
              <w:pStyle w:val="Tabletext"/>
            </w:pPr>
            <w:r w:rsidRPr="00EB02E4">
              <w:t>Habitat</w:t>
            </w:r>
            <w:r>
              <w:t xml:space="preserve"> mapping for the impact assessment within the surveyed areas of the Growth Areas used the following data sources:</w:t>
            </w:r>
          </w:p>
          <w:p w14:paraId="715CA02F" w14:textId="77777777" w:rsidR="008C1AD8" w:rsidRDefault="008C1AD8" w:rsidP="00A15226">
            <w:pPr>
              <w:pStyle w:val="Bullet1"/>
            </w:pPr>
            <w:r>
              <w:t xml:space="preserve">EHP survey results </w:t>
            </w:r>
            <w:sdt>
              <w:sdtPr>
                <w:rPr>
                  <w:color w:val="000000"/>
                </w:rPr>
                <w:tag w:val="MENDELEY_CITATION_v3_eyJjaXRhdGlvbklEIjoiTUVOREVMRVlfQ0lUQVRJT05fMTY0NTJiNTMtZjAyNy00NGI4LWJmNmQtNGFhZDMzOGExNjI1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89823812"/>
                <w:placeholder>
                  <w:docPart w:val="EA492B379251784A8EF33F6B6775C3A8"/>
                </w:placeholder>
              </w:sdtPr>
              <w:sdtContent>
                <w:r w:rsidRPr="00273871">
                  <w:rPr>
                    <w:color w:val="000000"/>
                  </w:rPr>
                  <w:t>(EHP, 2021)</w:t>
                </w:r>
              </w:sdtContent>
            </w:sdt>
          </w:p>
          <w:p w14:paraId="097A25CF" w14:textId="77777777" w:rsidR="008C1AD8" w:rsidRDefault="008C1AD8" w:rsidP="00A15226">
            <w:pPr>
              <w:pStyle w:val="Bullet1"/>
            </w:pPr>
            <w:r>
              <w:t xml:space="preserve">Landholder survey results </w:t>
            </w:r>
            <w:sdt>
              <w:sdtPr>
                <w:rPr>
                  <w:color w:val="000000"/>
                </w:rPr>
                <w:tag w:val="MENDELEY_CITATION_v3_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"/>
                <w:id w:val="-806933220"/>
                <w:placeholder>
                  <w:docPart w:val="EA492B379251784A8EF33F6B6775C3A8"/>
                </w:placeholder>
              </w:sdtPr>
              <w:sdtContent>
                <w:r w:rsidRPr="00273871">
                  <w:rPr>
                    <w:color w:val="000000"/>
                  </w:rPr>
                  <w:t>(Nature Advisory, 2021)</w:t>
                </w:r>
              </w:sdtContent>
            </w:sdt>
          </w:p>
          <w:p w14:paraId="2E093DE8" w14:textId="77777777" w:rsidR="008C1AD8" w:rsidRDefault="008C1AD8" w:rsidP="00A15226">
            <w:pPr>
              <w:pStyle w:val="Tabletext"/>
            </w:pPr>
            <w:r>
              <w:t>The following categories of habitat were created using this data:</w:t>
            </w:r>
          </w:p>
          <w:p w14:paraId="3398C09A" w14:textId="77777777" w:rsidR="008C1AD8" w:rsidRDefault="008C1AD8" w:rsidP="00A15226">
            <w:pPr>
              <w:pStyle w:val="Bullet1"/>
            </w:pPr>
            <w:r w:rsidRPr="00306CCD">
              <w:rPr>
                <w:u w:val="single"/>
              </w:rPr>
              <w:t>Higher potential native habitat</w:t>
            </w:r>
            <w:r>
              <w:t>, comprising areas that contain both:</w:t>
            </w:r>
          </w:p>
          <w:p w14:paraId="0621AD30" w14:textId="77777777" w:rsidR="008C1AD8" w:rsidRDefault="008C1AD8" w:rsidP="00A15226">
            <w:pPr>
              <w:pStyle w:val="Bullet2"/>
            </w:pPr>
            <w:r>
              <w:t>EHP-mapped GSM habitat</w:t>
            </w:r>
          </w:p>
          <w:p w14:paraId="54FDCABA" w14:textId="77777777" w:rsidR="008C1AD8" w:rsidRDefault="008C1AD8" w:rsidP="00A15226">
            <w:pPr>
              <w:pStyle w:val="Bullet2"/>
            </w:pPr>
            <w:r>
              <w:t>Areas mapped as native vegetation as part of landholder surveys</w:t>
            </w:r>
          </w:p>
          <w:p w14:paraId="27571591" w14:textId="77777777" w:rsidR="008C1AD8" w:rsidRDefault="008C1AD8" w:rsidP="00A15226">
            <w:pPr>
              <w:pStyle w:val="Bullet1"/>
            </w:pPr>
            <w:r w:rsidRPr="00306CCD">
              <w:rPr>
                <w:u w:val="single"/>
              </w:rPr>
              <w:t>Moderate potential native habitat</w:t>
            </w:r>
            <w:r>
              <w:rPr>
                <w:u w:val="single"/>
              </w:rPr>
              <w:t>,</w:t>
            </w:r>
            <w:r>
              <w:t xml:space="preserve"> comprising areas that contain both:</w:t>
            </w:r>
          </w:p>
          <w:p w14:paraId="52E326E7" w14:textId="77777777" w:rsidR="008C1AD8" w:rsidRDefault="008C1AD8" w:rsidP="00A15226">
            <w:pPr>
              <w:pStyle w:val="Bullet2"/>
            </w:pPr>
            <w:r>
              <w:t xml:space="preserve">EHP-mapped GSM habitat </w:t>
            </w:r>
          </w:p>
          <w:p w14:paraId="6F5853D7" w14:textId="77777777" w:rsidR="008C1AD8" w:rsidRDefault="008C1AD8" w:rsidP="00A15226">
            <w:pPr>
              <w:pStyle w:val="Bullet2"/>
            </w:pPr>
            <w:r>
              <w:t>EHP-mapped native vegetation within areas not subject to landholder surveys</w:t>
            </w:r>
          </w:p>
          <w:p w14:paraId="2A955CD6" w14:textId="77777777" w:rsidR="008C1AD8" w:rsidRDefault="008C1AD8" w:rsidP="00A15226">
            <w:pPr>
              <w:pStyle w:val="Bullet1"/>
            </w:pPr>
            <w:r w:rsidRPr="00306CCD">
              <w:rPr>
                <w:u w:val="single"/>
              </w:rPr>
              <w:t>Lower potential native habitat</w:t>
            </w:r>
            <w:r>
              <w:t>, comprising areas that contain both</w:t>
            </w:r>
          </w:p>
          <w:p w14:paraId="3F174FA4" w14:textId="77777777" w:rsidR="008C1AD8" w:rsidRDefault="008C1AD8" w:rsidP="00A15226">
            <w:pPr>
              <w:pStyle w:val="Bullet2"/>
            </w:pPr>
            <w:r>
              <w:t>EHP-mapped GSM habitat</w:t>
            </w:r>
          </w:p>
          <w:p w14:paraId="7C570E82" w14:textId="77777777" w:rsidR="008C1AD8" w:rsidRDefault="008C1AD8" w:rsidP="00A15226">
            <w:pPr>
              <w:pStyle w:val="Bullet2"/>
            </w:pPr>
            <w:r>
              <w:t xml:space="preserve">Areas identified as non-native vegetation as part of landholder surveys </w:t>
            </w:r>
          </w:p>
          <w:p w14:paraId="32D47974" w14:textId="77777777" w:rsidR="008C1AD8" w:rsidRDefault="008C1AD8" w:rsidP="00A15226">
            <w:pPr>
              <w:pStyle w:val="Bullet1"/>
            </w:pPr>
            <w:r w:rsidRPr="00306CCD">
              <w:rPr>
                <w:u w:val="single"/>
              </w:rPr>
              <w:t>Non-native habitat</w:t>
            </w:r>
            <w:r>
              <w:rPr>
                <w:u w:val="single"/>
              </w:rPr>
              <w:t>,</w:t>
            </w:r>
            <w:r>
              <w:t xml:space="preserve"> comprising areas that contain both:</w:t>
            </w:r>
          </w:p>
          <w:p w14:paraId="1C442418" w14:textId="77777777" w:rsidR="008C1AD8" w:rsidRDefault="008C1AD8" w:rsidP="00A15226">
            <w:pPr>
              <w:pStyle w:val="Bullet2"/>
            </w:pPr>
            <w:r>
              <w:t>EHP-mapped GSM habitat</w:t>
            </w:r>
          </w:p>
          <w:p w14:paraId="7D297519" w14:textId="77777777" w:rsidR="008C1AD8" w:rsidRPr="00C36241" w:rsidRDefault="008C1AD8" w:rsidP="00A15226">
            <w:pPr>
              <w:pStyle w:val="Bullet2"/>
            </w:pPr>
            <w:r>
              <w:t>Areas of non-native vegetation according to both EHP surveys and landholder surveys</w:t>
            </w:r>
          </w:p>
        </w:tc>
      </w:tr>
      <w:tr w:rsidR="008C1AD8" w:rsidRPr="00980D4D" w14:paraId="6BA1175B" w14:textId="77777777" w:rsidTr="00A15226">
        <w:trPr>
          <w:trHeight w:val="253"/>
        </w:trPr>
        <w:tc>
          <w:tcPr>
            <w:tcW w:w="1526" w:type="dxa"/>
            <w:vMerge/>
            <w:vAlign w:val="center"/>
          </w:tcPr>
          <w:p w14:paraId="156165B4" w14:textId="77777777" w:rsidR="008C1AD8" w:rsidRDefault="008C1AD8" w:rsidP="00A15226">
            <w:pPr>
              <w:pStyle w:val="Tabletext"/>
              <w:rPr>
                <w:rFonts w:ascii="Helvetica" w:hAnsi="Helvetica"/>
                <w:b/>
                <w:bCs/>
                <w:sz w:val="14"/>
              </w:rPr>
            </w:pPr>
          </w:p>
        </w:tc>
        <w:tc>
          <w:tcPr>
            <w:tcW w:w="8113" w:type="dxa"/>
            <w:tcBorders>
              <w:top w:val="single" w:sz="4" w:space="0" w:color="D9D9D9" w:themeColor="background1" w:themeShade="D9"/>
              <w:bottom w:val="single" w:sz="4" w:space="0" w:color="D9D9D9" w:themeColor="background1" w:themeShade="D9"/>
            </w:tcBorders>
            <w:shd w:val="clear" w:color="auto" w:fill="B4C6E7" w:themeFill="accent1" w:themeFillTint="66"/>
            <w:vAlign w:val="center"/>
          </w:tcPr>
          <w:p w14:paraId="54877505" w14:textId="77777777" w:rsidR="008C1AD8" w:rsidDel="00224CD9" w:rsidRDefault="008C1AD8" w:rsidP="00A15226">
            <w:pPr>
              <w:pStyle w:val="Bullet1"/>
              <w:numPr>
                <w:ilvl w:val="0"/>
                <w:numId w:val="0"/>
              </w:numPr>
              <w:ind w:left="360" w:hanging="360"/>
              <w:rPr>
                <w:b/>
                <w:bCs/>
              </w:rPr>
            </w:pPr>
            <w:r w:rsidRPr="001E34D1">
              <w:rPr>
                <w:rFonts w:ascii="Helvetica" w:hAnsi="Helvetica"/>
                <w:b/>
                <w:bCs/>
                <w:sz w:val="14"/>
              </w:rPr>
              <w:t>WITHIN THE UNSURVEYED AREAS OF THE GROWTH AREAS</w:t>
            </w:r>
          </w:p>
        </w:tc>
      </w:tr>
      <w:tr w:rsidR="008C1AD8" w:rsidRPr="00980D4D" w14:paraId="148037F6" w14:textId="77777777" w:rsidTr="00A15226">
        <w:trPr>
          <w:trHeight w:val="63"/>
        </w:trPr>
        <w:tc>
          <w:tcPr>
            <w:tcW w:w="1526" w:type="dxa"/>
            <w:vMerge/>
            <w:vAlign w:val="center"/>
          </w:tcPr>
          <w:p w14:paraId="1E09F665" w14:textId="77777777" w:rsidR="008C1AD8" w:rsidRDefault="008C1AD8" w:rsidP="00A15226">
            <w:pPr>
              <w:pStyle w:val="Tabletext"/>
              <w:rPr>
                <w:rFonts w:ascii="Helvetica" w:hAnsi="Helvetica"/>
                <w:b/>
                <w:bCs/>
                <w:sz w:val="14"/>
              </w:rPr>
            </w:pPr>
          </w:p>
        </w:tc>
        <w:tc>
          <w:tcPr>
            <w:tcW w:w="8113" w:type="dxa"/>
            <w:tcBorders>
              <w:top w:val="single" w:sz="4" w:space="0" w:color="D9D9D9" w:themeColor="background1" w:themeShade="D9"/>
            </w:tcBorders>
            <w:vAlign w:val="center"/>
          </w:tcPr>
          <w:p w14:paraId="7F3E4F96" w14:textId="77777777" w:rsidR="008C1AD8" w:rsidDel="00224CD9" w:rsidRDefault="008C1AD8" w:rsidP="00A15226">
            <w:pPr>
              <w:pStyle w:val="Tabletext"/>
              <w:rPr>
                <w:b/>
                <w:bCs/>
              </w:rPr>
            </w:pPr>
            <w:r>
              <w:t xml:space="preserve">A combination of DELWP’s GSM HIM </w:t>
            </w:r>
            <w:sdt>
              <w:sdtPr>
                <w:rPr>
                  <w:color w:val="000000"/>
                </w:rPr>
                <w:tag w:val="MENDELEY_CITATION_v3_eyJjaXRhdGlvbklEIjoiTUVOREVMRVlfQ0lUQVRJT05fZWFmNGU2YWMtODQxOS00ODkzLWJiMjMtN2Q5OGIxYTQ1OTJi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1914612328"/>
                <w:placeholder>
                  <w:docPart w:val="EA492B379251784A8EF33F6B6775C3A8"/>
                </w:placeholder>
              </w:sdtPr>
              <w:sdtContent>
                <w:r w:rsidRPr="00273871">
                  <w:rPr>
                    <w:color w:val="000000"/>
                  </w:rPr>
                  <w:t>(DELWP, 2017d)</w:t>
                </w:r>
              </w:sdtContent>
            </w:sdt>
            <w:r>
              <w:t xml:space="preserve"> and </w:t>
            </w:r>
            <w:r w:rsidRPr="00B83866">
              <w:t>DELWP</w:t>
            </w:r>
            <w:r>
              <w:t>’</w:t>
            </w:r>
            <w:r w:rsidRPr="00B83866">
              <w:t xml:space="preserve">s EVC mapping for EVC 132 (Plains Grassland) </w:t>
            </w:r>
            <w:sdt>
              <w:sdtPr>
                <w:rPr>
                  <w:color w:val="000000"/>
                </w:rPr>
                <w:tag w:val="MENDELEY_CITATION_v3_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"/>
                <w:id w:val="-1670094797"/>
                <w:placeholder>
                  <w:docPart w:val="EA492B379251784A8EF33F6B6775C3A8"/>
                </w:placeholder>
              </w:sdtPr>
              <w:sdtContent>
                <w:r w:rsidRPr="00273871">
                  <w:rPr>
                    <w:color w:val="000000"/>
                  </w:rPr>
                  <w:t>(DELWP, 2005)</w:t>
                </w:r>
              </w:sdtContent>
            </w:sdt>
            <w:r>
              <w:t xml:space="preserve"> was used to provide an indication of potential habitat extent within the unsurveyed areas of the Growth Areas</w:t>
            </w:r>
          </w:p>
        </w:tc>
      </w:tr>
      <w:tr w:rsidR="008C1AD8" w:rsidRPr="00980D4D" w14:paraId="25EE1BDC" w14:textId="77777777" w:rsidTr="00A15226">
        <w:tc>
          <w:tcPr>
            <w:tcW w:w="1526" w:type="dxa"/>
            <w:vMerge/>
            <w:vAlign w:val="center"/>
          </w:tcPr>
          <w:p w14:paraId="15EFA59F"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25B182A8" w14:textId="77777777" w:rsidR="008C1AD8" w:rsidRDefault="008C1AD8"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8C1AD8" w:rsidRPr="00980D4D" w14:paraId="450CF3CA" w14:textId="77777777" w:rsidTr="00A15226">
        <w:trPr>
          <w:trHeight w:val="63"/>
        </w:trPr>
        <w:tc>
          <w:tcPr>
            <w:tcW w:w="1526" w:type="dxa"/>
            <w:vMerge/>
            <w:vAlign w:val="center"/>
          </w:tcPr>
          <w:p w14:paraId="3AAF7C92" w14:textId="77777777" w:rsidR="008C1AD8" w:rsidRPr="000816D6" w:rsidRDefault="008C1AD8" w:rsidP="00A15226">
            <w:pPr>
              <w:pStyle w:val="Tabletext"/>
              <w:rPr>
                <w:rFonts w:ascii="Helvetica" w:hAnsi="Helvetica"/>
                <w:b/>
                <w:bCs/>
                <w:sz w:val="14"/>
              </w:rPr>
            </w:pPr>
          </w:p>
        </w:tc>
        <w:tc>
          <w:tcPr>
            <w:tcW w:w="8113" w:type="dxa"/>
            <w:vAlign w:val="center"/>
          </w:tcPr>
          <w:p w14:paraId="794AC8F9" w14:textId="77777777" w:rsidR="008C1AD8" w:rsidRPr="000D2E45" w:rsidRDefault="008C1AD8" w:rsidP="00A15226">
            <w:pPr>
              <w:pStyle w:val="Tabletext"/>
            </w:pPr>
            <w:r>
              <w:t xml:space="preserve">Habitat mapping across the broader Strategic Assessment Area and Study Area was based on the GSM HIM prepared by DELWP </w:t>
            </w:r>
            <w:sdt>
              <w:sdtPr>
                <w:rPr>
                  <w:color w:val="000000"/>
                </w:rPr>
                <w:tag w:val="MENDELEY_CITATION_v3_eyJjaXRhdGlvbklEIjoiTUVOREVMRVlfQ0lUQVRJT05fNDQ0YzY1YWUtMmI4MS00ZjNlLWEzYWQtNWE2MWU2ZjBmNWY1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2091229591"/>
                <w:placeholder>
                  <w:docPart w:val="EA492B379251784A8EF33F6B6775C3A8"/>
                </w:placeholder>
              </w:sdtPr>
              <w:sdtContent>
                <w:r w:rsidRPr="00273871">
                  <w:rPr>
                    <w:color w:val="000000"/>
                  </w:rPr>
                  <w:t>(DELWP, 2017d)</w:t>
                </w:r>
              </w:sdtContent>
            </w:sdt>
          </w:p>
        </w:tc>
      </w:tr>
      <w:tr w:rsidR="008C1AD8" w:rsidRPr="003E1ADD" w14:paraId="5A9CC1B8" w14:textId="77777777" w:rsidTr="00A15226">
        <w:tc>
          <w:tcPr>
            <w:tcW w:w="1526" w:type="dxa"/>
            <w:vMerge w:val="restart"/>
            <w:vAlign w:val="center"/>
          </w:tcPr>
          <w:p w14:paraId="1CF1657A" w14:textId="77777777" w:rsidR="008C1AD8" w:rsidRPr="000816D6" w:rsidRDefault="008C1AD8"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73CEABAB" w14:textId="77777777" w:rsidR="008C1AD8" w:rsidRPr="00BB022D" w:rsidRDefault="008C1AD8" w:rsidP="00A15226">
            <w:pPr>
              <w:pStyle w:val="Bullet1"/>
              <w:numPr>
                <w:ilvl w:val="0"/>
                <w:numId w:val="0"/>
              </w:numPr>
              <w:ind w:left="360" w:hanging="360"/>
            </w:pPr>
            <w:r w:rsidRPr="000816D6">
              <w:rPr>
                <w:rFonts w:ascii="Helvetica" w:hAnsi="Helvetica"/>
                <w:b/>
                <w:bCs/>
                <w:sz w:val="14"/>
              </w:rPr>
              <w:t>RECORD SELECTION</w:t>
            </w:r>
          </w:p>
        </w:tc>
      </w:tr>
      <w:tr w:rsidR="008C1AD8" w:rsidRPr="003E1ADD" w14:paraId="7DEF4099" w14:textId="77777777" w:rsidTr="00A15226">
        <w:tc>
          <w:tcPr>
            <w:tcW w:w="1526" w:type="dxa"/>
            <w:vMerge/>
            <w:vAlign w:val="center"/>
          </w:tcPr>
          <w:p w14:paraId="4AC0A0C3" w14:textId="77777777" w:rsidR="008C1AD8" w:rsidRDefault="008C1AD8" w:rsidP="00A15226">
            <w:pPr>
              <w:pStyle w:val="Tabletext"/>
              <w:rPr>
                <w:rFonts w:ascii="Helvetica" w:hAnsi="Helvetica"/>
                <w:b/>
                <w:bCs/>
                <w:sz w:val="14"/>
              </w:rPr>
            </w:pPr>
          </w:p>
        </w:tc>
        <w:tc>
          <w:tcPr>
            <w:tcW w:w="8113" w:type="dxa"/>
            <w:vAlign w:val="center"/>
          </w:tcPr>
          <w:p w14:paraId="5AE4286A" w14:textId="77777777" w:rsidR="008C1AD8" w:rsidRPr="00BB022D" w:rsidRDefault="008C1AD8" w:rsidP="00A15226">
            <w:pPr>
              <w:pStyle w:val="Tabletext"/>
            </w:pPr>
            <w:r w:rsidRPr="00D751AB">
              <w:t xml:space="preserve">Species records were compiled from </w:t>
            </w:r>
            <w:r>
              <w:t>the VBA</w:t>
            </w:r>
            <w:r w:rsidRPr="00D751AB">
              <w:t xml:space="preserve"> and surveys undertaken </w:t>
            </w:r>
            <w:r>
              <w:t>by EHP</w:t>
            </w:r>
            <w:r w:rsidRPr="00D751AB">
              <w:t xml:space="preserve">. The </w:t>
            </w:r>
            <w:r>
              <w:t>VBA records were filtered to remove records prior to 1990 for the purpose of the impact assessment</w:t>
            </w:r>
          </w:p>
        </w:tc>
      </w:tr>
      <w:tr w:rsidR="008C1AD8" w:rsidRPr="003E1ADD" w14:paraId="15B26F34" w14:textId="77777777" w:rsidTr="00A15226">
        <w:tc>
          <w:tcPr>
            <w:tcW w:w="1526" w:type="dxa"/>
            <w:vMerge/>
            <w:vAlign w:val="center"/>
          </w:tcPr>
          <w:p w14:paraId="5E8E2278"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0DCD3D39" w14:textId="77777777" w:rsidR="008C1AD8" w:rsidRPr="00BB022D" w:rsidRDefault="008C1AD8" w:rsidP="00A15226">
            <w:pPr>
              <w:pStyle w:val="Bullet1"/>
              <w:numPr>
                <w:ilvl w:val="0"/>
                <w:numId w:val="0"/>
              </w:numPr>
              <w:ind w:left="360" w:hanging="360"/>
            </w:pPr>
            <w:r>
              <w:rPr>
                <w:rFonts w:ascii="Helvetica" w:hAnsi="Helvetica"/>
                <w:b/>
                <w:bCs/>
                <w:sz w:val="14"/>
              </w:rPr>
              <w:t>RECORD DOWNLOAD DATE</w:t>
            </w:r>
          </w:p>
        </w:tc>
      </w:tr>
      <w:tr w:rsidR="008C1AD8" w:rsidRPr="003E1ADD" w14:paraId="43E87D37" w14:textId="77777777" w:rsidTr="00A15226">
        <w:tc>
          <w:tcPr>
            <w:tcW w:w="1526" w:type="dxa"/>
            <w:vMerge/>
            <w:vAlign w:val="center"/>
          </w:tcPr>
          <w:p w14:paraId="7960D9E8" w14:textId="77777777" w:rsidR="008C1AD8" w:rsidRDefault="008C1AD8" w:rsidP="00A15226">
            <w:pPr>
              <w:pStyle w:val="Tabletext"/>
              <w:rPr>
                <w:rFonts w:ascii="Helvetica" w:hAnsi="Helvetica"/>
                <w:b/>
                <w:bCs/>
                <w:sz w:val="14"/>
              </w:rPr>
            </w:pPr>
          </w:p>
        </w:tc>
        <w:tc>
          <w:tcPr>
            <w:tcW w:w="8113" w:type="dxa"/>
            <w:vAlign w:val="center"/>
          </w:tcPr>
          <w:p w14:paraId="13948615" w14:textId="77777777" w:rsidR="008C1AD8" w:rsidRPr="00BB022D" w:rsidRDefault="008C1AD8" w:rsidP="00A15226">
            <w:pPr>
              <w:pStyle w:val="Bullet1"/>
              <w:numPr>
                <w:ilvl w:val="0"/>
                <w:numId w:val="0"/>
              </w:numPr>
              <w:ind w:left="360" w:hanging="360"/>
            </w:pPr>
            <w:r>
              <w:t>VBA records for GSM used in this assessment were downloaded in June 2022</w:t>
            </w:r>
          </w:p>
        </w:tc>
      </w:tr>
      <w:tr w:rsidR="008C1AD8" w:rsidRPr="003E1ADD" w14:paraId="3F2C9C5D" w14:textId="77777777" w:rsidTr="00A15226">
        <w:tc>
          <w:tcPr>
            <w:tcW w:w="1526" w:type="dxa"/>
            <w:vMerge/>
            <w:vAlign w:val="center"/>
          </w:tcPr>
          <w:p w14:paraId="4918798D"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4AFBF681" w14:textId="77777777" w:rsidR="008C1AD8" w:rsidRPr="00BB022D" w:rsidRDefault="008C1AD8" w:rsidP="00A15226">
            <w:pPr>
              <w:pStyle w:val="Bullet1"/>
              <w:numPr>
                <w:ilvl w:val="0"/>
                <w:numId w:val="0"/>
              </w:numPr>
              <w:ind w:left="360" w:hanging="360"/>
            </w:pPr>
            <w:r>
              <w:rPr>
                <w:rFonts w:ascii="Helvetica" w:hAnsi="Helvetica"/>
                <w:b/>
                <w:bCs/>
                <w:sz w:val="14"/>
              </w:rPr>
              <w:t>POPULATION DEFINITION</w:t>
            </w:r>
          </w:p>
        </w:tc>
      </w:tr>
      <w:tr w:rsidR="008C1AD8" w:rsidRPr="003E1ADD" w14:paraId="79A2157E" w14:textId="77777777" w:rsidTr="00A15226">
        <w:tc>
          <w:tcPr>
            <w:tcW w:w="1526" w:type="dxa"/>
            <w:vMerge/>
            <w:vAlign w:val="center"/>
          </w:tcPr>
          <w:p w14:paraId="2D776C09" w14:textId="77777777" w:rsidR="008C1AD8" w:rsidRDefault="008C1AD8" w:rsidP="00A15226">
            <w:pPr>
              <w:pStyle w:val="Tabletext"/>
              <w:rPr>
                <w:rFonts w:ascii="Helvetica" w:hAnsi="Helvetica"/>
                <w:b/>
                <w:bCs/>
                <w:sz w:val="14"/>
              </w:rPr>
            </w:pPr>
          </w:p>
        </w:tc>
        <w:tc>
          <w:tcPr>
            <w:tcW w:w="8113" w:type="dxa"/>
            <w:vAlign w:val="center"/>
          </w:tcPr>
          <w:p w14:paraId="59785D59" w14:textId="77777777" w:rsidR="008C1AD8" w:rsidRPr="00BB022D" w:rsidRDefault="008C1AD8" w:rsidP="00A15226">
            <w:pPr>
              <w:pStyle w:val="Tabletext"/>
            </w:pPr>
            <w:r>
              <w:t>The population of GSM identified within the NWGGA is considered one population given the connectivity of habitat and continuity of survey records</w:t>
            </w:r>
          </w:p>
        </w:tc>
      </w:tr>
    </w:tbl>
    <w:p w14:paraId="5A1F6DC5"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0EF3E61C" w14:textId="77777777" w:rsidTr="00A15226">
        <w:tc>
          <w:tcPr>
            <w:tcW w:w="9622" w:type="dxa"/>
            <w:shd w:val="clear" w:color="auto" w:fill="C9C9C9" w:themeFill="accent3" w:themeFillTint="99"/>
          </w:tcPr>
          <w:p w14:paraId="02C30718" w14:textId="77777777" w:rsidR="008C1AD8" w:rsidRPr="008F55BC" w:rsidRDefault="008C1AD8" w:rsidP="00A15226">
            <w:pPr>
              <w:pStyle w:val="Tabletext"/>
              <w:keepNext/>
              <w:keepLines/>
              <w:rPr>
                <w:b/>
                <w:bCs/>
              </w:rPr>
            </w:pPr>
            <w:r>
              <w:rPr>
                <w:rFonts w:ascii="Helvetica" w:hAnsi="Helvetica"/>
                <w:b/>
                <w:sz w:val="16"/>
                <w:szCs w:val="16"/>
              </w:rPr>
              <w:lastRenderedPageBreak/>
              <w:t>OC</w:t>
            </w:r>
            <w:r w:rsidRPr="008F55BC">
              <w:rPr>
                <w:rFonts w:ascii="Helvetica" w:hAnsi="Helvetica"/>
                <w:b/>
                <w:sz w:val="16"/>
                <w:szCs w:val="16"/>
              </w:rPr>
              <w:t>C</w:t>
            </w:r>
            <w:r>
              <w:rPr>
                <w:rFonts w:ascii="Helvetica" w:hAnsi="Helvetica"/>
                <w:b/>
                <w:sz w:val="16"/>
                <w:szCs w:val="16"/>
              </w:rPr>
              <w:t>URRENCE IN THE STUDY AREA</w:t>
            </w:r>
          </w:p>
        </w:tc>
      </w:tr>
    </w:tbl>
    <w:p w14:paraId="3DCF711A" w14:textId="77777777" w:rsidR="008C1AD8" w:rsidRPr="003B08F2" w:rsidRDefault="008C1AD8" w:rsidP="008C1AD8">
      <w:pPr>
        <w:rPr>
          <w:i/>
          <w:iCs/>
          <w:color w:val="4472C4" w:themeColor="accent1"/>
        </w:rPr>
      </w:pPr>
      <w:r w:rsidRPr="00BB022D">
        <w:rPr>
          <w:i/>
          <w:iCs/>
          <w:color w:val="4472C4" w:themeColor="accent1"/>
        </w:rPr>
        <w:t xml:space="preserve">This section describes the occurrence of the species in the </w:t>
      </w:r>
      <w:r>
        <w:rPr>
          <w:i/>
          <w:iCs/>
          <w:color w:val="4472C4" w:themeColor="accent1"/>
        </w:rPr>
        <w:t>Study Area</w:t>
      </w:r>
      <w:r w:rsidRPr="00376E1F">
        <w:rPr>
          <w:i/>
          <w:iCs/>
          <w:color w:val="4472C4" w:themeColor="accent1"/>
        </w:rPr>
        <w:t>. It includes reference to map</w:t>
      </w:r>
      <w:r>
        <w:rPr>
          <w:i/>
          <w:iCs/>
          <w:color w:val="4472C4" w:themeColor="accent1"/>
        </w:rPr>
        <w:t>s</w:t>
      </w:r>
      <w:r w:rsidRPr="00376E1F">
        <w:rPr>
          <w:i/>
          <w:iCs/>
          <w:color w:val="4472C4" w:themeColor="accent1"/>
        </w:rPr>
        <w:t xml:space="preserve"> of records and habitat which can be viewed as separate file</w:t>
      </w:r>
      <w:r>
        <w:rPr>
          <w:i/>
          <w:iCs/>
          <w:color w:val="4472C4" w:themeColor="accent1"/>
        </w:rPr>
        <w:t>s</w:t>
      </w:r>
      <w:r w:rsidRPr="00376E1F">
        <w:rPr>
          <w:i/>
          <w:iCs/>
          <w:color w:val="4472C4" w:themeColor="accent1"/>
        </w:rPr>
        <w:t>. The map provides critical context for the</w:t>
      </w:r>
      <w:r w:rsidRPr="00BB022D">
        <w:rPr>
          <w:i/>
          <w:iCs/>
          <w:color w:val="4472C4" w:themeColor="accent1"/>
        </w:rPr>
        <w:t xml:space="preserve"> assessment and should be viewed in conjunction with the text presented in this assessment. This section also provides a qualitative description of where records and habitat occur.</w:t>
      </w:r>
    </w:p>
    <w:p w14:paraId="5A32D460" w14:textId="77777777" w:rsidR="008C1AD8" w:rsidRDefault="008C1AD8" w:rsidP="008C1AD8">
      <w:pPr>
        <w:rPr>
          <w:b/>
          <w:bCs/>
        </w:rPr>
      </w:pPr>
      <w:r w:rsidRPr="00F93ACB">
        <w:t xml:space="preserve">See </w:t>
      </w:r>
      <w:hyperlink r:id="rId24" w:history="1">
        <w:r w:rsidRPr="00466211">
          <w:rPr>
            <w:rStyle w:val="Hyperlink"/>
          </w:rPr>
          <w:t>Map 19-1</w:t>
        </w:r>
      </w:hyperlink>
      <w:r w:rsidRPr="00F93ACB">
        <w:t xml:space="preserve"> for a map of records and habitat across the Study Area</w:t>
      </w:r>
      <w:r>
        <w:t xml:space="preserve">. See Map </w:t>
      </w:r>
      <w:hyperlink r:id="rId25" w:history="1">
        <w:r w:rsidRPr="00466211">
          <w:rPr>
            <w:rStyle w:val="Hyperlink"/>
          </w:rPr>
          <w:t>19-2</w:t>
        </w:r>
      </w:hyperlink>
      <w:r>
        <w:t xml:space="preserve"> for a map for records and habitat within the Strategic Assessment Area, and </w:t>
      </w:r>
      <w:hyperlink r:id="rId26" w:history="1">
        <w:r w:rsidRPr="00466211">
          <w:rPr>
            <w:rStyle w:val="Hyperlink"/>
          </w:rPr>
          <w:t>Map 19-3</w:t>
        </w:r>
      </w:hyperlink>
      <w:r>
        <w:t xml:space="preserve"> for a map of habitat within the Strategic Assessment Area.</w:t>
      </w:r>
    </w:p>
    <w:p w14:paraId="6B0A5039" w14:textId="77777777" w:rsidR="008C1AD8" w:rsidRDefault="008C1AD8" w:rsidP="008C1AD8">
      <w:pPr>
        <w:pStyle w:val="Heading3"/>
      </w:pPr>
      <w:r>
        <w:t>Species records</w:t>
      </w:r>
    </w:p>
    <w:p w14:paraId="05B48363" w14:textId="77777777" w:rsidR="008C1AD8" w:rsidRDefault="008C1AD8" w:rsidP="008C1AD8">
      <w:pPr>
        <w:pStyle w:val="Heading4"/>
      </w:pPr>
      <w:r>
        <w:t>Occurrence within the Growth Areas</w:t>
      </w:r>
    </w:p>
    <w:p w14:paraId="792116FF" w14:textId="77777777" w:rsidR="008C1AD8" w:rsidRDefault="008C1AD8" w:rsidP="008C1AD8">
      <w:r>
        <w:t xml:space="preserve">Targeted surveys were undertaken for GSM within the Growth Areas between November 2019 and December 2020 </w:t>
      </w:r>
      <w:sdt>
        <w:sdtPr>
          <w:rPr>
            <w:color w:val="000000"/>
          </w:rPr>
          <w:tag w:val="MENDELEY_CITATION_v3_eyJjaXRhdGlvbklEIjoiTUVOREVMRVlfQ0lUQVRJT05fNDdlYTVhMTYtMGQyMC00YTMxLWFhZjEtNmY0OGE0YmE4NzZl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735009327"/>
          <w:placeholder>
            <w:docPart w:val="EA492B379251784A8EF33F6B6775C3A8"/>
          </w:placeholder>
        </w:sdtPr>
        <w:sdtContent>
          <w:r w:rsidRPr="00273871">
            <w:rPr>
              <w:color w:val="000000"/>
            </w:rPr>
            <w:t>(EHP, 2021)</w:t>
          </w:r>
        </w:sdtContent>
      </w:sdt>
      <w:r>
        <w:t>. A population of GSM comprised of over 2,000 individuals was confirmed to occur within the NGGA (</w:t>
      </w:r>
      <w:r w:rsidRPr="00A47923">
        <w:t xml:space="preserve">see </w:t>
      </w:r>
      <w:hyperlink r:id="rId27" w:history="1">
        <w:r w:rsidRPr="00466211">
          <w:rPr>
            <w:rStyle w:val="Hyperlink"/>
          </w:rPr>
          <w:t>Map 19-2</w:t>
        </w:r>
      </w:hyperlink>
      <w:r>
        <w:t>). These records are considered to represent a single population based on the continuity of records and associated habitat across the NGGA.</w:t>
      </w:r>
    </w:p>
    <w:p w14:paraId="057C3106" w14:textId="77777777" w:rsidR="008C1AD8" w:rsidRDefault="008C1AD8" w:rsidP="008C1AD8">
      <w:r>
        <w:t xml:space="preserve">GSM was not recorded within the WGGA </w:t>
      </w:r>
      <w:sdt>
        <w:sdtPr>
          <w:rPr>
            <w:color w:val="000000"/>
          </w:rPr>
          <w:tag w:val="MENDELEY_CITATION_v3_eyJjaXRhdGlvbklEIjoiTUVOREVMRVlfQ0lUQVRJT05fZTI2N2ZjNDEtOWMzMy00NTY3LTgxMjUtZTBlMTg5OGJmNmR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127306138"/>
          <w:placeholder>
            <w:docPart w:val="EA492B379251784A8EF33F6B6775C3A8"/>
          </w:placeholder>
        </w:sdtPr>
        <w:sdtContent>
          <w:r w:rsidRPr="00273871">
            <w:rPr>
              <w:color w:val="000000"/>
            </w:rPr>
            <w:t>(EHP, 2021)</w:t>
          </w:r>
        </w:sdtContent>
      </w:sdt>
      <w:r>
        <w:t>.</w:t>
      </w:r>
    </w:p>
    <w:p w14:paraId="08715460" w14:textId="77777777" w:rsidR="008C1AD8" w:rsidRDefault="008C1AD8" w:rsidP="008C1AD8">
      <w:pPr>
        <w:pStyle w:val="Heading4"/>
      </w:pPr>
      <w:r>
        <w:t>Occurrence within the Strategic Assessment Area and broader Study Area</w:t>
      </w:r>
    </w:p>
    <w:p w14:paraId="7EBEAC41" w14:textId="77777777" w:rsidR="008C1AD8" w:rsidRDefault="008C1AD8" w:rsidP="008C1AD8">
      <w:r>
        <w:t>There are two VBA records of GSM within the Strategic Assessment Area.</w:t>
      </w:r>
      <w:r w:rsidRPr="00C670F2">
        <w:t xml:space="preserve"> </w:t>
      </w:r>
      <w:r>
        <w:t>These records occur between the north-east Strategic Assessment Area boundary and NGGA boundary.</w:t>
      </w:r>
    </w:p>
    <w:p w14:paraId="73E34175" w14:textId="77777777" w:rsidR="008C1AD8" w:rsidRDefault="008C1AD8" w:rsidP="008C1AD8">
      <w:r>
        <w:t xml:space="preserve">There are </w:t>
      </w:r>
      <w:r w:rsidRPr="009E63A2">
        <w:t xml:space="preserve">392 VBA records </w:t>
      </w:r>
      <w:r w:rsidRPr="00155FCB">
        <w:t>of</w:t>
      </w:r>
      <w:r>
        <w:t xml:space="preserve"> GSM across the broader Study Area. The most recent of these was recorded in 2019. Records across the Study Area occur mostly in four areas, including near Avalon, north of Little River, near Lethbridge, and in an area approximately 2 km north of the Strategic Assessment Area. </w:t>
      </w:r>
    </w:p>
    <w:p w14:paraId="70530B7B" w14:textId="77777777" w:rsidR="008C1AD8" w:rsidRDefault="008C1AD8" w:rsidP="008C1AD8">
      <w:r>
        <w:t>Given the level of homogeneity across the landscape in terms of current land use and historical native grassland extent, the species is likely to be more widespread in the Study Area than indicated by records. The current number and distribution of historical records is more likely to reflect the level of targeted survey effort rather than the actual occurrence of the species for the following reasons:</w:t>
      </w:r>
    </w:p>
    <w:p w14:paraId="3CEC4FC4" w14:textId="77777777" w:rsidR="008C1AD8" w:rsidRPr="007C7DDB" w:rsidRDefault="008C1AD8" w:rsidP="008C1AD8">
      <w:pPr>
        <w:pStyle w:val="Bullet1"/>
      </w:pPr>
      <w:r>
        <w:t xml:space="preserve">The </w:t>
      </w:r>
      <w:r w:rsidRPr="007C7DDB">
        <w:t xml:space="preserve">distribution of records does not reflect a </w:t>
      </w:r>
      <w:r>
        <w:t xml:space="preserve">clear </w:t>
      </w:r>
      <w:r w:rsidRPr="007C7DDB">
        <w:t xml:space="preserve">pattern of </w:t>
      </w:r>
      <w:r>
        <w:t>habitat availability</w:t>
      </w:r>
      <w:r w:rsidRPr="007C7DDB">
        <w:t xml:space="preserve"> for the species in this region</w:t>
      </w:r>
    </w:p>
    <w:p w14:paraId="50BCE333" w14:textId="77777777" w:rsidR="008C1AD8" w:rsidRPr="007C7DDB" w:rsidRDefault="008C1AD8" w:rsidP="008C1AD8">
      <w:pPr>
        <w:pStyle w:val="Bullet1"/>
      </w:pPr>
      <w:r w:rsidRPr="007C7DDB">
        <w:t xml:space="preserve">The species is less likely to be opportunistically sighted given the restricted window of emergence and </w:t>
      </w:r>
      <w:r>
        <w:t>detectability</w:t>
      </w:r>
    </w:p>
    <w:p w14:paraId="796502ED" w14:textId="77777777" w:rsidR="008C1AD8" w:rsidRDefault="008C1AD8" w:rsidP="008C1AD8">
      <w:pPr>
        <w:pStyle w:val="Bullet1"/>
      </w:pPr>
      <w:r w:rsidRPr="007C7DDB">
        <w:t>Records are generally</w:t>
      </w:r>
      <w:r>
        <w:t xml:space="preserve"> clustered according to date in discrete locations across the landscape, which is likely to represent particular survey events</w:t>
      </w:r>
    </w:p>
    <w:p w14:paraId="332E316A" w14:textId="77777777" w:rsidR="008C1AD8" w:rsidRDefault="008C1AD8" w:rsidP="008C1AD8">
      <w:r>
        <w:t xml:space="preserve">On this basis, the abundance and density of records within the NGGA is considered to be reflective of survey effort, rather than the importance of the site for the species relative to the broader landscape. </w:t>
      </w:r>
    </w:p>
    <w:p w14:paraId="0E2A77F8" w14:textId="77777777" w:rsidR="008C1AD8" w:rsidRDefault="008C1AD8" w:rsidP="008C1AD8">
      <w:pPr>
        <w:pStyle w:val="Heading3"/>
      </w:pPr>
      <w:r>
        <w:t>Potential habitat</w:t>
      </w:r>
    </w:p>
    <w:p w14:paraId="0E490B03" w14:textId="77777777" w:rsidR="008C1AD8" w:rsidRPr="0052255F" w:rsidRDefault="008C1AD8" w:rsidP="008C1AD8">
      <w:pPr>
        <w:pStyle w:val="Heading4"/>
      </w:pPr>
      <w:r>
        <w:t>Habitat within the surveyed areas of the Growth Areas</w:t>
      </w:r>
    </w:p>
    <w:p w14:paraId="2338221F" w14:textId="77777777" w:rsidR="008C1AD8" w:rsidRDefault="008C1AD8" w:rsidP="008C1AD8">
      <w:r>
        <w:t>Targeted surveys within the Growth Areas have informed baseline habitat mapping for GSM. Potential habitat for the species occurs within the NGGA, while the WGGA is unlikely to support the species.</w:t>
      </w:r>
    </w:p>
    <w:p w14:paraId="3B81C34C" w14:textId="77777777" w:rsidR="008C1AD8" w:rsidRDefault="008C1AD8" w:rsidP="008C1AD8">
      <w:r>
        <w:t>The species Conservation Advice notes that all occupied habitat is considered important to the recovery of the species. However, it places the greatest emphasis on the importance of native habitat compared to non-native habitat and identifies high quality habitat as “</w:t>
      </w:r>
      <w:r w:rsidRPr="009B5A1C">
        <w:rPr>
          <w:i/>
          <w:iCs/>
        </w:rPr>
        <w:t>medium to large sites containing native grassland with an abundant component of larval food species (i.e., Rytidosperma spp. and/or Austrostipa spp.) with low weed cover, inter-tussock spaces, and land-use/management that is consistent with the ecological values of the site</w:t>
      </w:r>
      <w:r>
        <w:rPr>
          <w:i/>
          <w:iCs/>
        </w:rPr>
        <w:t>”</w:t>
      </w:r>
      <w:r>
        <w:t xml:space="preserve"> </w:t>
      </w:r>
      <w:sdt>
        <w:sdtPr>
          <w:rPr>
            <w:color w:val="000000"/>
          </w:rPr>
          <w:tag w:val="MENDELEY_CITATION_v3_eyJjaXRhdGlvbklEIjoiTUVOREVMRVlfQ0lUQVRJT05fN2QxYzhlZmMtNzZlMC00NDFlLWFjNzAtNDg0OGQ0MjAwYzUw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962262571"/>
          <w:placeholder>
            <w:docPart w:val="EA492B379251784A8EF33F6B6775C3A8"/>
          </w:placeholder>
        </w:sdtPr>
        <w:sdtContent>
          <w:r w:rsidRPr="00273871">
            <w:rPr>
              <w:color w:val="000000"/>
            </w:rPr>
            <w:t>(DAWE, 2021a)</w:t>
          </w:r>
        </w:sdtContent>
      </w:sdt>
      <w:r>
        <w:t xml:space="preserve">. </w:t>
      </w:r>
    </w:p>
    <w:p w14:paraId="7C2E11BF" w14:textId="77777777" w:rsidR="008C1AD8" w:rsidRDefault="008C1AD8" w:rsidP="008C1AD8">
      <w:r>
        <w:t xml:space="preserve">The EHP surveys found the Growth Areas to be </w:t>
      </w:r>
      <w:r w:rsidRPr="00BC7055">
        <w:t>dominated by non-indigenous grasses and weeds (i.e., pasture grasses)</w:t>
      </w:r>
      <w:r>
        <w:t xml:space="preserve">, which reflects the region’s long history of agricultural use. </w:t>
      </w:r>
      <w:r w:rsidRPr="00BC7055">
        <w:t xml:space="preserve">Much of the indigenous vegetation and terrestrial fauna habitat remaining within the </w:t>
      </w:r>
      <w:r>
        <w:t>Growth Areas</w:t>
      </w:r>
      <w:r w:rsidRPr="00BC7055">
        <w:t xml:space="preserve"> </w:t>
      </w:r>
      <w:r>
        <w:t>was found</w:t>
      </w:r>
      <w:r w:rsidRPr="00BC7055">
        <w:t xml:space="preserve"> confined to riparian corridors</w:t>
      </w:r>
      <w:r>
        <w:t xml:space="preserve"> in the WGGA</w:t>
      </w:r>
      <w:r w:rsidRPr="00BC7055">
        <w:t xml:space="preserve"> (i.e., Moorabool River, Cowies Creek), or agricultural areas not subjected to historical cropping. Native vegetation, where present, </w:t>
      </w:r>
      <w:r>
        <w:t>was highly modified,</w:t>
      </w:r>
      <w:r w:rsidRPr="00BC7055">
        <w:t xml:space="preserve"> generally lacking structure and exhibiting a low diversity of native species.</w:t>
      </w:r>
    </w:p>
    <w:p w14:paraId="0E6BD61C" w14:textId="77777777" w:rsidR="008C1AD8" w:rsidRDefault="008C1AD8" w:rsidP="008C1AD8">
      <w:r>
        <w:lastRenderedPageBreak/>
        <w:t xml:space="preserve">Subsequent site visits as part of the Strategic Assessment process, as well as the results of landholder surveys, have confirmed these findings and shown an increased prevalence of weeds since the time of the EHP surveys in 2019 and 2020. This indicates a declining trend in the condition of native vegetation (Peter </w:t>
      </w:r>
      <w:r w:rsidRPr="000151E8">
        <w:t>Wlodarczyk</w:t>
      </w:r>
      <w:r>
        <w:t xml:space="preserve"> pers comms.).</w:t>
      </w:r>
    </w:p>
    <w:p w14:paraId="5A019E1A" w14:textId="77777777" w:rsidR="008C1AD8" w:rsidRDefault="008C1AD8" w:rsidP="008C1AD8">
      <w:pPr>
        <w:keepNext/>
        <w:keepLines/>
      </w:pPr>
      <w:r>
        <w:t>Much of habitat within the NGGA is unlikely to represent an important or high quality area necessary for the long-term maintenance of the species (as described in the Conservation Advice (</w:t>
      </w:r>
      <w:r w:rsidRPr="00D0623A">
        <w:rPr>
          <w:noProof/>
        </w:rPr>
        <w:t>DAWE, 2021a</w:t>
      </w:r>
      <w:r>
        <w:rPr>
          <w:noProof/>
        </w:rPr>
        <w:t>))</w:t>
      </w:r>
      <w:r>
        <w:t>, due to the level of weeds, land modification, and rate of decline. To distinguish between native vs non-native habitat for the assessment of impacts to GSM and to reflect this declining trend in condition, habitat within the surveyed areas of the Growth Areas has been mapped according to the following categories:</w:t>
      </w:r>
    </w:p>
    <w:p w14:paraId="0B1B328D" w14:textId="77777777" w:rsidR="008C1AD8" w:rsidRDefault="008C1AD8" w:rsidP="008C1AD8">
      <w:pPr>
        <w:pStyle w:val="Bullet1"/>
      </w:pPr>
      <w:r>
        <w:t>Higher potential native habitat, which identifies the habitat areas with the greatest likelihood of supporting native vegetation based on the result of EHP surveys and the more recent landholder surveys</w:t>
      </w:r>
    </w:p>
    <w:p w14:paraId="2D6EFC4D" w14:textId="77777777" w:rsidR="008C1AD8" w:rsidRDefault="008C1AD8" w:rsidP="008C1AD8">
      <w:pPr>
        <w:pStyle w:val="Bullet1"/>
      </w:pPr>
      <w:r>
        <w:t>Moderate potential native habitat, which identifies the habitat areas that have the potential to still support native vegetation identified through the EHP surveys, but recognising the declining trend in condition observed elsewhere in the Growth Areas and lack of more recent surveys for these areas</w:t>
      </w:r>
    </w:p>
    <w:p w14:paraId="15D1EED7" w14:textId="77777777" w:rsidR="008C1AD8" w:rsidRDefault="008C1AD8" w:rsidP="008C1AD8">
      <w:pPr>
        <w:pStyle w:val="Bullet1"/>
      </w:pPr>
      <w:r>
        <w:t>Lower potential native habitat, which identifies the habitat areas which have likely declined since the time of EHP surveys and are no longer expected to support native vegetation, based on the results of more recent landholder surveys</w:t>
      </w:r>
    </w:p>
    <w:p w14:paraId="31C471EB" w14:textId="77777777" w:rsidR="008C1AD8" w:rsidRDefault="008C1AD8" w:rsidP="008C1AD8">
      <w:pPr>
        <w:pStyle w:val="Bullet1"/>
      </w:pPr>
      <w:r>
        <w:t>Non-native habitat, which identifies areas of GSM habitat which do not support native vegetation</w:t>
      </w:r>
    </w:p>
    <w:p w14:paraId="5853069B" w14:textId="77777777" w:rsidR="008C1AD8" w:rsidRDefault="008C1AD8" w:rsidP="008C1AD8">
      <w:r>
        <w:fldChar w:fldCharType="begin"/>
      </w:r>
      <w:r>
        <w:instrText xml:space="preserve"> REF _Ref114041580 \h </w:instrText>
      </w:r>
      <w:r>
        <w:fldChar w:fldCharType="separate"/>
      </w:r>
      <w:r>
        <w:t xml:space="preserve">Table </w:t>
      </w:r>
      <w:r>
        <w:rPr>
          <w:noProof/>
        </w:rPr>
        <w:t>19</w:t>
      </w:r>
      <w:r>
        <w:noBreakHyphen/>
      </w:r>
      <w:r>
        <w:rPr>
          <w:noProof/>
        </w:rPr>
        <w:t>1</w:t>
      </w:r>
      <w:r>
        <w:fldChar w:fldCharType="end"/>
      </w:r>
      <w:r>
        <w:t xml:space="preserve"> provides the area of each habitat category mapped within the surveyed areas of the NGGA. </w:t>
      </w:r>
    </w:p>
    <w:p w14:paraId="04315808" w14:textId="77777777" w:rsidR="008C1AD8" w:rsidRDefault="008C1AD8" w:rsidP="008C1AD8">
      <w:pPr>
        <w:pStyle w:val="Caption"/>
        <w:keepNext/>
      </w:pPr>
      <w:bookmarkStart w:id="61" w:name="_Ref114041580"/>
      <w:bookmarkStart w:id="62" w:name="_Toc135122717"/>
      <w:r>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1</w:t>
      </w:r>
      <w:r>
        <w:fldChar w:fldCharType="end"/>
      </w:r>
      <w:bookmarkEnd w:id="61"/>
      <w:r>
        <w:t>:  Golden Sun Moth habitat occurring within surveyed areas of the NGGA</w:t>
      </w:r>
      <w:bookmarkEnd w:id="62"/>
    </w:p>
    <w:tbl>
      <w:tblPr>
        <w:tblStyle w:val="TableGrid"/>
        <w:tblW w:w="0" w:type="auto"/>
        <w:tblLook w:val="04A0" w:firstRow="1" w:lastRow="0" w:firstColumn="1" w:lastColumn="0" w:noHBand="0" w:noVBand="1"/>
      </w:tblPr>
      <w:tblGrid>
        <w:gridCol w:w="2972"/>
        <w:gridCol w:w="3260"/>
        <w:gridCol w:w="3390"/>
      </w:tblGrid>
      <w:tr w:rsidR="008C1AD8" w14:paraId="55612156" w14:textId="77777777" w:rsidTr="00A15226">
        <w:tc>
          <w:tcPr>
            <w:tcW w:w="2972" w:type="dxa"/>
            <w:shd w:val="clear" w:color="auto" w:fill="C9C9C9" w:themeFill="accent3" w:themeFillTint="99"/>
            <w:vAlign w:val="center"/>
          </w:tcPr>
          <w:p w14:paraId="740AD7B6" w14:textId="77777777" w:rsidR="008C1AD8" w:rsidRPr="005A7881" w:rsidRDefault="008C1AD8" w:rsidP="00A15226">
            <w:pPr>
              <w:pStyle w:val="Tabletext"/>
              <w:rPr>
                <w:b/>
                <w:bCs/>
              </w:rPr>
            </w:pPr>
            <w:r w:rsidRPr="005A7881">
              <w:rPr>
                <w:b/>
                <w:bCs/>
              </w:rPr>
              <w:t>Habitat category</w:t>
            </w:r>
          </w:p>
        </w:tc>
        <w:tc>
          <w:tcPr>
            <w:tcW w:w="3260" w:type="dxa"/>
            <w:shd w:val="clear" w:color="auto" w:fill="C9C9C9" w:themeFill="accent3" w:themeFillTint="99"/>
            <w:vAlign w:val="center"/>
          </w:tcPr>
          <w:p w14:paraId="5F0252C8" w14:textId="77777777" w:rsidR="008C1AD8" w:rsidRPr="005A7881" w:rsidRDefault="008C1AD8" w:rsidP="00A15226">
            <w:pPr>
              <w:pStyle w:val="Tabletext"/>
              <w:jc w:val="center"/>
              <w:rPr>
                <w:b/>
                <w:bCs/>
              </w:rPr>
            </w:pPr>
            <w:r w:rsidRPr="005A7881">
              <w:rPr>
                <w:b/>
                <w:bCs/>
              </w:rPr>
              <w:t xml:space="preserve">Area of habitat within the </w:t>
            </w:r>
            <w:r>
              <w:rPr>
                <w:b/>
                <w:bCs/>
              </w:rPr>
              <w:t xml:space="preserve">surveyed areas of the </w:t>
            </w:r>
            <w:r w:rsidRPr="005A7881">
              <w:rPr>
                <w:b/>
                <w:bCs/>
              </w:rPr>
              <w:t>NGGA (ha)</w:t>
            </w:r>
          </w:p>
        </w:tc>
        <w:tc>
          <w:tcPr>
            <w:tcW w:w="3390" w:type="dxa"/>
            <w:shd w:val="clear" w:color="auto" w:fill="C9C9C9" w:themeFill="accent3" w:themeFillTint="99"/>
            <w:vAlign w:val="center"/>
          </w:tcPr>
          <w:p w14:paraId="772EB19F" w14:textId="77777777" w:rsidR="008C1AD8" w:rsidRPr="005A7881" w:rsidRDefault="008C1AD8" w:rsidP="00A15226">
            <w:pPr>
              <w:pStyle w:val="Tabletext"/>
              <w:jc w:val="center"/>
              <w:rPr>
                <w:b/>
                <w:bCs/>
              </w:rPr>
            </w:pPr>
            <w:r w:rsidRPr="005A7881">
              <w:rPr>
                <w:b/>
                <w:bCs/>
              </w:rPr>
              <w:t xml:space="preserve">Percentage of total habitat within the </w:t>
            </w:r>
            <w:r>
              <w:rPr>
                <w:b/>
                <w:bCs/>
              </w:rPr>
              <w:t xml:space="preserve">surveyed areas of the </w:t>
            </w:r>
            <w:r w:rsidRPr="005A7881">
              <w:rPr>
                <w:b/>
                <w:bCs/>
              </w:rPr>
              <w:t>NGGA</w:t>
            </w:r>
          </w:p>
        </w:tc>
      </w:tr>
      <w:tr w:rsidR="008C1AD8" w14:paraId="4C67CE32" w14:textId="77777777" w:rsidTr="00A15226">
        <w:tc>
          <w:tcPr>
            <w:tcW w:w="2972" w:type="dxa"/>
            <w:vAlign w:val="center"/>
          </w:tcPr>
          <w:p w14:paraId="0A48D4C2" w14:textId="77777777" w:rsidR="008C1AD8" w:rsidRPr="005A7881" w:rsidRDefault="008C1AD8" w:rsidP="00A15226">
            <w:pPr>
              <w:pStyle w:val="Tabletext"/>
            </w:pPr>
            <w:r w:rsidRPr="005A7881">
              <w:t>Higher potential native habitat</w:t>
            </w:r>
          </w:p>
        </w:tc>
        <w:tc>
          <w:tcPr>
            <w:tcW w:w="3260" w:type="dxa"/>
            <w:vAlign w:val="center"/>
          </w:tcPr>
          <w:p w14:paraId="2716DB43" w14:textId="77777777" w:rsidR="008C1AD8" w:rsidRPr="009E63A2" w:rsidRDefault="008C1AD8" w:rsidP="00A15226">
            <w:pPr>
              <w:pStyle w:val="Tabletext"/>
              <w:jc w:val="center"/>
            </w:pPr>
            <w:r w:rsidRPr="009E63A2">
              <w:t>26.1</w:t>
            </w:r>
          </w:p>
        </w:tc>
        <w:tc>
          <w:tcPr>
            <w:tcW w:w="3390" w:type="dxa"/>
            <w:vAlign w:val="center"/>
          </w:tcPr>
          <w:p w14:paraId="32E66970" w14:textId="77777777" w:rsidR="008C1AD8" w:rsidRPr="009E63A2" w:rsidRDefault="008C1AD8" w:rsidP="00A15226">
            <w:pPr>
              <w:pStyle w:val="Tabletext"/>
              <w:jc w:val="center"/>
            </w:pPr>
            <w:r w:rsidRPr="009E63A2">
              <w:t>3.9 %</w:t>
            </w:r>
          </w:p>
        </w:tc>
      </w:tr>
      <w:tr w:rsidR="008C1AD8" w14:paraId="6CA064C0" w14:textId="77777777" w:rsidTr="00A15226">
        <w:tc>
          <w:tcPr>
            <w:tcW w:w="2972" w:type="dxa"/>
            <w:vAlign w:val="center"/>
          </w:tcPr>
          <w:p w14:paraId="455E2C34" w14:textId="77777777" w:rsidR="008C1AD8" w:rsidRPr="005A7881" w:rsidRDefault="008C1AD8" w:rsidP="00A15226">
            <w:pPr>
              <w:pStyle w:val="Tabletext"/>
            </w:pPr>
            <w:r w:rsidRPr="005A7881">
              <w:t>Moderate potential native habitat</w:t>
            </w:r>
          </w:p>
        </w:tc>
        <w:tc>
          <w:tcPr>
            <w:tcW w:w="3260" w:type="dxa"/>
            <w:vAlign w:val="center"/>
          </w:tcPr>
          <w:p w14:paraId="48D2B124" w14:textId="77777777" w:rsidR="008C1AD8" w:rsidRPr="009E63A2" w:rsidRDefault="008C1AD8" w:rsidP="00A15226">
            <w:pPr>
              <w:pStyle w:val="Tabletext"/>
              <w:jc w:val="center"/>
            </w:pPr>
            <w:r w:rsidRPr="009E63A2">
              <w:t>66.6</w:t>
            </w:r>
          </w:p>
        </w:tc>
        <w:tc>
          <w:tcPr>
            <w:tcW w:w="3390" w:type="dxa"/>
            <w:vAlign w:val="center"/>
          </w:tcPr>
          <w:p w14:paraId="55E27B48" w14:textId="77777777" w:rsidR="008C1AD8" w:rsidRPr="009E63A2" w:rsidRDefault="008C1AD8" w:rsidP="00A15226">
            <w:pPr>
              <w:pStyle w:val="Tabletext"/>
              <w:jc w:val="center"/>
            </w:pPr>
            <w:r w:rsidRPr="009E63A2">
              <w:t>9.8 %</w:t>
            </w:r>
          </w:p>
        </w:tc>
      </w:tr>
      <w:tr w:rsidR="008C1AD8" w14:paraId="292A763A" w14:textId="77777777" w:rsidTr="00A15226">
        <w:tc>
          <w:tcPr>
            <w:tcW w:w="2972" w:type="dxa"/>
            <w:vAlign w:val="center"/>
          </w:tcPr>
          <w:p w14:paraId="604613A8" w14:textId="77777777" w:rsidR="008C1AD8" w:rsidRPr="005A7881" w:rsidRDefault="008C1AD8" w:rsidP="00A15226">
            <w:pPr>
              <w:pStyle w:val="Tabletext"/>
            </w:pPr>
            <w:r w:rsidRPr="005A7881">
              <w:t>Lower potential native habitat</w:t>
            </w:r>
          </w:p>
        </w:tc>
        <w:tc>
          <w:tcPr>
            <w:tcW w:w="3260" w:type="dxa"/>
            <w:vAlign w:val="center"/>
          </w:tcPr>
          <w:p w14:paraId="7B6D023F" w14:textId="77777777" w:rsidR="008C1AD8" w:rsidRPr="009E63A2" w:rsidRDefault="008C1AD8" w:rsidP="00A15226">
            <w:pPr>
              <w:pStyle w:val="Tabletext"/>
              <w:jc w:val="center"/>
            </w:pPr>
            <w:r w:rsidRPr="009E63A2">
              <w:t>38.3</w:t>
            </w:r>
          </w:p>
        </w:tc>
        <w:tc>
          <w:tcPr>
            <w:tcW w:w="3390" w:type="dxa"/>
            <w:vAlign w:val="center"/>
          </w:tcPr>
          <w:p w14:paraId="1FFC3282" w14:textId="77777777" w:rsidR="008C1AD8" w:rsidRPr="009E63A2" w:rsidRDefault="008C1AD8" w:rsidP="00A15226">
            <w:pPr>
              <w:pStyle w:val="Tabletext"/>
              <w:jc w:val="center"/>
            </w:pPr>
            <w:r w:rsidRPr="009E63A2">
              <w:t>5.7 %</w:t>
            </w:r>
          </w:p>
        </w:tc>
      </w:tr>
      <w:tr w:rsidR="008C1AD8" w14:paraId="49A29D09" w14:textId="77777777" w:rsidTr="00A15226">
        <w:tc>
          <w:tcPr>
            <w:tcW w:w="2972" w:type="dxa"/>
            <w:vAlign w:val="center"/>
          </w:tcPr>
          <w:p w14:paraId="5D06501B" w14:textId="77777777" w:rsidR="008C1AD8" w:rsidRPr="005A7881" w:rsidRDefault="008C1AD8" w:rsidP="00A15226">
            <w:pPr>
              <w:pStyle w:val="Tabletext"/>
            </w:pPr>
            <w:r w:rsidRPr="005A7881">
              <w:t>Non-native habitat</w:t>
            </w:r>
          </w:p>
        </w:tc>
        <w:tc>
          <w:tcPr>
            <w:tcW w:w="3260" w:type="dxa"/>
            <w:vAlign w:val="center"/>
          </w:tcPr>
          <w:p w14:paraId="563C0F1F" w14:textId="77777777" w:rsidR="008C1AD8" w:rsidRPr="009E63A2" w:rsidRDefault="008C1AD8" w:rsidP="00A15226">
            <w:pPr>
              <w:pStyle w:val="Tabletext"/>
              <w:jc w:val="center"/>
            </w:pPr>
            <w:r w:rsidRPr="009E63A2">
              <w:t>545.3</w:t>
            </w:r>
          </w:p>
        </w:tc>
        <w:tc>
          <w:tcPr>
            <w:tcW w:w="3390" w:type="dxa"/>
            <w:vAlign w:val="center"/>
          </w:tcPr>
          <w:p w14:paraId="591D0701" w14:textId="77777777" w:rsidR="008C1AD8" w:rsidRPr="009E63A2" w:rsidRDefault="008C1AD8" w:rsidP="00A15226">
            <w:pPr>
              <w:pStyle w:val="Tabletext"/>
              <w:jc w:val="center"/>
            </w:pPr>
            <w:r w:rsidRPr="009E63A2">
              <w:t>80.6 %</w:t>
            </w:r>
          </w:p>
        </w:tc>
      </w:tr>
      <w:tr w:rsidR="008C1AD8" w14:paraId="2E14F9D8" w14:textId="77777777" w:rsidTr="00A15226">
        <w:tc>
          <w:tcPr>
            <w:tcW w:w="2972" w:type="dxa"/>
            <w:vAlign w:val="center"/>
          </w:tcPr>
          <w:p w14:paraId="7E6F3CC8" w14:textId="77777777" w:rsidR="008C1AD8" w:rsidRPr="005A7881" w:rsidRDefault="008C1AD8" w:rsidP="00A15226">
            <w:pPr>
              <w:pStyle w:val="Tabletext"/>
              <w:jc w:val="right"/>
              <w:rPr>
                <w:b/>
                <w:bCs/>
              </w:rPr>
            </w:pPr>
            <w:r w:rsidRPr="005A7881">
              <w:rPr>
                <w:b/>
                <w:bCs/>
              </w:rPr>
              <w:t>Total</w:t>
            </w:r>
          </w:p>
        </w:tc>
        <w:tc>
          <w:tcPr>
            <w:tcW w:w="3260" w:type="dxa"/>
            <w:vAlign w:val="center"/>
          </w:tcPr>
          <w:p w14:paraId="0C7BAEAF" w14:textId="77777777" w:rsidR="008C1AD8" w:rsidRPr="009E63A2" w:rsidRDefault="008C1AD8" w:rsidP="00A15226">
            <w:pPr>
              <w:pStyle w:val="Tabletext"/>
              <w:jc w:val="center"/>
              <w:rPr>
                <w:b/>
                <w:bCs/>
              </w:rPr>
            </w:pPr>
            <w:r w:rsidRPr="009E63A2">
              <w:rPr>
                <w:b/>
                <w:bCs/>
              </w:rPr>
              <w:t>676.3</w:t>
            </w:r>
          </w:p>
        </w:tc>
        <w:tc>
          <w:tcPr>
            <w:tcW w:w="3390" w:type="dxa"/>
            <w:vAlign w:val="center"/>
          </w:tcPr>
          <w:p w14:paraId="7FE923F2" w14:textId="77777777" w:rsidR="008C1AD8" w:rsidRPr="009E63A2" w:rsidRDefault="008C1AD8" w:rsidP="00A15226">
            <w:pPr>
              <w:pStyle w:val="Tabletext"/>
              <w:jc w:val="center"/>
            </w:pPr>
            <w:r w:rsidRPr="009E63A2">
              <w:t>-</w:t>
            </w:r>
          </w:p>
        </w:tc>
      </w:tr>
    </w:tbl>
    <w:p w14:paraId="75C1A1C4" w14:textId="77777777" w:rsidR="008C1AD8" w:rsidRPr="0052255F" w:rsidRDefault="008C1AD8" w:rsidP="008C1AD8">
      <w:pPr>
        <w:pStyle w:val="Heading4"/>
      </w:pPr>
      <w:r>
        <w:t>Habitat within the unsurveyed areas of the Growth Areas</w:t>
      </w:r>
    </w:p>
    <w:p w14:paraId="2067D54A" w14:textId="77777777" w:rsidR="008C1AD8" w:rsidRDefault="008C1AD8" w:rsidP="008C1AD8">
      <w:r>
        <w:t>There is potential for GSM to occur within the unsurveyed areas of the Growth Areas. However, these areas generally comprise many small, rural residential landholdings which are fragmented by windrows/landscaping and have a much higher proportion of land use for dwellings and driveways compared to the broader Growth Areas. The environment within these unsurveyed areas tends to be more modified or degraded as a result.</w:t>
      </w:r>
    </w:p>
    <w:p w14:paraId="4A6E3FBD" w14:textId="77777777" w:rsidR="008C1AD8" w:rsidRDefault="008C1AD8" w:rsidP="008C1AD8">
      <w:r>
        <w:t>This rural residential land use minimises the likelihood that the properties support significant areas of suitable, high quality or native habitat for the GSM or an abundance of the species. However, in the absence of targeted surveys and recognising the potential for some areas of GSM habitat to occur, an estimate of potential habitat has been determined for the unsurveyed areas using the following method:</w:t>
      </w:r>
    </w:p>
    <w:p w14:paraId="029016EC" w14:textId="77777777" w:rsidR="008C1AD8" w:rsidRDefault="008C1AD8" w:rsidP="008C1AD8">
      <w:pPr>
        <w:pStyle w:val="Bullet1"/>
      </w:pPr>
      <w:r>
        <w:t>It has been assumed that the entirety of the two unsurveyed blocks of land along the western boundary of the NGGA support potential GSM habitat based on their location adjacent to mapped surveyed habitat and the apparent continuity of land use. These two blocks contribute around 42 ha of potential habitat</w:t>
      </w:r>
    </w:p>
    <w:p w14:paraId="6CCC065E" w14:textId="77777777" w:rsidR="008C1AD8" w:rsidRDefault="008C1AD8" w:rsidP="008C1AD8">
      <w:pPr>
        <w:pStyle w:val="Bullet1"/>
      </w:pPr>
      <w:r>
        <w:t xml:space="preserve">The remaining areas of unsurveyed land comprise the rural residential blocks, which are expected to support a reduced or more fragmented distribution of potential habitat which reflects the different land use compared with the surveyed areas of the NGGA. Potential GSM has been modelled across these areas using a combination of DELWP’s GSM HIM </w:t>
      </w:r>
      <w:sdt>
        <w:sdtPr>
          <w:rPr>
            <w:color w:val="000000"/>
          </w:rPr>
          <w:tag w:val="MENDELEY_CITATION_v3_eyJjaXRhdGlvbklEIjoiTUVOREVMRVlfQ0lUQVRJT05fMGJiNTkwN2YtODIwOS00NzRiLTkxZDEtMzIyZGJhMGViMTVm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286283591"/>
          <w:placeholder>
            <w:docPart w:val="EA492B379251784A8EF33F6B6775C3A8"/>
          </w:placeholder>
        </w:sdtPr>
        <w:sdtContent>
          <w:r w:rsidRPr="00273871">
            <w:rPr>
              <w:color w:val="000000"/>
            </w:rPr>
            <w:t>(DELWP, 2017d)</w:t>
          </w:r>
        </w:sdtContent>
      </w:sdt>
      <w:r>
        <w:t xml:space="preserve"> and </w:t>
      </w:r>
      <w:r w:rsidRPr="00B83866">
        <w:t>DELWP</w:t>
      </w:r>
      <w:r>
        <w:t>’</w:t>
      </w:r>
      <w:r w:rsidRPr="00B83866">
        <w:t xml:space="preserve">s EVC mapping for EVC 132 (Plains Grassland) </w:t>
      </w:r>
      <w:sdt>
        <w:sdtPr>
          <w:rPr>
            <w:color w:val="000000"/>
          </w:rPr>
          <w:tag w:val="MENDELEY_CITATION_v3_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"/>
          <w:id w:val="-1288049240"/>
          <w:placeholder>
            <w:docPart w:val="EA492B379251784A8EF33F6B6775C3A8"/>
          </w:placeholder>
        </w:sdtPr>
        <w:sdtContent>
          <w:r w:rsidRPr="00273871">
            <w:rPr>
              <w:color w:val="000000"/>
            </w:rPr>
            <w:t>(DELWP, 2005)</w:t>
          </w:r>
        </w:sdtContent>
      </w:sdt>
      <w:r>
        <w:t>.</w:t>
      </w:r>
      <w:r w:rsidDel="002641A9">
        <w:t xml:space="preserve"> </w:t>
      </w:r>
      <w:r>
        <w:t>This modelling approach identified a further 48 ha of potential habitat</w:t>
      </w:r>
    </w:p>
    <w:p w14:paraId="6A1D2B8D" w14:textId="77777777" w:rsidR="008C1AD8" w:rsidRDefault="008C1AD8" w:rsidP="008C1AD8">
      <w:r w:rsidRPr="00D373E2">
        <w:t>Altogether, this mapping method identified around 90 ha of</w:t>
      </w:r>
      <w:r>
        <w:t xml:space="preserve"> potential habitat within the unsurveyed areas of the Growth Areas. </w:t>
      </w:r>
    </w:p>
    <w:p w14:paraId="7C1CA419" w14:textId="77777777" w:rsidR="008C1AD8" w:rsidRDefault="008C1AD8" w:rsidP="008C1AD8">
      <w:r>
        <w:lastRenderedPageBreak/>
        <w:t>This method is considered to be suitably precautionary for the purposes of the assessment. This method is intended to identify an area of potential GSM habitat within the unsurveyed land that over-predicts extent, as supported by observations of the properties as part of recent site visits during the strategic assessment.</w:t>
      </w:r>
    </w:p>
    <w:p w14:paraId="71D05827" w14:textId="77777777" w:rsidR="008C1AD8" w:rsidRDefault="008C1AD8" w:rsidP="008C1AD8">
      <w:pPr>
        <w:pStyle w:val="Heading4"/>
      </w:pPr>
      <w:r>
        <w:t>Habitat within the strategic assessment area and broader study area</w:t>
      </w:r>
    </w:p>
    <w:p w14:paraId="60D2C0C9" w14:textId="77777777" w:rsidR="008C1AD8" w:rsidRPr="00E371F3" w:rsidRDefault="008C1AD8" w:rsidP="008C1AD8">
      <w:r>
        <w:t xml:space="preserve">DELWP’s HIM for GSM was used to indicate potential habitat within the Strategic Assessment Area and broader Study Area. </w:t>
      </w:r>
    </w:p>
    <w:p w14:paraId="103AB929" w14:textId="77777777" w:rsidR="008C1AD8" w:rsidRDefault="008C1AD8" w:rsidP="008C1AD8">
      <w:r>
        <w:fldChar w:fldCharType="begin"/>
      </w:r>
      <w:r>
        <w:instrText xml:space="preserve"> REF _Ref114224030 \h </w:instrText>
      </w:r>
      <w:r>
        <w:fldChar w:fldCharType="separate"/>
      </w:r>
      <w:r>
        <w:t xml:space="preserve">Table </w:t>
      </w:r>
      <w:r>
        <w:rPr>
          <w:noProof/>
        </w:rPr>
        <w:t>19</w:t>
      </w:r>
      <w:r>
        <w:noBreakHyphen/>
      </w:r>
      <w:r>
        <w:rPr>
          <w:noProof/>
        </w:rPr>
        <w:t>2</w:t>
      </w:r>
      <w:r>
        <w:fldChar w:fldCharType="end"/>
      </w:r>
      <w:r>
        <w:t xml:space="preserve"> provides the area of GSM habitat mapped within these areas.</w:t>
      </w:r>
    </w:p>
    <w:p w14:paraId="37DE2114" w14:textId="77777777" w:rsidR="008C1AD8" w:rsidRDefault="008C1AD8" w:rsidP="008C1AD8">
      <w:pPr>
        <w:pStyle w:val="Caption"/>
        <w:keepNext/>
      </w:pPr>
      <w:bookmarkStart w:id="63" w:name="_Ref114224030"/>
      <w:bookmarkStart w:id="64" w:name="_Toc135122718"/>
      <w:r>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2</w:t>
      </w:r>
      <w:r>
        <w:fldChar w:fldCharType="end"/>
      </w:r>
      <w:bookmarkEnd w:id="63"/>
      <w:r>
        <w:t>:  GSM habitat occurring across the broader Study Area</w:t>
      </w:r>
      <w:bookmarkEnd w:id="64"/>
    </w:p>
    <w:tbl>
      <w:tblPr>
        <w:tblStyle w:val="TableGrid"/>
        <w:tblW w:w="9634" w:type="dxa"/>
        <w:tblLook w:val="04A0" w:firstRow="1" w:lastRow="0" w:firstColumn="1" w:lastColumn="0" w:noHBand="0" w:noVBand="1"/>
      </w:tblPr>
      <w:tblGrid>
        <w:gridCol w:w="4817"/>
        <w:gridCol w:w="4817"/>
      </w:tblGrid>
      <w:tr w:rsidR="008C1AD8" w14:paraId="44A91BC9" w14:textId="77777777" w:rsidTr="00A15226">
        <w:tc>
          <w:tcPr>
            <w:tcW w:w="4817" w:type="dxa"/>
            <w:shd w:val="clear" w:color="auto" w:fill="C9C9C9" w:themeFill="accent3" w:themeFillTint="99"/>
            <w:vAlign w:val="center"/>
          </w:tcPr>
          <w:p w14:paraId="5FA7C52B" w14:textId="77777777" w:rsidR="008C1AD8" w:rsidRPr="002641A9" w:rsidRDefault="008C1AD8" w:rsidP="00A15226">
            <w:pPr>
              <w:pStyle w:val="Tabletext"/>
              <w:rPr>
                <w:b/>
                <w:bCs/>
              </w:rPr>
            </w:pPr>
            <w:r w:rsidRPr="002641A9">
              <w:rPr>
                <w:b/>
                <w:bCs/>
              </w:rPr>
              <w:t>Area</w:t>
            </w:r>
          </w:p>
        </w:tc>
        <w:tc>
          <w:tcPr>
            <w:tcW w:w="4817" w:type="dxa"/>
            <w:shd w:val="clear" w:color="auto" w:fill="C9C9C9" w:themeFill="accent3" w:themeFillTint="99"/>
            <w:vAlign w:val="center"/>
          </w:tcPr>
          <w:p w14:paraId="4243F8B5" w14:textId="77777777" w:rsidR="008C1AD8" w:rsidRPr="002B5FF1" w:rsidRDefault="008C1AD8" w:rsidP="00A15226">
            <w:pPr>
              <w:pStyle w:val="Tabletext"/>
              <w:jc w:val="center"/>
              <w:rPr>
                <w:b/>
                <w:bCs/>
              </w:rPr>
            </w:pPr>
            <w:r w:rsidRPr="002B5FF1">
              <w:rPr>
                <w:b/>
                <w:bCs/>
              </w:rPr>
              <w:t>Area of modelled habitat (ha)</w:t>
            </w:r>
          </w:p>
        </w:tc>
      </w:tr>
      <w:tr w:rsidR="008C1AD8" w14:paraId="240BEF26" w14:textId="77777777" w:rsidTr="00A15226">
        <w:tc>
          <w:tcPr>
            <w:tcW w:w="4817" w:type="dxa"/>
            <w:vAlign w:val="center"/>
          </w:tcPr>
          <w:p w14:paraId="269BB44E" w14:textId="77777777" w:rsidR="008C1AD8" w:rsidRPr="002641A9" w:rsidRDefault="008C1AD8" w:rsidP="00A15226">
            <w:pPr>
              <w:pStyle w:val="Tabletext"/>
            </w:pPr>
            <w:r w:rsidRPr="002641A9">
              <w:t>Strategic Assessment Area*</w:t>
            </w:r>
          </w:p>
        </w:tc>
        <w:tc>
          <w:tcPr>
            <w:tcW w:w="4817" w:type="dxa"/>
            <w:vAlign w:val="center"/>
          </w:tcPr>
          <w:p w14:paraId="3E60D659" w14:textId="77777777" w:rsidR="008C1AD8" w:rsidRPr="009E63A2" w:rsidRDefault="008C1AD8" w:rsidP="00A15226">
            <w:pPr>
              <w:pStyle w:val="Tabletext"/>
              <w:jc w:val="center"/>
            </w:pPr>
            <w:r w:rsidRPr="009E63A2">
              <w:t>23.6</w:t>
            </w:r>
          </w:p>
        </w:tc>
      </w:tr>
      <w:tr w:rsidR="008C1AD8" w14:paraId="659F5518" w14:textId="77777777" w:rsidTr="00A15226">
        <w:tc>
          <w:tcPr>
            <w:tcW w:w="4817" w:type="dxa"/>
            <w:vAlign w:val="center"/>
          </w:tcPr>
          <w:p w14:paraId="78E23DF9" w14:textId="77777777" w:rsidR="008C1AD8" w:rsidRPr="002641A9" w:rsidRDefault="008C1AD8" w:rsidP="00A15226">
            <w:pPr>
              <w:pStyle w:val="Tabletext"/>
            </w:pPr>
            <w:r w:rsidRPr="002641A9">
              <w:t>Study Area</w:t>
            </w:r>
            <w:r w:rsidRPr="002641A9">
              <w:rPr>
                <w:vertAlign w:val="superscript"/>
              </w:rPr>
              <w:t>#</w:t>
            </w:r>
          </w:p>
        </w:tc>
        <w:tc>
          <w:tcPr>
            <w:tcW w:w="4817" w:type="dxa"/>
            <w:vAlign w:val="center"/>
          </w:tcPr>
          <w:p w14:paraId="1A706A00" w14:textId="77777777" w:rsidR="008C1AD8" w:rsidRPr="009E63A2" w:rsidRDefault="008C1AD8" w:rsidP="00A15226">
            <w:pPr>
              <w:pStyle w:val="Tabletext"/>
              <w:jc w:val="center"/>
            </w:pPr>
            <w:r w:rsidRPr="009E63A2">
              <w:t>19,5</w:t>
            </w:r>
            <w:r>
              <w:t>38.2</w:t>
            </w:r>
          </w:p>
        </w:tc>
      </w:tr>
      <w:tr w:rsidR="008C1AD8" w14:paraId="6F6ACC8C" w14:textId="77777777" w:rsidTr="00A15226">
        <w:tc>
          <w:tcPr>
            <w:tcW w:w="4817" w:type="dxa"/>
            <w:vAlign w:val="center"/>
          </w:tcPr>
          <w:p w14:paraId="2C90646B" w14:textId="77777777" w:rsidR="008C1AD8" w:rsidRPr="002641A9" w:rsidRDefault="008C1AD8" w:rsidP="00A15226">
            <w:pPr>
              <w:pStyle w:val="Tabletext"/>
              <w:jc w:val="right"/>
              <w:rPr>
                <w:b/>
                <w:bCs/>
              </w:rPr>
            </w:pPr>
            <w:r w:rsidRPr="002641A9">
              <w:rPr>
                <w:b/>
                <w:bCs/>
              </w:rPr>
              <w:t>Total modelled habitat</w:t>
            </w:r>
          </w:p>
        </w:tc>
        <w:tc>
          <w:tcPr>
            <w:tcW w:w="4817" w:type="dxa"/>
            <w:vAlign w:val="center"/>
          </w:tcPr>
          <w:p w14:paraId="3A692986" w14:textId="77777777" w:rsidR="008C1AD8" w:rsidRPr="009E63A2" w:rsidRDefault="008C1AD8" w:rsidP="00A15226">
            <w:pPr>
              <w:pStyle w:val="Tabletext"/>
              <w:jc w:val="center"/>
            </w:pPr>
            <w:r w:rsidRPr="009E63A2">
              <w:t>19,5</w:t>
            </w:r>
            <w:r>
              <w:t>61.7</w:t>
            </w:r>
          </w:p>
        </w:tc>
      </w:tr>
    </w:tbl>
    <w:p w14:paraId="6F361303" w14:textId="77777777" w:rsidR="008C1AD8" w:rsidRPr="00444124" w:rsidRDefault="008C1AD8" w:rsidP="008C1AD8">
      <w:pPr>
        <w:pStyle w:val="Tabletext"/>
        <w:rPr>
          <w:sz w:val="16"/>
          <w:szCs w:val="18"/>
        </w:rPr>
      </w:pPr>
      <w:r w:rsidRPr="00444124">
        <w:rPr>
          <w:sz w:val="16"/>
          <w:szCs w:val="18"/>
        </w:rPr>
        <w:t>* This includes the modelled habitat in the Strategic Assessment Area excluding habitat mapped in the Growth Areas</w:t>
      </w:r>
    </w:p>
    <w:p w14:paraId="0884598C" w14:textId="77777777" w:rsidR="008C1AD8" w:rsidRPr="00444124" w:rsidRDefault="008C1AD8" w:rsidP="008C1AD8">
      <w:pPr>
        <w:pStyle w:val="Tabletext"/>
        <w:rPr>
          <w:sz w:val="16"/>
          <w:szCs w:val="18"/>
        </w:rPr>
      </w:pPr>
      <w:r w:rsidRPr="00444124">
        <w:rPr>
          <w:sz w:val="16"/>
          <w:szCs w:val="18"/>
          <w:vertAlign w:val="superscript"/>
        </w:rPr>
        <w:t>#</w:t>
      </w:r>
      <w:r w:rsidRPr="00444124">
        <w:rPr>
          <w:sz w:val="16"/>
          <w:szCs w:val="18"/>
        </w:rPr>
        <w:t xml:space="preserve"> This includes the modelled habitat in the Study Area excluding the habitat mapped in the Strategic Assessment Area</w:t>
      </w:r>
    </w:p>
    <w:p w14:paraId="586C0249" w14:textId="77777777" w:rsidR="008C1AD8" w:rsidRPr="000816D6"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2469DEEE" w14:textId="77777777" w:rsidTr="00A15226">
        <w:tc>
          <w:tcPr>
            <w:tcW w:w="9632" w:type="dxa"/>
            <w:shd w:val="clear" w:color="auto" w:fill="D9D9D9" w:themeFill="background1" w:themeFillShade="D9"/>
            <w:vAlign w:val="center"/>
          </w:tcPr>
          <w:p w14:paraId="42A08DBA" w14:textId="77777777" w:rsidR="008C1AD8" w:rsidRPr="000816D6" w:rsidRDefault="008C1AD8" w:rsidP="00A15226">
            <w:pPr>
              <w:pStyle w:val="TableHeadingLarge"/>
              <w:rPr>
                <w:rFonts w:ascii="Helvetica" w:hAnsi="Helvetica"/>
              </w:rPr>
            </w:pPr>
            <w:r w:rsidRPr="000816D6">
              <w:rPr>
                <w:rFonts w:ascii="Helvetica" w:hAnsi="Helvetica"/>
              </w:rPr>
              <w:t>AVOIDANCE OF IMPACTS</w:t>
            </w:r>
          </w:p>
        </w:tc>
      </w:tr>
    </w:tbl>
    <w:p w14:paraId="0C9A1972" w14:textId="77777777" w:rsidR="008C1AD8" w:rsidRDefault="008C1AD8" w:rsidP="008C1AD8">
      <w:r w:rsidRPr="000816D6">
        <w:rPr>
          <w:i/>
          <w:color w:val="4472C4" w:themeColor="accent1"/>
        </w:rPr>
        <w:t xml:space="preserve">This section provides an overview of the area of potential habitat that was avoided for the species through the design of </w:t>
      </w:r>
      <w:r>
        <w:rPr>
          <w:i/>
          <w:color w:val="4472C4" w:themeColor="accent1"/>
        </w:rPr>
        <w:t xml:space="preserve">development within the Growth Areas. Avoidance of impacts to biodiversity was a critical part of the process to develop the Plan. </w:t>
      </w:r>
      <w:r w:rsidRPr="000816D6">
        <w:rPr>
          <w:i/>
          <w:color w:val="4472C4" w:themeColor="accent1"/>
        </w:rPr>
        <w:t xml:space="preserve">A detailed explanation of the avoidance process and terminology is provided </w:t>
      </w:r>
      <w:r w:rsidRPr="0081090D">
        <w:rPr>
          <w:i/>
          <w:color w:val="4472C4" w:themeColor="accent1"/>
        </w:rPr>
        <w:t xml:space="preserve">in </w:t>
      </w:r>
      <w:r w:rsidRPr="009E63A2">
        <w:rPr>
          <w:i/>
          <w:color w:val="4472C4" w:themeColor="accent1"/>
        </w:rPr>
        <w:t>Chapter 16.</w:t>
      </w:r>
    </w:p>
    <w:p w14:paraId="0ECEDABF" w14:textId="77777777" w:rsidR="008C1AD8" w:rsidRDefault="008C1AD8" w:rsidP="008C1AD8">
      <w:r>
        <w:t xml:space="preserve">Avoidance within the NGGA was determined through a structured decision making process as part of the strategic assessment to identify the optimal layout of development and conservation land in the Growth </w:t>
      </w:r>
      <w:r w:rsidRPr="005972DC">
        <w:t xml:space="preserve">Area </w:t>
      </w:r>
      <w:r w:rsidRPr="009E63A2">
        <w:t xml:space="preserve">(see Section 16.3 </w:t>
      </w:r>
      <w:r w:rsidRPr="005972DC">
        <w:t xml:space="preserve">of </w:t>
      </w:r>
      <w:r w:rsidRPr="009E63A2">
        <w:t>Chapter 16</w:t>
      </w:r>
      <w:r w:rsidRPr="005972DC">
        <w:t>).</w:t>
      </w:r>
      <w:r w:rsidRPr="003F7CC1">
        <w:t xml:space="preserve"> A</w:t>
      </w:r>
      <w:r>
        <w:t xml:space="preserve"> key input to evaluate the biodiversity outcomes of the preferred NGGA layout was the avoidance and protection of GSM habitat. </w:t>
      </w:r>
    </w:p>
    <w:p w14:paraId="30AA8AEF" w14:textId="77777777" w:rsidR="008C1AD8" w:rsidRDefault="008C1AD8" w:rsidP="008C1AD8">
      <w:r>
        <w:t xml:space="preserve">The outcome from this process was the avoidance of a total of </w:t>
      </w:r>
      <w:r w:rsidRPr="009E63A2">
        <w:t>108.6 ha</w:t>
      </w:r>
      <w:r w:rsidRPr="005972DC">
        <w:t xml:space="preserve"> of</w:t>
      </w:r>
      <w:r>
        <w:t xml:space="preserve"> GSM </w:t>
      </w:r>
      <w:r w:rsidRPr="00A62FFA">
        <w:t>habitat. This avoidance focussed on</w:t>
      </w:r>
      <w:r>
        <w:t xml:space="preserve"> habitat areas in the north of the NGGA where high densities of GSM were recorded and where the largest remnants of native vegetation have been mapped, including around 60% of the areas with high/moderate potential for supporting native habitat. The avoided areas of GSM habitat include:</w:t>
      </w:r>
    </w:p>
    <w:p w14:paraId="19A0B97C" w14:textId="77777777" w:rsidR="008C1AD8" w:rsidRPr="009E63A2" w:rsidRDefault="008C1AD8" w:rsidP="008C1AD8">
      <w:pPr>
        <w:pStyle w:val="Bullet1"/>
      </w:pPr>
      <w:r w:rsidRPr="009E63A2">
        <w:t>55.1 ha of moderate potential native habitat</w:t>
      </w:r>
    </w:p>
    <w:p w14:paraId="45F88889" w14:textId="77777777" w:rsidR="008C1AD8" w:rsidRPr="009E63A2" w:rsidRDefault="008C1AD8" w:rsidP="008C1AD8">
      <w:pPr>
        <w:pStyle w:val="Bullet1"/>
      </w:pPr>
      <w:r w:rsidRPr="009E63A2">
        <w:t>0.6 ha of lower potential native habitat</w:t>
      </w:r>
    </w:p>
    <w:p w14:paraId="6A9ADC57" w14:textId="77777777" w:rsidR="008C1AD8" w:rsidRPr="009E63A2" w:rsidRDefault="008C1AD8" w:rsidP="008C1AD8">
      <w:pPr>
        <w:pStyle w:val="Bullet1"/>
      </w:pPr>
      <w:r w:rsidRPr="009E63A2">
        <w:t>52.9 ha of non-native habitat</w:t>
      </w:r>
    </w:p>
    <w:p w14:paraId="5203D703" w14:textId="77777777" w:rsidR="008C1AD8" w:rsidRDefault="008C1AD8" w:rsidP="008C1AD8">
      <w:r>
        <w:t xml:space="preserve">The avoided land will be protected and managed as an offset within the NGGA Conservation Area to maintain and enhance the habitat values for GSM (see Section </w:t>
      </w:r>
      <w:r>
        <w:fldChar w:fldCharType="begin"/>
      </w:r>
      <w:r>
        <w:instrText xml:space="preserve"> REF _Ref130988517 \r \h </w:instrText>
      </w:r>
      <w:r>
        <w:fldChar w:fldCharType="separate"/>
      </w:r>
      <w:r>
        <w:t>19.1.6</w:t>
      </w:r>
      <w:r>
        <w:fldChar w:fldCharType="end"/>
      </w:r>
      <w:r>
        <w:t>).</w:t>
      </w:r>
    </w:p>
    <w:p w14:paraId="785C6D05" w14:textId="77777777" w:rsidR="008C1AD8" w:rsidRDefault="008C1AD8" w:rsidP="008C1AD8">
      <w:r>
        <w:t>The structured decision making process that led to the avoidance of GSM habitat to be protected within the NGGA Conservation Area had to appropriately balance the relevant social, economic and environmental issues. Further avoidance of GSM habitat was not achievable or appropriate for the following key reasons:</w:t>
      </w:r>
    </w:p>
    <w:p w14:paraId="0CCF5E58" w14:textId="77777777" w:rsidR="008C1AD8" w:rsidRPr="00605D99" w:rsidRDefault="008C1AD8" w:rsidP="008C1AD8">
      <w:pPr>
        <w:pStyle w:val="Bullet1"/>
      </w:pPr>
      <w:r>
        <w:t xml:space="preserve">There were significant concerns that further avoidance of land would not deliver real conservation outcomes due to the extent of weeds and level of degradation across much of the NGGA. There was uncertainty around the efficacy of management and restoration work in additional areas due to the level of modification and extent of weeds. Efforts to address these issues would likely be prohibitively expensive and may be ineffective, noting that some areas were degraded </w:t>
      </w:r>
      <w:r w:rsidRPr="00F93B65">
        <w:t xml:space="preserve">to the point that re-establishment of native grasses may not be feasible within a 10 year </w:t>
      </w:r>
      <w:r w:rsidRPr="00605D99">
        <w:t>timeframe (</w:t>
      </w:r>
      <w:r w:rsidRPr="00BF4675">
        <w:t>Peter Wlodarczyk, pers comms.)</w:t>
      </w:r>
    </w:p>
    <w:p w14:paraId="0A62FD4F" w14:textId="77777777" w:rsidR="008C1AD8" w:rsidRDefault="008C1AD8" w:rsidP="008C1AD8">
      <w:pPr>
        <w:pStyle w:val="Bullet1"/>
      </w:pPr>
      <w:r>
        <w:t>From an economic perspective, the cost of acquiring additional land for conservation and management and the associated reduction in net developable area would likely make development across the Growth Area unviable</w:t>
      </w:r>
    </w:p>
    <w:p w14:paraId="129C810A" w14:textId="77777777" w:rsidR="008C1AD8" w:rsidRDefault="008C1AD8" w:rsidP="008C1AD8"/>
    <w:p w14:paraId="190F1F19" w14:textId="77777777" w:rsidR="008C1AD8" w:rsidRDefault="008C1AD8" w:rsidP="008C1AD8">
      <w:r>
        <w:lastRenderedPageBreak/>
        <w:t>There is also some potential for GSM to occur within the external infrastructure footprints within the Strategic Assessment Area, outside of the Growth Areas. The Commitments and Measures under the Plan require:</w:t>
      </w:r>
    </w:p>
    <w:p w14:paraId="7428B9FA" w14:textId="77777777" w:rsidR="008C1AD8" w:rsidRDefault="008C1AD8" w:rsidP="008C1AD8">
      <w:pPr>
        <w:pStyle w:val="Bullet1"/>
      </w:pPr>
      <w:r>
        <w:t>Targeted surveys within areas that may support GSM along these corridors prior to development and</w:t>
      </w:r>
    </w:p>
    <w:p w14:paraId="597398FD" w14:textId="77777777" w:rsidR="008C1AD8" w:rsidRDefault="008C1AD8" w:rsidP="008C1AD8">
      <w:pPr>
        <w:pStyle w:val="Bullet1"/>
      </w:pPr>
      <w:r>
        <w:t>Demonstrated avoidance of any confirmed areas of habitat for GSM, to the full extent possible</w:t>
      </w:r>
    </w:p>
    <w:p w14:paraId="42C114C6" w14:textId="77777777" w:rsidR="008C1AD8" w:rsidRPr="000A1CDB"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2D551E1B" w14:textId="77777777" w:rsidTr="00A15226">
        <w:tc>
          <w:tcPr>
            <w:tcW w:w="9632" w:type="dxa"/>
            <w:shd w:val="clear" w:color="auto" w:fill="D9D9D9" w:themeFill="background1" w:themeFillShade="D9"/>
            <w:vAlign w:val="center"/>
          </w:tcPr>
          <w:p w14:paraId="0446DB3B" w14:textId="77777777" w:rsidR="008C1AD8" w:rsidRPr="000816D6" w:rsidRDefault="008C1AD8" w:rsidP="00A15226">
            <w:pPr>
              <w:pStyle w:val="TableHeadingLarge"/>
            </w:pPr>
            <w:r w:rsidRPr="000816D6">
              <w:rPr>
                <w:rFonts w:ascii="Helvetica" w:hAnsi="Helvetica"/>
              </w:rPr>
              <w:t>DIRECT IMPACTS</w:t>
            </w:r>
          </w:p>
        </w:tc>
      </w:tr>
    </w:tbl>
    <w:p w14:paraId="3570CA13" w14:textId="77777777" w:rsidR="008C1AD8" w:rsidRPr="000816D6" w:rsidRDefault="008C1AD8" w:rsidP="008C1AD8">
      <w:pPr>
        <w:rPr>
          <w:i/>
          <w:color w:val="4472C4" w:themeColor="accent1"/>
        </w:rPr>
      </w:pPr>
      <w:r w:rsidRPr="000816D6">
        <w:rPr>
          <w:i/>
          <w:color w:val="4472C4" w:themeColor="accent1"/>
        </w:rPr>
        <w:t>This section provides an analysis of any direct impacts</w:t>
      </w:r>
      <w:r>
        <w:rPr>
          <w:i/>
          <w:color w:val="4472C4" w:themeColor="accent1"/>
        </w:rPr>
        <w:t xml:space="preserve">. </w:t>
      </w:r>
      <w:r w:rsidRPr="000816D6">
        <w:rPr>
          <w:i/>
          <w:color w:val="4472C4" w:themeColor="accent1"/>
        </w:rPr>
        <w:t xml:space="preserve">Direct impacts are assessed in relation to known populations, loss of potential habitat, or fragmentation of habitat. </w:t>
      </w:r>
    </w:p>
    <w:p w14:paraId="430513B1" w14:textId="77777777" w:rsidR="008C1AD8" w:rsidRDefault="008C1AD8" w:rsidP="008C1AD8">
      <w:pPr>
        <w:pStyle w:val="Heading3"/>
      </w:pPr>
      <w:r w:rsidRPr="00B9792D">
        <w:t>Impacts</w:t>
      </w:r>
      <w:r>
        <w:t xml:space="preserve"> to known populations and potential habitat</w:t>
      </w:r>
    </w:p>
    <w:p w14:paraId="34D15082" w14:textId="77777777" w:rsidR="008C1AD8" w:rsidRDefault="008C1AD8" w:rsidP="008C1AD8">
      <w:r>
        <w:t xml:space="preserve">Development under the Plan will reduce the size and extent of the GSM population that has been recorded within the NGGA. There will be direct loss </w:t>
      </w:r>
      <w:r w:rsidRPr="005972DC">
        <w:t xml:space="preserve">of </w:t>
      </w:r>
      <w:r w:rsidRPr="009E63A2">
        <w:t>658 ha</w:t>
      </w:r>
      <w:r>
        <w:t xml:space="preserve"> of mapped habitat across the southern sections of the NGGA. The majority (87%) of habitat to be cleared comprises non-native habitat. Around 41% of surveyed habitat with high/moderate potential for supporting native habitat will be cleared. </w:t>
      </w:r>
    </w:p>
    <w:p w14:paraId="5D0A5195" w14:textId="77777777" w:rsidR="008C1AD8" w:rsidRDefault="008C1AD8" w:rsidP="008C1AD8">
      <w:r>
        <w:t>Altogether, direct impacts to GSM include:</w:t>
      </w:r>
    </w:p>
    <w:p w14:paraId="6FE8B078" w14:textId="77777777" w:rsidR="008C1AD8" w:rsidRPr="009E63A2" w:rsidRDefault="008C1AD8" w:rsidP="008C1AD8">
      <w:pPr>
        <w:pStyle w:val="Bullet1"/>
      </w:pPr>
      <w:r w:rsidRPr="009E63A2">
        <w:t>The following areas within the surveyed areas of the Growth Areas:</w:t>
      </w:r>
    </w:p>
    <w:p w14:paraId="4CC6E8A6" w14:textId="77777777" w:rsidR="008C1AD8" w:rsidRPr="009E63A2" w:rsidRDefault="008C1AD8" w:rsidP="008C1AD8">
      <w:pPr>
        <w:pStyle w:val="Bullet2"/>
      </w:pPr>
      <w:r w:rsidRPr="009E63A2">
        <w:t>26.1 ha of higher potential native habitat</w:t>
      </w:r>
    </w:p>
    <w:p w14:paraId="05D8084B" w14:textId="77777777" w:rsidR="008C1AD8" w:rsidRPr="009E63A2" w:rsidRDefault="008C1AD8" w:rsidP="008C1AD8">
      <w:pPr>
        <w:pStyle w:val="Bullet2"/>
      </w:pPr>
      <w:r w:rsidRPr="009E63A2">
        <w:t>11.5 ha of moderate potential native habitat</w:t>
      </w:r>
    </w:p>
    <w:p w14:paraId="4BC2CC82" w14:textId="77777777" w:rsidR="008C1AD8" w:rsidRPr="009E63A2" w:rsidRDefault="008C1AD8" w:rsidP="008C1AD8">
      <w:pPr>
        <w:pStyle w:val="Bullet2"/>
      </w:pPr>
      <w:r w:rsidRPr="009E63A2">
        <w:t>37.7 ha of lower potential native habitat</w:t>
      </w:r>
    </w:p>
    <w:p w14:paraId="0B2C77F6" w14:textId="77777777" w:rsidR="008C1AD8" w:rsidRPr="009E63A2" w:rsidRDefault="008C1AD8" w:rsidP="008C1AD8">
      <w:pPr>
        <w:pStyle w:val="Bullet2"/>
      </w:pPr>
      <w:r w:rsidRPr="009E63A2">
        <w:t>492.4 ha of non-native habitat</w:t>
      </w:r>
    </w:p>
    <w:p w14:paraId="4402DEF3" w14:textId="77777777" w:rsidR="008C1AD8" w:rsidRPr="009E63A2" w:rsidRDefault="008C1AD8" w:rsidP="008C1AD8">
      <w:pPr>
        <w:pStyle w:val="Bullet1"/>
      </w:pPr>
      <w:r w:rsidRPr="009E63A2">
        <w:t>90 ha of potential habitat within the unsurveyed areas of the Growth Areas</w:t>
      </w:r>
    </w:p>
    <w:p w14:paraId="3D2FEE2A" w14:textId="77777777" w:rsidR="008C1AD8" w:rsidRDefault="008C1AD8" w:rsidP="008C1AD8">
      <w:r>
        <w:t xml:space="preserve">This extent of habitat clearing is not expected to lead to the loss of the entire population. Areas of GSM habitat that are not subject to direct impacts will be retained, protected and managed within the Conservation Area that will be established in the NGGA. This habitat is known to support a component of the GSM population, with a high abundance of individuals recorded during the most recent targeted surveys in 2020. The current extent of mapped habitat retained within the avoided land </w:t>
      </w:r>
      <w:r w:rsidRPr="005972DC">
        <w:t xml:space="preserve">is </w:t>
      </w:r>
      <w:r w:rsidRPr="009E63A2">
        <w:t>108.6 ha</w:t>
      </w:r>
      <w:r w:rsidRPr="005972DC">
        <w:t>.</w:t>
      </w:r>
      <w:r>
        <w:t xml:space="preserve"> This is notably larger than many sites currently known to support subpopulations across its range, which are confined to small grassland remnants of fewer than 5 ha </w:t>
      </w:r>
      <w:sdt>
        <w:sdtPr>
          <w:rPr>
            <w:color w:val="000000"/>
          </w:rPr>
          <w:tag w:val="MENDELEY_CITATION_v3_eyJjaXRhdGlvbklEIjoiTUVOREVMRVlfQ0lUQVRJT05fYjMxMjc1NTQtNDNlNC00MmQ4LTk1ZTYtNjcyMTAyMjQwZGZk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486751415"/>
          <w:placeholder>
            <w:docPart w:val="EA492B379251784A8EF33F6B6775C3A8"/>
          </w:placeholder>
        </w:sdtPr>
        <w:sdtContent>
          <w:r w:rsidRPr="00273871">
            <w:rPr>
              <w:color w:val="000000"/>
            </w:rPr>
            <w:t>(DAWE, 2021a)</w:t>
          </w:r>
        </w:sdtContent>
      </w:sdt>
      <w:r>
        <w:t xml:space="preserve">. Ongoing management of this land will remove the key threats currently operating on the population in the NGGA, aiming to halt or reverse declines in habitat condition and improve the longer-term viability of the population. </w:t>
      </w:r>
    </w:p>
    <w:p w14:paraId="72D08B95" w14:textId="77777777" w:rsidR="008C1AD8" w:rsidRDefault="008C1AD8" w:rsidP="008C1AD8">
      <w:pPr>
        <w:pStyle w:val="Heading3"/>
      </w:pPr>
      <w:r>
        <w:t>Fragmentation of habitat</w:t>
      </w:r>
    </w:p>
    <w:p w14:paraId="4587DA86" w14:textId="77777777" w:rsidR="008C1AD8" w:rsidRDefault="008C1AD8" w:rsidP="008C1AD8">
      <w:r>
        <w:t xml:space="preserve">GSM habitat within the NGGA is already bounded by urban growth and more intensive land uses to the south and east. The existing interface of habitat in the avoided area with rural lands to the north will be unchanged. </w:t>
      </w:r>
    </w:p>
    <w:p w14:paraId="07D72937" w14:textId="77777777" w:rsidR="008C1AD8"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24E2419E" w14:textId="77777777" w:rsidTr="00A15226">
        <w:trPr>
          <w:cantSplit/>
        </w:trPr>
        <w:tc>
          <w:tcPr>
            <w:tcW w:w="9632" w:type="dxa"/>
            <w:shd w:val="clear" w:color="auto" w:fill="D9D9D9" w:themeFill="background1" w:themeFillShade="D9"/>
            <w:vAlign w:val="center"/>
          </w:tcPr>
          <w:p w14:paraId="6454D0FC" w14:textId="77777777" w:rsidR="008C1AD8" w:rsidRPr="000816D6" w:rsidRDefault="008C1AD8" w:rsidP="00A15226">
            <w:pPr>
              <w:pStyle w:val="TableHeadingLarge"/>
            </w:pPr>
            <w:r w:rsidRPr="000816D6">
              <w:rPr>
                <w:rFonts w:ascii="Helvetica" w:hAnsi="Helvetica"/>
              </w:rPr>
              <w:t>POTENTIAL INDIRECT IMPACTS AND MITIGATION</w:t>
            </w:r>
          </w:p>
        </w:tc>
      </w:tr>
    </w:tbl>
    <w:p w14:paraId="16FC1DB9" w14:textId="77777777" w:rsidR="008C1AD8" w:rsidRPr="0004013F" w:rsidRDefault="008C1AD8" w:rsidP="008C1AD8">
      <w:pPr>
        <w:rPr>
          <w:i/>
          <w:color w:val="4472C4" w:themeColor="accent1"/>
        </w:rPr>
      </w:pPr>
      <w:r w:rsidRPr="0004013F">
        <w:rPr>
          <w:i/>
          <w:color w:val="4472C4" w:themeColor="accent1"/>
        </w:rPr>
        <w:t>This section identifies the relevant potential indirect impacts to the species that may occur as a result of development under the Plan. Indirect impacts were identified as being relevant to the species if:</w:t>
      </w:r>
    </w:p>
    <w:p w14:paraId="610CF515" w14:textId="77777777" w:rsidR="008C1AD8" w:rsidRPr="0004013F" w:rsidRDefault="008C1AD8" w:rsidP="008C1AD8">
      <w:pPr>
        <w:pStyle w:val="Bullet1"/>
        <w:rPr>
          <w:i/>
          <w:color w:val="4472C4" w:themeColor="accent1"/>
        </w:rPr>
      </w:pPr>
      <w:r w:rsidRPr="0004013F">
        <w:rPr>
          <w:i/>
          <w:color w:val="4472C4" w:themeColor="accent1"/>
        </w:rPr>
        <w:t xml:space="preserve">The indirect impact is identified as a threat in a relevant profile, conservation advice, or recovery plan, </w:t>
      </w:r>
      <w:r w:rsidRPr="0004013F">
        <w:rPr>
          <w:i/>
          <w:iCs/>
          <w:color w:val="4472C4" w:themeColor="accent1"/>
        </w:rPr>
        <w:t>and</w:t>
      </w:r>
    </w:p>
    <w:p w14:paraId="49230D48" w14:textId="77777777" w:rsidR="008C1AD8" w:rsidRPr="0004013F" w:rsidRDefault="008C1AD8" w:rsidP="008C1AD8">
      <w:pPr>
        <w:pStyle w:val="Bullet1"/>
        <w:rPr>
          <w:i/>
          <w:color w:val="4472C4" w:themeColor="accent1"/>
        </w:rPr>
      </w:pPr>
      <w:r w:rsidRPr="0004013F">
        <w:rPr>
          <w:i/>
          <w:color w:val="4472C4" w:themeColor="accent1"/>
        </w:rPr>
        <w:t xml:space="preserve">The Plan has the potential to </w:t>
      </w:r>
      <w:r>
        <w:rPr>
          <w:i/>
          <w:color w:val="4472C4" w:themeColor="accent1"/>
        </w:rPr>
        <w:t xml:space="preserve">introduce or </w:t>
      </w:r>
      <w:r w:rsidRPr="0004013F">
        <w:rPr>
          <w:i/>
          <w:color w:val="4472C4" w:themeColor="accent1"/>
        </w:rPr>
        <w:t>exacerbate the threat</w:t>
      </w:r>
    </w:p>
    <w:p w14:paraId="60C15726" w14:textId="77777777" w:rsidR="008C1AD8" w:rsidRPr="0004013F" w:rsidRDefault="008C1AD8" w:rsidP="008C1AD8">
      <w:pPr>
        <w:rPr>
          <w:i/>
          <w:color w:val="4472C4" w:themeColor="accent1"/>
        </w:rPr>
      </w:pPr>
      <w:r w:rsidRPr="0004013F">
        <w:rPr>
          <w:i/>
          <w:color w:val="4472C4" w:themeColor="accent1"/>
        </w:rPr>
        <w:t xml:space="preserve">It discusses each relevant potential indirect impact in detail and outlines how the Plan addresses it. </w:t>
      </w:r>
    </w:p>
    <w:p w14:paraId="74393E65" w14:textId="77777777" w:rsidR="008C1AD8" w:rsidRPr="00C6364C" w:rsidRDefault="008C1AD8" w:rsidP="008C1AD8">
      <w:pPr>
        <w:rPr>
          <w:i/>
          <w:color w:val="4472C4" w:themeColor="accent1"/>
        </w:rPr>
      </w:pPr>
      <w:r w:rsidRPr="0004013F">
        <w:rPr>
          <w:i/>
          <w:color w:val="4472C4" w:themeColor="accent1"/>
        </w:rPr>
        <w:t xml:space="preserve">Please refer to </w:t>
      </w:r>
      <w:r w:rsidRPr="009E63A2">
        <w:rPr>
          <w:i/>
          <w:color w:val="4472C4" w:themeColor="accent1"/>
        </w:rPr>
        <w:t>Chapter 17</w:t>
      </w:r>
      <w:r w:rsidRPr="005972DC">
        <w:rPr>
          <w:i/>
          <w:color w:val="4472C4" w:themeColor="accent1"/>
        </w:rPr>
        <w:t xml:space="preserve"> for a detailed discussion and analysis of indirect impacts and mitigation measures included in the Plan. It is critical to read </w:t>
      </w:r>
      <w:r w:rsidRPr="009E63A2">
        <w:rPr>
          <w:i/>
          <w:color w:val="4472C4" w:themeColor="accent1"/>
        </w:rPr>
        <w:t>Chapter 17</w:t>
      </w:r>
      <w:r>
        <w:rPr>
          <w:i/>
          <w:color w:val="4472C4" w:themeColor="accent1"/>
        </w:rPr>
        <w:t xml:space="preserve"> </w:t>
      </w:r>
      <w:r w:rsidRPr="0004013F">
        <w:rPr>
          <w:i/>
          <w:color w:val="4472C4" w:themeColor="accent1"/>
        </w:rPr>
        <w:t>in order to understand the conclusions reached in this section.</w:t>
      </w:r>
    </w:p>
    <w:p w14:paraId="531B909E" w14:textId="77777777" w:rsidR="008C1AD8" w:rsidRDefault="008C1AD8" w:rsidP="008C1AD8">
      <w:pPr>
        <w:pStyle w:val="Heading3"/>
      </w:pPr>
      <w:r w:rsidRPr="00FB680C">
        <w:lastRenderedPageBreak/>
        <w:t>R</w:t>
      </w:r>
      <w:r>
        <w:t>elevant potential indirect impacts</w:t>
      </w:r>
    </w:p>
    <w:p w14:paraId="6387D4D7" w14:textId="77777777" w:rsidR="008C1AD8" w:rsidRDefault="008C1AD8" w:rsidP="008C1AD8">
      <w:r w:rsidRPr="008E77AC">
        <w:t xml:space="preserve">The Conservation Advice for </w:t>
      </w:r>
      <w:r>
        <w:t>GSM</w:t>
      </w:r>
      <w:r w:rsidRPr="002B70F0">
        <w:t xml:space="preserve"> identifies a range of threats to the species</w:t>
      </w:r>
      <w:r>
        <w:t xml:space="preserve"> </w:t>
      </w:r>
      <w:sdt>
        <w:sdtPr>
          <w:rPr>
            <w:color w:val="000000"/>
          </w:rPr>
          <w:tag w:val="MENDELEY_CITATION_v3_eyJjaXRhdGlvbklEIjoiTUVOREVMRVlfQ0lUQVRJT05fYzVlNGMyZGYtZTEwNi00MjM2LTliNWQtYTkwNTJmMGY3ZTVm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2107175254"/>
          <w:placeholder>
            <w:docPart w:val="EA492B379251784A8EF33F6B6775C3A8"/>
          </w:placeholder>
        </w:sdtPr>
        <w:sdtContent>
          <w:r w:rsidRPr="00273871">
            <w:rPr>
              <w:color w:val="000000"/>
            </w:rPr>
            <w:t>(DAWE, 2021a)</w:t>
          </w:r>
        </w:sdtContent>
      </w:sdt>
      <w:r>
        <w:t>. The following threats to GSM are potentially relevant to implementation of the Plan and are discussed further below:</w:t>
      </w:r>
    </w:p>
    <w:p w14:paraId="6CFD14F8" w14:textId="77777777" w:rsidR="008C1AD8" w:rsidRPr="00701885" w:rsidRDefault="008C1AD8" w:rsidP="008C1AD8">
      <w:pPr>
        <w:pStyle w:val="Bullet1"/>
      </w:pPr>
      <w:r>
        <w:t>Spread of weeds</w:t>
      </w:r>
    </w:p>
    <w:p w14:paraId="441A5844" w14:textId="77777777" w:rsidR="008C1AD8" w:rsidRPr="003A2AF0" w:rsidRDefault="008C1AD8" w:rsidP="008C1AD8">
      <w:pPr>
        <w:pStyle w:val="Bullet1"/>
      </w:pPr>
      <w:r w:rsidRPr="003A2AF0">
        <w:t>Inappropriate fire regimes</w:t>
      </w:r>
    </w:p>
    <w:p w14:paraId="41B91161" w14:textId="77777777" w:rsidR="008C1AD8" w:rsidRDefault="008C1AD8" w:rsidP="008C1AD8">
      <w:r>
        <w:t>The species is most vulnerable to indirect impacts associated with these threats at the following locations:</w:t>
      </w:r>
    </w:p>
    <w:p w14:paraId="73DC868F" w14:textId="77777777" w:rsidR="008C1AD8" w:rsidRDefault="008C1AD8" w:rsidP="008C1AD8">
      <w:pPr>
        <w:pStyle w:val="Bullet1"/>
      </w:pPr>
      <w:r>
        <w:t>Within the Conservation Area that will be established in the NGGA</w:t>
      </w:r>
    </w:p>
    <w:p w14:paraId="6E23115C" w14:textId="77777777" w:rsidR="008C1AD8" w:rsidRDefault="008C1AD8" w:rsidP="008C1AD8">
      <w:pPr>
        <w:pStyle w:val="Bullet1"/>
      </w:pPr>
      <w:r>
        <w:t>In areas of potential habitat that might occur adjacent to the Growth Areas or within the immediate vicinity</w:t>
      </w:r>
    </w:p>
    <w:p w14:paraId="525DE889" w14:textId="77777777" w:rsidR="008C1AD8" w:rsidRDefault="008C1AD8" w:rsidP="008C1AD8">
      <w:r w:rsidRPr="003A2AF0">
        <w:t xml:space="preserve">There are a number of additional threats to the species identified in the Conservation Advice. However, potential indirect impacts </w:t>
      </w:r>
      <w:r>
        <w:t xml:space="preserve">to the species </w:t>
      </w:r>
      <w:r w:rsidRPr="003A2AF0">
        <w:t xml:space="preserve">associated with these threats are considered unlikely </w:t>
      </w:r>
      <w:r>
        <w:t>as a result of development under the Plan</w:t>
      </w:r>
      <w:r w:rsidRPr="003A2AF0">
        <w:t>. Refer to</w:t>
      </w:r>
      <w:r>
        <w:t xml:space="preserve"> </w:t>
      </w:r>
      <w:r w:rsidRPr="005972DC">
        <w:t xml:space="preserve">Section </w:t>
      </w:r>
      <w:r w:rsidRPr="009E63A2">
        <w:t xml:space="preserve">17.2 </w:t>
      </w:r>
      <w:r w:rsidRPr="005972DC">
        <w:t xml:space="preserve">of </w:t>
      </w:r>
      <w:r w:rsidRPr="009E63A2">
        <w:t>Chapter 17</w:t>
      </w:r>
      <w:r w:rsidRPr="005972DC">
        <w:t xml:space="preserve"> for</w:t>
      </w:r>
      <w:r>
        <w:t xml:space="preserve"> a detailed assessment of potential indirect impacts associated with implementation of the Plan.</w:t>
      </w:r>
      <w:r w:rsidRPr="00CC2A00" w:rsidDel="00727335">
        <w:rPr>
          <w:highlight w:val="yellow"/>
        </w:rPr>
        <w:t xml:space="preserve"> </w:t>
      </w:r>
    </w:p>
    <w:p w14:paraId="77AEC22F" w14:textId="77777777" w:rsidR="008C1AD8" w:rsidRDefault="008C1AD8" w:rsidP="008C1AD8">
      <w:r>
        <w:t xml:space="preserve">Climate change is also identified as a threat to the species. The potential impacts of climate change and relevant mitigation measures under the Plan are </w:t>
      </w:r>
      <w:r w:rsidRPr="00A47923">
        <w:t xml:space="preserve">outlined in Section </w:t>
      </w:r>
      <w:r w:rsidRPr="005972DC">
        <w:t xml:space="preserve">29.5 of </w:t>
      </w:r>
      <w:r w:rsidRPr="009E63A2">
        <w:t>Chapter 29.</w:t>
      </w:r>
    </w:p>
    <w:p w14:paraId="065C6CEE" w14:textId="77777777" w:rsidR="008C1AD8" w:rsidRDefault="008C1AD8" w:rsidP="008C1AD8">
      <w:pPr>
        <w:pStyle w:val="Heading4"/>
        <w:rPr>
          <w:rStyle w:val="Heading4Char"/>
          <w:b/>
          <w:i/>
          <w:iCs/>
          <w:smallCaps/>
        </w:rPr>
      </w:pPr>
      <w:r w:rsidRPr="00727335">
        <w:t>Spre</w:t>
      </w:r>
      <w:r w:rsidRPr="00727335">
        <w:rPr>
          <w:rStyle w:val="Heading4Char"/>
          <w:b/>
          <w:i/>
          <w:iCs/>
          <w:smallCaps/>
        </w:rPr>
        <w:t>ad of weeds</w:t>
      </w:r>
    </w:p>
    <w:p w14:paraId="22CB907F" w14:textId="77777777" w:rsidR="008C1AD8" w:rsidRDefault="008C1AD8" w:rsidP="008C1AD8">
      <w:r>
        <w:t xml:space="preserve">The spread of weeds is a threat to GSM’s native habitat. Introduced pasture grasses and clovers readily out-compete native Spear-grasses and Wallaby-grasses which are present in native GSM habitat. The invasion of weeds impacts the species by reducing the availability of larval host plants, and changing the structure of grasslands which may result in the loss of habitat </w:t>
      </w:r>
      <w:sdt>
        <w:sdtPr>
          <w:rPr>
            <w:color w:val="000000"/>
          </w:rPr>
          <w:tag w:val="MENDELEY_CITATION_v3_eyJjaXRhdGlvbklEIjoiTUVOREVMRVlfQ0lUQVRJT05fZDNlMDFlNDctMTFlNC00MGI5LWJmZjItYTY2NGJmYjcyMTg0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977594051"/>
          <w:placeholder>
            <w:docPart w:val="EA492B379251784A8EF33F6B6775C3A8"/>
          </w:placeholder>
        </w:sdtPr>
        <w:sdtContent>
          <w:r w:rsidRPr="00273871">
            <w:rPr>
              <w:color w:val="000000"/>
            </w:rPr>
            <w:t>(DAWE, 2021a)</w:t>
          </w:r>
        </w:sdtContent>
      </w:sdt>
      <w:r>
        <w:t xml:space="preserve">. Although the species does inhabit non-native grasslands, habitat with a high component of weeds is considered to be of lower quality. Non-native habitat offers reduced larval food plants and is at higher risk of loss from habitat modification </w:t>
      </w:r>
      <w:sdt>
        <w:sdtPr>
          <w:rPr>
            <w:color w:val="000000"/>
          </w:rPr>
          <w:tag w:val="MENDELEY_CITATION_v3_eyJjaXRhdGlvbklEIjoiTUVOREVMRVlfQ0lUQVRJT05fMjQxMjQ4NmMtMzE3Ni00MzZmLTk0MDEtYmJjOTY5NGM3ODdh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714312542"/>
          <w:placeholder>
            <w:docPart w:val="EA492B379251784A8EF33F6B6775C3A8"/>
          </w:placeholder>
        </w:sdtPr>
        <w:sdtContent>
          <w:r w:rsidRPr="00273871">
            <w:rPr>
              <w:color w:val="000000"/>
            </w:rPr>
            <w:t>(DAWE, 2021a)</w:t>
          </w:r>
        </w:sdtContent>
      </w:sdt>
      <w:r>
        <w:t>.</w:t>
      </w:r>
    </w:p>
    <w:p w14:paraId="76732E27" w14:textId="77777777" w:rsidR="008C1AD8" w:rsidRDefault="008C1AD8" w:rsidP="008C1AD8">
      <w:r>
        <w:t xml:space="preserve">Although the invasion of weeds is considered to be a significant threat to GSM </w:t>
      </w:r>
      <w:sdt>
        <w:sdtPr>
          <w:rPr>
            <w:color w:val="000000"/>
          </w:rPr>
          <w:tag w:val="MENDELEY_CITATION_v3_eyJjaXRhdGlvbklEIjoiTUVOREVMRVlfQ0lUQVRJT05fZTc2MzcwYzYtNDYwNi00MWJiLThiNWYtOWZkMjk2MDIwNGM0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506672726"/>
          <w:placeholder>
            <w:docPart w:val="EA492B379251784A8EF33F6B6775C3A8"/>
          </w:placeholder>
        </w:sdtPr>
        <w:sdtContent>
          <w:r w:rsidRPr="00273871">
            <w:rPr>
              <w:color w:val="000000"/>
            </w:rPr>
            <w:t>(DAWE, 2021a)</w:t>
          </w:r>
        </w:sdtContent>
      </w:sdt>
      <w:r>
        <w:t>, the Plan is unlikely to exacerbate this threat. Weed invasion is a significant existing issue in the Growth Areas, as reported by EHP, landholder surveys and more recent site observations. Development activities are unlikely to influence the spread of weeds in a way that notably impacts GSM.</w:t>
      </w:r>
    </w:p>
    <w:p w14:paraId="3BBE7C17" w14:textId="77777777" w:rsidR="008C1AD8" w:rsidRDefault="008C1AD8" w:rsidP="008C1AD8">
      <w:r>
        <w:t>It is also noted that standard weed management protocols will be a relevant requirement of development through the existing planning system.</w:t>
      </w:r>
    </w:p>
    <w:p w14:paraId="15AB43D1" w14:textId="77777777" w:rsidR="008C1AD8" w:rsidRDefault="008C1AD8" w:rsidP="008C1AD8">
      <w:r>
        <w:t xml:space="preserve">Further, the areas of GSM habitat that are retained and protected in the NGGA Conservation Area will be subject to management to improve the condition of native grassland. A conservation interface will be established between urban development and the Conservation Area to mitigate potential edge effects, including weeds. This measure will be delivered </w:t>
      </w:r>
      <w:r w:rsidRPr="001243DE">
        <w:t xml:space="preserve">through </w:t>
      </w:r>
      <w:r w:rsidRPr="009E63A2">
        <w:t xml:space="preserve">Commitment </w:t>
      </w:r>
      <w:r>
        <w:t>8</w:t>
      </w:r>
      <w:r w:rsidRPr="001243DE">
        <w:t>, which</w:t>
      </w:r>
      <w:r>
        <w:t xml:space="preserve"> requires a list of actions to be implemented as part of development to mitigate the indirect impacts of development on the NGGA Conservation Area. </w:t>
      </w:r>
    </w:p>
    <w:p w14:paraId="66556B03" w14:textId="77777777" w:rsidR="008C1AD8" w:rsidRDefault="008C1AD8" w:rsidP="008C1AD8">
      <w:r>
        <w:t xml:space="preserve">Refer </w:t>
      </w:r>
      <w:r w:rsidRPr="00A47923">
        <w:t xml:space="preserve">to </w:t>
      </w:r>
      <w:r w:rsidRPr="005972DC">
        <w:t xml:space="preserve">Section </w:t>
      </w:r>
      <w:r w:rsidRPr="009E63A2">
        <w:t>17.2.</w:t>
      </w:r>
      <w:r w:rsidRPr="005972DC">
        <w:t xml:space="preserve">3 of </w:t>
      </w:r>
      <w:r w:rsidRPr="009E63A2">
        <w:t>Chapter 17</w:t>
      </w:r>
      <w:r w:rsidRPr="005972DC">
        <w:t xml:space="preserve"> for</w:t>
      </w:r>
      <w:r w:rsidRPr="00A47923">
        <w:t xml:space="preserve"> a detailed</w:t>
      </w:r>
      <w:r>
        <w:t xml:space="preserve"> assessment of potential indirect impacts associated with the spread of weeds under the Plan.</w:t>
      </w:r>
    </w:p>
    <w:p w14:paraId="75F733DE" w14:textId="77777777" w:rsidR="008C1AD8" w:rsidRPr="00701885" w:rsidRDefault="008C1AD8" w:rsidP="008C1AD8">
      <w:pPr>
        <w:pStyle w:val="Heading4"/>
      </w:pPr>
      <w:r>
        <w:t>Inappropriate fire regimes</w:t>
      </w:r>
    </w:p>
    <w:p w14:paraId="278DCD6D" w14:textId="77777777" w:rsidR="008C1AD8" w:rsidRDefault="008C1AD8" w:rsidP="008C1AD8">
      <w:r>
        <w:t xml:space="preserve">There is limited information available regarding the impact of fire on GSM. It is possible that fires may benefit the species through reducing the presence of species (both native, such as Kangaroo Grass, and introduced species) which compete with GSM food plants and through reducing overall grassland biomass and vegetation density at the site </w:t>
      </w:r>
      <w:sdt>
        <w:sdtPr>
          <w:rPr>
            <w:color w:val="000000"/>
          </w:rPr>
          <w:tag w:val="MENDELEY_CITATION_v3_eyJjaXRhdGlvbklEIjoiTUVOREVMRVlfQ0lUQVRJT05fM2JlZjU0NjUtZmY4ZC00NTVhLTk0YTYtMDY4YWE1Y2MwYjkw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618372306"/>
          <w:placeholder>
            <w:docPart w:val="EA492B379251784A8EF33F6B6775C3A8"/>
          </w:placeholder>
        </w:sdtPr>
        <w:sdtContent>
          <w:r w:rsidRPr="00273871">
            <w:rPr>
              <w:color w:val="000000"/>
            </w:rPr>
            <w:t>(DAWE, 2021a)</w:t>
          </w:r>
        </w:sdtContent>
      </w:sdt>
      <w:r>
        <w:t>.</w:t>
      </w:r>
    </w:p>
    <w:p w14:paraId="060E9928" w14:textId="77777777" w:rsidR="008C1AD8" w:rsidRDefault="008C1AD8" w:rsidP="008C1AD8">
      <w:r>
        <w:t xml:space="preserve">It is also possible that fires may negatively impact on the species either through mortality of eggs, pupae and/or adults, and/or through short-term food shortages following fires. It is possible that the species’ post-fire persistence at a given location is dependent upon its capacity for recolonisation from other surrounding areas, and that fires may pose a risk of localised extinctions at small sites </w:t>
      </w:r>
      <w:sdt>
        <w:sdtPr>
          <w:rPr>
            <w:color w:val="000000"/>
          </w:rPr>
          <w:tag w:val="MENDELEY_CITATION_v3_eyJjaXRhdGlvbklEIjoiTUVOREVMRVlfQ0lUQVRJT05fMWE4YTFiZjctNWU5Mi00NWYxLTk0NTMtOWQ1YWM2OTMyZjk0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438526784"/>
          <w:placeholder>
            <w:docPart w:val="EA492B379251784A8EF33F6B6775C3A8"/>
          </w:placeholder>
        </w:sdtPr>
        <w:sdtContent>
          <w:r w:rsidRPr="00273871">
            <w:rPr>
              <w:color w:val="000000"/>
            </w:rPr>
            <w:t>(DAWE, 2021a)</w:t>
          </w:r>
        </w:sdtContent>
      </w:sdt>
      <w:r>
        <w:t>.</w:t>
      </w:r>
    </w:p>
    <w:p w14:paraId="79163CBD" w14:textId="77777777" w:rsidR="008C1AD8" w:rsidRDefault="008C1AD8" w:rsidP="008C1AD8">
      <w:r>
        <w:t xml:space="preserve">The Plan is considered unlikely to notably change or contribute to this threat in the Growth Areas or more broadly given the existing level of development in the Greater Geelong region. </w:t>
      </w:r>
      <w:r w:rsidRPr="008D56F5">
        <w:t xml:space="preserve">The planning system has existing standard mitigation </w:t>
      </w:r>
      <w:r w:rsidRPr="008D56F5">
        <w:lastRenderedPageBreak/>
        <w:t xml:space="preserve">measures in place to address the risk of altered fire regimes and increased fire risk from development. This includes a broad requirement to ensure development can implement bushfire protection measures without unacceptable impacts to biodiversity through appropriate planning. </w:t>
      </w:r>
    </w:p>
    <w:p w14:paraId="65251B1D" w14:textId="77777777" w:rsidR="008C1AD8" w:rsidRDefault="008C1AD8" w:rsidP="008C1AD8">
      <w:r>
        <w:t xml:space="preserve">In addition, the conservation interface established between urban development and the Conservation Area, as well as the ongoing management within the Conservation Area itself, </w:t>
      </w:r>
      <w:r w:rsidRPr="008D56F5">
        <w:t xml:space="preserve">will provide for appropriate fire management to protect </w:t>
      </w:r>
      <w:r>
        <w:t>GSM</w:t>
      </w:r>
      <w:r w:rsidRPr="008D56F5">
        <w:t xml:space="preserve"> </w:t>
      </w:r>
      <w:r>
        <w:t xml:space="preserve">habitat </w:t>
      </w:r>
      <w:r w:rsidRPr="008D56F5">
        <w:t>values.</w:t>
      </w:r>
    </w:p>
    <w:p w14:paraId="5B8E1C7F" w14:textId="77777777" w:rsidR="008C1AD8" w:rsidRDefault="008C1AD8" w:rsidP="008C1AD8">
      <w:r>
        <w:t xml:space="preserve">Refer to </w:t>
      </w:r>
      <w:r w:rsidRPr="00A47923">
        <w:t xml:space="preserve">Section </w:t>
      </w:r>
      <w:r w:rsidRPr="009E63A2">
        <w:t>17.2.5</w:t>
      </w:r>
      <w:r w:rsidRPr="005972DC">
        <w:t xml:space="preserve"> of </w:t>
      </w:r>
      <w:r w:rsidRPr="009E63A2">
        <w:t>Chapter 17</w:t>
      </w:r>
      <w:r w:rsidRPr="005972DC">
        <w:t xml:space="preserve"> for</w:t>
      </w:r>
      <w:r>
        <w:t xml:space="preserve"> a detailed assessment of potential indirect impacts associated with inappropriate fire regimes under the Plan.</w:t>
      </w:r>
    </w:p>
    <w:p w14:paraId="75E822BA"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5D0FABF3" w14:textId="77777777" w:rsidTr="00A15226">
        <w:tc>
          <w:tcPr>
            <w:tcW w:w="9622" w:type="dxa"/>
            <w:shd w:val="clear" w:color="auto" w:fill="C9C9C9" w:themeFill="accent3" w:themeFillTint="99"/>
          </w:tcPr>
          <w:p w14:paraId="65893DAB" w14:textId="77777777" w:rsidR="008C1AD8" w:rsidRPr="008F55BC" w:rsidRDefault="008C1AD8" w:rsidP="00A15226">
            <w:pPr>
              <w:pStyle w:val="Tabletext"/>
              <w:rPr>
                <w:b/>
                <w:bCs/>
              </w:rPr>
            </w:pPr>
            <w:r w:rsidRPr="00AE4F91">
              <w:rPr>
                <w:rFonts w:ascii="Helvetica" w:hAnsi="Helvetica"/>
                <w:b/>
                <w:sz w:val="16"/>
                <w:szCs w:val="16"/>
              </w:rPr>
              <w:t xml:space="preserve">OFFSETS </w:t>
            </w:r>
            <w:r>
              <w:rPr>
                <w:rFonts w:ascii="Helvetica" w:hAnsi="Helvetica"/>
                <w:b/>
                <w:sz w:val="16"/>
                <w:szCs w:val="16"/>
              </w:rPr>
              <w:t xml:space="preserve">TO COMPENSATE </w:t>
            </w:r>
            <w:r w:rsidRPr="00AE4F91">
              <w:rPr>
                <w:rFonts w:ascii="Helvetica" w:hAnsi="Helvetica"/>
                <w:b/>
                <w:sz w:val="16"/>
                <w:szCs w:val="16"/>
              </w:rPr>
              <w:t xml:space="preserve">FOR RESIDUAL </w:t>
            </w:r>
            <w:r>
              <w:rPr>
                <w:rFonts w:ascii="Helvetica" w:hAnsi="Helvetica"/>
                <w:b/>
                <w:sz w:val="16"/>
                <w:szCs w:val="16"/>
              </w:rPr>
              <w:t xml:space="preserve">ADVERSE </w:t>
            </w:r>
            <w:r w:rsidRPr="00AE4F91">
              <w:rPr>
                <w:rFonts w:ascii="Helvetica" w:hAnsi="Helvetica"/>
                <w:b/>
                <w:sz w:val="16"/>
                <w:szCs w:val="16"/>
              </w:rPr>
              <w:t>IMPACTS</w:t>
            </w:r>
          </w:p>
        </w:tc>
      </w:tr>
    </w:tbl>
    <w:p w14:paraId="3D447985" w14:textId="77777777" w:rsidR="008C1AD8" w:rsidRPr="000816D6" w:rsidRDefault="008C1AD8" w:rsidP="008C1AD8">
      <w:pPr>
        <w:rPr>
          <w:i/>
          <w:color w:val="4472C4" w:themeColor="accent1"/>
        </w:rPr>
      </w:pPr>
      <w:r>
        <w:rPr>
          <w:i/>
          <w:color w:val="4472C4" w:themeColor="accent1"/>
        </w:rPr>
        <w:t>T</w:t>
      </w:r>
      <w:r w:rsidRPr="00972D8D">
        <w:rPr>
          <w:i/>
          <w:color w:val="4472C4" w:themeColor="accent1"/>
        </w:rPr>
        <w:t>his section identifies any offsets needed to address residual adverse impacts to listed threatened species</w:t>
      </w:r>
      <w:r>
        <w:rPr>
          <w:i/>
          <w:color w:val="4472C4" w:themeColor="accent1"/>
        </w:rPr>
        <w:t>.</w:t>
      </w:r>
    </w:p>
    <w:p w14:paraId="06F6C0E8" w14:textId="77777777" w:rsidR="008C1AD8" w:rsidRDefault="008C1AD8" w:rsidP="008C1AD8">
      <w:pPr>
        <w:pStyle w:val="Heading3"/>
      </w:pPr>
      <w:bookmarkStart w:id="65" w:name="_Ref130988517"/>
      <w:r w:rsidRPr="00E47D22">
        <w:t>Offsets</w:t>
      </w:r>
      <w:r>
        <w:t xml:space="preserve"> to address potential impacts associated with development within the growth areas</w:t>
      </w:r>
      <w:bookmarkEnd w:id="65"/>
    </w:p>
    <w:p w14:paraId="435332BD" w14:textId="77777777" w:rsidR="008C1AD8" w:rsidRDefault="008C1AD8" w:rsidP="008C1AD8">
      <w:r>
        <w:t xml:space="preserve">There will be residual adverse impacts to GSM as a result of clearing </w:t>
      </w:r>
      <w:r w:rsidRPr="005972DC">
        <w:t>of</w:t>
      </w:r>
      <w:r>
        <w:t xml:space="preserve"> known and potential habitat within the developable areas of the NGGA. The majority of these impacts are to non-native habitat areas.</w:t>
      </w:r>
    </w:p>
    <w:p w14:paraId="69CE47D0" w14:textId="77777777" w:rsidR="008C1AD8" w:rsidRDefault="008C1AD8" w:rsidP="008C1AD8">
      <w:pPr>
        <w:keepNext/>
        <w:keepLines/>
      </w:pPr>
      <w:r w:rsidRPr="00FA6D53">
        <w:t>To compensate for th</w:t>
      </w:r>
      <w:r>
        <w:t>ese impacts</w:t>
      </w:r>
      <w:r w:rsidRPr="00FA6D53">
        <w:t xml:space="preserve">, the </w:t>
      </w:r>
      <w:r w:rsidRPr="004F1BD0">
        <w:t xml:space="preserve">Plan </w:t>
      </w:r>
      <w:r>
        <w:t>will deliver an offsets package for GSM comprising two key elements:</w:t>
      </w:r>
    </w:p>
    <w:p w14:paraId="29A5D785" w14:textId="77777777" w:rsidR="008C1AD8" w:rsidRDefault="008C1AD8" w:rsidP="008C1AD8">
      <w:pPr>
        <w:pStyle w:val="Bullet1"/>
      </w:pPr>
      <w:r w:rsidRPr="009E63A2">
        <w:rPr>
          <w:u w:val="single"/>
        </w:rPr>
        <w:t>Protection and ongoing management of 108 ha of GSM habitat within the Conservation Area in the NGGA</w:t>
      </w:r>
      <w:r>
        <w:t xml:space="preserve">. </w:t>
      </w:r>
      <w:r w:rsidRPr="009E63A2">
        <w:t xml:space="preserve">There is an apparent </w:t>
      </w:r>
      <w:r>
        <w:t>declining trend</w:t>
      </w:r>
      <w:r w:rsidRPr="009E63A2">
        <w:t xml:space="preserve"> in </w:t>
      </w:r>
      <w:r>
        <w:t>GSM habitat quality and viability within the NGGA. Management of the NGGA Conservation Area will improve the overall outcome for GSM in this area. Management will aim to reduce threats and restore habitat values within the Conservation Area of the NGGA to such an extent that the viability of the population improves, and the area is regarded as important to the conservation of the species in the region</w:t>
      </w:r>
    </w:p>
    <w:p w14:paraId="5A49E4CD" w14:textId="77777777" w:rsidR="008C1AD8" w:rsidRDefault="008C1AD8" w:rsidP="008C1AD8">
      <w:pPr>
        <w:pStyle w:val="Bullet1"/>
      </w:pPr>
      <w:r w:rsidRPr="009E63A2">
        <w:rPr>
          <w:u w:val="single"/>
        </w:rPr>
        <w:t>Protection and ongoing management of 47</w:t>
      </w:r>
      <w:r>
        <w:rPr>
          <w:u w:val="single"/>
        </w:rPr>
        <w:t>7</w:t>
      </w:r>
      <w:r w:rsidRPr="009E63A2">
        <w:rPr>
          <w:u w:val="single"/>
        </w:rPr>
        <w:t xml:space="preserve"> ha of GSM habitat outside of the Growth Areas</w:t>
      </w:r>
      <w:r w:rsidRPr="004F5A73">
        <w:t>. These external offsets will provide for</w:t>
      </w:r>
      <w:r w:rsidRPr="009E63A2">
        <w:t xml:space="preserve"> the protection of native habitat areas known to support GSM within Victoria.</w:t>
      </w:r>
      <w:r>
        <w:t xml:space="preserve"> These offsets will be strategically located and will identify, protect and manage higher quality areas of GSM habitat which are important to the long-term maintenance and recovery of the species into the future</w:t>
      </w:r>
    </w:p>
    <w:p w14:paraId="5FDB845B" w14:textId="77777777" w:rsidR="008C1AD8" w:rsidRDefault="008C1AD8" w:rsidP="008C1AD8">
      <w:r>
        <w:t>This offset package for GSM compensates for the loss of mostly non-native habitat with the protection and management of native habitat areas.</w:t>
      </w:r>
    </w:p>
    <w:p w14:paraId="037188E1" w14:textId="77777777" w:rsidR="008C1AD8" w:rsidRDefault="008C1AD8" w:rsidP="008C1AD8">
      <w:r w:rsidRPr="009E63A2">
        <w:t xml:space="preserve">The scale of development under the Plan and assessment through a single Part 10 process under the EPBC Act enables a more strategic approach to offsets compared to those that can be delivered through site-by-site, or Part 9 approval processes. While the ecological benefits of offsets are influenced by a range of factors, there are two key strategic components to the offsets that will be delivered under the Plan which are expected to provide for an improved biodiversity outcome for MNES compared with conventional offsets. These are: </w:t>
      </w:r>
    </w:p>
    <w:p w14:paraId="359CCFD8" w14:textId="77777777" w:rsidR="008C1AD8" w:rsidRPr="00553A1E" w:rsidRDefault="008C1AD8" w:rsidP="008C1AD8">
      <w:pPr>
        <w:pStyle w:val="Bullet1"/>
      </w:pPr>
      <w:r w:rsidRPr="00BF4675">
        <w:rPr>
          <w:u w:val="single"/>
        </w:rPr>
        <w:t>Advanced offset delivery</w:t>
      </w:r>
      <w:r w:rsidRPr="00553A1E">
        <w:t xml:space="preserve">: </w:t>
      </w:r>
      <w:r>
        <w:t xml:space="preserve">50% of the </w:t>
      </w:r>
      <w:r w:rsidRPr="00553A1E">
        <w:t>offsets</w:t>
      </w:r>
      <w:r>
        <w:t xml:space="preserve"> for GSM will be</w:t>
      </w:r>
      <w:r w:rsidRPr="00553A1E">
        <w:t xml:space="preserve"> delivered </w:t>
      </w:r>
      <w:r>
        <w:t>within the first five years of Plan implementation, with the balance secured to keep pace with impacts to GSM habitat</w:t>
      </w:r>
    </w:p>
    <w:p w14:paraId="5BDE5C78" w14:textId="77777777" w:rsidR="008C1AD8" w:rsidRDefault="008C1AD8" w:rsidP="008C1AD8">
      <w:pPr>
        <w:pStyle w:val="Bullet1"/>
      </w:pPr>
      <w:r w:rsidRPr="00BF4675">
        <w:rPr>
          <w:u w:val="single"/>
        </w:rPr>
        <w:t>Spatially planned offsets</w:t>
      </w:r>
      <w:r w:rsidRPr="00553A1E">
        <w:t>:</w:t>
      </w:r>
      <w:r>
        <w:t xml:space="preserve"> Offsets will meet at least one of the following strategic landscape criteria: </w:t>
      </w:r>
    </w:p>
    <w:p w14:paraId="7C8E60F9" w14:textId="77777777" w:rsidR="008C1AD8" w:rsidRDefault="008C1AD8" w:rsidP="008C1AD8">
      <w:pPr>
        <w:pStyle w:val="Bullet2"/>
      </w:pPr>
      <w:r>
        <w:t>Protection of GSM habitat areas that would be considered large for the species</w:t>
      </w:r>
    </w:p>
    <w:p w14:paraId="7D2B3A8C" w14:textId="77777777" w:rsidR="008C1AD8" w:rsidRDefault="008C1AD8" w:rsidP="008C1AD8">
      <w:pPr>
        <w:pStyle w:val="Bullet2"/>
      </w:pPr>
      <w:r>
        <w:t>Located within a key biodiversity corridor and improves connectivity across the landscape</w:t>
      </w:r>
    </w:p>
    <w:p w14:paraId="7E720411" w14:textId="77777777" w:rsidR="008C1AD8" w:rsidRDefault="008C1AD8" w:rsidP="008C1AD8">
      <w:pPr>
        <w:pStyle w:val="Bullet2"/>
      </w:pPr>
      <w:r>
        <w:t>Connection of the offset site to an existing conservation reserve</w:t>
      </w:r>
    </w:p>
    <w:p w14:paraId="77130013" w14:textId="77777777" w:rsidR="008C1AD8" w:rsidRDefault="008C1AD8" w:rsidP="008C1AD8">
      <w:r>
        <w:t xml:space="preserve">Studies have shown that strategic approaches to offsets such as this, can lead to outcomes that are in the order of 20-40% better than non-strategic offsets </w:t>
      </w:r>
      <w:sdt>
        <w:sdtPr>
          <w:rPr>
            <w:color w:val="000000"/>
          </w:rPr>
          <w:tag w:val="MENDELEY_CITATION_v3_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"/>
          <w:id w:val="-236240113"/>
          <w:placeholder>
            <w:docPart w:val="EA492B379251784A8EF33F6B6775C3A8"/>
          </w:placeholder>
        </w:sdtPr>
        <w:sdtContent>
          <w:r>
            <w:rPr>
              <w:rFonts w:eastAsia="Times New Roman"/>
            </w:rPr>
            <w:t xml:space="preserve">(Gordon </w:t>
          </w:r>
          <w:r>
            <w:rPr>
              <w:rFonts w:eastAsia="Times New Roman"/>
              <w:i/>
              <w:iCs/>
            </w:rPr>
            <w:t>et al.</w:t>
          </w:r>
          <w:r>
            <w:rPr>
              <w:rFonts w:eastAsia="Times New Roman"/>
            </w:rPr>
            <w:t>, 2011; Gordon and Peterson, 2019)</w:t>
          </w:r>
        </w:sdtContent>
      </w:sdt>
    </w:p>
    <w:p w14:paraId="2EF6DB81" w14:textId="77777777" w:rsidR="008C1AD8" w:rsidRDefault="008C1AD8" w:rsidP="008C1AD8">
      <w:pPr>
        <w:pStyle w:val="Heading3"/>
      </w:pPr>
      <w:r>
        <w:t xml:space="preserve">Offsets to </w:t>
      </w:r>
      <w:r w:rsidRPr="00E47D22">
        <w:t>address</w:t>
      </w:r>
      <w:r>
        <w:t xml:space="preserve"> potential impacts associated with external infrastructure</w:t>
      </w:r>
    </w:p>
    <w:p w14:paraId="4F4FAE6B" w14:textId="77777777" w:rsidR="008C1AD8" w:rsidRPr="00A93F0E" w:rsidRDefault="008C1AD8" w:rsidP="008C1AD8">
      <w:r>
        <w:t xml:space="preserve">Any unavoidable clearing of confirmed areas of GSM habitat within the external infrastructure footprints will be offset in accordance with the EPBC Act Environmental Offsets Policy and associated Offsets Assessment Guide </w:t>
      </w:r>
      <w:sdt>
        <w:sdtPr>
          <w:rPr>
            <w:color w:val="000000"/>
          </w:rPr>
          <w:tag w:val="MENDELEY_CITATION_v3_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"/>
          <w:id w:val="1200744142"/>
          <w:placeholder>
            <w:docPart w:val="EA492B379251784A8EF33F6B6775C3A8"/>
          </w:placeholder>
        </w:sdtPr>
        <w:sdtContent>
          <w:r w:rsidRPr="00273871">
            <w:rPr>
              <w:color w:val="000000"/>
            </w:rPr>
            <w:t>(Commonwealth of Australia, 2012)</w:t>
          </w:r>
        </w:sdtContent>
      </w:sdt>
      <w:r>
        <w:t xml:space="preserve">. Given the existing level of development and land use in these areas, and the need to </w:t>
      </w:r>
      <w:r>
        <w:lastRenderedPageBreak/>
        <w:t>demonstrate avoidance to the full extent possible under the Plan, the potential level of clearing and associated need for offsets is expected to be minimal.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27AE0182" w14:textId="77777777" w:rsidTr="00A15226">
        <w:tc>
          <w:tcPr>
            <w:tcW w:w="9622" w:type="dxa"/>
            <w:shd w:val="clear" w:color="auto" w:fill="C9C9C9" w:themeFill="accent3" w:themeFillTint="99"/>
          </w:tcPr>
          <w:p w14:paraId="3EE30E72" w14:textId="77777777" w:rsidR="008C1AD8" w:rsidRPr="008F55BC" w:rsidRDefault="008C1AD8" w:rsidP="00A15226">
            <w:pPr>
              <w:pStyle w:val="Tabletext"/>
              <w:keepNext/>
              <w:rPr>
                <w:b/>
                <w:bCs/>
              </w:rPr>
            </w:pPr>
            <w:r w:rsidRPr="008E2D83">
              <w:rPr>
                <w:rFonts w:ascii="Helvetica" w:hAnsi="Helvetica"/>
                <w:b/>
                <w:sz w:val="16"/>
                <w:szCs w:val="16"/>
              </w:rPr>
              <w:t>LIKELY EFFECTS OF IMPLEMENTATION OF THE PLAN ON THE LONG-TERM VIABILITY OF THE SPECIES</w:t>
            </w:r>
          </w:p>
        </w:tc>
      </w:tr>
    </w:tbl>
    <w:p w14:paraId="597CA6C0" w14:textId="77777777" w:rsidR="008C1AD8" w:rsidRPr="000816D6" w:rsidRDefault="008C1AD8" w:rsidP="008C1AD8">
      <w:pPr>
        <w:rPr>
          <w:i/>
          <w:color w:val="4472C4" w:themeColor="accent1"/>
        </w:rPr>
      </w:pPr>
      <w:r w:rsidRPr="000816D6">
        <w:rPr>
          <w:i/>
          <w:color w:val="4472C4" w:themeColor="accent1"/>
        </w:rPr>
        <w:t xml:space="preserve">This section considers the likely effects of implementation of the Plan on the long-term viability of the species. The assessment of viability has regard for the guidance in the Conservation Advice and draws on the </w:t>
      </w:r>
      <w:r>
        <w:rPr>
          <w:i/>
          <w:color w:val="4472C4" w:themeColor="accent1"/>
        </w:rPr>
        <w:t>impact analysis</w:t>
      </w:r>
      <w:r w:rsidRPr="000816D6">
        <w:rPr>
          <w:i/>
          <w:color w:val="4472C4" w:themeColor="accent1"/>
        </w:rPr>
        <w:t xml:space="preserve"> presented above. </w:t>
      </w:r>
    </w:p>
    <w:p w14:paraId="1E15FB61" w14:textId="77777777" w:rsidR="008C1AD8" w:rsidRDefault="008C1AD8" w:rsidP="008C1AD8">
      <w:pPr>
        <w:rPr>
          <w:i/>
          <w:color w:val="4472C4" w:themeColor="accent1"/>
        </w:rPr>
      </w:pPr>
      <w:r w:rsidRPr="000816D6">
        <w:rPr>
          <w:i/>
          <w:color w:val="4472C4" w:themeColor="accent1"/>
        </w:rPr>
        <w:t xml:space="preserve">Where applicable, this section also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w:t>
      </w:r>
      <w:r w:rsidRPr="00A47923">
        <w:rPr>
          <w:i/>
          <w:color w:val="4472C4" w:themeColor="accent1"/>
        </w:rPr>
        <w:t xml:space="preserve">in </w:t>
      </w:r>
      <w:r w:rsidRPr="005972DC">
        <w:rPr>
          <w:i/>
          <w:color w:val="4472C4" w:themeColor="accent1"/>
        </w:rPr>
        <w:t xml:space="preserve">Section </w:t>
      </w:r>
      <w:r w:rsidRPr="009E63A2">
        <w:rPr>
          <w:i/>
          <w:color w:val="4472C4" w:themeColor="accent1"/>
        </w:rPr>
        <w:t>17.3</w:t>
      </w:r>
      <w:r w:rsidRPr="005972DC">
        <w:rPr>
          <w:i/>
          <w:color w:val="4472C4" w:themeColor="accent1"/>
        </w:rPr>
        <w:t xml:space="preserve"> of </w:t>
      </w:r>
      <w:r w:rsidRPr="009E63A2">
        <w:rPr>
          <w:i/>
          <w:color w:val="4472C4" w:themeColor="accent1"/>
        </w:rPr>
        <w:t>Chapter 17.</w:t>
      </w:r>
    </w:p>
    <w:p w14:paraId="4C5973BB" w14:textId="77777777" w:rsidR="008C1AD8" w:rsidRDefault="008C1AD8" w:rsidP="008C1AD8">
      <w:pPr>
        <w:pStyle w:val="Heading3"/>
      </w:pPr>
      <w:r w:rsidRPr="000816D6">
        <w:t>I</w:t>
      </w:r>
      <w:r>
        <w:t>mplications for the species long-term viability and summary of outcomes</w:t>
      </w:r>
    </w:p>
    <w:p w14:paraId="1EB9AF51" w14:textId="77777777" w:rsidR="008C1AD8" w:rsidRDefault="008C1AD8" w:rsidP="008C1AD8">
      <w:r>
        <w:t>A review of the</w:t>
      </w:r>
      <w:r w:rsidRPr="0052612F">
        <w:t xml:space="preserve"> Conservation Advice </w:t>
      </w:r>
      <w:sdt>
        <w:sdtPr>
          <w:rPr>
            <w:color w:val="000000"/>
          </w:rPr>
          <w:tag w:val="MENDELEY_CITATION_v3_eyJjaXRhdGlvbklEIjoiTUVOREVMRVlfQ0lUQVRJT05fYjhmZDc2ZDYtZDdmMi00MTdjLWEwZTUtZDdlNTIxNTQ5MGE5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755733604"/>
          <w:placeholder>
            <w:docPart w:val="EA492B379251784A8EF33F6B6775C3A8"/>
          </w:placeholder>
        </w:sdtPr>
        <w:sdtContent>
          <w:r w:rsidRPr="00273871">
            <w:rPr>
              <w:color w:val="000000"/>
            </w:rPr>
            <w:t>(DAWE, 2021a)</w:t>
          </w:r>
        </w:sdtContent>
      </w:sdt>
      <w:r>
        <w:t xml:space="preserve"> </w:t>
      </w:r>
      <w:r w:rsidRPr="0052612F">
        <w:t xml:space="preserve">and other key documents </w:t>
      </w:r>
      <w:r>
        <w:t>have helped to identify</w:t>
      </w:r>
      <w:r w:rsidRPr="0052612F">
        <w:t xml:space="preserve"> the key issues that </w:t>
      </w:r>
      <w:r>
        <w:t>have the potential to negatively influence</w:t>
      </w:r>
      <w:r w:rsidRPr="0052612F">
        <w:t xml:space="preserve"> the long-term viability of</w:t>
      </w:r>
      <w:r>
        <w:t xml:space="preserve"> GSM. The issues relevant to</w:t>
      </w:r>
      <w:r>
        <w:rPr>
          <w:iCs/>
        </w:rPr>
        <w:t xml:space="preserve"> implementation of the Plan</w:t>
      </w:r>
      <w:r>
        <w:t xml:space="preserve"> include loss of habitat and potential indirect impacts associated with weeds and inappropriate fire regimes.</w:t>
      </w:r>
    </w:p>
    <w:p w14:paraId="54877CDC" w14:textId="77777777" w:rsidR="008C1AD8" w:rsidRDefault="008C1AD8" w:rsidP="008C1AD8">
      <w:r>
        <w:t>The impact assessment presented here has analysed each of these issues and concluded that:</w:t>
      </w:r>
    </w:p>
    <w:p w14:paraId="6CCDD3DE" w14:textId="77777777" w:rsidR="008C1AD8" w:rsidRDefault="008C1AD8" w:rsidP="008C1AD8">
      <w:pPr>
        <w:pStyle w:val="Bullet1"/>
      </w:pPr>
      <w:r>
        <w:t>Direct impacts to GSM habitat associated with development within the NGGA will lead to residual adverse impacts that will need to be compensated for. The use of offsets to address the residual loss is considered appropriate in the context of:</w:t>
      </w:r>
    </w:p>
    <w:p w14:paraId="2F45E496" w14:textId="77777777" w:rsidR="008C1AD8" w:rsidRPr="0052612F" w:rsidRDefault="008C1AD8" w:rsidP="008C1AD8">
      <w:pPr>
        <w:pStyle w:val="Bullet2"/>
      </w:pPr>
      <w:r>
        <w:t>A strong avoidance process which specifically sought to improve the avoidance of GSM values, while balancing social and economic considerations</w:t>
      </w:r>
    </w:p>
    <w:p w14:paraId="275F086A" w14:textId="77777777" w:rsidR="008C1AD8" w:rsidRDefault="008C1AD8" w:rsidP="008C1AD8">
      <w:pPr>
        <w:pStyle w:val="Bullet2"/>
      </w:pPr>
      <w:r>
        <w:t>The level of degradation and modification observed across the Growth Areas which reduces the overall conservation benefit of retaining additional areas of GSM habitat</w:t>
      </w:r>
    </w:p>
    <w:p w14:paraId="03D28DA6" w14:textId="77777777" w:rsidR="008C1AD8" w:rsidRPr="0052612F" w:rsidRDefault="008C1AD8" w:rsidP="008C1AD8">
      <w:pPr>
        <w:pStyle w:val="Bullet2"/>
      </w:pPr>
      <w:r>
        <w:t xml:space="preserve">The potential indirect impacts associated with the spread of weeds and inappropriate fire regimes are unlikely to be exacerbated under the Plan in a way which has any notable effect on GSM </w:t>
      </w:r>
    </w:p>
    <w:p w14:paraId="3F90C331" w14:textId="77777777" w:rsidR="008C1AD8" w:rsidRDefault="008C1AD8" w:rsidP="008C1AD8">
      <w:pPr>
        <w:keepNext/>
        <w:keepLines/>
      </w:pPr>
      <w:r>
        <w:t>To summarise the key elements of the assessment for GSM:</w:t>
      </w:r>
    </w:p>
    <w:p w14:paraId="2F9CF6E2" w14:textId="77777777" w:rsidR="008C1AD8" w:rsidRDefault="008C1AD8" w:rsidP="008C1AD8">
      <w:pPr>
        <w:pStyle w:val="Bullet1"/>
      </w:pPr>
      <w:r>
        <w:t xml:space="preserve">It is unlikely the NGGA would qualify as an important or high quality area as defined by the Conservation Advice  </w:t>
      </w:r>
      <w:sdt>
        <w:sdtPr>
          <w:rPr>
            <w:color w:val="000000"/>
          </w:rPr>
          <w:tag w:val="MENDELEY_CITATION_v3_eyJjaXRhdGlvbklEIjoiTUVOREVMRVlfQ0lUQVRJT05fMmE5OTJkNTYtNjZiZC00ZjM5LWI5N2EtYTRmZjcyNmE2Nzhm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371112713"/>
          <w:placeholder>
            <w:docPart w:val="EA492B379251784A8EF33F6B6775C3A8"/>
          </w:placeholder>
        </w:sdtPr>
        <w:sdtContent>
          <w:r w:rsidRPr="00273871">
            <w:rPr>
              <w:color w:val="000000"/>
            </w:rPr>
            <w:t>(DAWE, 2021a)</w:t>
          </w:r>
        </w:sdtContent>
      </w:sdt>
      <w:r>
        <w:t>. This conclusion reflects the modified state of the land and extent of weeds which are contributing to a declining trend in values</w:t>
      </w:r>
    </w:p>
    <w:p w14:paraId="33B80BE7" w14:textId="77777777" w:rsidR="008C1AD8" w:rsidRDefault="008C1AD8" w:rsidP="008C1AD8">
      <w:pPr>
        <w:pStyle w:val="Bullet1"/>
      </w:pPr>
      <w:r>
        <w:t>The commitments under the Plan relating to the avoidance and offsetting of impacts to GSM habitat are expected to maintain a viable population for the species in both the local area and more broadly through the protection and management of strategic offsets. This will be delivered through:</w:t>
      </w:r>
    </w:p>
    <w:p w14:paraId="36AD618E" w14:textId="77777777" w:rsidR="008C1AD8" w:rsidRDefault="008C1AD8" w:rsidP="008C1AD8">
      <w:pPr>
        <w:pStyle w:val="Bullet2"/>
      </w:pPr>
      <w:r>
        <w:t>The management and restoration of habitat values within the Conservation Area of the NGGA to the point where habitat condition, and therefore the viability of the population, improves and the area is regarded as important to the conservation of the species in the region. In the absence of urban development within the NGGA, condition of the grassland habitat is likely to continue to decline and the probability of the NGGA GSM population persisting over the long-term is uncertain</w:t>
      </w:r>
    </w:p>
    <w:p w14:paraId="348446C0" w14:textId="77777777" w:rsidR="008C1AD8" w:rsidRPr="00A93F0E" w:rsidRDefault="008C1AD8" w:rsidP="008C1AD8">
      <w:pPr>
        <w:pStyle w:val="Bullet2"/>
      </w:pPr>
      <w:r>
        <w:t>The delivery of strategic offsets external to the Growth Areas, which will identify, protect and manage higher quality areas of GSM habitat that are likely to be important to maintain the long-term presence of the species across its range into the future</w:t>
      </w:r>
    </w:p>
    <w:p w14:paraId="519AF623" w14:textId="77777777" w:rsidR="008C1AD8" w:rsidRPr="000816D6" w:rsidRDefault="008C1AD8" w:rsidP="008C1AD8">
      <w:pPr>
        <w:pStyle w:val="Heading3"/>
      </w:pPr>
      <w:r w:rsidRPr="000816D6">
        <w:t>C</w:t>
      </w:r>
      <w:r>
        <w:t>onsistency with recovery plan</w:t>
      </w:r>
    </w:p>
    <w:p w14:paraId="40E17402" w14:textId="77777777" w:rsidR="008C1AD8" w:rsidRDefault="008C1AD8" w:rsidP="008C1AD8">
      <w:r>
        <w:t>There is no adopted or made Recovery Plan for this species.</w:t>
      </w:r>
    </w:p>
    <w:p w14:paraId="242C3BA8" w14:textId="77777777" w:rsidR="008C1AD8" w:rsidRPr="000816D6" w:rsidRDefault="008C1AD8" w:rsidP="008C1AD8">
      <w:pPr>
        <w:pStyle w:val="Heading3"/>
      </w:pPr>
      <w:r w:rsidRPr="000816D6">
        <w:t>K</w:t>
      </w:r>
      <w:r>
        <w:t>ey threatening processes and consistency with Threat Abatement Plans</w:t>
      </w:r>
    </w:p>
    <w:p w14:paraId="4FF96815" w14:textId="77777777" w:rsidR="008C1AD8" w:rsidRDefault="008C1AD8" w:rsidP="008C1AD8">
      <w:r>
        <w:t xml:space="preserve">Relevant Key Threatening Processes (KTPs) and any of their associated Threat Abatement Plans (TAPs) have been identified in </w:t>
      </w:r>
      <w:r>
        <w:fldChar w:fldCharType="begin"/>
      </w:r>
      <w:r>
        <w:instrText xml:space="preserve"> REF _Ref107232344 \h </w:instrText>
      </w:r>
      <w:r>
        <w:fldChar w:fldCharType="separate"/>
      </w:r>
      <w:r>
        <w:t xml:space="preserve">Table </w:t>
      </w:r>
      <w:r>
        <w:rPr>
          <w:noProof/>
        </w:rPr>
        <w:t>19</w:t>
      </w:r>
      <w:r>
        <w:noBreakHyphen/>
      </w:r>
      <w:r>
        <w:rPr>
          <w:noProof/>
        </w:rPr>
        <w:t>3</w:t>
      </w:r>
      <w:r>
        <w:fldChar w:fldCharType="end"/>
      </w:r>
      <w:r>
        <w:t xml:space="preserve"> where they relate to:</w:t>
      </w:r>
    </w:p>
    <w:p w14:paraId="2E1AD57B" w14:textId="77777777" w:rsidR="008C1AD8" w:rsidRDefault="008C1AD8" w:rsidP="008C1AD8">
      <w:pPr>
        <w:pStyle w:val="Bullet1"/>
      </w:pPr>
      <w:r>
        <w:t>The potential direct impacts of the Plan, or</w:t>
      </w:r>
    </w:p>
    <w:p w14:paraId="567CA015" w14:textId="77777777" w:rsidR="008C1AD8" w:rsidRDefault="008C1AD8" w:rsidP="008C1AD8">
      <w:pPr>
        <w:pStyle w:val="Bullet1"/>
      </w:pPr>
      <w:r>
        <w:t>The relevant indirect impacts</w:t>
      </w:r>
    </w:p>
    <w:p w14:paraId="06161BA7" w14:textId="77777777" w:rsidR="008C1AD8" w:rsidRDefault="008C1AD8" w:rsidP="008C1AD8">
      <w:pPr>
        <w:pStyle w:val="Caption"/>
        <w:keepNext/>
      </w:pPr>
      <w:bookmarkStart w:id="66" w:name="_Ref107232344"/>
      <w:bookmarkStart w:id="67" w:name="_Toc135122719"/>
      <w:r>
        <w:lastRenderedPageBreak/>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3</w:t>
      </w:r>
      <w:r>
        <w:fldChar w:fldCharType="end"/>
      </w:r>
      <w:bookmarkEnd w:id="66"/>
      <w:r>
        <w:t xml:space="preserve">: </w:t>
      </w:r>
      <w:r w:rsidRPr="005F676F">
        <w:t xml:space="preserve">Relevant Key Threatening Processes and associated Threat Abatement Plans for </w:t>
      </w:r>
      <w:r>
        <w:t>the Golden Sun Moth</w:t>
      </w:r>
      <w:bookmarkEnd w:id="67"/>
    </w:p>
    <w:tbl>
      <w:tblPr>
        <w:tblStyle w:val="TableGrid"/>
        <w:tblW w:w="0" w:type="auto"/>
        <w:tblLook w:val="04A0" w:firstRow="1" w:lastRow="0" w:firstColumn="1" w:lastColumn="0" w:noHBand="0" w:noVBand="1"/>
      </w:tblPr>
      <w:tblGrid>
        <w:gridCol w:w="4680"/>
        <w:gridCol w:w="4942"/>
      </w:tblGrid>
      <w:tr w:rsidR="008C1AD8" w14:paraId="24E59E9B" w14:textId="77777777" w:rsidTr="00A15226">
        <w:trPr>
          <w:tblHeader/>
        </w:trPr>
        <w:tc>
          <w:tcPr>
            <w:tcW w:w="4680" w:type="dxa"/>
            <w:shd w:val="clear" w:color="auto" w:fill="DBDBDB" w:themeFill="accent3" w:themeFillTint="66"/>
          </w:tcPr>
          <w:p w14:paraId="192F76DD" w14:textId="77777777" w:rsidR="008C1AD8" w:rsidRPr="00FF1996" w:rsidRDefault="008C1AD8" w:rsidP="00A15226">
            <w:pPr>
              <w:pStyle w:val="Tabletext"/>
              <w:rPr>
                <w:b/>
                <w:bCs/>
              </w:rPr>
            </w:pPr>
            <w:r w:rsidRPr="00FF1996">
              <w:rPr>
                <w:b/>
                <w:bCs/>
              </w:rPr>
              <w:t>Key threatening process</w:t>
            </w:r>
          </w:p>
        </w:tc>
        <w:tc>
          <w:tcPr>
            <w:tcW w:w="4942" w:type="dxa"/>
            <w:shd w:val="clear" w:color="auto" w:fill="DBDBDB" w:themeFill="accent3" w:themeFillTint="66"/>
          </w:tcPr>
          <w:p w14:paraId="4CEFC1AB" w14:textId="77777777" w:rsidR="008C1AD8" w:rsidRPr="00FF1996" w:rsidRDefault="008C1AD8" w:rsidP="00A15226">
            <w:pPr>
              <w:pStyle w:val="Tabletext"/>
              <w:rPr>
                <w:b/>
                <w:bCs/>
              </w:rPr>
            </w:pPr>
            <w:r w:rsidRPr="00FF1996">
              <w:rPr>
                <w:b/>
                <w:bCs/>
              </w:rPr>
              <w:t>Threat abatement plan</w:t>
            </w:r>
          </w:p>
        </w:tc>
      </w:tr>
      <w:tr w:rsidR="008C1AD8" w14:paraId="31C35317" w14:textId="77777777" w:rsidTr="00A15226">
        <w:tc>
          <w:tcPr>
            <w:tcW w:w="4680" w:type="dxa"/>
            <w:vAlign w:val="center"/>
          </w:tcPr>
          <w:p w14:paraId="18025FDA" w14:textId="77777777" w:rsidR="008C1AD8" w:rsidRPr="009065E9" w:rsidRDefault="008C1AD8" w:rsidP="00A15226">
            <w:pPr>
              <w:pStyle w:val="Tabletext"/>
            </w:pPr>
            <w:r>
              <w:t>Competition and land degradation by rabbits</w:t>
            </w:r>
          </w:p>
        </w:tc>
        <w:tc>
          <w:tcPr>
            <w:tcW w:w="4942" w:type="dxa"/>
          </w:tcPr>
          <w:p w14:paraId="2E23E2DF" w14:textId="77777777" w:rsidR="008C1AD8" w:rsidRDefault="008C1AD8" w:rsidP="00A15226">
            <w:pPr>
              <w:pStyle w:val="Tabletext"/>
            </w:pPr>
            <w:r>
              <w:rPr>
                <w:iCs/>
              </w:rPr>
              <w:t xml:space="preserve">Threat abatement plan for competition and land degradation by rabbits </w:t>
            </w:r>
            <w:sdt>
              <w:sdtPr>
                <w:rPr>
                  <w:iCs/>
                  <w:color w:val="000000"/>
                </w:rPr>
                <w:tag w:val="MENDELEY_CITATION_v3_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"/>
                <w:id w:val="-260842622"/>
                <w:placeholder>
                  <w:docPart w:val="EA492B379251784A8EF33F6B6775C3A8"/>
                </w:placeholder>
              </w:sdtPr>
              <w:sdtEndPr>
                <w:rPr>
                  <w:iCs w:val="0"/>
                </w:rPr>
              </w:sdtEndPr>
              <w:sdtContent>
                <w:r w:rsidRPr="00273871">
                  <w:rPr>
                    <w:color w:val="000000"/>
                  </w:rPr>
                  <w:t>(DoEE, 2016a)</w:t>
                </w:r>
              </w:sdtContent>
            </w:sdt>
          </w:p>
        </w:tc>
      </w:tr>
      <w:tr w:rsidR="008C1AD8" w14:paraId="50F93606" w14:textId="77777777" w:rsidTr="00A15226">
        <w:tc>
          <w:tcPr>
            <w:tcW w:w="4680" w:type="dxa"/>
            <w:vAlign w:val="center"/>
          </w:tcPr>
          <w:p w14:paraId="2D57572C" w14:textId="77777777" w:rsidR="008C1AD8" w:rsidRDefault="008C1AD8" w:rsidP="00A15226">
            <w:pPr>
              <w:pStyle w:val="Tabletext"/>
            </w:pPr>
            <w:r w:rsidRPr="009065E9">
              <w:t>Fire regimes that cause declines in biodiversity</w:t>
            </w:r>
          </w:p>
        </w:tc>
        <w:tc>
          <w:tcPr>
            <w:tcW w:w="4942" w:type="dxa"/>
          </w:tcPr>
          <w:p w14:paraId="0AB80735" w14:textId="77777777" w:rsidR="008C1AD8" w:rsidRPr="00E31BAE" w:rsidRDefault="008C1AD8" w:rsidP="00A15226">
            <w:pPr>
              <w:pStyle w:val="Tabletext"/>
              <w:rPr>
                <w:iCs/>
              </w:rPr>
            </w:pPr>
            <w:r>
              <w:t>There is no relevant TAP</w:t>
            </w:r>
          </w:p>
        </w:tc>
      </w:tr>
      <w:tr w:rsidR="008C1AD8" w14:paraId="48809349" w14:textId="77777777" w:rsidTr="00A15226">
        <w:tc>
          <w:tcPr>
            <w:tcW w:w="4680" w:type="dxa"/>
            <w:vAlign w:val="center"/>
          </w:tcPr>
          <w:p w14:paraId="039A5FBF" w14:textId="77777777" w:rsidR="008C1AD8" w:rsidRDefault="008C1AD8" w:rsidP="00A15226">
            <w:pPr>
              <w:pStyle w:val="Tabletext"/>
            </w:pPr>
            <w:r>
              <w:t>Land clearance</w:t>
            </w:r>
          </w:p>
        </w:tc>
        <w:tc>
          <w:tcPr>
            <w:tcW w:w="4942" w:type="dxa"/>
            <w:vAlign w:val="center"/>
          </w:tcPr>
          <w:p w14:paraId="5457D483" w14:textId="77777777" w:rsidR="008C1AD8" w:rsidRDefault="008C1AD8" w:rsidP="00A15226">
            <w:pPr>
              <w:pStyle w:val="Tabletext"/>
            </w:pPr>
            <w:r>
              <w:t>There is no relevant TAP</w:t>
            </w:r>
          </w:p>
        </w:tc>
      </w:tr>
      <w:tr w:rsidR="008C1AD8" w14:paraId="3DE6AE7B" w14:textId="77777777" w:rsidTr="00A15226">
        <w:tc>
          <w:tcPr>
            <w:tcW w:w="4680" w:type="dxa"/>
          </w:tcPr>
          <w:p w14:paraId="079F2E5D" w14:textId="77777777" w:rsidR="008C1AD8" w:rsidRDefault="008C1AD8" w:rsidP="00A15226">
            <w:pPr>
              <w:pStyle w:val="Tabletext"/>
            </w:pPr>
            <w:r w:rsidRPr="003919C8">
              <w:t>Loss and degradation of native plant and animal habitat by invasion of escaped garden plants</w:t>
            </w:r>
          </w:p>
        </w:tc>
        <w:tc>
          <w:tcPr>
            <w:tcW w:w="4942" w:type="dxa"/>
          </w:tcPr>
          <w:p w14:paraId="00C26D45" w14:textId="77777777" w:rsidR="008C1AD8" w:rsidRDefault="008C1AD8" w:rsidP="00A15226">
            <w:pPr>
              <w:pStyle w:val="Tabletext"/>
            </w:pPr>
            <w:r>
              <w:t>There is no relevant TAP</w:t>
            </w:r>
          </w:p>
        </w:tc>
      </w:tr>
      <w:tr w:rsidR="008C1AD8" w14:paraId="6E418F21" w14:textId="77777777" w:rsidTr="00A15226">
        <w:tc>
          <w:tcPr>
            <w:tcW w:w="4680" w:type="dxa"/>
          </w:tcPr>
          <w:p w14:paraId="55C08A49" w14:textId="77777777" w:rsidR="008C1AD8" w:rsidRDefault="008C1AD8" w:rsidP="00A15226">
            <w:pPr>
              <w:pStyle w:val="Tabletext"/>
            </w:pPr>
            <w:r w:rsidRPr="003919C8">
              <w:t>Novel biota and their impact on biodiversity</w:t>
            </w:r>
          </w:p>
        </w:tc>
        <w:tc>
          <w:tcPr>
            <w:tcW w:w="4942" w:type="dxa"/>
          </w:tcPr>
          <w:p w14:paraId="56860383" w14:textId="77777777" w:rsidR="008C1AD8" w:rsidRDefault="008C1AD8" w:rsidP="00A15226">
            <w:pPr>
              <w:pStyle w:val="Tabletext"/>
            </w:pPr>
            <w:r>
              <w:t>There is no relevant TAP</w:t>
            </w:r>
          </w:p>
        </w:tc>
      </w:tr>
    </w:tbl>
    <w:p w14:paraId="641CDD52" w14:textId="77777777" w:rsidR="008C1AD8" w:rsidRDefault="008C1AD8" w:rsidP="008C1AD8"/>
    <w:p w14:paraId="4263880D" w14:textId="77777777" w:rsidR="008C1AD8" w:rsidRDefault="008C1AD8" w:rsidP="008C1AD8">
      <w:pPr>
        <w:tabs>
          <w:tab w:val="clear" w:pos="4962"/>
        </w:tabs>
        <w:spacing w:before="0" w:after="0" w:line="240" w:lineRule="auto"/>
      </w:pPr>
      <w:r>
        <w:br w:type="page"/>
      </w:r>
    </w:p>
    <w:p w14:paraId="7F673ED3" w14:textId="77777777" w:rsidR="008C1AD8" w:rsidRPr="00297975" w:rsidRDefault="008C1AD8" w:rsidP="008C1AD8">
      <w:pPr>
        <w:pStyle w:val="Heading2"/>
      </w:pPr>
      <w:bookmarkStart w:id="68" w:name="_Toc135122673"/>
      <w:r>
        <w:lastRenderedPageBreak/>
        <w:t>Growling Grass Frog</w:t>
      </w:r>
      <w:r w:rsidRPr="00813B1B">
        <w:rPr>
          <w:rFonts w:cs="Arial"/>
          <w:i/>
          <w:iCs/>
          <w:szCs w:val="18"/>
        </w:rPr>
        <w:t xml:space="preserve"> </w:t>
      </w:r>
      <w:r w:rsidRPr="00AD2552">
        <w:rPr>
          <w:rFonts w:cs="Arial"/>
          <w:szCs w:val="18"/>
        </w:rPr>
        <w:t>(</w:t>
      </w:r>
      <w:r w:rsidRPr="00B83DE7">
        <w:rPr>
          <w:rFonts w:cs="Arial"/>
          <w:i/>
          <w:iCs/>
          <w:szCs w:val="18"/>
        </w:rPr>
        <w:t>Litoria raniformis</w:t>
      </w:r>
      <w:r w:rsidRPr="00AD2552">
        <w:rPr>
          <w:rFonts w:cs="Arial"/>
          <w:szCs w:val="18"/>
        </w:rPr>
        <w:t>)</w:t>
      </w:r>
      <w:bookmarkEnd w:id="68"/>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8C1AD8" w:rsidRPr="000816D6" w14:paraId="1AC9CD09" w14:textId="77777777" w:rsidTr="00A15226">
        <w:trPr>
          <w:tblHeader/>
        </w:trPr>
        <w:tc>
          <w:tcPr>
            <w:tcW w:w="9747" w:type="dxa"/>
            <w:shd w:val="clear" w:color="auto" w:fill="D9D9D9" w:themeFill="background1" w:themeFillShade="D9"/>
            <w:vAlign w:val="center"/>
          </w:tcPr>
          <w:p w14:paraId="36E21845" w14:textId="77777777" w:rsidR="008C1AD8" w:rsidRPr="000816D6" w:rsidRDefault="008C1AD8" w:rsidP="00A15226">
            <w:pPr>
              <w:pStyle w:val="TableHeadingLarge"/>
              <w:rPr>
                <w:rFonts w:ascii="Helvetica" w:hAnsi="Helvetica"/>
              </w:rPr>
            </w:pPr>
            <w:r w:rsidRPr="000816D6">
              <w:rPr>
                <w:rFonts w:ascii="Helvetica" w:hAnsi="Helvetica"/>
              </w:rPr>
              <w:t>SPECIES BACKGROUND</w:t>
            </w:r>
          </w:p>
        </w:tc>
      </w:tr>
    </w:tbl>
    <w:p w14:paraId="4ACB8E10" w14:textId="77777777" w:rsidR="008C1AD8" w:rsidRPr="000816D6" w:rsidRDefault="008C1AD8" w:rsidP="008C1AD8">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0816D6" w14:paraId="6B27D6D6" w14:textId="77777777" w:rsidTr="00A15226">
        <w:tc>
          <w:tcPr>
            <w:tcW w:w="1526" w:type="dxa"/>
            <w:vAlign w:val="center"/>
          </w:tcPr>
          <w:p w14:paraId="7E15D3B3"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26677CB4" w14:textId="77777777" w:rsidR="008C1AD8" w:rsidRPr="003E1ADD" w:rsidRDefault="008C1AD8" w:rsidP="00A15226">
            <w:pPr>
              <w:pStyle w:val="Tabletext"/>
              <w:spacing w:before="120" w:after="120"/>
            </w:pPr>
            <w:r>
              <w:t>Vulnerable</w:t>
            </w:r>
          </w:p>
        </w:tc>
      </w:tr>
      <w:tr w:rsidR="008C1AD8" w:rsidRPr="000816D6" w14:paraId="4D36F169" w14:textId="77777777" w:rsidTr="00A15226">
        <w:tc>
          <w:tcPr>
            <w:tcW w:w="1526" w:type="dxa"/>
            <w:vAlign w:val="center"/>
          </w:tcPr>
          <w:p w14:paraId="7269BA96"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5D280D71" w14:textId="77777777" w:rsidR="008C1AD8" w:rsidRDefault="008C1AD8" w:rsidP="00A15226">
            <w:pPr>
              <w:pStyle w:val="Tabletext"/>
            </w:pPr>
            <w:r>
              <w:t>Growling Grass Frog (GGF) (</w:t>
            </w:r>
            <w:r>
              <w:rPr>
                <w:i/>
                <w:iCs/>
              </w:rPr>
              <w:t>Litoria raniformis</w:t>
            </w:r>
            <w:r>
              <w:t xml:space="preserve">) is a large frog that varies in colour from </w:t>
            </w:r>
            <w:r w:rsidRPr="00A70844">
              <w:t>dull olive to bright emerald-green</w:t>
            </w:r>
            <w:r>
              <w:t xml:space="preserve"> on its back, with l</w:t>
            </w:r>
            <w:r w:rsidRPr="00A70844">
              <w:t>arge irregular golden-bronze blotches</w:t>
            </w:r>
            <w:r>
              <w:t xml:space="preserve">. The skin on the back and sides has numerous warty projections </w:t>
            </w:r>
            <w:sdt>
              <w:sdtPr>
                <w:rPr>
                  <w:color w:val="000000"/>
                </w:rPr>
                <w:tag w:val="MENDELEY_CITATION_v3_eyJjaXRhdGlvbklEIjoiTUVOREVMRVlfQ0lUQVRJT05fZWRhNmFjODItZTdlZS00MTA0LTlkMDQtMGU1ZWZjODkyNWNm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1443416342"/>
                <w:placeholder>
                  <w:docPart w:val="EA492B379251784A8EF33F6B6775C3A8"/>
                </w:placeholder>
              </w:sdtPr>
              <w:sdtContent>
                <w:r w:rsidRPr="00273871">
                  <w:rPr>
                    <w:rFonts w:eastAsia="Times New Roman"/>
                    <w:color w:val="000000"/>
                  </w:rPr>
                  <w:t>(Clemann and Gillespie, 2012)</w:t>
                </w:r>
              </w:sdtContent>
            </w:sdt>
            <w:r>
              <w:t xml:space="preserve">. </w:t>
            </w:r>
          </w:p>
          <w:p w14:paraId="6498991E" w14:textId="77777777" w:rsidR="008C1AD8" w:rsidRPr="00451088" w:rsidRDefault="008C1AD8" w:rsidP="00A15226">
            <w:pPr>
              <w:pStyle w:val="Tabletext"/>
            </w:pPr>
            <w:r>
              <w:t xml:space="preserve">Females are </w:t>
            </w:r>
            <w:r w:rsidRPr="00A70844">
              <w:t>usually larger (60-104 mm) than males (55-65mm)</w:t>
            </w:r>
            <w:r>
              <w:t xml:space="preserve"> </w:t>
            </w:r>
            <w:sdt>
              <w:sdtPr>
                <w:rPr>
                  <w:color w:val="000000"/>
                </w:rPr>
                <w:tag w:val="MENDELEY_CITATION_v3_eyJjaXRhdGlvbklEIjoiTUVOREVMRVlfQ0lUQVRJT05fZjM3YmIwYTktODRmNC00ZWQ0LTlmNzUtM2EyY2EyMzFhMGJk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332016688"/>
                <w:placeholder>
                  <w:docPart w:val="EA492B379251784A8EF33F6B6775C3A8"/>
                </w:placeholder>
              </w:sdtPr>
              <w:sdtContent>
                <w:r w:rsidRPr="00273871">
                  <w:rPr>
                    <w:color w:val="000000"/>
                  </w:rPr>
                  <w:t>(DCCEEW, 2022)</w:t>
                </w:r>
              </w:sdtContent>
            </w:sdt>
            <w:r>
              <w:t>.</w:t>
            </w:r>
          </w:p>
        </w:tc>
      </w:tr>
      <w:tr w:rsidR="008C1AD8" w:rsidRPr="000816D6" w14:paraId="42DE0316" w14:textId="77777777" w:rsidTr="00A15226">
        <w:tc>
          <w:tcPr>
            <w:tcW w:w="1526" w:type="dxa"/>
            <w:vAlign w:val="center"/>
          </w:tcPr>
          <w:p w14:paraId="4FD816FF"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2FF703EA" w14:textId="77777777" w:rsidR="008C1AD8" w:rsidRDefault="008C1AD8" w:rsidP="00A15226">
            <w:pPr>
              <w:pStyle w:val="Tabletext"/>
            </w:pPr>
            <w:r>
              <w:t xml:space="preserve">This summary of the ecology of GGF relates to the occurrence of the species within the Strategic Assessment Area and surrounds. </w:t>
            </w:r>
          </w:p>
          <w:p w14:paraId="325DE23A" w14:textId="77777777" w:rsidR="008C1AD8" w:rsidRDefault="008C1AD8" w:rsidP="00A15226">
            <w:pPr>
              <w:pStyle w:val="Tabletext"/>
            </w:pPr>
            <w:r>
              <w:t xml:space="preserve">The species is mostly aquatic and occurs in a variety of both permanent and ephemeral wetlands. It breeds in water and can produce clutches of thousands of eggs </w:t>
            </w:r>
            <w:sdt>
              <w:sdtPr>
                <w:rPr>
                  <w:color w:val="000000"/>
                </w:rPr>
                <w:tag w:val="MENDELEY_CITATION_v3_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"/>
                <w:id w:val="-1075576169"/>
                <w:placeholder>
                  <w:docPart w:val="EA492B379251784A8EF33F6B6775C3A8"/>
                </w:placeholder>
              </w:sdtPr>
              <w:sdtContent>
                <w:r w:rsidRPr="00273871">
                  <w:rPr>
                    <w:color w:val="000000"/>
                  </w:rPr>
                  <w:t>(Heard, Scroggie and Clemann, 2010)</w:t>
                </w:r>
              </w:sdtContent>
            </w:sdt>
            <w:r>
              <w:t xml:space="preserve">. Tadpoles hatch after 2 – 4 days </w:t>
            </w:r>
            <w:sdt>
              <w:sdtPr>
                <w:rPr>
                  <w:color w:val="000000"/>
                </w:rPr>
                <w:tag w:val="MENDELEY_CITATION_v3_eyJjaXRhdGlvbklEIjoiTUVOREVMRVlfQ0lUQVRJT05fMTU2MDFkMGItNzVkZi00OWY3LTljNmQtZjAwZDVjMmY3OTc0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522530361"/>
                <w:placeholder>
                  <w:docPart w:val="EA492B379251784A8EF33F6B6775C3A8"/>
                </w:placeholder>
              </w:sdtPr>
              <w:sdtContent>
                <w:r w:rsidRPr="00273871">
                  <w:rPr>
                    <w:color w:val="000000"/>
                  </w:rPr>
                  <w:t>(DCCEEW, 2022)</w:t>
                </w:r>
              </w:sdtContent>
            </w:sdt>
            <w:r>
              <w:t xml:space="preserve"> and can either grow quickly and metamorphose after only 2 to 3 months, or (more rarely) over-winter and emerge the following spring </w:t>
            </w:r>
            <w:sdt>
              <w:sdtPr>
                <w:rPr>
                  <w:color w:val="000000"/>
                </w:rPr>
                <w:tag w:val="MENDELEY_CITATION_v3_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XX0="/>
                <w:id w:val="975173329"/>
                <w:placeholder>
                  <w:docPart w:val="EA492B379251784A8EF33F6B6775C3A8"/>
                </w:placeholder>
              </w:sdtPr>
              <w:sdtContent>
                <w:r w:rsidRPr="00273871">
                  <w:rPr>
                    <w:rFonts w:eastAsia="Times New Roman"/>
                    <w:color w:val="000000"/>
                  </w:rPr>
                  <w:t>(Heard, Scroggie and Clemann, 2010; Clemann and Gillespie, 2012)</w:t>
                </w:r>
              </w:sdtContent>
            </w:sdt>
            <w:r>
              <w:t xml:space="preserve">. </w:t>
            </w:r>
          </w:p>
          <w:p w14:paraId="56BCAA14" w14:textId="77777777" w:rsidR="008C1AD8" w:rsidRDefault="008C1AD8" w:rsidP="00A15226">
            <w:pPr>
              <w:pStyle w:val="Tabletext"/>
            </w:pPr>
            <w:r>
              <w:t xml:space="preserve">Post-metamorphosis growth is rapid and both sexes can reach sexual maturity within 4 months of metamorphosis </w:t>
            </w:r>
            <w:sdt>
              <w:sdtPr>
                <w:rPr>
                  <w:color w:val="000000"/>
                </w:rPr>
                <w:tag w:val="MENDELEY_CITATION_v3_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"/>
                <w:id w:val="1524361447"/>
                <w:placeholder>
                  <w:docPart w:val="EA492B379251784A8EF33F6B6775C3A8"/>
                </w:placeholder>
              </w:sdtPr>
              <w:sdtContent>
                <w:r w:rsidRPr="00273871">
                  <w:rPr>
                    <w:color w:val="000000"/>
                  </w:rPr>
                  <w:t>(Heard, Scroggie and Clemann, 2010)</w:t>
                </w:r>
              </w:sdtContent>
            </w:sdt>
            <w:r>
              <w:t xml:space="preserve">. Breeding typically occurs within spring and summer and does not appear to be reliant upon flooding triggers </w:t>
            </w:r>
            <w:sdt>
              <w:sdtPr>
                <w:rPr>
                  <w:color w:val="000000"/>
                </w:rPr>
                <w:tag w:val="MENDELEY_CITATION_v3_eyJjaXRhdGlvbklEIjoiTUVOREVMRVlfQ0lUQVRJT05fYWNkNDk3N2MtMTE5Mi00MzM4LWEyNDYtNGI5ZjA5NGJjMTZl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1966088227"/>
                <w:placeholder>
                  <w:docPart w:val="EA492B379251784A8EF33F6B6775C3A8"/>
                </w:placeholder>
              </w:sdtPr>
              <w:sdtContent>
                <w:r w:rsidRPr="00273871">
                  <w:rPr>
                    <w:rFonts w:eastAsia="Times New Roman"/>
                    <w:color w:val="000000"/>
                  </w:rPr>
                  <w:t>(Clemann and Gillespie, 2012)</w:t>
                </w:r>
              </w:sdtContent>
            </w:sdt>
            <w:r>
              <w:t>.</w:t>
            </w:r>
          </w:p>
          <w:p w14:paraId="1ED5A765" w14:textId="77777777" w:rsidR="008C1AD8" w:rsidRDefault="008C1AD8" w:rsidP="00A15226">
            <w:pPr>
              <w:pStyle w:val="Tabletext"/>
            </w:pPr>
            <w:r>
              <w:t xml:space="preserve">The species can be active during both the day and night. Activity peaks in spring and summer and decreases as temperatures decline. Reduced activity (or torpor) occurs in the colder parts of the year </w:t>
            </w:r>
            <w:sdt>
              <w:sdtPr>
                <w:rPr>
                  <w:color w:val="000000"/>
                </w:rPr>
                <w:tag w:val="MENDELEY_CITATION_v3_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"/>
                <w:id w:val="-988940124"/>
                <w:placeholder>
                  <w:docPart w:val="EA492B379251784A8EF33F6B6775C3A8"/>
                </w:placeholder>
              </w:sdtPr>
              <w:sdtContent>
                <w:r w:rsidRPr="00273871">
                  <w:rPr>
                    <w:color w:val="000000"/>
                  </w:rPr>
                  <w:t>(Heard, Scroggie and Clemann, 2010)</w:t>
                </w:r>
              </w:sdtContent>
            </w:sdt>
            <w:r>
              <w:t>.</w:t>
            </w:r>
          </w:p>
          <w:p w14:paraId="05839746" w14:textId="77777777" w:rsidR="008C1AD8" w:rsidRDefault="008C1AD8" w:rsidP="00A15226">
            <w:pPr>
              <w:pStyle w:val="Tabletext"/>
            </w:pPr>
            <w:r>
              <w:t xml:space="preserve">GGF is a generalist carnivore and feeds on a variety of small invertebrates and vertebrates. It is </w:t>
            </w:r>
            <w:r w:rsidRPr="00C9512F">
              <w:t xml:space="preserve">known to feed on tadpoles and other frogs (including members of </w:t>
            </w:r>
            <w:r>
              <w:t>its own</w:t>
            </w:r>
            <w:r w:rsidRPr="00C9512F">
              <w:t xml:space="preserve"> species</w:t>
            </w:r>
            <w:r>
              <w:t xml:space="preserve">) </w:t>
            </w:r>
            <w:sdt>
              <w:sdtPr>
                <w:rPr>
                  <w:color w:val="000000"/>
                </w:rPr>
                <w:tag w:val="MENDELEY_CITATION_v3_eyJjaXRhdGlvbklEIjoiTUVOREVMRVlfQ0lUQVRJT05fMDQ4NGQ5NWEtY2NhNS00NGU5LWFhODMtZDJmM2E5YTRhNWJm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715552214"/>
                <w:placeholder>
                  <w:docPart w:val="EA492B379251784A8EF33F6B6775C3A8"/>
                </w:placeholder>
              </w:sdtPr>
              <w:sdtContent>
                <w:r w:rsidRPr="00273871">
                  <w:rPr>
                    <w:color w:val="000000"/>
                  </w:rPr>
                  <w:t>(DEWHA, 2009d)</w:t>
                </w:r>
              </w:sdtContent>
            </w:sdt>
            <w:r>
              <w:t>.</w:t>
            </w:r>
          </w:p>
          <w:p w14:paraId="244F1A25" w14:textId="77777777" w:rsidR="008C1AD8" w:rsidRDefault="008C1AD8" w:rsidP="00A15226">
            <w:pPr>
              <w:pStyle w:val="Tabletext"/>
            </w:pPr>
            <w:r>
              <w:t xml:space="preserve">The species is highly mobile. For example, they have been recorded moving up to 1 km within 24 hours </w:t>
            </w:r>
            <w:sdt>
              <w:sdtPr>
                <w:rPr>
                  <w:color w:val="000000"/>
                </w:rPr>
                <w:tag w:val="MENDELEY_CITATION_v3_eyJjaXRhdGlvbklEIjoiTUVOREVMRVlfQ0lUQVRJT05fYjYwNDE3ZjUtNmUxNi00MzU5LThjNDQtNDljZTlhOTBhNzg5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1647038771"/>
                <w:placeholder>
                  <w:docPart w:val="EA492B379251784A8EF33F6B6775C3A8"/>
                </w:placeholder>
              </w:sdtPr>
              <w:sdtContent>
                <w:r w:rsidRPr="00273871">
                  <w:rPr>
                    <w:rFonts w:eastAsia="Times New Roman"/>
                    <w:color w:val="000000"/>
                  </w:rPr>
                  <w:t>(Clemann and Gillespie, 2012)</w:t>
                </w:r>
              </w:sdtContent>
            </w:sdt>
            <w:r>
              <w:t xml:space="preserve">. Adult frogs move across areas of open ground to forage and access breeding sites </w:t>
            </w:r>
            <w:sdt>
              <w:sdtPr>
                <w:rPr>
                  <w:color w:val="000000"/>
                </w:rPr>
                <w:tag w:val="MENDELEY_CITATION_v3_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iwidHlwZSI6ImFydGljbGUiLCJjb250YWluZXItdGl0bGUtc2hvcnQiOiIifSwidXJpcyI6WyJodHRwOi8vd3d3Lm1lbmRlbGV5LmNvbS9kb2N1bWVudHMvP3V1aWQ9YmJhNjgxYjgtMTRlMi00MmZkLTkzNzgtYzg2ZWNhY2RjYzc2Il0sImlzVGVtcG9yYXJ5IjpmYWxzZSwibGVnYWN5RGVza3RvcElkIjoiYmJhNjgxYjgtMTRlMi00MmZkLTkzNzgtYzg2ZWNhY2RjYzc2In1dfQ=="/>
                <w:id w:val="430623525"/>
                <w:placeholder>
                  <w:docPart w:val="EA492B379251784A8EF33F6B6775C3A8"/>
                </w:placeholder>
              </w:sdtPr>
              <w:sdtContent>
                <w:r w:rsidRPr="00273871">
                  <w:rPr>
                    <w:color w:val="000000"/>
                  </w:rPr>
                  <w:t>(DEWHA, 2009c)</w:t>
                </w:r>
              </w:sdtContent>
            </w:sdt>
            <w:r>
              <w:t xml:space="preserve">. </w:t>
            </w:r>
          </w:p>
          <w:p w14:paraId="09AABC63" w14:textId="77777777" w:rsidR="008C1AD8" w:rsidRDefault="008C1AD8" w:rsidP="00A15226">
            <w:pPr>
              <w:pStyle w:val="Tabletext"/>
            </w:pPr>
            <w:r>
              <w:t xml:space="preserve">Research by </w:t>
            </w:r>
            <w:sdt>
              <w:sdtPr>
                <w:rPr>
                  <w:color w:val="000000"/>
                </w:rPr>
                <w:tag w:val="MENDELEY_CITATION_v3_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"/>
                <w:id w:val="-1667078678"/>
                <w:placeholder>
                  <w:docPart w:val="EA492B379251784A8EF33F6B6775C3A8"/>
                </w:placeholder>
              </w:sdtPr>
              <w:sdtContent>
                <w:r w:rsidRPr="00273871">
                  <w:rPr>
                    <w:color w:val="000000"/>
                  </w:rPr>
                  <w:t>(Heard, Scroggie et al., 2010)</w:t>
                </w:r>
              </w:sdtContent>
            </w:sdt>
            <w:r>
              <w:t xml:space="preserve"> within the Melbourne region (to the east of the Strategic Assessment Area) emphasised the importance of landscape scale connectivity for the species. They noted that GGF displays classical metapopulation dynamics. This means that:</w:t>
            </w:r>
          </w:p>
          <w:p w14:paraId="7609C541" w14:textId="77777777" w:rsidR="008C1AD8" w:rsidRDefault="008C1AD8" w:rsidP="00A15226">
            <w:pPr>
              <w:pStyle w:val="Bullet1"/>
            </w:pPr>
            <w:r>
              <w:t>The species occurs in metapopulations made up of discrete populations connected by migration</w:t>
            </w:r>
          </w:p>
          <w:p w14:paraId="6FE13DA8" w14:textId="77777777" w:rsidR="008C1AD8" w:rsidRDefault="008C1AD8" w:rsidP="00A15226">
            <w:pPr>
              <w:pStyle w:val="Bullet1"/>
            </w:pPr>
            <w:r>
              <w:t>Discrete populations change over time and can go extinct and be recolonised from connected populations</w:t>
            </w:r>
          </w:p>
          <w:p w14:paraId="2F073737" w14:textId="77777777" w:rsidR="008C1AD8" w:rsidRPr="003E1ADD" w:rsidRDefault="008C1AD8" w:rsidP="00A15226">
            <w:pPr>
              <w:pStyle w:val="Tabletext"/>
            </w:pPr>
            <w:r>
              <w:t xml:space="preserve">It is considered likely that this is also the case for GGF across most of Victoria including the Strategic Assessment Area </w:t>
            </w:r>
            <w:sdt>
              <w:sdtPr>
                <w:rPr>
                  <w:color w:val="000000"/>
                </w:rPr>
                <w:tag w:val="MENDELEY_CITATION_v3_eyJjaXRhdGlvbklEIjoiTUVOREVMRVlfQ0lUQVRJT05fZmVmYjIwYjYtMTBiZC00Nzg2LWEwMDItYzFhYzdkNDM4NjM4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1125764059"/>
                <w:placeholder>
                  <w:docPart w:val="EA492B379251784A8EF33F6B6775C3A8"/>
                </w:placeholder>
              </w:sdtPr>
              <w:sdtContent>
                <w:r w:rsidRPr="00273871">
                  <w:rPr>
                    <w:color w:val="000000"/>
                  </w:rPr>
                  <w:t>(DEWHA, 2009d)</w:t>
                </w:r>
              </w:sdtContent>
            </w:sdt>
            <w:r>
              <w:t>.</w:t>
            </w:r>
          </w:p>
        </w:tc>
      </w:tr>
      <w:tr w:rsidR="008C1AD8" w:rsidRPr="000816D6" w14:paraId="24DB49D7" w14:textId="77777777" w:rsidTr="00A15226">
        <w:tc>
          <w:tcPr>
            <w:tcW w:w="1526" w:type="dxa"/>
            <w:vAlign w:val="center"/>
          </w:tcPr>
          <w:p w14:paraId="5A292F1E"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790180B7" w14:textId="77777777" w:rsidR="008C1AD8" w:rsidRDefault="008C1AD8" w:rsidP="00A15226">
            <w:pPr>
              <w:pStyle w:val="Heading4"/>
              <w:spacing w:before="120" w:after="120"/>
            </w:pPr>
            <w:r>
              <w:t>Distribution</w:t>
            </w:r>
          </w:p>
          <w:p w14:paraId="49B3DF1F" w14:textId="77777777" w:rsidR="008C1AD8" w:rsidRDefault="008C1AD8" w:rsidP="00A15226">
            <w:pPr>
              <w:pStyle w:val="Tabletext"/>
            </w:pPr>
            <w:r>
              <w:t xml:space="preserve">GGF is endemic to south-eastern Australia. It was previously one of the most common frogs in that region but has suffered substantial declines in abundance and range </w:t>
            </w:r>
            <w:sdt>
              <w:sdtPr>
                <w:rPr>
                  <w:color w:val="000000"/>
                </w:rPr>
                <w:tag w:val="MENDELEY_CITATION_v3_eyJjaXRhdGlvbklEIjoiTUVOREVMRVlfQ0lUQVRJT05fOTQyNTQ0ZGItMWIzNy00ODhiLTkyNDgtNjljOWQ3ZmI0YWZi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1870798628"/>
                <w:placeholder>
                  <w:docPart w:val="EA492B379251784A8EF33F6B6775C3A8"/>
                </w:placeholder>
              </w:sdtPr>
              <w:sdtContent>
                <w:r w:rsidRPr="00273871">
                  <w:rPr>
                    <w:rFonts w:eastAsia="Times New Roman"/>
                    <w:color w:val="000000"/>
                  </w:rPr>
                  <w:t>(Clemann and Gillespie, 2012)</w:t>
                </w:r>
              </w:sdtContent>
            </w:sdt>
            <w:r>
              <w:t xml:space="preserve">. </w:t>
            </w:r>
          </w:p>
          <w:p w14:paraId="14837EA8" w14:textId="77777777" w:rsidR="008C1AD8" w:rsidRDefault="008C1AD8" w:rsidP="00A15226">
            <w:pPr>
              <w:pStyle w:val="Tabletext"/>
            </w:pPr>
            <w:r>
              <w:t xml:space="preserve">There appear to be two distinct biogeographical groups of the species. One occurs in the north and west of its range in </w:t>
            </w:r>
            <w:r w:rsidRPr="00BA4E70">
              <w:t>NSW</w:t>
            </w:r>
            <w:r>
              <w:t>,</w:t>
            </w:r>
            <w:r w:rsidRPr="00BA4E70">
              <w:t xml:space="preserve"> and parts of Victoria and South Australia bordering the Murray River</w:t>
            </w:r>
            <w:r>
              <w:t xml:space="preserve">. The second group (which includes the Strategic Assessment Area) occurs in moister environments in much of Victoria, south-eastern NSW, far south-eastern South Australia, and Tasmania </w:t>
            </w:r>
            <w:sdt>
              <w:sdtPr>
                <w:rPr>
                  <w:color w:val="000000"/>
                </w:rPr>
                <w:tag w:val="MENDELEY_CITATION_v3_eyJjaXRhdGlvbklEIjoiTUVOREVMRVlfQ0lUQVRJT05fYjc1MDBmNGYtMDAyMC00M2ExLTk3ZDEtYzVmMzY0MWQ1NjBhIiwicHJvcGVydGllcyI6eyJub3RlSW5kZXgiOjB9LCJpc0VkaXRlZCI6ZmFsc2UsIm1hbnVhbE92ZXJyaWRlIjp7ImNpdGVwcm9jVGV4dCI6IihERVdIQSwgMjAwOWQ7IENsZW1hbm4gYW5kIEdpbGxlc3BpZSwgMjAxMikiLCJpc01hbnVhbGx5T3ZlcnJpZGRlbiI6ZmFsc2UsIm1hbnVhbE92ZXJyaWRlVGV4dCI6IiJ9LCJjaXRhdGlvbkl0ZW1zIjpb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LH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1426101702"/>
                <w:placeholder>
                  <w:docPart w:val="EA492B379251784A8EF33F6B6775C3A8"/>
                </w:placeholder>
              </w:sdtPr>
              <w:sdtContent>
                <w:r w:rsidRPr="00273871">
                  <w:rPr>
                    <w:rFonts w:eastAsia="Times New Roman"/>
                    <w:color w:val="000000"/>
                  </w:rPr>
                  <w:t>(DEWHA, 2009d; Clemann and Gillespie, 2012)</w:t>
                </w:r>
              </w:sdtContent>
            </w:sdt>
            <w:r>
              <w:t xml:space="preserve">. </w:t>
            </w:r>
          </w:p>
          <w:p w14:paraId="139EB712" w14:textId="77777777" w:rsidR="008C1AD8" w:rsidRDefault="008C1AD8" w:rsidP="00A15226">
            <w:pPr>
              <w:pStyle w:val="Tabletext"/>
              <w:rPr>
                <w:iCs/>
              </w:rPr>
            </w:pPr>
            <w:r>
              <w:t xml:space="preserve">In Victoria (at the time of writing the Recovery Plan) the species </w:t>
            </w:r>
            <w:sdt>
              <w:sdtPr>
                <w:rPr>
                  <w:color w:val="000000"/>
                </w:rPr>
                <w:tag w:val="MENDELEY_CITATION_v3_eyJjaXRhdGlvbklEIjoiTUVOREVMRVlfQ0lUQVRJT05fNTM3ZWMzNzItNjBiYi00YWI5LTllNDMtZDE2ZjE0Nzc5MTg0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326281203"/>
                <w:placeholder>
                  <w:docPart w:val="EA492B379251784A8EF33F6B6775C3A8"/>
                </w:placeholder>
              </w:sdtPr>
              <w:sdtContent>
                <w:r w:rsidRPr="00273871">
                  <w:rPr>
                    <w:rFonts w:eastAsia="Times New Roman"/>
                    <w:color w:val="000000"/>
                  </w:rPr>
                  <w:t>(Clemann and Gillespie, 2012)</w:t>
                </w:r>
              </w:sdtContent>
            </w:sdt>
            <w:r>
              <w:rPr>
                <w:iCs/>
              </w:rPr>
              <w:t>:</w:t>
            </w:r>
          </w:p>
          <w:p w14:paraId="4AE1DE51" w14:textId="77777777" w:rsidR="008C1AD8" w:rsidRDefault="008C1AD8" w:rsidP="00A15226">
            <w:pPr>
              <w:pStyle w:val="Bullet1"/>
            </w:pPr>
            <w:r>
              <w:t>Had declined substantially in the northern and north-eastern plains</w:t>
            </w:r>
          </w:p>
          <w:p w14:paraId="561AACC8" w14:textId="77777777" w:rsidR="008C1AD8" w:rsidRDefault="008C1AD8" w:rsidP="00A15226">
            <w:pPr>
              <w:pStyle w:val="Bullet1"/>
            </w:pPr>
            <w:r>
              <w:lastRenderedPageBreak/>
              <w:t>Remained locally common at some wetlands in the north-west and south-west</w:t>
            </w:r>
          </w:p>
          <w:p w14:paraId="586348F3" w14:textId="77777777" w:rsidR="008C1AD8" w:rsidRDefault="008C1AD8" w:rsidP="00A15226">
            <w:pPr>
              <w:pStyle w:val="Bullet1"/>
            </w:pPr>
            <w:r>
              <w:t>Was mostly persisting in scattered locations in lowland regions, particularly in coastal areas and along major watercourses</w:t>
            </w:r>
          </w:p>
          <w:p w14:paraId="73F27960" w14:textId="77777777" w:rsidR="008C1AD8" w:rsidRDefault="008C1AD8" w:rsidP="00A15226">
            <w:pPr>
              <w:pStyle w:val="Heading4"/>
              <w:spacing w:before="120" w:after="120"/>
            </w:pPr>
            <w:r>
              <w:t>Habitat</w:t>
            </w:r>
          </w:p>
          <w:p w14:paraId="382755AE" w14:textId="77777777" w:rsidR="008C1AD8" w:rsidRDefault="008C1AD8" w:rsidP="00A15226">
            <w:pPr>
              <w:pStyle w:val="Tabletext"/>
            </w:pPr>
            <w:r>
              <w:t xml:space="preserve">GGF occurs in vegetation within, or at the edges of permanent water including slow-flowing streams, swamps, lagoons and lakes. The species also occurs in artificial waterbodies in disturbed areas, including farm dams, irrigation channels, and disused quarries. It favours sites with a large proportion of emergent, submerged and floating vegetation, and still or slow-flowing water </w:t>
            </w:r>
            <w:sdt>
              <w:sdtPr>
                <w:rPr>
                  <w:color w:val="000000"/>
                </w:rPr>
                <w:tag w:val="MENDELEY_CITATION_v3_eyJjaXRhdGlvbklEIjoiTUVOREVMRVlfQ0lUQVRJT05fZGM1N2NkOGMtNTNiYy00NzA2LWE1NDYtMTg2MmQxM2JmNzQ0IiwicHJvcGVydGllcyI6eyJub3RlSW5kZXgiOjB9LCJpc0VkaXRlZCI6ZmFsc2UsIm1hbnVhbE92ZXJyaWRlIjp7ImNpdGVwcm9jVGV4dCI6IihERVdIQSwgMjAwOWQ7IENsZW1hbm4gYW5kIEdpbGxlc3BpZSwgMjAxMikiLCJpc01hbnVhbGx5T3ZlcnJpZGRlbiI6ZmFsc2UsIm1hbnVhbE92ZXJyaWRlVGV4dCI6IiJ9LCJjaXRhdGlvbkl0ZW1zIjpb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LH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788202630"/>
                <w:placeholder>
                  <w:docPart w:val="EA492B379251784A8EF33F6B6775C3A8"/>
                </w:placeholder>
              </w:sdtPr>
              <w:sdtContent>
                <w:r w:rsidRPr="00273871">
                  <w:rPr>
                    <w:rFonts w:eastAsia="Times New Roman"/>
                    <w:color w:val="000000"/>
                  </w:rPr>
                  <w:t>(DEWHA, 2009d; Clemann and Gillespie, 2012)</w:t>
                </w:r>
              </w:sdtContent>
            </w:sdt>
            <w:r>
              <w:t>.</w:t>
            </w:r>
          </w:p>
          <w:p w14:paraId="580ECD26" w14:textId="77777777" w:rsidR="008C1AD8" w:rsidRDefault="008C1AD8" w:rsidP="00A15226">
            <w:pPr>
              <w:pStyle w:val="Tabletext"/>
            </w:pPr>
            <w:r>
              <w:t xml:space="preserve">During winter torpor, GGF may be located under thick vegetation, rocks, logs and other ground debris. In many areas, torpor occurs in vegetation close to water. In more southern areas where the species is associated with permanent waterbodies and long periods of metamorphosis, frogs can also overwinter at considerable distances from waterbodies </w:t>
            </w:r>
            <w:sdt>
              <w:sdtPr>
                <w:rPr>
                  <w:color w:val="000000"/>
                </w:rPr>
                <w:tag w:val="MENDELEY_CITATION_v3_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XX0="/>
                <w:id w:val="1018885815"/>
                <w:placeholder>
                  <w:docPart w:val="EA492B379251784A8EF33F6B6775C3A8"/>
                </w:placeholder>
              </w:sdtPr>
              <w:sdtContent>
                <w:r w:rsidRPr="00273871">
                  <w:rPr>
                    <w:rFonts w:eastAsia="Times New Roman"/>
                    <w:color w:val="000000"/>
                  </w:rPr>
                  <w:t>(Heard, Scroggie and Clemann, 2010; Clemann and Gillespie, 2012)</w:t>
                </w:r>
              </w:sdtContent>
            </w:sdt>
            <w:r>
              <w:t>.</w:t>
            </w:r>
          </w:p>
          <w:p w14:paraId="4AE11BF2" w14:textId="77777777" w:rsidR="008C1AD8" w:rsidRDefault="008C1AD8" w:rsidP="00A15226">
            <w:pPr>
              <w:pStyle w:val="Tabletext"/>
            </w:pPr>
            <w:r>
              <w:t xml:space="preserve">There is evidence that particular features of waterbodies influence their suitability for breeding habitat for the species. The presence of diverse aquatic vegetation communities likely represents substrates for egg deposition, and tadpole foraging and shelter sites. Permanent wetlands are more likely to be occupied by the species and provide important core breeding habitat, but seasonally flooded ephemeral wetlands can also provide high-quality breeding habitat. Wetlands which are free from predatory fish (particularly introduced fish) are of higher quality as tadpoles are susceptible to predation. Other habitat components include bank-side rocks, open pasture and bare ground, which may also be used during the day for basking activities </w:t>
            </w:r>
            <w:sdt>
              <w:sdtPr>
                <w:rPr>
                  <w:color w:val="000000"/>
                </w:rPr>
                <w:tag w:val="MENDELEY_CITATION_v3_eyJjaXRhdGlvbklEIjoiTUVOREVMRVlfQ0lUQVRJT05fYWI1ZWUzYzktY2RlZS00MGZiLWIxYmYtN2EyNDAzODRiM2M0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2121643204"/>
                <w:placeholder>
                  <w:docPart w:val="EA492B379251784A8EF33F6B6775C3A8"/>
                </w:placeholder>
              </w:sdtPr>
              <w:sdtContent>
                <w:r w:rsidRPr="00273871">
                  <w:rPr>
                    <w:color w:val="000000"/>
                  </w:rPr>
                  <w:t>(DEWHA, 2009d)</w:t>
                </w:r>
              </w:sdtContent>
            </w:sdt>
            <w:r>
              <w:t>.</w:t>
            </w:r>
          </w:p>
          <w:p w14:paraId="38F9F765" w14:textId="77777777" w:rsidR="008C1AD8" w:rsidRDefault="008C1AD8" w:rsidP="00A15226">
            <w:pPr>
              <w:pStyle w:val="Tabletext"/>
            </w:pPr>
            <w:r>
              <w:t xml:space="preserve">The species mostly occurs in freshwater. It generally does not persist in waterbodies where salinities exceed 7.0 mS/cm for long periods, and numbers decline as salinities approach these levels </w:t>
            </w:r>
            <w:sdt>
              <w:sdtPr>
                <w:rPr>
                  <w:color w:val="000000"/>
                </w:rPr>
                <w:tag w:val="MENDELEY_CITATION_v3_eyJjaXRhdGlvbklEIjoiTUVOREVMRVlfQ0lUQVRJT05fNDFmMmMxZWYtYmIzZC00ZWQzLWIxNDctOGQ3MzliZGM0NzY4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174259728"/>
                <w:placeholder>
                  <w:docPart w:val="EA492B379251784A8EF33F6B6775C3A8"/>
                </w:placeholder>
              </w:sdtPr>
              <w:sdtContent>
                <w:r w:rsidRPr="00273871">
                  <w:rPr>
                    <w:rFonts w:eastAsia="Times New Roman"/>
                    <w:color w:val="000000"/>
                  </w:rPr>
                  <w:t>(Clemann and Gillespie, 2012)</w:t>
                </w:r>
              </w:sdtContent>
            </w:sdt>
            <w:r>
              <w:t xml:space="preserve">. However, research has shown that some amount of salinity is important, as it protects the species from susceptibility to chytrid fungus. Environments with moderately saline water may therefore be important for protecting populations from disease threats </w:t>
            </w:r>
            <w:sdt>
              <w:sdtPr>
                <w:rPr>
                  <w:color w:val="000000"/>
                </w:rPr>
                <w:tag w:val="MENDELEY_CITATION_v3_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"/>
                <w:id w:val="97606573"/>
                <w:placeholder>
                  <w:docPart w:val="EA492B379251784A8EF33F6B6775C3A8"/>
                </w:placeholder>
              </w:sdtPr>
              <w:sdtContent>
                <w:r w:rsidRPr="00273871">
                  <w:rPr>
                    <w:color w:val="000000"/>
                  </w:rPr>
                  <w:t>(DELWP, 2017b)</w:t>
                </w:r>
              </w:sdtContent>
            </w:sdt>
            <w:r>
              <w:t>.</w:t>
            </w:r>
          </w:p>
          <w:p w14:paraId="6894A76B" w14:textId="77777777" w:rsidR="008C1AD8" w:rsidRDefault="008C1AD8" w:rsidP="00A15226">
            <w:pPr>
              <w:pStyle w:val="Tabletext"/>
              <w:rPr>
                <w:iCs/>
              </w:rPr>
            </w:pPr>
            <w:r>
              <w:t xml:space="preserve">The Recovery Plan </w:t>
            </w:r>
            <w:sdt>
              <w:sdtPr>
                <w:rPr>
                  <w:color w:val="000000"/>
                </w:rPr>
                <w:tag w:val="MENDELEY_CITATION_v3_eyJjaXRhdGlvbklEIjoiTUVOREVMRVlfQ0lUQVRJT05fOWM4MzgxYjYtZTMyOC00MTk4LWFiZjMtZWI0ZWQyN2ZmNDZh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896285862"/>
                <w:placeholder>
                  <w:docPart w:val="EA492B379251784A8EF33F6B6775C3A8"/>
                </w:placeholder>
              </w:sdtPr>
              <w:sdtContent>
                <w:r w:rsidRPr="00273871">
                  <w:rPr>
                    <w:rFonts w:eastAsia="Times New Roman"/>
                    <w:color w:val="000000"/>
                  </w:rPr>
                  <w:t>(Clemann and Gillespie, 2012)</w:t>
                </w:r>
              </w:sdtContent>
            </w:sdt>
            <w:r>
              <w:rPr>
                <w:iCs/>
              </w:rPr>
              <w:t xml:space="preserve"> does not specifically define habitat critical to the survival for GGF. However, it notes that it is important to:</w:t>
            </w:r>
          </w:p>
          <w:p w14:paraId="29E7A9E3" w14:textId="77777777" w:rsidR="008C1AD8" w:rsidRPr="006C4386" w:rsidRDefault="008C1AD8" w:rsidP="00A15226">
            <w:pPr>
              <w:pStyle w:val="Tabletext"/>
              <w:spacing w:before="120" w:after="120"/>
              <w:ind w:left="204" w:right="176"/>
              <w:rPr>
                <w:i/>
              </w:rPr>
            </w:pPr>
            <w:r w:rsidRPr="006C4386">
              <w:rPr>
                <w:i/>
              </w:rPr>
              <w:t xml:space="preserve">“…consider habitat critical for survival of </w:t>
            </w:r>
            <w:r>
              <w:rPr>
                <w:iCs/>
              </w:rPr>
              <w:t>[GGF]</w:t>
            </w:r>
            <w:r w:rsidRPr="006C4386">
              <w:rPr>
                <w:i/>
              </w:rPr>
              <w:t xml:space="preserve"> at both a local and a landscape scale, and also consider non-breeding refugia and habitat along dispersal / recolonisation routes</w:t>
            </w:r>
            <w:r>
              <w:rPr>
                <w:i/>
              </w:rPr>
              <w:t>.</w:t>
            </w:r>
            <w:r w:rsidRPr="006C4386">
              <w:rPr>
                <w:i/>
              </w:rPr>
              <w:t>”</w:t>
            </w:r>
          </w:p>
          <w:p w14:paraId="376D202A" w14:textId="77777777" w:rsidR="008C1AD8" w:rsidRDefault="008C1AD8" w:rsidP="00A15226">
            <w:pPr>
              <w:pStyle w:val="Tabletext"/>
            </w:pPr>
            <w:sdt>
              <w:sdtPr>
                <w:rPr>
                  <w:color w:val="000000"/>
                </w:rPr>
                <w:tag w:val="MENDELEY_CITATION_v3_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"/>
                <w:id w:val="1083488081"/>
                <w:placeholder>
                  <w:docPart w:val="EA492B379251784A8EF33F6B6775C3A8"/>
                </w:placeholder>
              </w:sdtPr>
              <w:sdtContent>
                <w:r w:rsidRPr="00273871">
                  <w:rPr>
                    <w:color w:val="000000"/>
                  </w:rPr>
                  <w:t>(Heard, Scroggie et al., 2010)</w:t>
                </w:r>
              </w:sdtContent>
            </w:sdt>
            <w:r>
              <w:t xml:space="preserve"> in their research on metapopulation dynamics provide insight about habitat critical to the survival through the identification of the drivers of site level population extinction and recolonisation. They found that:</w:t>
            </w:r>
          </w:p>
          <w:p w14:paraId="7077B5A9" w14:textId="77777777" w:rsidR="008C1AD8" w:rsidRDefault="008C1AD8" w:rsidP="00A15226">
            <w:pPr>
              <w:pStyle w:val="Bullet1"/>
            </w:pPr>
            <w:r>
              <w:t>Discrete populations are less likely to go extinct where the following habitat characteristics are present:</w:t>
            </w:r>
          </w:p>
          <w:p w14:paraId="3B80FC65" w14:textId="77777777" w:rsidR="008C1AD8" w:rsidRDefault="008C1AD8" w:rsidP="00A15226">
            <w:pPr>
              <w:pStyle w:val="Bullet2"/>
            </w:pPr>
            <w:r>
              <w:t>Larger, permanent waterbodies</w:t>
            </w:r>
          </w:p>
          <w:p w14:paraId="5E5F8D06" w14:textId="77777777" w:rsidR="008C1AD8" w:rsidRDefault="008C1AD8" w:rsidP="00A15226">
            <w:pPr>
              <w:pStyle w:val="Bullet2"/>
            </w:pPr>
            <w:r>
              <w:t>Increased aquatic vegetation cover</w:t>
            </w:r>
          </w:p>
          <w:p w14:paraId="12B21352" w14:textId="77777777" w:rsidR="008C1AD8" w:rsidRDefault="008C1AD8" w:rsidP="00A15226">
            <w:pPr>
              <w:pStyle w:val="Bullet2"/>
            </w:pPr>
            <w:r>
              <w:t>Increased landscape scale connectivity</w:t>
            </w:r>
          </w:p>
          <w:p w14:paraId="549BF918" w14:textId="77777777" w:rsidR="008C1AD8" w:rsidRDefault="008C1AD8" w:rsidP="00A15226">
            <w:pPr>
              <w:pStyle w:val="Bullet1"/>
            </w:pPr>
            <w:r>
              <w:t xml:space="preserve">The probability of recolonisation of a discrete population increases with increasing landscape scale connectivity </w:t>
            </w:r>
          </w:p>
          <w:p w14:paraId="7EAFF26B" w14:textId="77777777" w:rsidR="008C1AD8" w:rsidRDefault="008C1AD8" w:rsidP="00A15226">
            <w:pPr>
              <w:pStyle w:val="Tabletext"/>
            </w:pPr>
            <w:r>
              <w:t>These findings are reflected in both the:</w:t>
            </w:r>
          </w:p>
          <w:p w14:paraId="3EF3F7DF" w14:textId="77777777" w:rsidR="008C1AD8" w:rsidRDefault="008C1AD8" w:rsidP="00A15226">
            <w:pPr>
              <w:pStyle w:val="Bullet1"/>
            </w:pPr>
            <w:r w:rsidRPr="00062C3F">
              <w:rPr>
                <w:i/>
                <w:iCs/>
              </w:rPr>
              <w:t>Growling Grass Frog Habitat Design Standards for the Melbourne Strategic Assessment</w:t>
            </w:r>
            <w:r>
              <w:t xml:space="preserve"> </w:t>
            </w:r>
            <w:sdt>
              <w:sdtPr>
                <w:rPr>
                  <w:color w:val="000000"/>
                </w:rPr>
                <w:tag w:val="MENDELEY_CITATION_v3_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"/>
                <w:id w:val="-52623443"/>
                <w:placeholder>
                  <w:docPart w:val="EA492B379251784A8EF33F6B6775C3A8"/>
                </w:placeholder>
              </w:sdtPr>
              <w:sdtContent>
                <w:r w:rsidRPr="00273871">
                  <w:rPr>
                    <w:color w:val="000000"/>
                  </w:rPr>
                  <w:t>(DELWP, 2017b)</w:t>
                </w:r>
              </w:sdtContent>
            </w:sdt>
            <w:r>
              <w:t xml:space="preserve"> which </w:t>
            </w:r>
            <w:r w:rsidRPr="00254AD9">
              <w:t xml:space="preserve">provide guidance on protecting and creating the various types of habitat required to support metapopulations of </w:t>
            </w:r>
            <w:r>
              <w:t>GGF</w:t>
            </w:r>
            <w:r w:rsidRPr="00254AD9">
              <w:t xml:space="preserve"> over the long term</w:t>
            </w:r>
          </w:p>
          <w:p w14:paraId="3078E960" w14:textId="77777777" w:rsidR="008C1AD8" w:rsidRDefault="008C1AD8" w:rsidP="00A15226">
            <w:pPr>
              <w:pStyle w:val="Bullet1"/>
            </w:pPr>
            <w:r w:rsidRPr="00503DB0">
              <w:rPr>
                <w:i/>
                <w:iCs/>
              </w:rPr>
              <w:t>Growling Grass Frog Crossing Design Standards for the Melbourne Strategic Assessment</w:t>
            </w:r>
            <w:r>
              <w:t xml:space="preserve"> </w:t>
            </w:r>
            <w:sdt>
              <w:sdtPr>
                <w:rPr>
                  <w:color w:val="000000"/>
                </w:rPr>
                <w:tag w:val="MENDELEY_CITATION_v3_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"/>
                <w:id w:val="1689253936"/>
                <w:placeholder>
                  <w:docPart w:val="EA492B379251784A8EF33F6B6775C3A8"/>
                </w:placeholder>
              </w:sdtPr>
              <w:sdtContent>
                <w:r w:rsidRPr="00273871">
                  <w:rPr>
                    <w:color w:val="000000"/>
                  </w:rPr>
                  <w:t>(DELWP, 2017a)</w:t>
                </w:r>
              </w:sdtContent>
            </w:sdt>
            <w:r>
              <w:t xml:space="preserve"> which aim to ensure </w:t>
            </w:r>
            <w:r w:rsidRPr="00503DB0">
              <w:t xml:space="preserve">that crossings for new and widened roads, railway lines and other infrastructure through conservation areas are designed to ensure that </w:t>
            </w:r>
            <w:r>
              <w:t>GGF</w:t>
            </w:r>
            <w:r w:rsidRPr="00503DB0">
              <w:t xml:space="preserve"> will be able to easily move through, so that metapopulation dynamics can be maintained</w:t>
            </w:r>
          </w:p>
          <w:p w14:paraId="299DC6AB" w14:textId="77777777" w:rsidR="008C1AD8" w:rsidRPr="00193BC0" w:rsidRDefault="008C1AD8" w:rsidP="00A15226">
            <w:pPr>
              <w:pStyle w:val="Tabletext"/>
            </w:pPr>
            <w:r>
              <w:t xml:space="preserve">Given the proximity of the MSA to the Geelong Strategic Assessment Area and the likely similarities in key ecological requirements for the species in both locations, both of these guidelines are considered to be a useful resource for this project. </w:t>
            </w:r>
          </w:p>
        </w:tc>
      </w:tr>
      <w:tr w:rsidR="008C1AD8" w:rsidRPr="000816D6" w14:paraId="142897BE" w14:textId="77777777" w:rsidTr="00A15226">
        <w:tc>
          <w:tcPr>
            <w:tcW w:w="1526" w:type="dxa"/>
            <w:vAlign w:val="center"/>
          </w:tcPr>
          <w:p w14:paraId="0BAC8E08" w14:textId="77777777" w:rsidR="008C1AD8" w:rsidRPr="000816D6" w:rsidRDefault="008C1AD8" w:rsidP="00A15226">
            <w:pPr>
              <w:pStyle w:val="Tabletext"/>
              <w:rPr>
                <w:rFonts w:ascii="Helvetica" w:hAnsi="Helvetica"/>
                <w:b/>
                <w:bCs/>
                <w:sz w:val="14"/>
              </w:rPr>
            </w:pPr>
            <w:r w:rsidRPr="000816D6">
              <w:rPr>
                <w:rFonts w:ascii="Helvetica" w:hAnsi="Helvetica"/>
                <w:b/>
                <w:bCs/>
                <w:sz w:val="14"/>
              </w:rPr>
              <w:lastRenderedPageBreak/>
              <w:t xml:space="preserve">POPULATIONS </w:t>
            </w:r>
          </w:p>
        </w:tc>
        <w:tc>
          <w:tcPr>
            <w:tcW w:w="8113" w:type="dxa"/>
            <w:vAlign w:val="center"/>
          </w:tcPr>
          <w:p w14:paraId="75D182F9" w14:textId="77777777" w:rsidR="008C1AD8" w:rsidRDefault="008C1AD8" w:rsidP="00A15226">
            <w:pPr>
              <w:pStyle w:val="Tabletext"/>
            </w:pPr>
            <w:r>
              <w:t>As outlined above, there appear to be two distinct biogeographical groups of the species. However, there is limited information available about either the:</w:t>
            </w:r>
          </w:p>
          <w:p w14:paraId="019A81E6" w14:textId="77777777" w:rsidR="008C1AD8" w:rsidRDefault="008C1AD8" w:rsidP="00A15226">
            <w:pPr>
              <w:pStyle w:val="Bullet1"/>
            </w:pPr>
            <w:r>
              <w:t>Estimated total population size of each group, or</w:t>
            </w:r>
          </w:p>
          <w:p w14:paraId="1F75F633" w14:textId="77777777" w:rsidR="008C1AD8" w:rsidRDefault="008C1AD8" w:rsidP="00A15226">
            <w:pPr>
              <w:pStyle w:val="Bullet1"/>
            </w:pPr>
            <w:r>
              <w:t>Number of discrete populations or metapopulations within each group</w:t>
            </w:r>
          </w:p>
          <w:p w14:paraId="0B72CB5D" w14:textId="77777777" w:rsidR="008C1AD8" w:rsidRDefault="008C1AD8" w:rsidP="00A15226">
            <w:pPr>
              <w:pStyle w:val="Tabletext"/>
              <w:keepNext/>
              <w:keepLines/>
            </w:pPr>
            <w:r>
              <w:t xml:space="preserve">The GGF Significant Impact Guidelines </w:t>
            </w:r>
            <w:sdt>
              <w:sdtPr>
                <w:rPr>
                  <w:color w:val="000000"/>
                </w:rPr>
                <w:tag w:val="MENDELEY_CITATION_v3_eyJjaXRhdGlvbklEIjoiTUVOREVMRVlfQ0lUQVRJT05fZjFiM2VhNjctNTRiYy00ZjEyLTk0YzUtMzcxZDY2MjVlMjAw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2017567525"/>
                <w:placeholder>
                  <w:docPart w:val="EA492B379251784A8EF33F6B6775C3A8"/>
                </w:placeholder>
              </w:sdtPr>
              <w:sdtContent>
                <w:r w:rsidRPr="00273871">
                  <w:rPr>
                    <w:color w:val="000000"/>
                  </w:rPr>
                  <w:t>(DEWHA, 2009d)</w:t>
                </w:r>
              </w:sdtContent>
            </w:sdt>
            <w:r>
              <w:t xml:space="preserve"> define what an ‘important’ population is for the species. The guidelines state:</w:t>
            </w:r>
          </w:p>
          <w:p w14:paraId="4DF05CAE" w14:textId="77777777" w:rsidR="008C1AD8" w:rsidRDefault="008C1AD8" w:rsidP="00A15226">
            <w:pPr>
              <w:pStyle w:val="Tabletext"/>
              <w:spacing w:before="120" w:after="120"/>
              <w:ind w:left="204" w:right="176"/>
              <w:rPr>
                <w:i/>
                <w:iCs/>
              </w:rPr>
            </w:pPr>
            <w:r w:rsidRPr="001A4701">
              <w:rPr>
                <w:i/>
                <w:iCs/>
              </w:rPr>
              <w:t>“…any viable population is considered to be an important population for the persistence and recovery of the growling grass frog.”</w:t>
            </w:r>
          </w:p>
          <w:p w14:paraId="19204FA6" w14:textId="77777777" w:rsidR="008C1AD8" w:rsidRDefault="008C1AD8" w:rsidP="00A15226">
            <w:pPr>
              <w:pStyle w:val="Tabletext"/>
              <w:spacing w:before="120" w:after="120"/>
              <w:ind w:left="204" w:right="176"/>
              <w:rPr>
                <w:i/>
                <w:iCs/>
              </w:rPr>
            </w:pPr>
            <w:r>
              <w:rPr>
                <w:i/>
                <w:iCs/>
              </w:rPr>
              <w:t>“…</w:t>
            </w:r>
            <w:r w:rsidRPr="004F4EE3">
              <w:rPr>
                <w:i/>
                <w:iCs/>
              </w:rPr>
              <w:t>a viable population is one which is not isolated from other populations or water bodies, such that it has the opportunity to interact with other nearby populations or has the ability to establish new populations when water bodies fill and become available</w:t>
            </w:r>
            <w:r>
              <w:rPr>
                <w:i/>
                <w:iCs/>
              </w:rPr>
              <w:t>.”</w:t>
            </w:r>
          </w:p>
          <w:p w14:paraId="079C59AB" w14:textId="77777777" w:rsidR="008C1AD8" w:rsidRPr="00D90B2A" w:rsidRDefault="008C1AD8" w:rsidP="00A15226">
            <w:pPr>
              <w:pStyle w:val="Tabletext"/>
              <w:spacing w:before="120" w:after="120"/>
              <w:ind w:left="204" w:right="176"/>
              <w:rPr>
                <w:i/>
                <w:iCs/>
              </w:rPr>
            </w:pPr>
            <w:r>
              <w:rPr>
                <w:i/>
                <w:iCs/>
              </w:rPr>
              <w:t>“</w:t>
            </w:r>
            <w:r w:rsidRPr="004F4EE3">
              <w:rPr>
                <w:i/>
                <w:iCs/>
              </w:rPr>
              <w:t>In addition, a population of growling grass frogs could be considered an important population if it is near the limit of the species range (for example small, isolated populations in South Australia),</w:t>
            </w:r>
            <w:r>
              <w:rPr>
                <w:i/>
                <w:iCs/>
              </w:rPr>
              <w:t xml:space="preserve"> </w:t>
            </w:r>
            <w:r w:rsidRPr="004F4EE3">
              <w:rPr>
                <w:i/>
                <w:iCs/>
              </w:rPr>
              <w:t>is well-studied or has a history of monitoring, and hence provides opportunity for greater understanding of the species through the collection of long-term data</w:t>
            </w:r>
            <w:r>
              <w:rPr>
                <w:i/>
                <w:iCs/>
              </w:rPr>
              <w:t>.”</w:t>
            </w:r>
            <w:r>
              <w:t xml:space="preserve"> </w:t>
            </w:r>
          </w:p>
        </w:tc>
      </w:tr>
      <w:tr w:rsidR="008C1AD8" w:rsidRPr="002F23FB" w14:paraId="787B6A6A" w14:textId="77777777" w:rsidTr="00A15226">
        <w:tc>
          <w:tcPr>
            <w:tcW w:w="1526" w:type="dxa"/>
            <w:vAlign w:val="center"/>
          </w:tcPr>
          <w:p w14:paraId="74520459" w14:textId="77777777" w:rsidR="008C1AD8" w:rsidRPr="000816D6" w:rsidRDefault="008C1AD8" w:rsidP="00A15226">
            <w:pPr>
              <w:pStyle w:val="Tabletext"/>
              <w:rPr>
                <w:rFonts w:ascii="Helvetica" w:hAnsi="Helvetica"/>
                <w:b/>
                <w:bCs/>
                <w:sz w:val="14"/>
              </w:rPr>
            </w:pPr>
            <w:r>
              <w:rPr>
                <w:rFonts w:ascii="Helvetica" w:hAnsi="Helvetica"/>
                <w:b/>
                <w:bCs/>
                <w:sz w:val="14"/>
              </w:rPr>
              <w:t>THREATS</w:t>
            </w:r>
          </w:p>
        </w:tc>
        <w:tc>
          <w:tcPr>
            <w:tcW w:w="8113" w:type="dxa"/>
            <w:vAlign w:val="center"/>
          </w:tcPr>
          <w:p w14:paraId="097DD09B" w14:textId="77777777" w:rsidR="008C1AD8" w:rsidRDefault="008C1AD8" w:rsidP="00A15226">
            <w:pPr>
              <w:pStyle w:val="Tabletext"/>
            </w:pPr>
            <w:r>
              <w:t xml:space="preserve">The GGF Significant Impact Guidelines </w:t>
            </w:r>
            <w:sdt>
              <w:sdtPr>
                <w:rPr>
                  <w:color w:val="000000"/>
                </w:rPr>
                <w:tag w:val="MENDELEY_CITATION_v3_eyJjaXRhdGlvbklEIjoiTUVOREVMRVlfQ0lUQVRJT05fNDYyNzY0ZDktNDZjMS00YjAzLWI0NjAtZDM0MzU4MTkxZjc4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2056843609"/>
                <w:placeholder>
                  <w:docPart w:val="EA492B379251784A8EF33F6B6775C3A8"/>
                </w:placeholder>
              </w:sdtPr>
              <w:sdtContent>
                <w:r w:rsidRPr="00273871">
                  <w:rPr>
                    <w:color w:val="000000"/>
                  </w:rPr>
                  <w:t>(DEWHA, 2009d)</w:t>
                </w:r>
              </w:sdtContent>
            </w:sdt>
            <w:r>
              <w:rPr>
                <w:iCs/>
              </w:rPr>
              <w:t xml:space="preserve"> </w:t>
            </w:r>
            <w:r>
              <w:t>identify the threats most relevant to decision making under the EPBC Act. They are:</w:t>
            </w:r>
          </w:p>
          <w:p w14:paraId="3AB890F7" w14:textId="77777777" w:rsidR="008C1AD8" w:rsidRPr="001A4124" w:rsidRDefault="008C1AD8" w:rsidP="00A15226">
            <w:pPr>
              <w:pStyle w:val="Bullet1"/>
            </w:pPr>
            <w:r w:rsidRPr="001A4124">
              <w:t>Habitat loss, degradation and modification caused by:</w:t>
            </w:r>
          </w:p>
          <w:p w14:paraId="559E3895" w14:textId="77777777" w:rsidR="008C1AD8" w:rsidRPr="001A4124" w:rsidRDefault="008C1AD8" w:rsidP="00A15226">
            <w:pPr>
              <w:pStyle w:val="Bullet2"/>
            </w:pPr>
            <w:r w:rsidRPr="001A4124">
              <w:t>Draining, infilling or changes to flooding patterns of permanent and non-permanent water bodies, or their adjoining watercourses and surrounding vegetation</w:t>
            </w:r>
          </w:p>
          <w:p w14:paraId="31ED98B4" w14:textId="77777777" w:rsidR="008C1AD8" w:rsidRPr="001A4124" w:rsidRDefault="008C1AD8" w:rsidP="00A15226">
            <w:pPr>
              <w:pStyle w:val="Bullet2"/>
            </w:pPr>
            <w:r w:rsidRPr="001A4124">
              <w:t>Alteration of wetland hydrology, diversity and structure</w:t>
            </w:r>
          </w:p>
          <w:p w14:paraId="0307EC70" w14:textId="77777777" w:rsidR="008C1AD8" w:rsidRPr="001A4124" w:rsidRDefault="008C1AD8" w:rsidP="00A15226">
            <w:pPr>
              <w:pStyle w:val="Bullet2"/>
            </w:pPr>
            <w:r w:rsidRPr="001A4124">
              <w:t>Removal of aquatic vegetation</w:t>
            </w:r>
          </w:p>
          <w:p w14:paraId="62063D42" w14:textId="77777777" w:rsidR="008C1AD8" w:rsidRPr="001A4124" w:rsidRDefault="008C1AD8" w:rsidP="00A15226">
            <w:pPr>
              <w:pStyle w:val="Bullet2"/>
            </w:pPr>
            <w:r w:rsidRPr="001A4124">
              <w:t>Clearing of terrestrial vegetation, fallen logs and ground debris surrounding water bodies</w:t>
            </w:r>
          </w:p>
          <w:p w14:paraId="2468EC24" w14:textId="77777777" w:rsidR="008C1AD8" w:rsidRPr="001A4124" w:rsidRDefault="008C1AD8" w:rsidP="00A15226">
            <w:pPr>
              <w:pStyle w:val="Bullet2"/>
            </w:pPr>
            <w:r w:rsidRPr="001A4124">
              <w:t>Deterioration of water quality and any introduction of pollutants and biocides</w:t>
            </w:r>
          </w:p>
          <w:p w14:paraId="6837DF6B" w14:textId="77777777" w:rsidR="008C1AD8" w:rsidRPr="001A4124" w:rsidRDefault="008C1AD8" w:rsidP="00A15226">
            <w:pPr>
              <w:pStyle w:val="Bullet2"/>
            </w:pPr>
            <w:r w:rsidRPr="001A4124">
              <w:t>Introduction of domestic stock or feral animals (for example rabbits, goats and pigs) causing damage to banks or terrestrial habitat</w:t>
            </w:r>
          </w:p>
          <w:p w14:paraId="4282EA81" w14:textId="77777777" w:rsidR="008C1AD8" w:rsidRPr="001A4124" w:rsidRDefault="008C1AD8" w:rsidP="00A15226">
            <w:pPr>
              <w:pStyle w:val="Bullet1"/>
            </w:pPr>
            <w:r w:rsidRPr="001A4124">
              <w:t>Fragmentation and isolation of populations caused by construction of barriers that limit frog movements between waterbodies (for example buildings, fences, roads, industrial estates etc)</w:t>
            </w:r>
          </w:p>
          <w:p w14:paraId="336B4083" w14:textId="77777777" w:rsidR="008C1AD8" w:rsidRPr="001A4124" w:rsidRDefault="008C1AD8" w:rsidP="00A15226">
            <w:pPr>
              <w:pStyle w:val="Bullet1"/>
            </w:pPr>
            <w:r w:rsidRPr="001A4124">
              <w:t>Introduced predators and disease caused by the introduction of:</w:t>
            </w:r>
          </w:p>
          <w:p w14:paraId="3496BFC7" w14:textId="77777777" w:rsidR="008C1AD8" w:rsidRPr="001A4124" w:rsidRDefault="008C1AD8" w:rsidP="00A15226">
            <w:pPr>
              <w:pStyle w:val="Bullet2"/>
            </w:pPr>
            <w:r w:rsidRPr="001A4124">
              <w:t>Exotic fish species</w:t>
            </w:r>
          </w:p>
          <w:p w14:paraId="1647F522" w14:textId="77777777" w:rsidR="008C1AD8" w:rsidRPr="001A4124" w:rsidRDefault="008C1AD8" w:rsidP="00A15226">
            <w:pPr>
              <w:pStyle w:val="Bullet2"/>
            </w:pPr>
            <w:r w:rsidRPr="001A4124">
              <w:t>Feral predators such as foxes and cats</w:t>
            </w:r>
          </w:p>
          <w:p w14:paraId="6193E9E6" w14:textId="77777777" w:rsidR="008C1AD8" w:rsidRPr="001A4124" w:rsidRDefault="008C1AD8" w:rsidP="00A15226">
            <w:pPr>
              <w:pStyle w:val="Bullet2"/>
            </w:pPr>
            <w:r w:rsidRPr="001A4124">
              <w:t>The chytrid fungus</w:t>
            </w:r>
          </w:p>
          <w:p w14:paraId="02810083" w14:textId="77777777" w:rsidR="008C1AD8" w:rsidRPr="00147694" w:rsidRDefault="008C1AD8" w:rsidP="00A15226">
            <w:pPr>
              <w:pStyle w:val="Tabletext"/>
              <w:rPr>
                <w:iCs/>
              </w:rPr>
            </w:pPr>
            <w:r>
              <w:t xml:space="preserve">These threats are consistent with those identified in the </w:t>
            </w:r>
            <w:r w:rsidRPr="005232A3">
              <w:t xml:space="preserve">GGF Recovery Plan </w:t>
            </w:r>
            <w:sdt>
              <w:sdtPr>
                <w:rPr>
                  <w:color w:val="000000"/>
                </w:rPr>
                <w:tag w:val="MENDELEY_CITATION_v3_eyJjaXRhdGlvbklEIjoiTUVOREVMRVlfQ0lUQVRJT05fZDcwYWI5OTYtMjQ1YS00YmM3LTk3N2ItN2U3ZjViYzFkZjFl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22085265"/>
                <w:placeholder>
                  <w:docPart w:val="EA492B379251784A8EF33F6B6775C3A8"/>
                </w:placeholder>
              </w:sdtPr>
              <w:sdtContent>
                <w:r w:rsidRPr="00273871">
                  <w:rPr>
                    <w:rFonts w:eastAsia="Times New Roman"/>
                    <w:color w:val="000000"/>
                  </w:rPr>
                  <w:t>(Clemann and Gillespie, 2012)</w:t>
                </w:r>
              </w:sdtContent>
            </w:sdt>
            <w:r>
              <w:rPr>
                <w:iCs/>
              </w:rPr>
              <w:t xml:space="preserve">. Although the Recovery Plan also identifies </w:t>
            </w:r>
            <w:r w:rsidRPr="00064F44">
              <w:rPr>
                <w:iCs/>
              </w:rPr>
              <w:t xml:space="preserve">exposure </w:t>
            </w:r>
            <w:r>
              <w:rPr>
                <w:iCs/>
              </w:rPr>
              <w:t xml:space="preserve">of frogs </w:t>
            </w:r>
            <w:r w:rsidRPr="00064F44">
              <w:rPr>
                <w:iCs/>
              </w:rPr>
              <w:t>to harmful levels of ultraviolet</w:t>
            </w:r>
            <w:r>
              <w:rPr>
                <w:iCs/>
              </w:rPr>
              <w:noBreakHyphen/>
            </w:r>
            <w:r w:rsidRPr="00064F44">
              <w:rPr>
                <w:iCs/>
              </w:rPr>
              <w:t>B</w:t>
            </w:r>
            <w:r>
              <w:rPr>
                <w:iCs/>
              </w:rPr>
              <w:t xml:space="preserve"> </w:t>
            </w:r>
            <w:r w:rsidRPr="00064F44">
              <w:rPr>
                <w:iCs/>
              </w:rPr>
              <w:t xml:space="preserve">radiation </w:t>
            </w:r>
            <w:r>
              <w:rPr>
                <w:iCs/>
              </w:rPr>
              <w:t xml:space="preserve">(due to </w:t>
            </w:r>
            <w:r w:rsidRPr="00064F44">
              <w:rPr>
                <w:iCs/>
              </w:rPr>
              <w:t>anthropogenic depletion of the ozone layer</w:t>
            </w:r>
            <w:r>
              <w:rPr>
                <w:iCs/>
              </w:rPr>
              <w:t xml:space="preserve">) as an additional threat. </w:t>
            </w:r>
          </w:p>
          <w:p w14:paraId="29FD60E8" w14:textId="77777777" w:rsidR="008C1AD8" w:rsidRPr="003E1ADD" w:rsidRDefault="008C1AD8" w:rsidP="00A15226">
            <w:pPr>
              <w:pStyle w:val="Tabletext"/>
            </w:pPr>
            <w:r>
              <w:t xml:space="preserve">The widespread declines and localised extinctions experienced by the species, and the uncertainty surrounding the causes of these declines, suggests that no extant population should be considered secure. Loss of populations due to habitat destruction or disease incursion have been known to occur very rapidly </w:t>
            </w:r>
            <w:sdt>
              <w:sdtPr>
                <w:rPr>
                  <w:color w:val="000000"/>
                </w:rPr>
                <w:tag w:val="MENDELEY_CITATION_v3_eyJjaXRhdGlvbklEIjoiTUVOREVMRVlfQ0lUQVRJT05fMDdlNTQ4NmMtZjNmMS00MmYwLWJiOGQtNzdjZmQ5ZTA1NTNk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494991637"/>
                <w:placeholder>
                  <w:docPart w:val="EA492B379251784A8EF33F6B6775C3A8"/>
                </w:placeholder>
              </w:sdtPr>
              <w:sdtContent>
                <w:r w:rsidRPr="00273871">
                  <w:rPr>
                    <w:rFonts w:eastAsia="Times New Roman"/>
                    <w:color w:val="000000"/>
                  </w:rPr>
                  <w:t>(Clemann and Gillespie, 2012)</w:t>
                </w:r>
              </w:sdtContent>
            </w:sdt>
            <w:r>
              <w:rPr>
                <w:i/>
              </w:rPr>
              <w:t>.</w:t>
            </w:r>
          </w:p>
        </w:tc>
      </w:tr>
      <w:tr w:rsidR="008C1AD8" w:rsidRPr="002F23FB" w14:paraId="60CA3CCC" w14:textId="77777777" w:rsidTr="00A15226">
        <w:tc>
          <w:tcPr>
            <w:tcW w:w="1526" w:type="dxa"/>
            <w:vAlign w:val="center"/>
          </w:tcPr>
          <w:p w14:paraId="31AE55F3"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08242545" w14:textId="77777777" w:rsidR="008C1AD8" w:rsidRPr="0095745C" w:rsidRDefault="008C1AD8" w:rsidP="00A15226">
            <w:pPr>
              <w:pStyle w:val="Tabletext"/>
              <w:rPr>
                <w:iCs/>
              </w:rPr>
            </w:pPr>
            <w:r w:rsidRPr="00C2387A">
              <w:t>National</w:t>
            </w:r>
            <w:r w:rsidRPr="00AD7637">
              <w:rPr>
                <w:iCs/>
              </w:rPr>
              <w:t xml:space="preserve"> Recovery Plan for the Southern Bell Frog </w:t>
            </w:r>
            <w:r w:rsidRPr="00227038">
              <w:rPr>
                <w:i/>
                <w:iCs/>
              </w:rPr>
              <w:t>Litoria raniformis</w:t>
            </w:r>
            <w:r>
              <w:t xml:space="preserve"> </w:t>
            </w:r>
            <w:sdt>
              <w:sdtPr>
                <w:rPr>
                  <w:color w:val="000000"/>
                </w:rPr>
                <w:tag w:val="MENDELEY_CITATION_v3_eyJjaXRhdGlvbklEIjoiTUVOREVMRVlfQ0lUQVRJT05fMzhhZjdlZDEtYTUyOS00NDVlLTlmNzYtMWUwMjg2MjQ4Yzc4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278259402"/>
                <w:placeholder>
                  <w:docPart w:val="EA492B379251784A8EF33F6B6775C3A8"/>
                </w:placeholder>
              </w:sdtPr>
              <w:sdtContent>
                <w:r w:rsidRPr="00273871">
                  <w:rPr>
                    <w:rFonts w:eastAsia="Times New Roman"/>
                    <w:color w:val="000000"/>
                  </w:rPr>
                  <w:t>(Clemann and Gillespie, 2012)</w:t>
                </w:r>
              </w:sdtContent>
            </w:sdt>
          </w:p>
          <w:p w14:paraId="6DB6814F" w14:textId="77777777" w:rsidR="008C1AD8" w:rsidRDefault="008C1AD8" w:rsidP="00A15226">
            <w:pPr>
              <w:pStyle w:val="Tabletext"/>
            </w:pPr>
            <w:r w:rsidRPr="00AD7637">
              <w:t>Threat abatement plan for infection of amphibians with chytrid fungus resulting in chytridiomycosis (2016)</w:t>
            </w:r>
            <w:r>
              <w:t xml:space="preserve"> </w:t>
            </w:r>
            <w:sdt>
              <w:sdtPr>
                <w:rPr>
                  <w:color w:val="000000"/>
                </w:rPr>
                <w:tag w:val="MENDELEY_CITATION_v3_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"/>
                <w:id w:val="-789057725"/>
                <w:placeholder>
                  <w:docPart w:val="EA492B379251784A8EF33F6B6775C3A8"/>
                </w:placeholder>
              </w:sdtPr>
              <w:sdtContent>
                <w:r w:rsidRPr="00273871">
                  <w:rPr>
                    <w:color w:val="000000"/>
                  </w:rPr>
                  <w:t>(DoEE, 2016b)</w:t>
                </w:r>
              </w:sdtContent>
            </w:sdt>
          </w:p>
          <w:p w14:paraId="0D8BAB37" w14:textId="77777777" w:rsidR="008C1AD8" w:rsidRDefault="008C1AD8" w:rsidP="00A15226">
            <w:pPr>
              <w:pStyle w:val="Tabletext"/>
            </w:pPr>
            <w:r>
              <w:t xml:space="preserve">Threat abatement plan for predation by the European red fox </w:t>
            </w:r>
            <w:sdt>
              <w:sdtPr>
                <w:rPr>
                  <w:color w:val="000000"/>
                </w:rPr>
                <w:tag w:val="MENDELEY_CITATION_v3_eyJjaXRhdGlvbklEIjoiTUVOREVMRVlfQ0lUQVRJT05fNzFmNDA0Y2UtYWU1Zi00NWI2LTgxNzUtZjVlYWY1YTA1YWIxIiwicHJvcGVydGllcyI6eyJub3RlSW5kZXgiOjB9LCJpc0VkaXRlZCI6ZmFsc2UsIm1hbnVhbE92ZXJyaWRlIjp7ImNpdGVwcm9jVGV4dCI6IihERVdIQSwgMjAwOGQ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390869376"/>
                <w:placeholder>
                  <w:docPart w:val="EA492B379251784A8EF33F6B6775C3A8"/>
                </w:placeholder>
              </w:sdtPr>
              <w:sdtContent>
                <w:r w:rsidRPr="00273871">
                  <w:rPr>
                    <w:color w:val="000000"/>
                  </w:rPr>
                  <w:t>(DEWHA, 2008d)</w:t>
                </w:r>
              </w:sdtContent>
            </w:sdt>
          </w:p>
          <w:p w14:paraId="423405AB" w14:textId="77777777" w:rsidR="008C1AD8" w:rsidRPr="00AD7637" w:rsidRDefault="008C1AD8" w:rsidP="00A15226">
            <w:pPr>
              <w:pStyle w:val="Tabletext"/>
            </w:pPr>
            <w:r>
              <w:t xml:space="preserve">Threat abatement plan for predation by feral cats </w:t>
            </w:r>
            <w:sdt>
              <w:sdtPr>
                <w:rPr>
                  <w:color w:val="000000"/>
                </w:rPr>
                <w:tag w:val="MENDELEY_CITATION_v3_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"/>
                <w:id w:val="816225156"/>
                <w:placeholder>
                  <w:docPart w:val="EA492B379251784A8EF33F6B6775C3A8"/>
                </w:placeholder>
              </w:sdtPr>
              <w:sdtContent>
                <w:r w:rsidRPr="00273871">
                  <w:rPr>
                    <w:color w:val="000000"/>
                  </w:rPr>
                  <w:t>(DoE, 2015)</w:t>
                </w:r>
              </w:sdtContent>
            </w:sdt>
          </w:p>
        </w:tc>
      </w:tr>
      <w:tr w:rsidR="008C1AD8" w:rsidRPr="000816D6" w14:paraId="7E4BE5EE" w14:textId="77777777" w:rsidTr="00A15226">
        <w:tc>
          <w:tcPr>
            <w:tcW w:w="1526" w:type="dxa"/>
            <w:vAlign w:val="center"/>
          </w:tcPr>
          <w:p w14:paraId="498B497B"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7F8ED8AF" w14:textId="77777777" w:rsidR="008C1AD8" w:rsidRPr="0039047E" w:rsidRDefault="008C1AD8" w:rsidP="00A15226">
            <w:pPr>
              <w:pStyle w:val="Heading4"/>
              <w:spacing w:before="120" w:after="120"/>
            </w:pPr>
            <w:r w:rsidRPr="0039047E">
              <w:t>Commonwealth</w:t>
            </w:r>
          </w:p>
          <w:p w14:paraId="261BAC15" w14:textId="77777777" w:rsidR="008C1AD8" w:rsidRDefault="008C1AD8" w:rsidP="00A15226">
            <w:pPr>
              <w:pStyle w:val="Tabletext"/>
            </w:pPr>
            <w:r w:rsidRPr="0095745C">
              <w:t>EPBC Act Policy Statement 3.14: Significant impact guidelines for the vulnerable growling grass frog (</w:t>
            </w:r>
            <w:r w:rsidRPr="005C6A75">
              <w:rPr>
                <w:i/>
                <w:iCs/>
              </w:rPr>
              <w:t>Litoria raniformis</w:t>
            </w:r>
            <w:r w:rsidRPr="0095745C">
              <w:t>)</w:t>
            </w:r>
            <w:r>
              <w:t xml:space="preserve"> </w:t>
            </w:r>
            <w:sdt>
              <w:sdtPr>
                <w:rPr>
                  <w:color w:val="000000"/>
                </w:rPr>
                <w:tag w:val="MENDELEY_CITATION_v3_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iwidHlwZSI6ImFydGljbGUiLCJjb250YWluZXItdGl0bGUtc2hvcnQiOiIifSwidXJpcyI6WyJodHRwOi8vd3d3Lm1lbmRlbGV5LmNvbS9kb2N1bWVudHMvP3V1aWQ9YmJhNjgxYjgtMTRlMi00MmZkLTkzNzgtYzg2ZWNhY2RjYzc2Il0sImlzVGVtcG9yYXJ5IjpmYWxzZSwibGVnYWN5RGVza3RvcElkIjoiYmJhNjgxYjgtMTRlMi00MmZkLTkzNzgtYzg2ZWNhY2RjYzc2In1dfQ=="/>
                <w:id w:val="-330292998"/>
                <w:placeholder>
                  <w:docPart w:val="EA492B379251784A8EF33F6B6775C3A8"/>
                </w:placeholder>
              </w:sdtPr>
              <w:sdtContent>
                <w:r w:rsidRPr="00273871">
                  <w:rPr>
                    <w:color w:val="000000"/>
                  </w:rPr>
                  <w:t>(DEWHA, 2009c)</w:t>
                </w:r>
              </w:sdtContent>
            </w:sdt>
          </w:p>
          <w:p w14:paraId="0EA57ADF" w14:textId="77777777" w:rsidR="008C1AD8" w:rsidRPr="005C6A75" w:rsidRDefault="008C1AD8" w:rsidP="00A15226">
            <w:pPr>
              <w:pStyle w:val="Tabletext"/>
            </w:pPr>
            <w:r>
              <w:lastRenderedPageBreak/>
              <w:t xml:space="preserve">Background Paper to </w:t>
            </w:r>
            <w:r w:rsidRPr="0095745C">
              <w:t>EPBC Act Policy Statement 3.14: Significant impact guidelines for the vulnerable growling grass frog (</w:t>
            </w:r>
            <w:r w:rsidRPr="005C6A75">
              <w:rPr>
                <w:i/>
                <w:iCs/>
              </w:rPr>
              <w:t>Litoria raniformis</w:t>
            </w:r>
            <w:r>
              <w:t xml:space="preserve">) </w:t>
            </w:r>
            <w:sdt>
              <w:sdtPr>
                <w:rPr>
                  <w:color w:val="000000"/>
                </w:rPr>
                <w:tag w:val="MENDELEY_CITATION_v3_eyJjaXRhdGlvbklEIjoiTUVOREVMRVlfQ0lUQVRJT05fMmM0NmM0YzYtMmQzOC00N2FkLWIxMmQtMmRhMzY4NzE3OTgz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624078409"/>
                <w:placeholder>
                  <w:docPart w:val="EA492B379251784A8EF33F6B6775C3A8"/>
                </w:placeholder>
              </w:sdtPr>
              <w:sdtContent>
                <w:r w:rsidRPr="00273871">
                  <w:rPr>
                    <w:color w:val="000000"/>
                  </w:rPr>
                  <w:t>(DEWHA, 2009d)</w:t>
                </w:r>
              </w:sdtContent>
            </w:sdt>
          </w:p>
          <w:p w14:paraId="7D677D4C" w14:textId="77777777" w:rsidR="008C1AD8" w:rsidRDefault="008C1AD8" w:rsidP="00A15226">
            <w:pPr>
              <w:pStyle w:val="Tabletext"/>
            </w:pPr>
            <w:r w:rsidRPr="0095745C">
              <w:t>Survey Guidelines for Australia's Threatened Frogs. EPBC Act survey guidelines 6.3</w:t>
            </w:r>
            <w:r>
              <w:t xml:space="preserve"> </w:t>
            </w:r>
            <w:sdt>
              <w:sdtPr>
                <w:rPr>
                  <w:color w:val="000000"/>
                </w:rPr>
                <w:tag w:val="MENDELEY_CITATION_v3_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"/>
                <w:id w:val="-1189909285"/>
                <w:placeholder>
                  <w:docPart w:val="EA492B379251784A8EF33F6B6775C3A8"/>
                </w:placeholder>
              </w:sdtPr>
              <w:sdtContent>
                <w:r w:rsidRPr="00273871">
                  <w:rPr>
                    <w:color w:val="000000"/>
                  </w:rPr>
                  <w:t>(DEWHA, 2010)</w:t>
                </w:r>
              </w:sdtContent>
            </w:sdt>
          </w:p>
          <w:p w14:paraId="063EC6F9" w14:textId="77777777" w:rsidR="008C1AD8" w:rsidRPr="0039047E" w:rsidRDefault="008C1AD8" w:rsidP="00A15226">
            <w:pPr>
              <w:pStyle w:val="Heading4"/>
              <w:spacing w:before="120" w:after="120"/>
              <w:rPr>
                <w:b w:val="0"/>
                <w:bCs/>
              </w:rPr>
            </w:pPr>
            <w:r w:rsidRPr="005C6A75">
              <w:t>State</w:t>
            </w:r>
          </w:p>
          <w:p w14:paraId="3163E366" w14:textId="77777777" w:rsidR="008C1AD8" w:rsidRDefault="008C1AD8" w:rsidP="00A15226">
            <w:pPr>
              <w:pStyle w:val="Tabletext"/>
            </w:pPr>
            <w:r>
              <w:t xml:space="preserve">Growling Grass Frog Masterplan for Melbourne’s Growth Corridors Melbourne Strategic Assessment </w:t>
            </w:r>
            <w:sdt>
              <w:sdtPr>
                <w:rPr>
                  <w:color w:val="000000"/>
                </w:rPr>
                <w:tag w:val="MENDELEY_CITATION_v3_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"/>
                <w:id w:val="-1691285720"/>
                <w:placeholder>
                  <w:docPart w:val="EA492B379251784A8EF33F6B6775C3A8"/>
                </w:placeholder>
              </w:sdtPr>
              <w:sdtContent>
                <w:r w:rsidRPr="00273871">
                  <w:rPr>
                    <w:color w:val="000000"/>
                  </w:rPr>
                  <w:t>(DELWP, 2017c)</w:t>
                </w:r>
              </w:sdtContent>
            </w:sdt>
          </w:p>
          <w:p w14:paraId="60178895" w14:textId="77777777" w:rsidR="008C1AD8" w:rsidRDefault="008C1AD8" w:rsidP="00A15226">
            <w:pPr>
              <w:pStyle w:val="Tabletext"/>
            </w:pPr>
            <w:r>
              <w:t xml:space="preserve">Growling Grass Frog Habitat Design Standards Melbourne Strategic Assessment </w:t>
            </w:r>
            <w:sdt>
              <w:sdtPr>
                <w:rPr>
                  <w:color w:val="000000"/>
                </w:rPr>
                <w:tag w:val="MENDELEY_CITATION_v3_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"/>
                <w:id w:val="-1721512032"/>
                <w:placeholder>
                  <w:docPart w:val="EA492B379251784A8EF33F6B6775C3A8"/>
                </w:placeholder>
              </w:sdtPr>
              <w:sdtContent>
                <w:r w:rsidRPr="00273871">
                  <w:rPr>
                    <w:color w:val="000000"/>
                  </w:rPr>
                  <w:t>(DELWP, 2017b)</w:t>
                </w:r>
              </w:sdtContent>
            </w:sdt>
          </w:p>
          <w:p w14:paraId="01DFB5BE" w14:textId="77777777" w:rsidR="008C1AD8" w:rsidRPr="00980D4D" w:rsidRDefault="008C1AD8" w:rsidP="00A15226">
            <w:pPr>
              <w:pStyle w:val="Tabletext"/>
            </w:pPr>
            <w:r>
              <w:t xml:space="preserve">Growling Grass Frog Crossing Design Standards Melbourne Strategic Assessment </w:t>
            </w:r>
            <w:sdt>
              <w:sdtPr>
                <w:rPr>
                  <w:color w:val="000000"/>
                </w:rPr>
                <w:tag w:val="MENDELEY_CITATION_v3_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"/>
                <w:id w:val="347147492"/>
                <w:placeholder>
                  <w:docPart w:val="EA492B379251784A8EF33F6B6775C3A8"/>
                </w:placeholder>
              </w:sdtPr>
              <w:sdtContent>
                <w:r w:rsidRPr="00273871">
                  <w:rPr>
                    <w:color w:val="000000"/>
                  </w:rPr>
                  <w:t>(DELWP, 2017a)</w:t>
                </w:r>
              </w:sdtContent>
            </w:sdt>
          </w:p>
        </w:tc>
      </w:tr>
      <w:tr w:rsidR="008C1AD8" w:rsidRPr="000816D6" w14:paraId="160BB2EC" w14:textId="77777777" w:rsidTr="00A15226">
        <w:tc>
          <w:tcPr>
            <w:tcW w:w="1526" w:type="dxa"/>
            <w:vAlign w:val="center"/>
          </w:tcPr>
          <w:p w14:paraId="40C0C63D" w14:textId="77777777" w:rsidR="008C1AD8" w:rsidRPr="000816D6" w:rsidRDefault="008C1AD8" w:rsidP="00A15226">
            <w:pPr>
              <w:pStyle w:val="Tabletext"/>
              <w:rPr>
                <w:rFonts w:ascii="Helvetica" w:hAnsi="Helvetica"/>
                <w:b/>
                <w:bCs/>
                <w:sz w:val="14"/>
              </w:rPr>
            </w:pPr>
            <w:r w:rsidRPr="000816D6">
              <w:rPr>
                <w:rFonts w:ascii="Helvetica" w:hAnsi="Helvetica"/>
                <w:b/>
                <w:bCs/>
                <w:sz w:val="14"/>
              </w:rPr>
              <w:lastRenderedPageBreak/>
              <w:t>SPRAT LINK</w:t>
            </w:r>
          </w:p>
        </w:tc>
        <w:tc>
          <w:tcPr>
            <w:tcW w:w="8113" w:type="dxa"/>
            <w:vAlign w:val="center"/>
          </w:tcPr>
          <w:p w14:paraId="3E81D66C" w14:textId="77777777" w:rsidR="008C1AD8" w:rsidRPr="003E1ADD" w:rsidRDefault="008C1AD8" w:rsidP="00A15226">
            <w:pPr>
              <w:pStyle w:val="Tabletext"/>
            </w:pPr>
            <w:r w:rsidRPr="000864BB">
              <w:t>http://www.environment.gov.au/cgi-bin/sprat/public/publicspecies.pl?taxon_id=1828</w:t>
            </w:r>
          </w:p>
        </w:tc>
      </w:tr>
    </w:tbl>
    <w:p w14:paraId="59DBB85D"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7967B06D" w14:textId="77777777" w:rsidTr="00A15226">
        <w:tc>
          <w:tcPr>
            <w:tcW w:w="9622" w:type="dxa"/>
            <w:shd w:val="clear" w:color="auto" w:fill="C9C9C9" w:themeFill="accent3" w:themeFillTint="99"/>
          </w:tcPr>
          <w:p w14:paraId="5D3C9D34" w14:textId="77777777" w:rsidR="008C1AD8" w:rsidRPr="008F55BC" w:rsidRDefault="008C1AD8" w:rsidP="00A15226">
            <w:pPr>
              <w:pStyle w:val="Tabletext"/>
              <w:keepNext/>
              <w:keepLines/>
              <w:rPr>
                <w:b/>
                <w:bCs/>
              </w:rPr>
            </w:pPr>
            <w:r>
              <w:rPr>
                <w:rFonts w:ascii="Helvetica" w:hAnsi="Helvetica"/>
                <w:b/>
                <w:sz w:val="16"/>
                <w:szCs w:val="16"/>
              </w:rPr>
              <w:t>APPROACH TO BASELINE DATA</w:t>
            </w:r>
          </w:p>
        </w:tc>
      </w:tr>
    </w:tbl>
    <w:p w14:paraId="19E82BF4" w14:textId="77777777" w:rsidR="008C1AD8" w:rsidRPr="0007741A" w:rsidRDefault="008C1AD8" w:rsidP="008C1AD8">
      <w:pPr>
        <w:keepNext/>
        <w:keepLines/>
        <w:rPr>
          <w:i/>
          <w:iCs/>
          <w:color w:val="4472C4" w:themeColor="accent1"/>
        </w:rPr>
      </w:pPr>
      <w:r w:rsidRPr="0007741A">
        <w:rPr>
          <w:i/>
          <w:iCs/>
          <w:color w:val="4472C4" w:themeColor="accent1"/>
        </w:rPr>
        <w:t>This section provides a summary of the baseline information used in the assessment. It sets out:</w:t>
      </w:r>
    </w:p>
    <w:p w14:paraId="7AEAE7C2" w14:textId="77777777" w:rsidR="008C1AD8" w:rsidRPr="0007741A" w:rsidRDefault="008C1AD8" w:rsidP="008C1AD8">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20C9FF8E" w14:textId="77777777" w:rsidR="008C1AD8" w:rsidRDefault="008C1AD8" w:rsidP="008C1AD8">
      <w:pPr>
        <w:pStyle w:val="Bullet1"/>
        <w:rPr>
          <w:i/>
          <w:iCs/>
          <w:color w:val="4472C4" w:themeColor="accent1"/>
        </w:rPr>
      </w:pPr>
      <w:r w:rsidRPr="0007741A">
        <w:rPr>
          <w:i/>
          <w:iCs/>
          <w:color w:val="4472C4" w:themeColor="accent1"/>
        </w:rPr>
        <w:t>An overview of the population mapping for the species</w:t>
      </w:r>
    </w:p>
    <w:p w14:paraId="005DAAA7" w14:textId="77777777" w:rsidR="008C1AD8" w:rsidRPr="00296917" w:rsidRDefault="008C1AD8" w:rsidP="008C1AD8">
      <w:pPr>
        <w:rPr>
          <w:i/>
          <w:color w:val="4472C4" w:themeColor="accent1"/>
        </w:rPr>
      </w:pPr>
      <w:r w:rsidRPr="00B87A7D">
        <w:rPr>
          <w:i/>
          <w:color w:val="4472C4" w:themeColor="accent1"/>
        </w:rPr>
        <w:t xml:space="preserve">Please refer </w:t>
      </w:r>
      <w:r w:rsidRPr="005972DC">
        <w:rPr>
          <w:i/>
          <w:color w:val="4472C4" w:themeColor="accent1"/>
        </w:rPr>
        <w:t xml:space="preserve">to </w:t>
      </w:r>
      <w:r w:rsidRPr="009E63A2">
        <w:rPr>
          <w:i/>
          <w:color w:val="4472C4" w:themeColor="accent1"/>
        </w:rPr>
        <w:t>Chapter 13</w:t>
      </w:r>
      <w:r w:rsidRPr="005972DC">
        <w:rPr>
          <w:i/>
          <w:color w:val="4472C4" w:themeColor="accent1"/>
        </w:rPr>
        <w:t xml:space="preserve"> for</w:t>
      </w:r>
      <w:r w:rsidRPr="00B87A7D">
        <w:rPr>
          <w:i/>
          <w:color w:val="4472C4" w:themeColor="accent1"/>
        </w:rPr>
        <w:t xml:space="preserve"> further details about the approach to threatened species baseline data, including a description of the</w:t>
      </w:r>
      <w:r>
        <w:rPr>
          <w:i/>
          <w:color w:val="4472C4" w:themeColor="accent1"/>
        </w:rPr>
        <w:t xml:space="preserv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980D4D" w14:paraId="2CC2825D" w14:textId="77777777" w:rsidTr="00A15226">
        <w:tc>
          <w:tcPr>
            <w:tcW w:w="1526" w:type="dxa"/>
            <w:vMerge w:val="restart"/>
            <w:vAlign w:val="center"/>
          </w:tcPr>
          <w:p w14:paraId="246887C2" w14:textId="77777777" w:rsidR="008C1AD8" w:rsidRDefault="008C1AD8"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592CF511" w14:textId="77777777" w:rsidR="008C1AD8" w:rsidRDefault="008C1AD8"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8C1AD8" w:rsidRPr="00980D4D" w14:paraId="628EB8B0" w14:textId="77777777" w:rsidTr="00A15226">
        <w:trPr>
          <w:trHeight w:val="63"/>
        </w:trPr>
        <w:tc>
          <w:tcPr>
            <w:tcW w:w="1526" w:type="dxa"/>
            <w:vMerge/>
            <w:vAlign w:val="center"/>
          </w:tcPr>
          <w:p w14:paraId="3D1006EC" w14:textId="77777777" w:rsidR="008C1AD8" w:rsidRDefault="008C1AD8" w:rsidP="00A15226">
            <w:pPr>
              <w:pStyle w:val="Tabletext"/>
              <w:rPr>
                <w:rFonts w:ascii="Helvetica" w:hAnsi="Helvetica"/>
                <w:b/>
                <w:bCs/>
                <w:sz w:val="14"/>
              </w:rPr>
            </w:pPr>
          </w:p>
        </w:tc>
        <w:tc>
          <w:tcPr>
            <w:tcW w:w="8113" w:type="dxa"/>
            <w:tcBorders>
              <w:bottom w:val="single" w:sz="4" w:space="0" w:color="D9D9D9" w:themeColor="background1" w:themeShade="D9"/>
            </w:tcBorders>
            <w:vAlign w:val="center"/>
          </w:tcPr>
          <w:p w14:paraId="2AE65D1C" w14:textId="77777777" w:rsidR="008C1AD8" w:rsidRPr="00C36241" w:rsidRDefault="008C1AD8" w:rsidP="00A15226">
            <w:pPr>
              <w:pStyle w:val="Tabletext"/>
            </w:pPr>
            <w:r w:rsidRPr="00495244">
              <w:t>Habitat mapping</w:t>
            </w:r>
            <w:r w:rsidRPr="00372909">
              <w:t xml:space="preserve"> for GGF within the surveyed areas of the growth areas </w:t>
            </w:r>
            <w:r>
              <w:t xml:space="preserve">is based on EHP survey results </w:t>
            </w:r>
            <w:sdt>
              <w:sdtPr>
                <w:rPr>
                  <w:color w:val="000000"/>
                </w:rPr>
                <w:tag w:val="MENDELEY_CITATION_v3_eyJjaXRhdGlvbklEIjoiTUVOREVMRVlfQ0lUQVRJT05fOTk3OGFkMDAtZmIyZS00MzU5LTliODMtZTA1M2E3ODdiYWY3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759105526"/>
                <w:placeholder>
                  <w:docPart w:val="EA492B379251784A8EF33F6B6775C3A8"/>
                </w:placeholder>
              </w:sdtPr>
              <w:sdtContent>
                <w:r w:rsidRPr="00273871">
                  <w:rPr>
                    <w:color w:val="000000"/>
                  </w:rPr>
                  <w:t>(EHP, 2021)</w:t>
                </w:r>
              </w:sdtContent>
            </w:sdt>
            <w:r>
              <w:t xml:space="preserve">. </w:t>
            </w:r>
            <w:r w:rsidRPr="001D67F7">
              <w:t xml:space="preserve">The species was recorded within Cowies Creek during targeted surveys, and the native vegetation along </w:t>
            </w:r>
            <w:r>
              <w:t>Cowies Creek has been mapped as habitat for the species.</w:t>
            </w:r>
          </w:p>
        </w:tc>
      </w:tr>
      <w:tr w:rsidR="008C1AD8" w:rsidRPr="00980D4D" w14:paraId="302C5004" w14:textId="77777777" w:rsidTr="00A15226">
        <w:trPr>
          <w:trHeight w:val="253"/>
        </w:trPr>
        <w:tc>
          <w:tcPr>
            <w:tcW w:w="1526" w:type="dxa"/>
            <w:vMerge/>
            <w:vAlign w:val="center"/>
          </w:tcPr>
          <w:p w14:paraId="185016A6" w14:textId="77777777" w:rsidR="008C1AD8" w:rsidRDefault="008C1AD8" w:rsidP="00A15226">
            <w:pPr>
              <w:pStyle w:val="Tabletext"/>
              <w:rPr>
                <w:rFonts w:ascii="Helvetica" w:hAnsi="Helvetica"/>
                <w:b/>
                <w:bCs/>
                <w:sz w:val="14"/>
              </w:rPr>
            </w:pPr>
          </w:p>
        </w:tc>
        <w:tc>
          <w:tcPr>
            <w:tcW w:w="8113" w:type="dxa"/>
            <w:tcBorders>
              <w:top w:val="single" w:sz="4" w:space="0" w:color="D9D9D9" w:themeColor="background1" w:themeShade="D9"/>
              <w:bottom w:val="single" w:sz="4" w:space="0" w:color="D9D9D9" w:themeColor="background1" w:themeShade="D9"/>
            </w:tcBorders>
            <w:shd w:val="clear" w:color="auto" w:fill="B4C6E7" w:themeFill="accent1" w:themeFillTint="66"/>
            <w:vAlign w:val="center"/>
          </w:tcPr>
          <w:p w14:paraId="5381A88F" w14:textId="77777777" w:rsidR="008C1AD8" w:rsidDel="00224CD9" w:rsidRDefault="008C1AD8" w:rsidP="00A15226">
            <w:pPr>
              <w:pStyle w:val="Bullet1"/>
              <w:numPr>
                <w:ilvl w:val="0"/>
                <w:numId w:val="0"/>
              </w:numPr>
              <w:ind w:left="360" w:hanging="360"/>
              <w:rPr>
                <w:b/>
                <w:bCs/>
              </w:rPr>
            </w:pPr>
            <w:r w:rsidRPr="001E34D1">
              <w:rPr>
                <w:rFonts w:ascii="Helvetica" w:hAnsi="Helvetica"/>
                <w:b/>
                <w:bCs/>
                <w:sz w:val="14"/>
              </w:rPr>
              <w:t>WITHIN THE UNSURVEYED AREAS OF THE GROWTH AREAS</w:t>
            </w:r>
          </w:p>
        </w:tc>
      </w:tr>
      <w:tr w:rsidR="008C1AD8" w:rsidRPr="00980D4D" w14:paraId="2AC38B28" w14:textId="77777777" w:rsidTr="00A15226">
        <w:trPr>
          <w:trHeight w:val="63"/>
        </w:trPr>
        <w:tc>
          <w:tcPr>
            <w:tcW w:w="1526" w:type="dxa"/>
            <w:vMerge/>
            <w:vAlign w:val="center"/>
          </w:tcPr>
          <w:p w14:paraId="2F0669AB" w14:textId="77777777" w:rsidR="008C1AD8" w:rsidRDefault="008C1AD8" w:rsidP="00A15226">
            <w:pPr>
              <w:pStyle w:val="Tabletext"/>
              <w:rPr>
                <w:rFonts w:ascii="Helvetica" w:hAnsi="Helvetica"/>
                <w:b/>
                <w:bCs/>
                <w:sz w:val="14"/>
              </w:rPr>
            </w:pPr>
          </w:p>
        </w:tc>
        <w:tc>
          <w:tcPr>
            <w:tcW w:w="8113" w:type="dxa"/>
            <w:tcBorders>
              <w:top w:val="single" w:sz="4" w:space="0" w:color="D9D9D9" w:themeColor="background1" w:themeShade="D9"/>
            </w:tcBorders>
            <w:vAlign w:val="center"/>
          </w:tcPr>
          <w:p w14:paraId="24109226" w14:textId="77777777" w:rsidR="008C1AD8" w:rsidRPr="004B25A5" w:rsidDel="00224CD9" w:rsidRDefault="008C1AD8" w:rsidP="00A15226">
            <w:pPr>
              <w:pStyle w:val="Tabletext"/>
              <w:rPr>
                <w:b/>
                <w:bCs/>
                <w:highlight w:val="green"/>
              </w:rPr>
            </w:pPr>
            <w:r w:rsidRPr="00D277D7">
              <w:t xml:space="preserve">There </w:t>
            </w:r>
            <w:r>
              <w:t xml:space="preserve">is no potential habitat for GGF in the unsurveyed areas of the growth areas. </w:t>
            </w:r>
          </w:p>
        </w:tc>
      </w:tr>
      <w:tr w:rsidR="008C1AD8" w:rsidRPr="00980D4D" w14:paraId="3E2B3370" w14:textId="77777777" w:rsidTr="00A15226">
        <w:tc>
          <w:tcPr>
            <w:tcW w:w="1526" w:type="dxa"/>
            <w:vMerge/>
            <w:vAlign w:val="center"/>
          </w:tcPr>
          <w:p w14:paraId="2ABE3EB8"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5F78F3BB" w14:textId="77777777" w:rsidR="008C1AD8" w:rsidRDefault="008C1AD8"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8C1AD8" w:rsidRPr="00980D4D" w14:paraId="2DE29FBC" w14:textId="77777777" w:rsidTr="00A15226">
        <w:trPr>
          <w:trHeight w:val="63"/>
        </w:trPr>
        <w:tc>
          <w:tcPr>
            <w:tcW w:w="1526" w:type="dxa"/>
            <w:vMerge/>
            <w:vAlign w:val="center"/>
          </w:tcPr>
          <w:p w14:paraId="1A6115C0" w14:textId="77777777" w:rsidR="008C1AD8" w:rsidRPr="000816D6" w:rsidRDefault="008C1AD8" w:rsidP="00A15226">
            <w:pPr>
              <w:pStyle w:val="Tabletext"/>
              <w:rPr>
                <w:rFonts w:ascii="Helvetica" w:hAnsi="Helvetica"/>
                <w:b/>
                <w:bCs/>
                <w:sz w:val="14"/>
              </w:rPr>
            </w:pPr>
          </w:p>
        </w:tc>
        <w:tc>
          <w:tcPr>
            <w:tcW w:w="8113" w:type="dxa"/>
            <w:vAlign w:val="center"/>
          </w:tcPr>
          <w:p w14:paraId="198C13DC" w14:textId="77777777" w:rsidR="008C1AD8" w:rsidRPr="000D2E45" w:rsidRDefault="008C1AD8" w:rsidP="00A15226">
            <w:pPr>
              <w:pStyle w:val="Tabletext"/>
            </w:pPr>
            <w:r w:rsidRPr="00D277D7">
              <w:t xml:space="preserve">Habitat mapping across the broader Strategic Assessment Area and Study Area was based on the </w:t>
            </w:r>
            <w:r>
              <w:t>GGF</w:t>
            </w:r>
            <w:r w:rsidRPr="00D277D7">
              <w:t xml:space="preserve"> HIM prepared by DELWP </w:t>
            </w:r>
            <w:sdt>
              <w:sdtPr>
                <w:rPr>
                  <w:color w:val="000000"/>
                </w:rPr>
                <w:tag w:val="MENDELEY_CITATION_v3_eyJjaXRhdGlvbklEIjoiTUVOREVMRVlfQ0lUQVRJT05fMWJmYzE0OWQtYTk2My00ZmM1LTk4MjUtMjlhNjI3ZTU4NGQz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734746395"/>
                <w:placeholder>
                  <w:docPart w:val="EA492B379251784A8EF33F6B6775C3A8"/>
                </w:placeholder>
              </w:sdtPr>
              <w:sdtContent>
                <w:r w:rsidRPr="00273871">
                  <w:rPr>
                    <w:color w:val="000000"/>
                  </w:rPr>
                  <w:t>(DELWP, 2017d)</w:t>
                </w:r>
              </w:sdtContent>
            </w:sdt>
            <w:r>
              <w:t>.</w:t>
            </w:r>
          </w:p>
        </w:tc>
      </w:tr>
      <w:tr w:rsidR="008C1AD8" w:rsidRPr="003E1ADD" w14:paraId="7B1B8BAE" w14:textId="77777777" w:rsidTr="00A15226">
        <w:tc>
          <w:tcPr>
            <w:tcW w:w="1526" w:type="dxa"/>
            <w:vMerge w:val="restart"/>
            <w:vAlign w:val="center"/>
          </w:tcPr>
          <w:p w14:paraId="6A16CDB4" w14:textId="77777777" w:rsidR="008C1AD8" w:rsidRPr="000816D6" w:rsidRDefault="008C1AD8"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07DE6D80" w14:textId="77777777" w:rsidR="008C1AD8" w:rsidRPr="00BB022D" w:rsidRDefault="008C1AD8" w:rsidP="00A15226">
            <w:pPr>
              <w:pStyle w:val="Bullet1"/>
              <w:numPr>
                <w:ilvl w:val="0"/>
                <w:numId w:val="0"/>
              </w:numPr>
              <w:ind w:left="360" w:hanging="360"/>
            </w:pPr>
            <w:r w:rsidRPr="000816D6">
              <w:rPr>
                <w:rFonts w:ascii="Helvetica" w:hAnsi="Helvetica"/>
                <w:b/>
                <w:bCs/>
                <w:sz w:val="14"/>
              </w:rPr>
              <w:t>RECORD SELECTION</w:t>
            </w:r>
          </w:p>
        </w:tc>
      </w:tr>
      <w:tr w:rsidR="008C1AD8" w:rsidRPr="003E1ADD" w14:paraId="30E32FEC" w14:textId="77777777" w:rsidTr="00A15226">
        <w:tc>
          <w:tcPr>
            <w:tcW w:w="1526" w:type="dxa"/>
            <w:vMerge/>
            <w:vAlign w:val="center"/>
          </w:tcPr>
          <w:p w14:paraId="6ACA9DA6" w14:textId="77777777" w:rsidR="008C1AD8" w:rsidRDefault="008C1AD8" w:rsidP="00A15226">
            <w:pPr>
              <w:pStyle w:val="Tabletext"/>
              <w:rPr>
                <w:rFonts w:ascii="Helvetica" w:hAnsi="Helvetica"/>
                <w:b/>
                <w:bCs/>
                <w:sz w:val="14"/>
              </w:rPr>
            </w:pPr>
          </w:p>
        </w:tc>
        <w:tc>
          <w:tcPr>
            <w:tcW w:w="8113" w:type="dxa"/>
            <w:vAlign w:val="center"/>
          </w:tcPr>
          <w:p w14:paraId="7A0EEADA" w14:textId="77777777" w:rsidR="008C1AD8" w:rsidRDefault="008C1AD8" w:rsidP="00A15226">
            <w:pPr>
              <w:pStyle w:val="Tabletext"/>
            </w:pPr>
            <w:r w:rsidRPr="00144837">
              <w:t>Species records were compiled from the VBA</w:t>
            </w:r>
            <w:r>
              <w:t xml:space="preserve">, </w:t>
            </w:r>
            <w:r w:rsidRPr="00144837">
              <w:t>surveys undertaken by EHP</w:t>
            </w:r>
            <w:r>
              <w:t xml:space="preserve">, and a report by Beacon Ecological </w:t>
            </w:r>
            <w:sdt>
              <w:sdtPr>
                <w:rPr>
                  <w:color w:val="000000"/>
                </w:rPr>
                <w:tag w:val="MENDELEY_CITATION_v3_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"/>
                <w:id w:val="546104998"/>
                <w:placeholder>
                  <w:docPart w:val="EA492B379251784A8EF33F6B6775C3A8"/>
                </w:placeholder>
              </w:sdtPr>
              <w:sdtContent>
                <w:r w:rsidRPr="00273871">
                  <w:rPr>
                    <w:color w:val="000000"/>
                  </w:rPr>
                  <w:t>(Beacon Ecological, 2010)</w:t>
                </w:r>
              </w:sdtContent>
            </w:sdt>
            <w:r w:rsidRPr="00144837">
              <w:t xml:space="preserve">. </w:t>
            </w:r>
          </w:p>
          <w:p w14:paraId="2954AFA6" w14:textId="77777777" w:rsidR="008C1AD8" w:rsidRPr="00144837" w:rsidRDefault="008C1AD8" w:rsidP="00A15226">
            <w:pPr>
              <w:pStyle w:val="Tabletext"/>
            </w:pPr>
            <w:r w:rsidRPr="00144837">
              <w:t>The VBA records were filtered to remove records prior to 1990 for the purpose of the impact assessment</w:t>
            </w:r>
            <w:r>
              <w:t>.</w:t>
            </w:r>
          </w:p>
        </w:tc>
      </w:tr>
      <w:tr w:rsidR="008C1AD8" w:rsidRPr="003E1ADD" w14:paraId="2A1F763F" w14:textId="77777777" w:rsidTr="00A15226">
        <w:tc>
          <w:tcPr>
            <w:tcW w:w="1526" w:type="dxa"/>
            <w:vMerge/>
            <w:vAlign w:val="center"/>
          </w:tcPr>
          <w:p w14:paraId="16B2488E"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50961E91" w14:textId="77777777" w:rsidR="008C1AD8" w:rsidRPr="00BB022D" w:rsidRDefault="008C1AD8" w:rsidP="00A15226">
            <w:pPr>
              <w:pStyle w:val="Bullet1"/>
              <w:numPr>
                <w:ilvl w:val="0"/>
                <w:numId w:val="0"/>
              </w:numPr>
              <w:ind w:left="360" w:hanging="360"/>
            </w:pPr>
            <w:r>
              <w:rPr>
                <w:rFonts w:ascii="Helvetica" w:hAnsi="Helvetica"/>
                <w:b/>
                <w:bCs/>
                <w:sz w:val="14"/>
              </w:rPr>
              <w:t>RECORD DOWNLOAD DATE</w:t>
            </w:r>
          </w:p>
        </w:tc>
      </w:tr>
      <w:tr w:rsidR="008C1AD8" w:rsidRPr="003E1ADD" w14:paraId="2F4FE49F" w14:textId="77777777" w:rsidTr="00A15226">
        <w:tc>
          <w:tcPr>
            <w:tcW w:w="1526" w:type="dxa"/>
            <w:vMerge/>
            <w:vAlign w:val="center"/>
          </w:tcPr>
          <w:p w14:paraId="14081300" w14:textId="77777777" w:rsidR="008C1AD8" w:rsidRDefault="008C1AD8" w:rsidP="00A15226">
            <w:pPr>
              <w:pStyle w:val="Tabletext"/>
              <w:rPr>
                <w:rFonts w:ascii="Helvetica" w:hAnsi="Helvetica"/>
                <w:b/>
                <w:bCs/>
                <w:sz w:val="14"/>
              </w:rPr>
            </w:pPr>
          </w:p>
        </w:tc>
        <w:tc>
          <w:tcPr>
            <w:tcW w:w="8113" w:type="dxa"/>
            <w:vAlign w:val="center"/>
          </w:tcPr>
          <w:p w14:paraId="14CD9EC0" w14:textId="77777777" w:rsidR="008C1AD8" w:rsidRPr="00EE497E" w:rsidRDefault="008C1AD8" w:rsidP="00A15226">
            <w:pPr>
              <w:pStyle w:val="Bullet1"/>
              <w:numPr>
                <w:ilvl w:val="0"/>
                <w:numId w:val="0"/>
              </w:numPr>
              <w:ind w:left="360" w:hanging="360"/>
            </w:pPr>
            <w:r w:rsidRPr="00144837">
              <w:t>VBA records for GGF used in this assessment were downloaded in June 2022.</w:t>
            </w:r>
          </w:p>
        </w:tc>
      </w:tr>
      <w:tr w:rsidR="008C1AD8" w:rsidRPr="003E1ADD" w14:paraId="4B667655" w14:textId="77777777" w:rsidTr="00A15226">
        <w:tc>
          <w:tcPr>
            <w:tcW w:w="1526" w:type="dxa"/>
            <w:vMerge/>
            <w:vAlign w:val="center"/>
          </w:tcPr>
          <w:p w14:paraId="27027C6F"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256C6B8B" w14:textId="77777777" w:rsidR="008C1AD8" w:rsidRPr="00BB022D" w:rsidRDefault="008C1AD8" w:rsidP="00A15226">
            <w:pPr>
              <w:pStyle w:val="Bullet1"/>
              <w:keepNext/>
              <w:keepLines/>
              <w:numPr>
                <w:ilvl w:val="0"/>
                <w:numId w:val="0"/>
              </w:numPr>
              <w:ind w:left="357" w:hanging="357"/>
            </w:pPr>
            <w:r>
              <w:rPr>
                <w:rFonts w:ascii="Helvetica" w:hAnsi="Helvetica"/>
                <w:b/>
                <w:bCs/>
                <w:sz w:val="14"/>
              </w:rPr>
              <w:t>POPULATION DEFINITION</w:t>
            </w:r>
          </w:p>
        </w:tc>
      </w:tr>
      <w:tr w:rsidR="008C1AD8" w:rsidRPr="003E1ADD" w14:paraId="0EE9B959" w14:textId="77777777" w:rsidTr="00A15226">
        <w:tc>
          <w:tcPr>
            <w:tcW w:w="1526" w:type="dxa"/>
            <w:vMerge/>
            <w:vAlign w:val="center"/>
          </w:tcPr>
          <w:p w14:paraId="34D6759E" w14:textId="77777777" w:rsidR="008C1AD8" w:rsidRDefault="008C1AD8" w:rsidP="00A15226">
            <w:pPr>
              <w:pStyle w:val="Tabletext"/>
              <w:rPr>
                <w:rFonts w:ascii="Helvetica" w:hAnsi="Helvetica"/>
                <w:b/>
                <w:bCs/>
                <w:sz w:val="14"/>
              </w:rPr>
            </w:pPr>
          </w:p>
        </w:tc>
        <w:tc>
          <w:tcPr>
            <w:tcW w:w="8113" w:type="dxa"/>
            <w:vAlign w:val="center"/>
          </w:tcPr>
          <w:p w14:paraId="226B06F7" w14:textId="77777777" w:rsidR="008C1AD8" w:rsidRDefault="008C1AD8" w:rsidP="00A15226">
            <w:pPr>
              <w:pStyle w:val="Tabletext"/>
              <w:spacing w:before="120" w:after="120"/>
            </w:pPr>
            <w:r>
              <w:t>For the purposes of this Strategic Assessment Report, the following definitions are applied to GGF:</w:t>
            </w:r>
          </w:p>
          <w:p w14:paraId="7EF70007" w14:textId="77777777" w:rsidR="008C1AD8" w:rsidRPr="00B8015A" w:rsidRDefault="008C1AD8" w:rsidP="00A15226">
            <w:pPr>
              <w:pStyle w:val="Bullet1"/>
            </w:pPr>
            <w:r>
              <w:t>P</w:t>
            </w:r>
            <w:r w:rsidRPr="00EF3A5F">
              <w:t>opulati</w:t>
            </w:r>
            <w:r w:rsidRPr="00B8015A">
              <w:t>on: a group of GGF present at a discrete wetland site</w:t>
            </w:r>
          </w:p>
          <w:p w14:paraId="64C905A0" w14:textId="77777777" w:rsidR="008C1AD8" w:rsidRPr="00BB022D" w:rsidRDefault="008C1AD8" w:rsidP="00A15226">
            <w:pPr>
              <w:pStyle w:val="Bullet1"/>
            </w:pPr>
            <w:r>
              <w:t>M</w:t>
            </w:r>
            <w:r w:rsidRPr="00EF3A5F">
              <w:t>etapopulation:</w:t>
            </w:r>
            <w:r>
              <w:t xml:space="preserve"> </w:t>
            </w:r>
            <w:r w:rsidRPr="00D9566F">
              <w:t>multiple populations connected by migration</w:t>
            </w:r>
            <w:r>
              <w:t xml:space="preserve"> </w:t>
            </w:r>
            <w:sdt>
              <w:sdtPr>
                <w:rPr>
                  <w:color w:val="000000"/>
                </w:rPr>
                <w:tag w:val="MENDELEY_CITATION_v3_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"/>
                <w:id w:val="1703590638"/>
                <w:placeholder>
                  <w:docPart w:val="EA492B379251784A8EF33F6B6775C3A8"/>
                </w:placeholder>
              </w:sdtPr>
              <w:sdtContent>
                <w:r w:rsidRPr="00273871">
                  <w:rPr>
                    <w:color w:val="000000"/>
                  </w:rPr>
                  <w:t>(DELWP, 2017b)</w:t>
                </w:r>
              </w:sdtContent>
            </w:sdt>
            <w:r>
              <w:t xml:space="preserve"> </w:t>
            </w:r>
          </w:p>
        </w:tc>
      </w:tr>
    </w:tbl>
    <w:p w14:paraId="3778463A"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3648A394" w14:textId="77777777" w:rsidTr="00A15226">
        <w:tc>
          <w:tcPr>
            <w:tcW w:w="9622" w:type="dxa"/>
            <w:shd w:val="clear" w:color="auto" w:fill="C9C9C9" w:themeFill="accent3" w:themeFillTint="99"/>
          </w:tcPr>
          <w:p w14:paraId="1C2AF012" w14:textId="77777777" w:rsidR="008C1AD8" w:rsidRPr="008F55BC" w:rsidRDefault="008C1AD8" w:rsidP="00A15226">
            <w:pPr>
              <w:pStyle w:val="Tabletext"/>
              <w:keepNext/>
              <w:keepLines/>
              <w:rPr>
                <w:b/>
                <w:bCs/>
              </w:rPr>
            </w:pPr>
            <w:r>
              <w:rPr>
                <w:rFonts w:ascii="Helvetica" w:hAnsi="Helvetica"/>
                <w:b/>
                <w:sz w:val="16"/>
                <w:szCs w:val="16"/>
              </w:rPr>
              <w:lastRenderedPageBreak/>
              <w:t>OC</w:t>
            </w:r>
            <w:r w:rsidRPr="008F55BC">
              <w:rPr>
                <w:rFonts w:ascii="Helvetica" w:hAnsi="Helvetica"/>
                <w:b/>
                <w:sz w:val="16"/>
                <w:szCs w:val="16"/>
              </w:rPr>
              <w:t>C</w:t>
            </w:r>
            <w:r>
              <w:rPr>
                <w:rFonts w:ascii="Helvetica" w:hAnsi="Helvetica"/>
                <w:b/>
                <w:sz w:val="16"/>
                <w:szCs w:val="16"/>
              </w:rPr>
              <w:t>URRENCE IN THE STUDY AREA</w:t>
            </w:r>
          </w:p>
        </w:tc>
      </w:tr>
    </w:tbl>
    <w:p w14:paraId="1BB831B8" w14:textId="77777777" w:rsidR="008C1AD8" w:rsidRPr="003B08F2" w:rsidRDefault="008C1AD8" w:rsidP="008C1AD8">
      <w:pPr>
        <w:rPr>
          <w:i/>
          <w:iCs/>
          <w:color w:val="4472C4" w:themeColor="accent1"/>
        </w:rPr>
      </w:pPr>
      <w:r w:rsidRPr="00271C7B">
        <w:rPr>
          <w:i/>
          <w:iCs/>
          <w:color w:val="4472C4" w:themeColor="accent1"/>
        </w:rPr>
        <w:t>This section describes the occurrence of the species in the Study Area. It includes reference to map</w:t>
      </w:r>
      <w:r>
        <w:rPr>
          <w:i/>
          <w:iCs/>
          <w:color w:val="4472C4" w:themeColor="accent1"/>
        </w:rPr>
        <w:t>s</w:t>
      </w:r>
      <w:r w:rsidRPr="00271C7B">
        <w:rPr>
          <w:i/>
          <w:iCs/>
          <w:color w:val="4472C4" w:themeColor="accent1"/>
        </w:rPr>
        <w:t xml:space="preserve"> of records and habitat which can be viewed as separate file</w:t>
      </w:r>
      <w:r>
        <w:rPr>
          <w:i/>
          <w:iCs/>
          <w:color w:val="4472C4" w:themeColor="accent1"/>
        </w:rPr>
        <w:t>s</w:t>
      </w:r>
      <w:r w:rsidRPr="00271C7B">
        <w:rPr>
          <w:i/>
          <w:iCs/>
          <w:color w:val="4472C4" w:themeColor="accent1"/>
        </w:rPr>
        <w:t>. The map</w:t>
      </w:r>
      <w:r>
        <w:rPr>
          <w:i/>
          <w:iCs/>
          <w:color w:val="4472C4" w:themeColor="accent1"/>
        </w:rPr>
        <w:t>s</w:t>
      </w:r>
      <w:r w:rsidRPr="00271C7B">
        <w:rPr>
          <w:i/>
          <w:iCs/>
          <w:color w:val="4472C4" w:themeColor="accent1"/>
        </w:rPr>
        <w:t xml:space="preserve"> provide critical context for the assessment and should be viewed in conjunction with the text presented in this assessment. </w:t>
      </w:r>
    </w:p>
    <w:p w14:paraId="0458283A" w14:textId="77777777" w:rsidR="008C1AD8" w:rsidRDefault="008C1AD8" w:rsidP="008C1AD8">
      <w:r>
        <w:t xml:space="preserve">GGF occurs within Cowies Creek in the Strategic Assessment Area (including within the WGGA) and in a variety of other locations throughout the broader Study Area. There is no suitable habitat for the species in the NGGA and it is not present in that growth area. </w:t>
      </w:r>
    </w:p>
    <w:p w14:paraId="450BFE61" w14:textId="77777777" w:rsidR="008C1AD8" w:rsidRDefault="008C1AD8" w:rsidP="008C1AD8">
      <w:r>
        <w:t xml:space="preserve">See </w:t>
      </w:r>
      <w:hyperlink r:id="rId28" w:history="1">
        <w:r w:rsidRPr="00466211">
          <w:rPr>
            <w:rStyle w:val="Hyperlink"/>
          </w:rPr>
          <w:t>Map 19-4</w:t>
        </w:r>
      </w:hyperlink>
      <w:r w:rsidRPr="005972DC">
        <w:t xml:space="preserve"> for a map of GGF records and habitat in the Cowies Creek corridor, and </w:t>
      </w:r>
      <w:hyperlink r:id="rId29" w:history="1">
        <w:r w:rsidRPr="00466211">
          <w:rPr>
            <w:rStyle w:val="Hyperlink"/>
          </w:rPr>
          <w:t>Map 19-5</w:t>
        </w:r>
      </w:hyperlink>
      <w:r w:rsidRPr="005972DC">
        <w:t xml:space="preserve"> for</w:t>
      </w:r>
      <w:r>
        <w:t xml:space="preserve"> records and modelled habitat across the broader Study Area. </w:t>
      </w:r>
    </w:p>
    <w:p w14:paraId="782AA9C0" w14:textId="77777777" w:rsidR="008C1AD8" w:rsidRPr="00537A69" w:rsidRDefault="008C1AD8" w:rsidP="008C1AD8">
      <w:pPr>
        <w:pStyle w:val="Heading3"/>
      </w:pPr>
      <w:r>
        <w:t>Occurrence within the Strategic Assessment Area</w:t>
      </w:r>
    </w:p>
    <w:p w14:paraId="17BF14C7" w14:textId="77777777" w:rsidR="008C1AD8" w:rsidRDefault="008C1AD8" w:rsidP="008C1AD8">
      <w:pPr>
        <w:pStyle w:val="Heading4"/>
      </w:pPr>
      <w:r>
        <w:t>Occurrence in the Cowies Creek corridor</w:t>
      </w:r>
    </w:p>
    <w:p w14:paraId="188CCAAC" w14:textId="77777777" w:rsidR="008C1AD8" w:rsidRDefault="008C1AD8" w:rsidP="008C1AD8">
      <w:r>
        <w:t xml:space="preserve">Cowies Creek supports an </w:t>
      </w:r>
      <w:r w:rsidRPr="00B8015A">
        <w:t>important metapopulation</w:t>
      </w:r>
      <w:r>
        <w:t xml:space="preserve"> of GGF both within and downstream of the WGGA. See below for discussion. </w:t>
      </w:r>
    </w:p>
    <w:p w14:paraId="6C47DAAF" w14:textId="77777777" w:rsidR="008C1AD8" w:rsidRDefault="008C1AD8" w:rsidP="008C1AD8">
      <w:pPr>
        <w:pStyle w:val="Heading5"/>
      </w:pPr>
      <w:r>
        <w:t>Cowies Creek within the WGGA</w:t>
      </w:r>
    </w:p>
    <w:p w14:paraId="1B9D603D" w14:textId="77777777" w:rsidR="008C1AD8" w:rsidRDefault="008C1AD8" w:rsidP="008C1AD8">
      <w:r w:rsidRPr="00C53ED1">
        <w:t>Cowies Creek within the WGGA</w:t>
      </w:r>
      <w:r>
        <w:t xml:space="preserve"> runs along the northern border of the Creamery Road Precinct. The northern boundary of the precinct is near a railway line and the creek occurs close to the line on a number of occasions. </w:t>
      </w:r>
    </w:p>
    <w:p w14:paraId="7F81D6F4" w14:textId="77777777" w:rsidR="008C1AD8" w:rsidRDefault="008C1AD8" w:rsidP="008C1AD8">
      <w:r>
        <w:t xml:space="preserve">EHP </w:t>
      </w:r>
      <w:sdt>
        <w:sdtPr>
          <w:rPr>
            <w:color w:val="000000"/>
          </w:rPr>
          <w:tag w:val="MENDELEY_CITATION_v3_eyJjaXRhdGlvbklEIjoiTUVOREVMRVlfQ0lUQVRJT05fYmZlYTBlNGItYTU1OC00ZTYwLWJjZDUtMzk3NDY5N2EyZGRm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237359330"/>
          <w:placeholder>
            <w:docPart w:val="EA492B379251784A8EF33F6B6775C3A8"/>
          </w:placeholder>
        </w:sdtPr>
        <w:sdtContent>
          <w:r w:rsidRPr="00273871">
            <w:rPr>
              <w:color w:val="000000"/>
            </w:rPr>
            <w:t>(EHP, 2021)</w:t>
          </w:r>
        </w:sdtContent>
      </w:sdt>
      <w:r>
        <w:t xml:space="preserve"> carried out targeted surveys for the species along Cowies Creek in the WGGA </w:t>
      </w:r>
      <w:r w:rsidRPr="0095695B">
        <w:t>on two occasions (6</w:t>
      </w:r>
      <w:r>
        <w:t> </w:t>
      </w:r>
      <w:r w:rsidRPr="0095695B">
        <w:t>December 2019 and 12 January 2020)</w:t>
      </w:r>
      <w:r>
        <w:t xml:space="preserve">. They recorded approximately 50 individuals across four sites. EHP considered that the area supported an important population (particularly because it contained a range of key habitat attributes) and that Cowies Creek was an important habitat corridor through the growth area. </w:t>
      </w:r>
    </w:p>
    <w:p w14:paraId="332043D4" w14:textId="77777777" w:rsidR="008C1AD8" w:rsidRDefault="008C1AD8" w:rsidP="008C1AD8">
      <w:r>
        <w:t xml:space="preserve">AECOM </w:t>
      </w:r>
      <w:sdt>
        <w:sdtPr>
          <w:rPr>
            <w:color w:val="000000"/>
          </w:rPr>
          <w:tag w:val="MENDELEY_CITATION_v3_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"/>
          <w:id w:val="430014274"/>
          <w:placeholder>
            <w:docPart w:val="EA492B379251784A8EF33F6B6775C3A8"/>
          </w:placeholder>
        </w:sdtPr>
        <w:sdtContent>
          <w:r w:rsidRPr="00273871">
            <w:rPr>
              <w:color w:val="000000"/>
            </w:rPr>
            <w:t>(AECOM, 2021)</w:t>
          </w:r>
        </w:sdtContent>
      </w:sdt>
      <w:r>
        <w:t xml:space="preserve"> described the habitat within Cowies Creek in the WGGA. The following description is drawn from that report:</w:t>
      </w:r>
    </w:p>
    <w:p w14:paraId="77D6F926" w14:textId="77777777" w:rsidR="008C1AD8" w:rsidRDefault="008C1AD8" w:rsidP="008C1AD8">
      <w:pPr>
        <w:pStyle w:val="Bullet1"/>
      </w:pPr>
      <w:r>
        <w:t>The creek includes the following aquatic habitat features:</w:t>
      </w:r>
    </w:p>
    <w:p w14:paraId="0D211E8B" w14:textId="77777777" w:rsidR="008C1AD8" w:rsidRDefault="008C1AD8" w:rsidP="008C1AD8">
      <w:pPr>
        <w:pStyle w:val="Bullet2"/>
      </w:pPr>
      <w:r>
        <w:t xml:space="preserve">A number of open, still or slow flowing pools that support GGF breeding habitat features including fringing emergent and floating vegetation (see </w:t>
      </w:r>
      <w:r>
        <w:fldChar w:fldCharType="begin"/>
      </w:r>
      <w:r>
        <w:instrText xml:space="preserve"> REF _Ref115716069 \h  \* MERGEFORMAT </w:instrText>
      </w:r>
      <w:r>
        <w:fldChar w:fldCharType="separate"/>
      </w:r>
      <w:r>
        <w:t xml:space="preserve">Figure </w:t>
      </w:r>
      <w:r>
        <w:rPr>
          <w:noProof/>
        </w:rPr>
        <w:t>19</w:t>
      </w:r>
      <w:r>
        <w:rPr>
          <w:noProof/>
        </w:rPr>
        <w:noBreakHyphen/>
        <w:t>1</w:t>
      </w:r>
      <w:r>
        <w:fldChar w:fldCharType="end"/>
      </w:r>
      <w:r>
        <w:t xml:space="preserve">). The four sites where EHP recorded the species were open pools, and there are a number of other pools along the creek that support similar features </w:t>
      </w:r>
    </w:p>
    <w:p w14:paraId="4A9D7803" w14:textId="77777777" w:rsidR="008C1AD8" w:rsidRDefault="008C1AD8" w:rsidP="008C1AD8">
      <w:pPr>
        <w:pStyle w:val="Bullet2"/>
      </w:pPr>
      <w:r>
        <w:t xml:space="preserve">Sections that are densely vegetated with reeds (see </w:t>
      </w:r>
      <w:r>
        <w:fldChar w:fldCharType="begin"/>
      </w:r>
      <w:r>
        <w:instrText xml:space="preserve"> REF _Ref115716164 \h  \* MERGEFORMAT </w:instrText>
      </w:r>
      <w:r>
        <w:fldChar w:fldCharType="separate"/>
      </w:r>
      <w:r>
        <w:t xml:space="preserve">Figure </w:t>
      </w:r>
      <w:r>
        <w:rPr>
          <w:noProof/>
        </w:rPr>
        <w:t>19</w:t>
      </w:r>
      <w:r>
        <w:rPr>
          <w:noProof/>
        </w:rPr>
        <w:noBreakHyphen/>
        <w:t>2</w:t>
      </w:r>
      <w:r>
        <w:fldChar w:fldCharType="end"/>
      </w:r>
      <w:r>
        <w:t xml:space="preserve">). These areas are not considered optimal for breeding but are likely to provide dispersal and overwintering habitat </w:t>
      </w:r>
    </w:p>
    <w:p w14:paraId="1611E9CD" w14:textId="77777777" w:rsidR="008C1AD8" w:rsidRDefault="008C1AD8" w:rsidP="008C1AD8">
      <w:pPr>
        <w:pStyle w:val="Bullet2"/>
      </w:pPr>
      <w:r>
        <w:t>Some sections that are showing signs of erosion</w:t>
      </w:r>
    </w:p>
    <w:p w14:paraId="484327BA" w14:textId="77777777" w:rsidR="008C1AD8" w:rsidRDefault="008C1AD8" w:rsidP="008C1AD8">
      <w:pPr>
        <w:pStyle w:val="Bullet1"/>
      </w:pPr>
      <w:r>
        <w:t xml:space="preserve">Terrestrial habitat around the creek is comprised of a number of agricultural properties that are all heavily modified due to cropping and grazing (see </w:t>
      </w:r>
      <w:r>
        <w:fldChar w:fldCharType="begin"/>
      </w:r>
      <w:r>
        <w:instrText xml:space="preserve"> REF _Ref115716608 \h </w:instrText>
      </w:r>
      <w:r>
        <w:fldChar w:fldCharType="separate"/>
      </w:r>
      <w:r>
        <w:t xml:space="preserve">Figure </w:t>
      </w:r>
      <w:r>
        <w:rPr>
          <w:noProof/>
        </w:rPr>
        <w:t>19</w:t>
      </w:r>
      <w:r>
        <w:noBreakHyphen/>
      </w:r>
      <w:r>
        <w:rPr>
          <w:noProof/>
        </w:rPr>
        <w:t>3</w:t>
      </w:r>
      <w:r>
        <w:fldChar w:fldCharType="end"/>
      </w:r>
      <w:r>
        <w:t xml:space="preserve"> and </w:t>
      </w:r>
      <w:r>
        <w:fldChar w:fldCharType="begin"/>
      </w:r>
      <w:r>
        <w:instrText xml:space="preserve"> REF _Ref115716611 \h </w:instrText>
      </w:r>
      <w:r>
        <w:fldChar w:fldCharType="separate"/>
      </w:r>
      <w:r>
        <w:t xml:space="preserve">Figure </w:t>
      </w:r>
      <w:r>
        <w:rPr>
          <w:noProof/>
        </w:rPr>
        <w:t>19</w:t>
      </w:r>
      <w:r>
        <w:noBreakHyphen/>
      </w:r>
      <w:r>
        <w:rPr>
          <w:noProof/>
        </w:rPr>
        <w:t>4</w:t>
      </w:r>
      <w:r>
        <w:fldChar w:fldCharType="end"/>
      </w:r>
      <w:r>
        <w:t xml:space="preserve">). There are no offline wetlands, and it appears that there are little to no rocks or logs which would provide overwintering habitat. </w:t>
      </w:r>
    </w:p>
    <w:p w14:paraId="5357E4A2" w14:textId="77777777" w:rsidR="008C1AD8" w:rsidRDefault="008C1AD8" w:rsidP="008C1AD8">
      <w:r>
        <w:t xml:space="preserve">Creamery Road Precinct also includes a small tributary of Cowies Creek (running south-west from the north-east corner of the precinct). </w:t>
      </w:r>
      <w:sdt>
        <w:sdtPr>
          <w:rPr>
            <w:color w:val="000000"/>
          </w:rPr>
          <w:tag w:val="MENDELEY_CITATION_v3_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"/>
          <w:id w:val="-51781484"/>
          <w:placeholder>
            <w:docPart w:val="EA492B379251784A8EF33F6B6775C3A8"/>
          </w:placeholder>
        </w:sdtPr>
        <w:sdtContent>
          <w:r w:rsidRPr="00273871">
            <w:rPr>
              <w:color w:val="000000"/>
            </w:rPr>
            <w:t xml:space="preserve">AECOM </w:t>
          </w:r>
          <w:r>
            <w:rPr>
              <w:color w:val="000000"/>
            </w:rPr>
            <w:t>(</w:t>
          </w:r>
          <w:r w:rsidRPr="00273871">
            <w:rPr>
              <w:color w:val="000000"/>
            </w:rPr>
            <w:t>2021)</w:t>
          </w:r>
        </w:sdtContent>
      </w:sdt>
      <w:r>
        <w:t xml:space="preserve"> was of the view that the tributary is likely to be dry most of the time, but thought that it may provide a suitable location for </w:t>
      </w:r>
      <w:r w:rsidRPr="003A1335">
        <w:t xml:space="preserve">wetland creation and </w:t>
      </w:r>
      <w:r>
        <w:t xml:space="preserve">the </w:t>
      </w:r>
      <w:r w:rsidRPr="003A1335">
        <w:t>protection of additional overwintering, foraging habitat</w:t>
      </w:r>
      <w:r>
        <w:t xml:space="preserve">. </w:t>
      </w:r>
    </w:p>
    <w:p w14:paraId="6DEB016D" w14:textId="77777777" w:rsidR="008C1AD8" w:rsidRDefault="008C1AD8" w:rsidP="008C1AD8"/>
    <w:p w14:paraId="6BA2A5FC" w14:textId="77777777" w:rsidR="008C1AD8" w:rsidRDefault="008C1AD8" w:rsidP="008C1AD8">
      <w:pPr>
        <w:tabs>
          <w:tab w:val="clear" w:pos="4962"/>
        </w:tabs>
        <w:spacing w:before="0" w:after="0" w:line="240" w:lineRule="auto"/>
      </w:pPr>
      <w:r>
        <w:br w:type="page"/>
      </w:r>
    </w:p>
    <w:p w14:paraId="59C6AA42" w14:textId="77777777" w:rsidR="008C1AD8" w:rsidRDefault="008C1AD8" w:rsidP="008C1AD8">
      <w:r>
        <w:rPr>
          <w:noProof/>
        </w:rPr>
        <w:lastRenderedPageBreak/>
        <w:drawing>
          <wp:anchor distT="0" distB="0" distL="114300" distR="114300" simplePos="0" relativeHeight="251664384" behindDoc="0" locked="0" layoutInCell="1" allowOverlap="1" wp14:anchorId="0E794621" wp14:editId="5D840D52">
            <wp:simplePos x="0" y="0"/>
            <wp:positionH relativeFrom="margin">
              <wp:align>center</wp:align>
            </wp:positionH>
            <wp:positionV relativeFrom="paragraph">
              <wp:posOffset>-60663</wp:posOffset>
            </wp:positionV>
            <wp:extent cx="5212800" cy="3928541"/>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0"/>
                    <a:stretch>
                      <a:fillRect/>
                    </a:stretch>
                  </pic:blipFill>
                  <pic:spPr>
                    <a:xfrm>
                      <a:off x="0" y="0"/>
                      <a:ext cx="5212800" cy="3928541"/>
                    </a:xfrm>
                    <a:prstGeom prst="rect">
                      <a:avLst/>
                    </a:prstGeom>
                  </pic:spPr>
                </pic:pic>
              </a:graphicData>
            </a:graphic>
            <wp14:sizeRelH relativeFrom="page">
              <wp14:pctWidth>0</wp14:pctWidth>
            </wp14:sizeRelH>
            <wp14:sizeRelV relativeFrom="page">
              <wp14:pctHeight>0</wp14:pctHeight>
            </wp14:sizeRelV>
          </wp:anchor>
        </w:drawing>
      </w:r>
    </w:p>
    <w:p w14:paraId="357E8D9A" w14:textId="77777777" w:rsidR="008C1AD8" w:rsidRDefault="008C1AD8" w:rsidP="008C1AD8"/>
    <w:p w14:paraId="530B2ECD" w14:textId="77777777" w:rsidR="008C1AD8" w:rsidRDefault="008C1AD8" w:rsidP="008C1AD8"/>
    <w:p w14:paraId="6F0F50DA" w14:textId="77777777" w:rsidR="008C1AD8" w:rsidRDefault="008C1AD8" w:rsidP="008C1AD8"/>
    <w:p w14:paraId="399DA7FE" w14:textId="77777777" w:rsidR="008C1AD8" w:rsidRDefault="008C1AD8" w:rsidP="008C1AD8"/>
    <w:p w14:paraId="70428B38" w14:textId="77777777" w:rsidR="008C1AD8" w:rsidRDefault="008C1AD8" w:rsidP="008C1AD8"/>
    <w:p w14:paraId="43E3DC47" w14:textId="77777777" w:rsidR="008C1AD8" w:rsidRDefault="008C1AD8" w:rsidP="008C1AD8"/>
    <w:p w14:paraId="17867014" w14:textId="77777777" w:rsidR="008C1AD8" w:rsidRDefault="008C1AD8" w:rsidP="008C1AD8"/>
    <w:p w14:paraId="1B867267" w14:textId="77777777" w:rsidR="008C1AD8" w:rsidRDefault="008C1AD8" w:rsidP="008C1AD8"/>
    <w:p w14:paraId="0FDFA9AB" w14:textId="77777777" w:rsidR="008C1AD8" w:rsidRDefault="008C1AD8" w:rsidP="008C1AD8"/>
    <w:p w14:paraId="127CCD35" w14:textId="77777777" w:rsidR="008C1AD8" w:rsidRDefault="008C1AD8" w:rsidP="008C1AD8"/>
    <w:p w14:paraId="58D913B0" w14:textId="77777777" w:rsidR="008C1AD8" w:rsidRDefault="008C1AD8" w:rsidP="008C1AD8"/>
    <w:p w14:paraId="1AD531F0" w14:textId="77777777" w:rsidR="008C1AD8" w:rsidRDefault="008C1AD8" w:rsidP="008C1AD8"/>
    <w:p w14:paraId="7FE98658" w14:textId="77777777" w:rsidR="008C1AD8" w:rsidRDefault="008C1AD8" w:rsidP="008C1AD8"/>
    <w:p w14:paraId="3CD3ED15" w14:textId="77777777" w:rsidR="008C1AD8" w:rsidRDefault="008C1AD8" w:rsidP="008C1AD8">
      <w:pPr>
        <w:pStyle w:val="Caption"/>
        <w:jc w:val="center"/>
      </w:pPr>
      <w:bookmarkStart w:id="69" w:name="_Ref115716069"/>
      <w:bookmarkStart w:id="70" w:name="_Toc135122738"/>
      <w:r>
        <w:t xml:space="preserve">Figure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Figure \* ARABIC \s 1 </w:instrText>
      </w:r>
      <w:r>
        <w:fldChar w:fldCharType="separate"/>
      </w:r>
      <w:r>
        <w:rPr>
          <w:noProof/>
        </w:rPr>
        <w:t>1</w:t>
      </w:r>
      <w:r>
        <w:fldChar w:fldCharType="end"/>
      </w:r>
      <w:bookmarkEnd w:id="69"/>
      <w:r>
        <w:t xml:space="preserve">: Open pool along Cowies Creek (taken </w:t>
      </w:r>
      <w:r w:rsidRPr="005909A5">
        <w:t xml:space="preserve">from </w:t>
      </w:r>
      <w:sdt>
        <w:sdtPr>
          <w:rPr>
            <w:color w:val="000000"/>
          </w:rPr>
          <w:tag w:val="MENDELEY_CITATION_v3_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"/>
          <w:id w:val="260264480"/>
          <w:placeholder>
            <w:docPart w:val="EA492B379251784A8EF33F6B6775C3A8"/>
          </w:placeholder>
        </w:sdtPr>
        <w:sdtContent>
          <w:r w:rsidRPr="005909A5">
            <w:rPr>
              <w:color w:val="000000"/>
            </w:rPr>
            <w:t>(AECOM, 2021)</w:t>
          </w:r>
        </w:sdtContent>
      </w:sdt>
      <w:bookmarkEnd w:id="70"/>
    </w:p>
    <w:p w14:paraId="293B15EC" w14:textId="77777777" w:rsidR="008C1AD8" w:rsidRDefault="008C1AD8" w:rsidP="008C1AD8">
      <w:r>
        <w:rPr>
          <w:noProof/>
        </w:rPr>
        <w:drawing>
          <wp:anchor distT="0" distB="0" distL="114300" distR="114300" simplePos="0" relativeHeight="251665408" behindDoc="0" locked="0" layoutInCell="1" allowOverlap="1" wp14:anchorId="2DFFD882" wp14:editId="4B21C546">
            <wp:simplePos x="0" y="0"/>
            <wp:positionH relativeFrom="margin">
              <wp:align>center</wp:align>
            </wp:positionH>
            <wp:positionV relativeFrom="paragraph">
              <wp:posOffset>254635</wp:posOffset>
            </wp:positionV>
            <wp:extent cx="5212800" cy="3909599"/>
            <wp:effectExtent l="0" t="0" r="0" b="25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31"/>
                    <a:stretch>
                      <a:fillRect/>
                    </a:stretch>
                  </pic:blipFill>
                  <pic:spPr>
                    <a:xfrm>
                      <a:off x="0" y="0"/>
                      <a:ext cx="5212800" cy="3909599"/>
                    </a:xfrm>
                    <a:prstGeom prst="rect">
                      <a:avLst/>
                    </a:prstGeom>
                  </pic:spPr>
                </pic:pic>
              </a:graphicData>
            </a:graphic>
            <wp14:sizeRelH relativeFrom="page">
              <wp14:pctWidth>0</wp14:pctWidth>
            </wp14:sizeRelH>
            <wp14:sizeRelV relativeFrom="page">
              <wp14:pctHeight>0</wp14:pctHeight>
            </wp14:sizeRelV>
          </wp:anchor>
        </w:drawing>
      </w:r>
    </w:p>
    <w:p w14:paraId="5AC4C9A9" w14:textId="77777777" w:rsidR="008C1AD8" w:rsidRDefault="008C1AD8" w:rsidP="008C1AD8"/>
    <w:p w14:paraId="4A794ACF" w14:textId="77777777" w:rsidR="008C1AD8" w:rsidRDefault="008C1AD8" w:rsidP="008C1AD8"/>
    <w:p w14:paraId="2A37CF0D" w14:textId="77777777" w:rsidR="008C1AD8" w:rsidRDefault="008C1AD8" w:rsidP="008C1AD8"/>
    <w:p w14:paraId="3A0EF61F" w14:textId="77777777" w:rsidR="008C1AD8" w:rsidRDefault="008C1AD8" w:rsidP="008C1AD8"/>
    <w:p w14:paraId="6B04D947" w14:textId="77777777" w:rsidR="008C1AD8" w:rsidRDefault="008C1AD8" w:rsidP="008C1AD8"/>
    <w:p w14:paraId="341066B7" w14:textId="77777777" w:rsidR="008C1AD8" w:rsidRDefault="008C1AD8" w:rsidP="008C1AD8"/>
    <w:p w14:paraId="74413FF0" w14:textId="77777777" w:rsidR="008C1AD8" w:rsidRDefault="008C1AD8" w:rsidP="008C1AD8"/>
    <w:p w14:paraId="063EC2A4" w14:textId="77777777" w:rsidR="008C1AD8" w:rsidRDefault="008C1AD8" w:rsidP="008C1AD8"/>
    <w:p w14:paraId="30BDC8FF" w14:textId="77777777" w:rsidR="008C1AD8" w:rsidRDefault="008C1AD8" w:rsidP="008C1AD8"/>
    <w:p w14:paraId="7BD4BA0C" w14:textId="77777777" w:rsidR="008C1AD8" w:rsidRDefault="008C1AD8" w:rsidP="008C1AD8"/>
    <w:p w14:paraId="2AF24F47" w14:textId="77777777" w:rsidR="008C1AD8" w:rsidRDefault="008C1AD8" w:rsidP="008C1AD8"/>
    <w:p w14:paraId="2CD82671" w14:textId="77777777" w:rsidR="008C1AD8" w:rsidRDefault="008C1AD8" w:rsidP="008C1AD8"/>
    <w:p w14:paraId="7B479A1C" w14:textId="77777777" w:rsidR="008C1AD8" w:rsidRDefault="008C1AD8" w:rsidP="008C1AD8"/>
    <w:p w14:paraId="04F014F1" w14:textId="77777777" w:rsidR="008C1AD8" w:rsidRDefault="008C1AD8" w:rsidP="008C1AD8"/>
    <w:p w14:paraId="09602344" w14:textId="77777777" w:rsidR="008C1AD8" w:rsidRPr="005909A5" w:rsidRDefault="008C1AD8" w:rsidP="008C1AD8">
      <w:pPr>
        <w:pStyle w:val="Caption"/>
        <w:jc w:val="center"/>
      </w:pPr>
      <w:bookmarkStart w:id="71" w:name="_Ref115716164"/>
      <w:bookmarkStart w:id="72" w:name="_Toc135122739"/>
      <w:r>
        <w:t xml:space="preserve">Figure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Figure \* ARABIC \s 1 </w:instrText>
      </w:r>
      <w:r>
        <w:fldChar w:fldCharType="separate"/>
      </w:r>
      <w:r>
        <w:rPr>
          <w:noProof/>
        </w:rPr>
        <w:t>2</w:t>
      </w:r>
      <w:r>
        <w:fldChar w:fldCharType="end"/>
      </w:r>
      <w:bookmarkEnd w:id="71"/>
      <w:r>
        <w:t>: Section of Cowies Creek dominated by reeds and spiny rush (</w:t>
      </w:r>
      <w:r w:rsidRPr="005909A5">
        <w:t xml:space="preserve">taken from </w:t>
      </w:r>
      <w:sdt>
        <w:sdtPr>
          <w:rPr>
            <w:color w:val="000000"/>
          </w:rPr>
          <w:tag w:val="MENDELEY_CITATION_v3_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"/>
          <w:id w:val="860318277"/>
          <w:placeholder>
            <w:docPart w:val="EA492B379251784A8EF33F6B6775C3A8"/>
          </w:placeholder>
        </w:sdtPr>
        <w:sdtContent>
          <w:r w:rsidRPr="005909A5">
            <w:rPr>
              <w:color w:val="000000"/>
            </w:rPr>
            <w:t>(AECOM, 2021)</w:t>
          </w:r>
        </w:sdtContent>
      </w:sdt>
      <w:bookmarkEnd w:id="72"/>
    </w:p>
    <w:p w14:paraId="4835A6A5" w14:textId="77777777" w:rsidR="008C1AD8" w:rsidRDefault="008C1AD8" w:rsidP="008C1AD8">
      <w:pPr>
        <w:tabs>
          <w:tab w:val="clear" w:pos="4962"/>
        </w:tabs>
        <w:spacing w:before="0" w:after="0" w:line="240" w:lineRule="auto"/>
      </w:pPr>
      <w:r>
        <w:br w:type="page"/>
      </w:r>
    </w:p>
    <w:p w14:paraId="4D46D198" w14:textId="77777777" w:rsidR="008C1AD8" w:rsidRDefault="008C1AD8" w:rsidP="008C1AD8">
      <w:r>
        <w:rPr>
          <w:noProof/>
        </w:rPr>
        <w:lastRenderedPageBreak/>
        <w:drawing>
          <wp:anchor distT="0" distB="0" distL="114300" distR="114300" simplePos="0" relativeHeight="251666432" behindDoc="0" locked="0" layoutInCell="1" allowOverlap="1" wp14:anchorId="6999E44C" wp14:editId="4FD81798">
            <wp:simplePos x="0" y="0"/>
            <wp:positionH relativeFrom="margin">
              <wp:align>center</wp:align>
            </wp:positionH>
            <wp:positionV relativeFrom="paragraph">
              <wp:posOffset>-31115</wp:posOffset>
            </wp:positionV>
            <wp:extent cx="5212800" cy="3923130"/>
            <wp:effectExtent l="0" t="0" r="0" b="127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32"/>
                    <a:stretch>
                      <a:fillRect/>
                    </a:stretch>
                  </pic:blipFill>
                  <pic:spPr>
                    <a:xfrm>
                      <a:off x="0" y="0"/>
                      <a:ext cx="5212800" cy="3923130"/>
                    </a:xfrm>
                    <a:prstGeom prst="rect">
                      <a:avLst/>
                    </a:prstGeom>
                  </pic:spPr>
                </pic:pic>
              </a:graphicData>
            </a:graphic>
            <wp14:sizeRelH relativeFrom="page">
              <wp14:pctWidth>0</wp14:pctWidth>
            </wp14:sizeRelH>
            <wp14:sizeRelV relativeFrom="page">
              <wp14:pctHeight>0</wp14:pctHeight>
            </wp14:sizeRelV>
          </wp:anchor>
        </w:drawing>
      </w:r>
    </w:p>
    <w:p w14:paraId="30E3A344" w14:textId="77777777" w:rsidR="008C1AD8" w:rsidRDefault="008C1AD8" w:rsidP="008C1AD8"/>
    <w:p w14:paraId="27FB2286" w14:textId="77777777" w:rsidR="008C1AD8" w:rsidRDefault="008C1AD8" w:rsidP="008C1AD8"/>
    <w:p w14:paraId="686838B5" w14:textId="77777777" w:rsidR="008C1AD8" w:rsidRDefault="008C1AD8" w:rsidP="008C1AD8"/>
    <w:p w14:paraId="01546348" w14:textId="77777777" w:rsidR="008C1AD8" w:rsidRDefault="008C1AD8" w:rsidP="008C1AD8"/>
    <w:p w14:paraId="1D71675F" w14:textId="77777777" w:rsidR="008C1AD8" w:rsidRDefault="008C1AD8" w:rsidP="008C1AD8"/>
    <w:p w14:paraId="2297736B" w14:textId="77777777" w:rsidR="008C1AD8" w:rsidRDefault="008C1AD8" w:rsidP="008C1AD8"/>
    <w:p w14:paraId="27338EED" w14:textId="77777777" w:rsidR="008C1AD8" w:rsidRDefault="008C1AD8" w:rsidP="008C1AD8"/>
    <w:p w14:paraId="7FFEDB05" w14:textId="77777777" w:rsidR="008C1AD8" w:rsidRDefault="008C1AD8" w:rsidP="008C1AD8"/>
    <w:p w14:paraId="6F254ADC" w14:textId="77777777" w:rsidR="008C1AD8" w:rsidRDefault="008C1AD8" w:rsidP="008C1AD8"/>
    <w:p w14:paraId="04B5BBB5" w14:textId="77777777" w:rsidR="008C1AD8" w:rsidRDefault="008C1AD8" w:rsidP="008C1AD8"/>
    <w:p w14:paraId="4AEEC3E1" w14:textId="77777777" w:rsidR="008C1AD8" w:rsidRDefault="008C1AD8" w:rsidP="008C1AD8"/>
    <w:p w14:paraId="44DD6043" w14:textId="77777777" w:rsidR="008C1AD8" w:rsidRDefault="008C1AD8" w:rsidP="008C1AD8"/>
    <w:p w14:paraId="7BC2B5CA" w14:textId="77777777" w:rsidR="008C1AD8" w:rsidRDefault="008C1AD8" w:rsidP="008C1AD8"/>
    <w:p w14:paraId="77C50336" w14:textId="77777777" w:rsidR="008C1AD8" w:rsidRDefault="008C1AD8" w:rsidP="008C1AD8">
      <w:pPr>
        <w:pStyle w:val="Caption"/>
        <w:jc w:val="center"/>
      </w:pPr>
      <w:bookmarkStart w:id="73" w:name="_Ref115716608"/>
      <w:bookmarkStart w:id="74" w:name="_Toc135122740"/>
      <w:r>
        <w:t xml:space="preserve">Figure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Figure \* ARABIC \s 1 </w:instrText>
      </w:r>
      <w:r>
        <w:fldChar w:fldCharType="separate"/>
      </w:r>
      <w:r>
        <w:rPr>
          <w:noProof/>
        </w:rPr>
        <w:t>3</w:t>
      </w:r>
      <w:r>
        <w:fldChar w:fldCharType="end"/>
      </w:r>
      <w:bookmarkEnd w:id="73"/>
      <w:r>
        <w:t xml:space="preserve">: </w:t>
      </w:r>
      <w:r w:rsidRPr="008A717A">
        <w:t xml:space="preserve">Cropped area adjacent to Cowies Creek </w:t>
      </w:r>
      <w:r>
        <w:t xml:space="preserve">(taken </w:t>
      </w:r>
      <w:r w:rsidRPr="005909A5">
        <w:t xml:space="preserve">from </w:t>
      </w:r>
      <w:sdt>
        <w:sdtPr>
          <w:rPr>
            <w:color w:val="000000"/>
          </w:rPr>
          <w:tag w:val="MENDELEY_CITATION_v3_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"/>
          <w:id w:val="807905843"/>
          <w:placeholder>
            <w:docPart w:val="EA492B379251784A8EF33F6B6775C3A8"/>
          </w:placeholder>
        </w:sdtPr>
        <w:sdtContent>
          <w:r w:rsidRPr="005909A5">
            <w:rPr>
              <w:color w:val="000000"/>
            </w:rPr>
            <w:t>(AECOM, 2021)</w:t>
          </w:r>
        </w:sdtContent>
      </w:sdt>
      <w:bookmarkEnd w:id="74"/>
    </w:p>
    <w:p w14:paraId="5C191FFB" w14:textId="77777777" w:rsidR="008C1AD8" w:rsidRDefault="008C1AD8" w:rsidP="008C1AD8">
      <w:r>
        <w:rPr>
          <w:noProof/>
        </w:rPr>
        <w:drawing>
          <wp:anchor distT="0" distB="0" distL="114300" distR="114300" simplePos="0" relativeHeight="251667456" behindDoc="0" locked="0" layoutInCell="1" allowOverlap="1" wp14:anchorId="300DEFD9" wp14:editId="21B71234">
            <wp:simplePos x="0" y="0"/>
            <wp:positionH relativeFrom="margin">
              <wp:align>center</wp:align>
            </wp:positionH>
            <wp:positionV relativeFrom="paragraph">
              <wp:posOffset>288290</wp:posOffset>
            </wp:positionV>
            <wp:extent cx="5212800" cy="3923130"/>
            <wp:effectExtent l="0" t="0" r="0" b="127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33"/>
                    <a:stretch>
                      <a:fillRect/>
                    </a:stretch>
                  </pic:blipFill>
                  <pic:spPr>
                    <a:xfrm>
                      <a:off x="0" y="0"/>
                      <a:ext cx="5212800" cy="3923130"/>
                    </a:xfrm>
                    <a:prstGeom prst="rect">
                      <a:avLst/>
                    </a:prstGeom>
                  </pic:spPr>
                </pic:pic>
              </a:graphicData>
            </a:graphic>
            <wp14:sizeRelH relativeFrom="page">
              <wp14:pctWidth>0</wp14:pctWidth>
            </wp14:sizeRelH>
            <wp14:sizeRelV relativeFrom="page">
              <wp14:pctHeight>0</wp14:pctHeight>
            </wp14:sizeRelV>
          </wp:anchor>
        </w:drawing>
      </w:r>
    </w:p>
    <w:p w14:paraId="4AECD9A4" w14:textId="77777777" w:rsidR="008C1AD8" w:rsidRDefault="008C1AD8" w:rsidP="008C1AD8"/>
    <w:p w14:paraId="7B665346" w14:textId="77777777" w:rsidR="008C1AD8" w:rsidRDefault="008C1AD8" w:rsidP="008C1AD8"/>
    <w:p w14:paraId="1F959772" w14:textId="77777777" w:rsidR="008C1AD8" w:rsidRDefault="008C1AD8" w:rsidP="008C1AD8"/>
    <w:p w14:paraId="48DFC35C" w14:textId="77777777" w:rsidR="008C1AD8" w:rsidRDefault="008C1AD8" w:rsidP="008C1AD8"/>
    <w:p w14:paraId="4B567D2F" w14:textId="77777777" w:rsidR="008C1AD8" w:rsidRDefault="008C1AD8" w:rsidP="008C1AD8"/>
    <w:p w14:paraId="500D48F8" w14:textId="77777777" w:rsidR="008C1AD8" w:rsidRDefault="008C1AD8" w:rsidP="008C1AD8"/>
    <w:p w14:paraId="28B52438" w14:textId="77777777" w:rsidR="008C1AD8" w:rsidRDefault="008C1AD8" w:rsidP="008C1AD8"/>
    <w:p w14:paraId="483B2ED1" w14:textId="77777777" w:rsidR="008C1AD8" w:rsidRDefault="008C1AD8" w:rsidP="008C1AD8"/>
    <w:p w14:paraId="217FE3CA" w14:textId="77777777" w:rsidR="008C1AD8" w:rsidRDefault="008C1AD8" w:rsidP="008C1AD8"/>
    <w:p w14:paraId="42528A62" w14:textId="77777777" w:rsidR="008C1AD8" w:rsidRDefault="008C1AD8" w:rsidP="008C1AD8"/>
    <w:p w14:paraId="7393AECF" w14:textId="77777777" w:rsidR="008C1AD8" w:rsidRDefault="008C1AD8" w:rsidP="008C1AD8"/>
    <w:p w14:paraId="03A639E8" w14:textId="77777777" w:rsidR="008C1AD8" w:rsidRDefault="008C1AD8" w:rsidP="008C1AD8"/>
    <w:p w14:paraId="1B0832C1" w14:textId="77777777" w:rsidR="008C1AD8" w:rsidRDefault="008C1AD8" w:rsidP="008C1AD8"/>
    <w:p w14:paraId="248FD5CE" w14:textId="77777777" w:rsidR="008C1AD8" w:rsidRDefault="008C1AD8" w:rsidP="008C1AD8"/>
    <w:p w14:paraId="3D0A0273" w14:textId="77777777" w:rsidR="008C1AD8" w:rsidRPr="005909A5" w:rsidRDefault="008C1AD8" w:rsidP="008C1AD8">
      <w:pPr>
        <w:pStyle w:val="Caption"/>
        <w:jc w:val="center"/>
      </w:pPr>
      <w:bookmarkStart w:id="75" w:name="_Ref115716611"/>
      <w:bookmarkStart w:id="76" w:name="_Toc135122741"/>
      <w:r>
        <w:t xml:space="preserve">Figure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Figure \* ARABIC \s 1 </w:instrText>
      </w:r>
      <w:r>
        <w:fldChar w:fldCharType="separate"/>
      </w:r>
      <w:r>
        <w:rPr>
          <w:noProof/>
        </w:rPr>
        <w:t>4</w:t>
      </w:r>
      <w:r>
        <w:fldChar w:fldCharType="end"/>
      </w:r>
      <w:bookmarkEnd w:id="75"/>
      <w:r>
        <w:t xml:space="preserve">: </w:t>
      </w:r>
      <w:r w:rsidRPr="008A717A">
        <w:t xml:space="preserve">Steep rocky slope with scattered native grasses </w:t>
      </w:r>
      <w:r>
        <w:t xml:space="preserve">(taken </w:t>
      </w:r>
      <w:r w:rsidRPr="005909A5">
        <w:t xml:space="preserve">from </w:t>
      </w:r>
      <w:sdt>
        <w:sdtPr>
          <w:rPr>
            <w:color w:val="000000"/>
          </w:rPr>
          <w:tag w:val="MENDELEY_CITATION_v3_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"/>
          <w:id w:val="-600028428"/>
          <w:placeholder>
            <w:docPart w:val="EA492B379251784A8EF33F6B6775C3A8"/>
          </w:placeholder>
        </w:sdtPr>
        <w:sdtContent>
          <w:r w:rsidRPr="005909A5">
            <w:rPr>
              <w:color w:val="000000"/>
            </w:rPr>
            <w:t>(AECOM, 2021)</w:t>
          </w:r>
        </w:sdtContent>
      </w:sdt>
      <w:bookmarkEnd w:id="76"/>
    </w:p>
    <w:p w14:paraId="440CBB9C" w14:textId="77777777" w:rsidR="008C1AD8" w:rsidRDefault="008C1AD8" w:rsidP="008C1AD8">
      <w:pPr>
        <w:tabs>
          <w:tab w:val="clear" w:pos="4962"/>
        </w:tabs>
        <w:spacing w:before="0" w:after="0" w:line="240" w:lineRule="auto"/>
      </w:pPr>
      <w:r>
        <w:br w:type="page"/>
      </w:r>
    </w:p>
    <w:p w14:paraId="3786349A" w14:textId="77777777" w:rsidR="008C1AD8" w:rsidRDefault="008C1AD8" w:rsidP="008C1AD8">
      <w:pPr>
        <w:pStyle w:val="Heading5"/>
      </w:pPr>
      <w:r>
        <w:lastRenderedPageBreak/>
        <w:t>Cowies Creek downstream of the WGGA</w:t>
      </w:r>
    </w:p>
    <w:p w14:paraId="329CC51F" w14:textId="77777777" w:rsidR="008C1AD8" w:rsidRDefault="008C1AD8" w:rsidP="008C1AD8">
      <w:r>
        <w:t xml:space="preserve">GGF has also been recorded downstream of the WGGA within Cowies Creek on a number of occasions. These records appear to have some level of connectivity with the frogs in the WGGA and are likely to form part of a larger, connected metapopulation. </w:t>
      </w:r>
    </w:p>
    <w:p w14:paraId="4343138C" w14:textId="77777777" w:rsidR="008C1AD8" w:rsidRDefault="008C1AD8" w:rsidP="008C1AD8">
      <w:r>
        <w:t xml:space="preserve">The species was first recorded downstream of the WGGA as </w:t>
      </w:r>
      <w:r w:rsidRPr="00A4506A">
        <w:t xml:space="preserve">part of surveys </w:t>
      </w:r>
      <w:sdt>
        <w:sdtPr>
          <w:rPr>
            <w:color w:val="000000"/>
          </w:rPr>
          <w:tag w:val="MENDELEY_CITATION_v3_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"/>
          <w:id w:val="1589807443"/>
          <w:placeholder>
            <w:docPart w:val="EA492B379251784A8EF33F6B6775C3A8"/>
          </w:placeholder>
        </w:sdtPr>
        <w:sdtContent>
          <w:r w:rsidRPr="00273871">
            <w:rPr>
              <w:color w:val="000000"/>
            </w:rPr>
            <w:t>(Beacon Ecological, 2009)</w:t>
          </w:r>
        </w:sdtContent>
      </w:sdt>
      <w:r w:rsidRPr="00A4506A">
        <w:t xml:space="preserve"> commissioned by</w:t>
      </w:r>
      <w:r>
        <w:t xml:space="preserve"> the City in 2009 for a </w:t>
      </w:r>
      <w:r w:rsidRPr="00617A96">
        <w:t>proposed water storage dam within the Cowies Creek Reserve</w:t>
      </w:r>
      <w:r>
        <w:t xml:space="preserve">. Beacon Ecological initially recorded two to three individuals of the species within the creek corridor (noting that surveys were undertaken in winter when the frog is least active). The project was referred under the EPBC Act (EPBC 2009/5001) and was determined to be a non-controlled action if undertaken in a particular manner. </w:t>
      </w:r>
    </w:p>
    <w:p w14:paraId="7F51C12A" w14:textId="77777777" w:rsidR="008C1AD8" w:rsidRDefault="008C1AD8" w:rsidP="008C1AD8">
      <w:r>
        <w:t xml:space="preserve">As part of a requirement of the EPBC referral decision, Beacon Ecological carried out further GGF surveys in December 2009 and January 2010 </w:t>
      </w:r>
      <w:sdt>
        <w:sdtPr>
          <w:rPr>
            <w:color w:val="000000"/>
          </w:rPr>
          <w:tag w:val="MENDELEY_CITATION_v3_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"/>
          <w:id w:val="1683240388"/>
          <w:placeholder>
            <w:docPart w:val="EA492B379251784A8EF33F6B6775C3A8"/>
          </w:placeholder>
        </w:sdtPr>
        <w:sdtContent>
          <w:r w:rsidRPr="00273871">
            <w:rPr>
              <w:color w:val="000000"/>
            </w:rPr>
            <w:t>(Beacon Ecological, 2010)</w:t>
          </w:r>
        </w:sdtContent>
      </w:sdt>
      <w:r>
        <w:t xml:space="preserve">. They recorded the species at eight different sites, including more than 40 individuals at one site. The majority of the records were found between the </w:t>
      </w:r>
      <w:r w:rsidRPr="00C800ED">
        <w:t xml:space="preserve">Geelong Ring Road </w:t>
      </w:r>
      <w:r>
        <w:t xml:space="preserve">(close to the WGGA) </w:t>
      </w:r>
      <w:r w:rsidRPr="00C800ED">
        <w:t>and the Corio Leisure Centre on Anakie Road</w:t>
      </w:r>
      <w:r>
        <w:t xml:space="preserve">. The species was recorded at one site downstream of Anakie Road. </w:t>
      </w:r>
    </w:p>
    <w:p w14:paraId="7E6C6A41" w14:textId="77777777" w:rsidR="008C1AD8" w:rsidRDefault="008C1AD8" w:rsidP="008C1AD8">
      <w:r>
        <w:t xml:space="preserve">The species was also recorded more recently in 2020 further downstream of Anakie Road towards Thompson Road. A </w:t>
      </w:r>
      <w:r w:rsidRPr="00061792">
        <w:t>total of 3 frogs were recorded. These records suggest that the species is persisting in the creek corridor.</w:t>
      </w:r>
      <w:r>
        <w:t xml:space="preserve"> </w:t>
      </w:r>
    </w:p>
    <w:p w14:paraId="20354583" w14:textId="77777777" w:rsidR="008C1AD8" w:rsidRDefault="008C1AD8" w:rsidP="008C1AD8">
      <w:r>
        <w:t xml:space="preserve">The habitat downstream of the WGGA is mostly instream habitat. However, there are two to three offline wetlands within this part of the corridor that appear to have records of the species. </w:t>
      </w:r>
    </w:p>
    <w:p w14:paraId="36B87CD8" w14:textId="77777777" w:rsidR="008C1AD8" w:rsidRDefault="008C1AD8" w:rsidP="008C1AD8">
      <w:pPr>
        <w:pStyle w:val="Heading5"/>
      </w:pPr>
      <w:r>
        <w:t>Cowies Creek upstream of the WGGA</w:t>
      </w:r>
    </w:p>
    <w:p w14:paraId="5E9A4488" w14:textId="77777777" w:rsidR="008C1AD8" w:rsidRDefault="008C1AD8" w:rsidP="008C1AD8">
      <w:r>
        <w:t xml:space="preserve">There are no records of the species upstream from the WGGA and that area appears to have much more limited GGF habitat values due to historic land use. It is considered less likely that the species is present in this location on a permanent basis. </w:t>
      </w:r>
    </w:p>
    <w:p w14:paraId="5F43FBFB" w14:textId="77777777" w:rsidR="008C1AD8" w:rsidRDefault="008C1AD8" w:rsidP="008C1AD8">
      <w:pPr>
        <w:pStyle w:val="Heading5"/>
      </w:pPr>
      <w:r>
        <w:t>Cowies Creek metapopulation</w:t>
      </w:r>
    </w:p>
    <w:p w14:paraId="4E26BF93" w14:textId="77777777" w:rsidR="008C1AD8" w:rsidRDefault="008C1AD8" w:rsidP="008C1AD8">
      <w:r>
        <w:t xml:space="preserve">The number and location of GGF records within Cowies Creek suggests that the corridor supports an important, connected metapopulation of the species. Records stretch for more than 3.5 km along the creek and suitable habitat extends beyond this distance. </w:t>
      </w:r>
    </w:p>
    <w:p w14:paraId="3F9039C0" w14:textId="77777777" w:rsidR="008C1AD8" w:rsidRDefault="008C1AD8" w:rsidP="008C1AD8">
      <w:r>
        <w:t xml:space="preserve">The available information suggests that the Cowies Creek metapopulation is comprised of a range of discrete, breeding populations of GGF that are connected along the creek corridor. Despite previous development in the area the species is persisting and metapopulation dynamics appear to still be operating. </w:t>
      </w:r>
    </w:p>
    <w:p w14:paraId="1B04624E" w14:textId="77777777" w:rsidR="008C1AD8" w:rsidRDefault="008C1AD8" w:rsidP="008C1AD8">
      <w:sdt>
        <w:sdtPr>
          <w:rPr>
            <w:color w:val="000000"/>
          </w:rPr>
          <w:tag w:val="MENDELEY_CITATION_v3_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"/>
          <w:id w:val="610637164"/>
          <w:placeholder>
            <w:docPart w:val="EA492B379251784A8EF33F6B6775C3A8"/>
          </w:placeholder>
        </w:sdtPr>
        <w:sdtContent>
          <w:r w:rsidRPr="00273871">
            <w:rPr>
              <w:color w:val="000000"/>
            </w:rPr>
            <w:t>AECOM</w:t>
          </w:r>
          <w:r>
            <w:rPr>
              <w:color w:val="000000"/>
            </w:rPr>
            <w:t xml:space="preserve"> (</w:t>
          </w:r>
          <w:r w:rsidRPr="00273871">
            <w:rPr>
              <w:color w:val="000000"/>
            </w:rPr>
            <w:t>2021)</w:t>
          </w:r>
        </w:sdtContent>
      </w:sdt>
      <w:r>
        <w:t xml:space="preserve"> identified the existing threats to the Cowies Creek metapopulation. They include:</w:t>
      </w:r>
    </w:p>
    <w:p w14:paraId="123BFEDD" w14:textId="77777777" w:rsidR="008C1AD8" w:rsidRDefault="008C1AD8" w:rsidP="008C1AD8">
      <w:pPr>
        <w:pStyle w:val="Bullet1"/>
      </w:pPr>
      <w:r w:rsidRPr="00C068FD">
        <w:rPr>
          <w:u w:val="single"/>
        </w:rPr>
        <w:t>Habitat degradation</w:t>
      </w:r>
      <w:r>
        <w:t>: the majority of terrestrial habitat along the creek has been substantially modified due to agricultural practices and nearby development. There is limited suitable overwintering habitat in many parts of the corridor. In addition, some parts of the creek are affected by weeds and/or erosion</w:t>
      </w:r>
    </w:p>
    <w:p w14:paraId="22AD246D" w14:textId="77777777" w:rsidR="008C1AD8" w:rsidRDefault="008C1AD8" w:rsidP="008C1AD8">
      <w:pPr>
        <w:pStyle w:val="Bullet1"/>
      </w:pPr>
      <w:r w:rsidRPr="00C068FD">
        <w:rPr>
          <w:u w:val="single"/>
        </w:rPr>
        <w:t>Existing development and encroachment</w:t>
      </w:r>
      <w:r>
        <w:t>: nearby development places a range of pressures on habitat within the corridor including artificial lighting, access by people, and potential issues associated with pollution</w:t>
      </w:r>
    </w:p>
    <w:p w14:paraId="675B2FA7" w14:textId="77777777" w:rsidR="008C1AD8" w:rsidRDefault="008C1AD8" w:rsidP="008C1AD8">
      <w:pPr>
        <w:pStyle w:val="Bullet1"/>
      </w:pPr>
      <w:r w:rsidRPr="0036609A">
        <w:rPr>
          <w:u w:val="single"/>
        </w:rPr>
        <w:t>Pests and disease</w:t>
      </w:r>
      <w:r>
        <w:t>: AECOM thought that it was likely that chytrid fungus is already present within Cowies Creek. They also suggested that the metapopulation would be under pressure from cats, foxes and the m</w:t>
      </w:r>
      <w:r w:rsidRPr="00DF0F23">
        <w:t>osquito fish</w:t>
      </w:r>
    </w:p>
    <w:p w14:paraId="30401381" w14:textId="77777777" w:rsidR="008C1AD8" w:rsidRDefault="008C1AD8" w:rsidP="008C1AD8">
      <w:pPr>
        <w:pStyle w:val="Bullet1"/>
      </w:pPr>
      <w:r w:rsidRPr="00DC4149">
        <w:rPr>
          <w:u w:val="single"/>
        </w:rPr>
        <w:t>Metapopulation dynamics</w:t>
      </w:r>
      <w:r>
        <w:t>: given the limited availability of offline habitat within the Cowies Creek corridor, the metapopulation may be sensitive to any adverse impacts to the instream habitats</w:t>
      </w:r>
    </w:p>
    <w:p w14:paraId="2538FCAE" w14:textId="77777777" w:rsidR="008C1AD8" w:rsidRDefault="008C1AD8" w:rsidP="008C1AD8">
      <w:pPr>
        <w:pStyle w:val="Heading4"/>
      </w:pPr>
      <w:r>
        <w:t>Occurrence in other parts of the Strategic Assessment Area</w:t>
      </w:r>
    </w:p>
    <w:p w14:paraId="16425743" w14:textId="77777777" w:rsidR="008C1AD8" w:rsidRDefault="008C1AD8" w:rsidP="008C1AD8">
      <w:r>
        <w:t xml:space="preserve">Beyond Cowies Creek, GGF has not been recorded within the Strategic Assessment Area. </w:t>
      </w:r>
    </w:p>
    <w:p w14:paraId="0A1A53B9" w14:textId="77777777" w:rsidR="008C1AD8" w:rsidRDefault="008C1AD8" w:rsidP="008C1AD8">
      <w:r>
        <w:t xml:space="preserve">It is worth noting that within the WGGA, EHP </w:t>
      </w:r>
      <w:sdt>
        <w:sdtPr>
          <w:rPr>
            <w:color w:val="000000"/>
          </w:rPr>
          <w:tag w:val="MENDELEY_CITATION_v3_eyJjaXRhdGlvbklEIjoiTUVOREVMRVlfQ0lUQVRJT05fYzFhYWJiODQtZjRhYy00NDAwLTg1ZjMtMzU0ZTM1ODY2N2Ew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307889778"/>
          <w:placeholder>
            <w:docPart w:val="EA492B379251784A8EF33F6B6775C3A8"/>
          </w:placeholder>
        </w:sdtPr>
        <w:sdtContent>
          <w:r w:rsidRPr="00273871">
            <w:rPr>
              <w:color w:val="000000"/>
            </w:rPr>
            <w:t>(EHP, 2021)</w:t>
          </w:r>
        </w:sdtContent>
      </w:sdt>
      <w:r>
        <w:t xml:space="preserve"> stated that there is a low-moderate likelihood of an extant population occurring along the Moorabool River. However, they carried out surveys on three occasions (</w:t>
      </w:r>
      <w:r w:rsidRPr="00EC3AE5">
        <w:t>13</w:t>
      </w:r>
      <w:r>
        <w:t> </w:t>
      </w:r>
      <w:r w:rsidRPr="00EC3AE5">
        <w:t>December 2019, 26 and 28</w:t>
      </w:r>
      <w:r>
        <w:t> </w:t>
      </w:r>
      <w:r w:rsidRPr="00EC3AE5">
        <w:t>February 2020</w:t>
      </w:r>
      <w:r>
        <w:t xml:space="preserve">) in that location and did not identify any frogs. </w:t>
      </w:r>
      <w:r w:rsidRPr="002733CE">
        <w:t>Th</w:t>
      </w:r>
      <w:r>
        <w:t xml:space="preserve">e </w:t>
      </w:r>
      <w:r w:rsidRPr="002733CE">
        <w:t xml:space="preserve">survey effort was designed to provide </w:t>
      </w:r>
      <w:r w:rsidRPr="002733CE">
        <w:lastRenderedPageBreak/>
        <w:t>a 99% chance of detecting the species (if it was present) based on the survey protocols set out in</w:t>
      </w:r>
      <w:r>
        <w:t xml:space="preserve"> </w:t>
      </w:r>
      <w:sdt>
        <w:sdtPr>
          <w:rPr>
            <w:color w:val="000000"/>
          </w:rPr>
          <w:tag w:val="MENDELEY_CITATION_v3_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"/>
          <w:id w:val="-259060575"/>
          <w:placeholder>
            <w:docPart w:val="EA492B379251784A8EF33F6B6775C3A8"/>
          </w:placeholder>
        </w:sdtPr>
        <w:sdtContent>
          <w:r w:rsidRPr="00273871">
            <w:rPr>
              <w:color w:val="000000"/>
            </w:rPr>
            <w:t>(Heard, Scroggie et al., 2010)</w:t>
          </w:r>
        </w:sdtContent>
      </w:sdt>
      <w:r>
        <w:t xml:space="preserve">. </w:t>
      </w:r>
    </w:p>
    <w:p w14:paraId="2F0AA465" w14:textId="77777777" w:rsidR="008C1AD8" w:rsidRDefault="008C1AD8" w:rsidP="008C1AD8">
      <w:pPr>
        <w:pStyle w:val="Heading3"/>
      </w:pPr>
      <w:r>
        <w:t>Occurrence within the broader Study Area</w:t>
      </w:r>
    </w:p>
    <w:p w14:paraId="46517568" w14:textId="77777777" w:rsidR="008C1AD8" w:rsidRDefault="008C1AD8" w:rsidP="008C1AD8">
      <w:r>
        <w:t>There are at least five records of GGF within the Moorabool River near Fyansford, close to the confluence with the Barwon River. These records are hydrologically connected to the Growth Areas, occurring approximately 9 km downstream. There are currently barriers within the Moorabool River which would likely prevent movement of frogs upstream towards the WGGA. However, if these barriers are removed and there is restoration along the river corridor as part of future development, these records may form a source population which would allow upstream stretches of suitable habitat to be occupied.</w:t>
      </w:r>
    </w:p>
    <w:p w14:paraId="3E11F1E5" w14:textId="77777777" w:rsidR="008C1AD8" w:rsidRDefault="008C1AD8" w:rsidP="008C1AD8">
      <w:r w:rsidRPr="0095208D">
        <w:t>Records also occur in the Lake Connewarre complex, with a number of associated records occurring upstream in the Barwon River. While relatively distant, some of these records are hydrologically connected to the growth areas.</w:t>
      </w:r>
      <w:r>
        <w:t xml:space="preserve"> </w:t>
      </w:r>
    </w:p>
    <w:p w14:paraId="5179B33C" w14:textId="77777777" w:rsidR="008C1AD8" w:rsidRPr="0095208D" w:rsidRDefault="008C1AD8" w:rsidP="008C1AD8">
      <w:r w:rsidRPr="0095208D">
        <w:t>Within the broader Study Area there are more than 1,</w:t>
      </w:r>
      <w:r>
        <w:t>1</w:t>
      </w:r>
      <w:r w:rsidRPr="0095208D">
        <w:t xml:space="preserve">00 records of GGF. These are heavily concentrated in the Werribee/Avalon area of the Port Philip Bay and Bellarine Peninsula Ramsar Site, with some associated records occurring to the north and north-west of that location. These records are not hydrologically connected to the growth areas. </w:t>
      </w:r>
    </w:p>
    <w:p w14:paraId="44DDE4DB" w14:textId="77777777" w:rsidR="008C1AD8" w:rsidRDefault="008C1AD8" w:rsidP="008C1AD8">
      <w:pPr>
        <w:tabs>
          <w:tab w:val="clear" w:pos="4962"/>
        </w:tabs>
        <w:spacing w:before="0" w:after="0" w:line="240" w:lineRule="auto"/>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40D806C8" w14:textId="77777777" w:rsidTr="00A15226">
        <w:tc>
          <w:tcPr>
            <w:tcW w:w="9632" w:type="dxa"/>
            <w:shd w:val="clear" w:color="auto" w:fill="D9D9D9" w:themeFill="background1" w:themeFillShade="D9"/>
            <w:vAlign w:val="center"/>
          </w:tcPr>
          <w:p w14:paraId="0FA17A28" w14:textId="77777777" w:rsidR="008C1AD8" w:rsidRPr="000816D6" w:rsidRDefault="008C1AD8" w:rsidP="00A15226">
            <w:pPr>
              <w:pStyle w:val="TableHeadingLarge"/>
              <w:rPr>
                <w:rFonts w:ascii="Helvetica" w:hAnsi="Helvetica"/>
              </w:rPr>
            </w:pPr>
            <w:r>
              <w:rPr>
                <w:rFonts w:ascii="Helvetica" w:hAnsi="Helvetica"/>
              </w:rPr>
              <w:t xml:space="preserve">IMPACT ANALYSIS </w:t>
            </w:r>
          </w:p>
        </w:tc>
      </w:tr>
    </w:tbl>
    <w:p w14:paraId="3A88ED9D" w14:textId="77777777" w:rsidR="008C1AD8" w:rsidRDefault="008C1AD8" w:rsidP="008C1AD8">
      <w:pPr>
        <w:rPr>
          <w:i/>
          <w:color w:val="4472C4" w:themeColor="accent1"/>
        </w:rPr>
      </w:pPr>
      <w:r w:rsidRPr="000816D6">
        <w:rPr>
          <w:i/>
          <w:color w:val="4472C4" w:themeColor="accent1"/>
        </w:rPr>
        <w:t>This section</w:t>
      </w:r>
      <w:r>
        <w:rPr>
          <w:i/>
          <w:color w:val="4472C4" w:themeColor="accent1"/>
        </w:rPr>
        <w:t xml:space="preserve"> analyses the potential impacts to the species. It:</w:t>
      </w:r>
    </w:p>
    <w:p w14:paraId="32107A66" w14:textId="77777777" w:rsidR="008C1AD8" w:rsidRDefault="008C1AD8" w:rsidP="008C1AD8">
      <w:pPr>
        <w:pStyle w:val="Bullet1"/>
        <w:rPr>
          <w:i/>
          <w:iCs/>
          <w:color w:val="4472C4" w:themeColor="accent1"/>
        </w:rPr>
      </w:pPr>
      <w:r>
        <w:rPr>
          <w:i/>
          <w:iCs/>
          <w:color w:val="4472C4" w:themeColor="accent1"/>
        </w:rPr>
        <w:t>Presents the proposed Cowies Creek Conservation Area within the WGGA and discusses what it is aiming to achieve for GGF</w:t>
      </w:r>
    </w:p>
    <w:p w14:paraId="3D347724" w14:textId="77777777" w:rsidR="008C1AD8" w:rsidRPr="00EB4834" w:rsidRDefault="008C1AD8" w:rsidP="008C1AD8">
      <w:pPr>
        <w:pStyle w:val="Bullet1"/>
        <w:rPr>
          <w:i/>
          <w:color w:val="4472C4" w:themeColor="accent1"/>
        </w:rPr>
      </w:pPr>
      <w:r>
        <w:rPr>
          <w:i/>
          <w:iCs/>
          <w:color w:val="4472C4" w:themeColor="accent1"/>
        </w:rPr>
        <w:t xml:space="preserve">Analyses the </w:t>
      </w:r>
      <w:r w:rsidRPr="00CE3C6D">
        <w:rPr>
          <w:i/>
          <w:iCs/>
          <w:color w:val="4472C4" w:themeColor="accent1"/>
        </w:rPr>
        <w:t xml:space="preserve">potential indirect impacts </w:t>
      </w:r>
      <w:r w:rsidRPr="00CE3C6D">
        <w:rPr>
          <w:i/>
          <w:color w:val="4472C4" w:themeColor="accent1"/>
        </w:rPr>
        <w:t xml:space="preserve">to </w:t>
      </w:r>
      <w:r>
        <w:rPr>
          <w:i/>
          <w:color w:val="4472C4" w:themeColor="accent1"/>
        </w:rPr>
        <w:t>GGF</w:t>
      </w:r>
      <w:r w:rsidRPr="00CE3C6D">
        <w:rPr>
          <w:i/>
          <w:color w:val="4472C4" w:themeColor="accent1"/>
        </w:rPr>
        <w:t xml:space="preserve"> </w:t>
      </w:r>
      <w:r>
        <w:rPr>
          <w:i/>
          <w:color w:val="4472C4" w:themeColor="accent1"/>
        </w:rPr>
        <w:t>from development within the WGGA</w:t>
      </w:r>
    </w:p>
    <w:p w14:paraId="20CB82FC" w14:textId="77777777" w:rsidR="008C1AD8" w:rsidRDefault="008C1AD8" w:rsidP="008C1AD8">
      <w:pPr>
        <w:pStyle w:val="Heading3"/>
      </w:pPr>
      <w:r>
        <w:t>Cowies Creek Conservation Area</w:t>
      </w:r>
    </w:p>
    <w:p w14:paraId="3A6CCE65" w14:textId="77777777" w:rsidR="008C1AD8" w:rsidRDefault="008C1AD8" w:rsidP="008C1AD8">
      <w:r>
        <w:t xml:space="preserve">The Plan includes an outcome to ensure that populations of threatened species persist in the strategic assessment area. This includes GGF within Cowies Creek. One of the key commitments to protect the species in this location is the establishment of the Cowies Creek Conservation Area which will ensure that there will be no direct impacts to the species. See </w:t>
      </w:r>
      <w:hyperlink r:id="rId34" w:history="1">
        <w:r w:rsidRPr="00466211">
          <w:rPr>
            <w:rStyle w:val="Hyperlink"/>
          </w:rPr>
          <w:t>Map 19-6</w:t>
        </w:r>
      </w:hyperlink>
      <w:r w:rsidRPr="00D727EF">
        <w:t xml:space="preserve"> for</w:t>
      </w:r>
      <w:r>
        <w:t xml:space="preserve"> an indicative layout. </w:t>
      </w:r>
    </w:p>
    <w:p w14:paraId="7B36D227" w14:textId="77777777" w:rsidR="008C1AD8" w:rsidRDefault="008C1AD8" w:rsidP="008C1AD8">
      <w:r>
        <w:t xml:space="preserve">This section sets out the aims of the conservation area, how it will be implemented in relation to GGF, and what success looks like for the GGF within the conservation area. </w:t>
      </w:r>
    </w:p>
    <w:p w14:paraId="01291DBB" w14:textId="77777777" w:rsidR="008C1AD8" w:rsidRDefault="008C1AD8" w:rsidP="008C1AD8">
      <w:pPr>
        <w:pStyle w:val="Heading4"/>
      </w:pPr>
      <w:r>
        <w:t>Aims of the conservation area</w:t>
      </w:r>
    </w:p>
    <w:p w14:paraId="21663047" w14:textId="77777777" w:rsidR="008C1AD8" w:rsidRDefault="008C1AD8" w:rsidP="008C1AD8">
      <w:r>
        <w:t>The Cowies Creek Conservation Area will be established in the WGGA in order to:</w:t>
      </w:r>
    </w:p>
    <w:p w14:paraId="6856E71D" w14:textId="77777777" w:rsidR="008C1AD8" w:rsidRDefault="008C1AD8" w:rsidP="008C1AD8">
      <w:pPr>
        <w:pStyle w:val="Bullet1"/>
      </w:pPr>
      <w:r>
        <w:t xml:space="preserve">Protect and regenerate biodiversity values along the creek corridor. This supports one of the Framework Plan’s </w:t>
      </w:r>
      <w:sdt>
        <w:sdtPr>
          <w:rPr>
            <w:color w:val="000000"/>
          </w:rPr>
          <w:tag w:val="MENDELEY_CITATION_v3_eyJjaXRhdGlvbklEIjoiTUVOREVMRVlfQ0lUQVRJT05fY2E1NDk0YmEtYjI4NS00YTllLWFmYTktMGVmOGFlMWMyYjI4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043561995"/>
          <w:placeholder>
            <w:docPart w:val="EA492B379251784A8EF33F6B6775C3A8"/>
          </w:placeholder>
        </w:sdtPr>
        <w:sdtContent>
          <w:r w:rsidRPr="00273871">
            <w:rPr>
              <w:color w:val="000000"/>
            </w:rPr>
            <w:t>(The City of Greater Geelong, 2021b)</w:t>
          </w:r>
        </w:sdtContent>
      </w:sdt>
      <w:r>
        <w:t xml:space="preserve"> urban development objectives which identifies Cowies Creek as a priority for that purpose</w:t>
      </w:r>
    </w:p>
    <w:p w14:paraId="68ED2846" w14:textId="77777777" w:rsidR="008C1AD8" w:rsidRDefault="008C1AD8" w:rsidP="008C1AD8">
      <w:pPr>
        <w:pStyle w:val="Bullet1"/>
      </w:pPr>
      <w:r>
        <w:t>Protect cultural heritage values. There are a range of sites of cultural heritage significance in the creek corridor and the conservation area will provide a level of protection for these. This supports the same urban development objective in the Framework Plan as the one that relates to biodiversity</w:t>
      </w:r>
    </w:p>
    <w:p w14:paraId="6D2EFAC4" w14:textId="77777777" w:rsidR="008C1AD8" w:rsidRDefault="008C1AD8" w:rsidP="008C1AD8">
      <w:pPr>
        <w:pStyle w:val="Bullet1"/>
      </w:pPr>
      <w:r>
        <w:t>Provide for some social infrastructure within the precinct that is sympathetic to the protection of biodiversity and heritage values. Social infrastructure may include walking trails and some open space facilities</w:t>
      </w:r>
    </w:p>
    <w:p w14:paraId="3E571C47" w14:textId="77777777" w:rsidR="008C1AD8" w:rsidRDefault="008C1AD8" w:rsidP="008C1AD8">
      <w:r>
        <w:t>In relation to GGF, the conservation area will support the persistence of the species within the WGGA and aims to maintain the metapopulation dynamics with the broader Cowies Creek metapopulation downstream. It will do this by:</w:t>
      </w:r>
    </w:p>
    <w:p w14:paraId="2EE49900" w14:textId="77777777" w:rsidR="008C1AD8" w:rsidRDefault="008C1AD8" w:rsidP="008C1AD8">
      <w:pPr>
        <w:pStyle w:val="Bullet1"/>
      </w:pPr>
      <w:r>
        <w:t xml:space="preserve">Protecting high quality instream habitat </w:t>
      </w:r>
    </w:p>
    <w:p w14:paraId="12CE5A3D" w14:textId="77777777" w:rsidR="008C1AD8" w:rsidRDefault="008C1AD8" w:rsidP="008C1AD8">
      <w:pPr>
        <w:pStyle w:val="Bullet1"/>
      </w:pPr>
      <w:r>
        <w:t>Helping to improve the condition of lower quality instream habitat</w:t>
      </w:r>
    </w:p>
    <w:p w14:paraId="11688358" w14:textId="77777777" w:rsidR="008C1AD8" w:rsidRDefault="008C1AD8" w:rsidP="008C1AD8">
      <w:pPr>
        <w:pStyle w:val="Bullet1"/>
      </w:pPr>
      <w:r>
        <w:t xml:space="preserve">Protecting terrestrial habitat in buffer areas adjacent to the creek </w:t>
      </w:r>
    </w:p>
    <w:p w14:paraId="71838EBF" w14:textId="77777777" w:rsidR="008C1AD8" w:rsidRDefault="008C1AD8" w:rsidP="008C1AD8">
      <w:pPr>
        <w:pStyle w:val="Bullet1"/>
      </w:pPr>
      <w:r>
        <w:t>Regenerating areas of terrestrial habitat that are degraded through historical land uses</w:t>
      </w:r>
    </w:p>
    <w:p w14:paraId="5F083609" w14:textId="77777777" w:rsidR="008C1AD8" w:rsidRDefault="008C1AD8" w:rsidP="008C1AD8">
      <w:pPr>
        <w:pStyle w:val="Bullet1"/>
      </w:pPr>
      <w:r>
        <w:t xml:space="preserve">Potentially providing for the creation of off-stream habitat </w:t>
      </w:r>
    </w:p>
    <w:p w14:paraId="590DF2D3" w14:textId="77777777" w:rsidR="008C1AD8" w:rsidRDefault="008C1AD8" w:rsidP="008C1AD8">
      <w:pPr>
        <w:pStyle w:val="Heading4"/>
      </w:pPr>
      <w:r>
        <w:lastRenderedPageBreak/>
        <w:t>How the conservation area will be implemented in relation to GGF</w:t>
      </w:r>
    </w:p>
    <w:p w14:paraId="072976A7" w14:textId="77777777" w:rsidR="008C1AD8" w:rsidRDefault="008C1AD8" w:rsidP="008C1AD8">
      <w:r>
        <w:t xml:space="preserve">This section discusses how the Cowies Creek Conservation Area will be implemented in relation to GGF. It does not talk to other issues relating to the conservation area such as the protection and management of cultural heritage values which are dealt with through other regulatory processes. </w:t>
      </w:r>
    </w:p>
    <w:p w14:paraId="5CB98AA8" w14:textId="77777777" w:rsidR="008C1AD8" w:rsidRDefault="008C1AD8" w:rsidP="008C1AD8">
      <w:pPr>
        <w:keepNext/>
      </w:pPr>
      <w:r>
        <w:t>The key guiding documents for designing and managing the conservation area in relation to GGF are:</w:t>
      </w:r>
    </w:p>
    <w:p w14:paraId="55092C64" w14:textId="77777777" w:rsidR="008C1AD8" w:rsidRDefault="008C1AD8" w:rsidP="008C1AD8">
      <w:pPr>
        <w:pStyle w:val="Bullet1"/>
        <w:keepNext/>
      </w:pPr>
      <w:r>
        <w:t xml:space="preserve">The Commonwealth’s Environmental Management Plan Guidelines </w:t>
      </w:r>
      <w:sdt>
        <w:sdtPr>
          <w:rPr>
            <w:color w:val="000000"/>
          </w:rPr>
          <w:tag w:val="MENDELEY_CITATION_v3_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"/>
          <w:id w:val="212479853"/>
          <w:placeholder>
            <w:docPart w:val="53263D66753F864BA248D609BD120A46"/>
          </w:placeholder>
        </w:sdtPr>
        <w:sdtContent>
          <w:r w:rsidRPr="00273871">
            <w:rPr>
              <w:color w:val="000000"/>
            </w:rPr>
            <w:t>(DoE, 2014)</w:t>
          </w:r>
        </w:sdtContent>
      </w:sdt>
      <w:r>
        <w:rPr>
          <w:color w:val="000000"/>
        </w:rPr>
        <w:t xml:space="preserve"> </w:t>
      </w:r>
      <w:r>
        <w:t>which will provide the over-arching framework for the conservation area</w:t>
      </w:r>
    </w:p>
    <w:p w14:paraId="5BF8DE9B" w14:textId="77777777" w:rsidR="008C1AD8" w:rsidRDefault="008C1AD8" w:rsidP="008C1AD8">
      <w:pPr>
        <w:pStyle w:val="Bullet1"/>
        <w:keepNext/>
      </w:pPr>
      <w:r>
        <w:t>Two design standards for GGF which are best practice for the species:</w:t>
      </w:r>
    </w:p>
    <w:p w14:paraId="7580B7D2" w14:textId="77777777" w:rsidR="008C1AD8" w:rsidRDefault="008C1AD8" w:rsidP="008C1AD8">
      <w:pPr>
        <w:pStyle w:val="Bullet2"/>
      </w:pPr>
      <w:r>
        <w:t xml:space="preserve">GGF Habitat Design Standards </w:t>
      </w:r>
      <w:sdt>
        <w:sdtPr>
          <w:rPr>
            <w:color w:val="000000"/>
          </w:rPr>
          <w:tag w:val="MENDELEY_CITATION_v3_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"/>
          <w:id w:val="-1846538645"/>
          <w:placeholder>
            <w:docPart w:val="EA492B379251784A8EF33F6B6775C3A8"/>
          </w:placeholder>
        </w:sdtPr>
        <w:sdtContent>
          <w:r w:rsidRPr="00273871">
            <w:rPr>
              <w:color w:val="000000"/>
            </w:rPr>
            <w:t>(DELWP, 2017b)</w:t>
          </w:r>
        </w:sdtContent>
      </w:sdt>
      <w:r>
        <w:t xml:space="preserve"> </w:t>
      </w:r>
    </w:p>
    <w:p w14:paraId="6618F97C" w14:textId="77777777" w:rsidR="008C1AD8" w:rsidRDefault="008C1AD8" w:rsidP="008C1AD8">
      <w:pPr>
        <w:pStyle w:val="Bullet2"/>
      </w:pPr>
      <w:r>
        <w:t xml:space="preserve">GGF Crossing Design Standards </w:t>
      </w:r>
      <w:sdt>
        <w:sdtPr>
          <w:rPr>
            <w:color w:val="000000"/>
          </w:rPr>
          <w:tag w:val="MENDELEY_CITATION_v3_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"/>
          <w:id w:val="-1829590537"/>
          <w:placeholder>
            <w:docPart w:val="EA492B379251784A8EF33F6B6775C3A8"/>
          </w:placeholder>
        </w:sdtPr>
        <w:sdtContent>
          <w:r w:rsidRPr="00273871">
            <w:rPr>
              <w:color w:val="000000"/>
            </w:rPr>
            <w:t>(DELWP, 2017a)</w:t>
          </w:r>
        </w:sdtContent>
      </w:sdt>
    </w:p>
    <w:p w14:paraId="6727F02C" w14:textId="77777777" w:rsidR="008C1AD8" w:rsidRDefault="008C1AD8" w:rsidP="008C1AD8">
      <w:pPr>
        <w:pStyle w:val="Heading5"/>
      </w:pPr>
      <w:r>
        <w:t>Layout of the conservation area</w:t>
      </w:r>
    </w:p>
    <w:p w14:paraId="0235B7EE" w14:textId="77777777" w:rsidR="008C1AD8" w:rsidRDefault="008C1AD8" w:rsidP="008C1AD8">
      <w:r>
        <w:t>The layout of the conservation area will be finalised through the precinct structure planning process for the Creamery Road precinct. This will involve only minor changes to the indicative boundary, and there is a measure relating to Commitment 5 that ensures “</w:t>
      </w:r>
      <w:r w:rsidRPr="00CE1D48">
        <w:t>the conservation area includes all areas of habitat that may be needed to support the continued persistence of the Growling Grass Frog within the WGGA, including areas of habitat that may be used for breeding, foraging and movement</w:t>
      </w:r>
      <w:r>
        <w:t>”</w:t>
      </w:r>
      <w:r w:rsidRPr="00CE1D48">
        <w:t>.</w:t>
      </w:r>
    </w:p>
    <w:p w14:paraId="61DDE72C" w14:textId="77777777" w:rsidR="008C1AD8" w:rsidRDefault="008C1AD8" w:rsidP="008C1AD8">
      <w:r>
        <w:t xml:space="preserve">One of the key considerations in finalising the layout will include maintaining an appropriate corridor width to protect terrestrial habitat and buffer the instream habitat. It is noted that the GGF Significant Impact Guidelines </w:t>
      </w:r>
      <w:sdt>
        <w:sdtPr>
          <w:rPr>
            <w:color w:val="000000"/>
          </w:rPr>
          <w:tag w:val="MENDELEY_CITATION_v3_eyJjaXRhdGlvbklEIjoiTUVOREVMRVlfQ0lUQVRJT05fMTFiOTgzNWEtOGVhMS00MWVjLWFhNGQtMjdkZjU5YTgyYzI3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1026370515"/>
          <w:placeholder>
            <w:docPart w:val="EA492B379251784A8EF33F6B6775C3A8"/>
          </w:placeholder>
        </w:sdtPr>
        <w:sdtContent>
          <w:r w:rsidRPr="00273871">
            <w:rPr>
              <w:color w:val="000000"/>
            </w:rPr>
            <w:t>(DEWHA, 2009d)</w:t>
          </w:r>
        </w:sdtContent>
      </w:sdt>
      <w:r>
        <w:t>:</w:t>
      </w:r>
    </w:p>
    <w:p w14:paraId="18FA684B" w14:textId="77777777" w:rsidR="008C1AD8" w:rsidRDefault="008C1AD8" w:rsidP="008C1AD8">
      <w:pPr>
        <w:pStyle w:val="Bullet1"/>
      </w:pPr>
      <w:r>
        <w:t>Identify permanent removal or degradation of habitat within 200 m of a water body as a likely significant impact to the species</w:t>
      </w:r>
    </w:p>
    <w:p w14:paraId="597FBF8A" w14:textId="77777777" w:rsidR="008C1AD8" w:rsidRDefault="008C1AD8" w:rsidP="008C1AD8">
      <w:pPr>
        <w:pStyle w:val="Bullet1"/>
      </w:pPr>
      <w:r>
        <w:t>Recommend that buffer zones of at least 200 m around water bodies and dedicated terrestrial habitat corridors of at least 100 m be retained</w:t>
      </w:r>
    </w:p>
    <w:p w14:paraId="14E3F71D" w14:textId="77777777" w:rsidR="008C1AD8" w:rsidRDefault="008C1AD8" w:rsidP="008C1AD8">
      <w:r>
        <w:t xml:space="preserve">The topography of Cowies Creek and current land use within the Creamery Road Precinct is not conducive to a buffer distance of 200 m. There is a significant break of slope at approximately 100 m from the creek line which is likely to represent the edge of the potential terrestrial habitat for the species. Beyond the break of slope there are significant areas of cropping and a lack of suitable habitat. This suggests that a layout that is based on the break of slope as the edge of the conservation area would be appropriate. This would maintain an average corridor width of approximately 100 m from the stream and given the current use of Cowies Creek by the species is considered appropriate for the long term protection of the population in the WGGA. </w:t>
      </w:r>
    </w:p>
    <w:p w14:paraId="088BCF2F" w14:textId="77777777" w:rsidR="008C1AD8" w:rsidRDefault="008C1AD8" w:rsidP="008C1AD8">
      <w:r>
        <w:t xml:space="preserve">The decision on the layout would also give consideration to the ephemeral stream that runs into Cowies Creek in the precinct, and the potential for that area to provide additional habitat for the species. </w:t>
      </w:r>
    </w:p>
    <w:p w14:paraId="7697E1AA" w14:textId="77777777" w:rsidR="008C1AD8" w:rsidRPr="00720761" w:rsidRDefault="008C1AD8" w:rsidP="008C1AD8">
      <w:pPr>
        <w:pStyle w:val="Heading5"/>
      </w:pPr>
      <w:r w:rsidRPr="00720761">
        <w:t xml:space="preserve">Conservation Management Plan </w:t>
      </w:r>
    </w:p>
    <w:p w14:paraId="3BB91B50" w14:textId="77777777" w:rsidR="008C1AD8" w:rsidRDefault="008C1AD8" w:rsidP="008C1AD8">
      <w:r>
        <w:t xml:space="preserve">The Plan commits to the development and implementation of a Conservation Management Plan for the conservation area. The Conservation Management Plan will be prepared to give effect to the aims of the conservation area (discussed above) and in accordance with the GGF Habitat Design and Crossing Standards </w:t>
      </w:r>
      <w:sdt>
        <w:sdtPr>
          <w:rPr>
            <w:color w:val="000000"/>
          </w:rPr>
          <w:tag w:val="MENDELEY_CITATION_v3_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"/>
          <w:id w:val="-17087795"/>
          <w:placeholder>
            <w:docPart w:val="EA492B379251784A8EF33F6B6775C3A8"/>
          </w:placeholder>
        </w:sdtPr>
        <w:sdtContent>
          <w:r w:rsidRPr="00273871">
            <w:rPr>
              <w:color w:val="000000"/>
            </w:rPr>
            <w:t>(DELWP, 2017b, 2017a)</w:t>
          </w:r>
        </w:sdtContent>
      </w:sdt>
      <w:r>
        <w:t>. It will include the following for GGF:</w:t>
      </w:r>
    </w:p>
    <w:p w14:paraId="47599CC3" w14:textId="77777777" w:rsidR="008C1AD8" w:rsidRDefault="008C1AD8" w:rsidP="008C1AD8">
      <w:pPr>
        <w:pStyle w:val="Bullet1"/>
      </w:pPr>
      <w:r>
        <w:t>The boundary of the conservation area</w:t>
      </w:r>
    </w:p>
    <w:p w14:paraId="53DFB05E" w14:textId="77777777" w:rsidR="008C1AD8" w:rsidRDefault="008C1AD8" w:rsidP="008C1AD8">
      <w:pPr>
        <w:pStyle w:val="Bullet1"/>
      </w:pPr>
      <w:r>
        <w:t>Native vegetation to be retained as identified in the NVPP</w:t>
      </w:r>
    </w:p>
    <w:p w14:paraId="477DE395" w14:textId="77777777" w:rsidR="008C1AD8" w:rsidRDefault="008C1AD8" w:rsidP="008C1AD8">
      <w:pPr>
        <w:pStyle w:val="Bullet1"/>
      </w:pPr>
      <w:r>
        <w:t>GGF records and habitat</w:t>
      </w:r>
    </w:p>
    <w:p w14:paraId="4390B860" w14:textId="77777777" w:rsidR="008C1AD8" w:rsidRDefault="008C1AD8" w:rsidP="008C1AD8">
      <w:pPr>
        <w:pStyle w:val="Bullet1"/>
      </w:pPr>
      <w:r>
        <w:t>Any locations suitable for public access points, walking paths/trails, and passive recreation</w:t>
      </w:r>
    </w:p>
    <w:p w14:paraId="21FE0E46" w14:textId="77777777" w:rsidR="008C1AD8" w:rsidRDefault="008C1AD8" w:rsidP="008C1AD8">
      <w:pPr>
        <w:pStyle w:val="Bullet1"/>
      </w:pPr>
      <w:r>
        <w:t>Any locations suitable for water management assets and associated infrastructure</w:t>
      </w:r>
    </w:p>
    <w:p w14:paraId="2A764D47" w14:textId="77777777" w:rsidR="008C1AD8" w:rsidRDefault="008C1AD8" w:rsidP="008C1AD8">
      <w:pPr>
        <w:pStyle w:val="Bullet1"/>
      </w:pPr>
      <w:r>
        <w:t xml:space="preserve">Management actions and arrangements to protect GGF and its habitat, including management methods, standards and techniques, roles and responsibilities, timing for implementation, funding, monitoring, and reporting </w:t>
      </w:r>
    </w:p>
    <w:p w14:paraId="177F58F7" w14:textId="77777777" w:rsidR="008C1AD8" w:rsidRDefault="008C1AD8" w:rsidP="008C1AD8">
      <w:r>
        <w:lastRenderedPageBreak/>
        <w:t xml:space="preserve">Given the currently degraded state of habitat in the creek corridor (particularly the terrestrial areas), there are significant opportunities to improve the condition of habitat for GGF within the conservation area. Rehabilitation and regeneration of habitat will be a priority of the Conservation Management Plan. </w:t>
      </w:r>
    </w:p>
    <w:p w14:paraId="0B84A9BD" w14:textId="77777777" w:rsidR="008C1AD8" w:rsidRDefault="008C1AD8" w:rsidP="008C1AD8">
      <w:r>
        <w:t xml:space="preserve">A key component of the Conservation Management Plan will be the sensitive design of any social infrastructure (e.g., walking paths) or water infrastructure to ensure that impacts to GGF are avoided. Any crossings of Cowies Creek will be designed in accordance with the GGF Crossing Standards </w:t>
      </w:r>
      <w:sdt>
        <w:sdtPr>
          <w:rPr>
            <w:color w:val="000000"/>
          </w:rPr>
          <w:tag w:val="MENDELEY_CITATION_v3_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"/>
          <w:id w:val="301585943"/>
          <w:placeholder>
            <w:docPart w:val="EA492B379251784A8EF33F6B6775C3A8"/>
          </w:placeholder>
        </w:sdtPr>
        <w:sdtContent>
          <w:r w:rsidRPr="00273871">
            <w:rPr>
              <w:color w:val="000000"/>
            </w:rPr>
            <w:t>(DELWP, 2017a)</w:t>
          </w:r>
        </w:sdtContent>
      </w:sdt>
      <w:r>
        <w:t>.</w:t>
      </w:r>
    </w:p>
    <w:p w14:paraId="7B707F5D" w14:textId="77777777" w:rsidR="008C1AD8" w:rsidRDefault="008C1AD8" w:rsidP="008C1AD8">
      <w:r>
        <w:t xml:space="preserve">Ongoing monitoring of the species within the conservation area will be important to ensure that performance of the Conservation Management Plan is understood, and to ensure that management is responsive and adapts to any changing circumstances. </w:t>
      </w:r>
    </w:p>
    <w:p w14:paraId="25D30C78" w14:textId="77777777" w:rsidR="008C1AD8" w:rsidRDefault="008C1AD8" w:rsidP="008C1AD8">
      <w:pPr>
        <w:pStyle w:val="Heading4"/>
      </w:pPr>
      <w:r>
        <w:t>What does success look like for the GGF in the Cowies Creek Conservation Area?</w:t>
      </w:r>
    </w:p>
    <w:p w14:paraId="2C9230D6" w14:textId="77777777" w:rsidR="008C1AD8" w:rsidRDefault="008C1AD8" w:rsidP="008C1AD8">
      <w:pPr>
        <w:keepNext/>
        <w:keepLines/>
      </w:pPr>
      <w:r>
        <w:t>The Cowies Creek Conservation Area will be a success for GGF if:</w:t>
      </w:r>
    </w:p>
    <w:p w14:paraId="7F684207" w14:textId="77777777" w:rsidR="008C1AD8" w:rsidRDefault="008C1AD8" w:rsidP="008C1AD8">
      <w:pPr>
        <w:pStyle w:val="Bullet1"/>
      </w:pPr>
      <w:r>
        <w:t>The population persists and remains viable over the long term</w:t>
      </w:r>
    </w:p>
    <w:p w14:paraId="5DBA00E6" w14:textId="77777777" w:rsidR="008C1AD8" w:rsidRDefault="008C1AD8" w:rsidP="008C1AD8">
      <w:pPr>
        <w:pStyle w:val="Bullet1"/>
      </w:pPr>
      <w:r>
        <w:t>Habitat is retained and its condition improves over time</w:t>
      </w:r>
    </w:p>
    <w:p w14:paraId="43C16939" w14:textId="77777777" w:rsidR="008C1AD8" w:rsidRDefault="008C1AD8" w:rsidP="008C1AD8">
      <w:pPr>
        <w:pStyle w:val="Bullet1"/>
      </w:pPr>
      <w:r>
        <w:t>Metapopulation dynamics are retained with downstream populations of the species</w:t>
      </w:r>
    </w:p>
    <w:p w14:paraId="6DEE783C" w14:textId="77777777" w:rsidR="008C1AD8" w:rsidRDefault="008C1AD8" w:rsidP="008C1AD8">
      <w:pPr>
        <w:pStyle w:val="Heading3"/>
      </w:pPr>
      <w:r>
        <w:t>Potential indirect impacts</w:t>
      </w:r>
    </w:p>
    <w:p w14:paraId="70878F67" w14:textId="77777777" w:rsidR="008C1AD8" w:rsidRPr="0004013F" w:rsidRDefault="008C1AD8" w:rsidP="008C1AD8">
      <w:pPr>
        <w:rPr>
          <w:i/>
          <w:color w:val="4472C4" w:themeColor="accent1"/>
        </w:rPr>
      </w:pPr>
      <w:r w:rsidRPr="0004013F">
        <w:rPr>
          <w:i/>
          <w:color w:val="4472C4" w:themeColor="accent1"/>
        </w:rPr>
        <w:t xml:space="preserve">This section </w:t>
      </w:r>
      <w:r>
        <w:rPr>
          <w:i/>
          <w:color w:val="4472C4" w:themeColor="accent1"/>
        </w:rPr>
        <w:t>analyses</w:t>
      </w:r>
      <w:r w:rsidRPr="0004013F">
        <w:rPr>
          <w:i/>
          <w:color w:val="4472C4" w:themeColor="accent1"/>
        </w:rPr>
        <w:t xml:space="preserve"> the relevant potential indirect impacts to </w:t>
      </w:r>
      <w:r>
        <w:rPr>
          <w:i/>
          <w:color w:val="4472C4" w:themeColor="accent1"/>
        </w:rPr>
        <w:t>GGF</w:t>
      </w:r>
      <w:r w:rsidRPr="0004013F">
        <w:rPr>
          <w:i/>
          <w:color w:val="4472C4" w:themeColor="accent1"/>
        </w:rPr>
        <w:t xml:space="preserve"> that may occur as a result of development under the Plan. Indirect impacts were identified as being relevant to the species if:</w:t>
      </w:r>
    </w:p>
    <w:p w14:paraId="1B955B21" w14:textId="77777777" w:rsidR="008C1AD8" w:rsidRPr="007F107E" w:rsidRDefault="008C1AD8" w:rsidP="008C1AD8">
      <w:pPr>
        <w:pStyle w:val="Bullet1"/>
        <w:rPr>
          <w:i/>
          <w:iCs/>
          <w:color w:val="4472C4" w:themeColor="accent1"/>
        </w:rPr>
      </w:pPr>
      <w:r w:rsidRPr="007F107E">
        <w:rPr>
          <w:i/>
          <w:iCs/>
          <w:color w:val="4472C4" w:themeColor="accent1"/>
        </w:rPr>
        <w:t>The indirect impact is identified as a threat in the recovery plan or significant impact guidelines</w:t>
      </w:r>
      <w:r>
        <w:rPr>
          <w:i/>
          <w:iCs/>
          <w:color w:val="4472C4" w:themeColor="accent1"/>
        </w:rPr>
        <w:t xml:space="preserve"> for GGF</w:t>
      </w:r>
      <w:r w:rsidRPr="007F107E">
        <w:rPr>
          <w:i/>
          <w:iCs/>
          <w:color w:val="4472C4" w:themeColor="accent1"/>
        </w:rPr>
        <w:t>, and</w:t>
      </w:r>
    </w:p>
    <w:p w14:paraId="4BD5CC71" w14:textId="77777777" w:rsidR="008C1AD8" w:rsidRPr="007F107E" w:rsidRDefault="008C1AD8" w:rsidP="008C1AD8">
      <w:pPr>
        <w:pStyle w:val="Bullet1"/>
        <w:rPr>
          <w:i/>
          <w:iCs/>
          <w:color w:val="4472C4" w:themeColor="accent1"/>
        </w:rPr>
      </w:pPr>
      <w:r w:rsidRPr="007F107E">
        <w:rPr>
          <w:i/>
          <w:iCs/>
          <w:color w:val="4472C4" w:themeColor="accent1"/>
        </w:rPr>
        <w:t>The Plan has the potential to introduce or exacerbate the threat</w:t>
      </w:r>
    </w:p>
    <w:p w14:paraId="6410E184" w14:textId="77777777" w:rsidR="008C1AD8" w:rsidRPr="00A5161D" w:rsidRDefault="008C1AD8" w:rsidP="008C1AD8">
      <w:pPr>
        <w:rPr>
          <w:i/>
          <w:color w:val="4472C4" w:themeColor="accent1"/>
        </w:rPr>
      </w:pPr>
      <w:r w:rsidRPr="0004013F">
        <w:rPr>
          <w:i/>
          <w:color w:val="4472C4" w:themeColor="accent1"/>
        </w:rPr>
        <w:t xml:space="preserve">Please </w:t>
      </w:r>
      <w:r>
        <w:rPr>
          <w:i/>
          <w:color w:val="4472C4" w:themeColor="accent1"/>
        </w:rPr>
        <w:t xml:space="preserve">note that </w:t>
      </w:r>
      <w:r w:rsidRPr="009E63A2">
        <w:rPr>
          <w:i/>
          <w:color w:val="4472C4" w:themeColor="accent1"/>
        </w:rPr>
        <w:t>Chapter 17</w:t>
      </w:r>
      <w:r w:rsidRPr="00D727EF">
        <w:rPr>
          <w:i/>
          <w:color w:val="4472C4" w:themeColor="accent1"/>
        </w:rPr>
        <w:t xml:space="preserve"> provides a detailed discussion and analysis of the indirect impacts that may occur as a result of implementing the Plan and the associated mitigation measures. It is critical to read </w:t>
      </w:r>
      <w:r w:rsidRPr="009E63A2">
        <w:rPr>
          <w:i/>
          <w:color w:val="4472C4" w:themeColor="accent1"/>
        </w:rPr>
        <w:t>Chapter 17</w:t>
      </w:r>
      <w:r w:rsidRPr="00D727EF">
        <w:rPr>
          <w:i/>
          <w:color w:val="4472C4" w:themeColor="accent1"/>
        </w:rPr>
        <w:t xml:space="preserve"> in</w:t>
      </w:r>
      <w:r w:rsidRPr="0004013F">
        <w:rPr>
          <w:i/>
          <w:color w:val="4472C4" w:themeColor="accent1"/>
        </w:rPr>
        <w:t xml:space="preserve"> order to understand the conclusions reached in this section.</w:t>
      </w:r>
    </w:p>
    <w:p w14:paraId="76A87651" w14:textId="77777777" w:rsidR="008C1AD8" w:rsidRDefault="008C1AD8" w:rsidP="008C1AD8">
      <w:r>
        <w:t>The relevant potential indirect impacts to GGF are:</w:t>
      </w:r>
    </w:p>
    <w:p w14:paraId="37CFFACF" w14:textId="77777777" w:rsidR="008C1AD8" w:rsidRDefault="008C1AD8" w:rsidP="008C1AD8">
      <w:pPr>
        <w:pStyle w:val="Bullet1"/>
      </w:pPr>
      <w:r>
        <w:t>Habitat degradation and/or modification caused by:</w:t>
      </w:r>
    </w:p>
    <w:p w14:paraId="40D5BAEE" w14:textId="77777777" w:rsidR="008C1AD8" w:rsidRDefault="008C1AD8" w:rsidP="008C1AD8">
      <w:pPr>
        <w:pStyle w:val="Bullet2"/>
      </w:pPr>
      <w:r>
        <w:t>Changed hydrological regimes</w:t>
      </w:r>
    </w:p>
    <w:p w14:paraId="62710D3B" w14:textId="77777777" w:rsidR="008C1AD8" w:rsidRDefault="008C1AD8" w:rsidP="008C1AD8">
      <w:pPr>
        <w:pStyle w:val="Bullet2"/>
      </w:pPr>
      <w:r w:rsidRPr="001A4124">
        <w:t>Deterioration of water quality and any introduction of pollutants and biocides</w:t>
      </w:r>
    </w:p>
    <w:p w14:paraId="2615894B" w14:textId="77777777" w:rsidR="008C1AD8" w:rsidRDefault="008C1AD8" w:rsidP="008C1AD8">
      <w:pPr>
        <w:pStyle w:val="Bullet1"/>
      </w:pPr>
      <w:r>
        <w:t>Fragmentation and isolation of populations</w:t>
      </w:r>
    </w:p>
    <w:p w14:paraId="2340DB90" w14:textId="77777777" w:rsidR="008C1AD8" w:rsidRDefault="008C1AD8" w:rsidP="008C1AD8">
      <w:pPr>
        <w:pStyle w:val="Bullet1"/>
      </w:pPr>
      <w:r>
        <w:t>Introduction of cats</w:t>
      </w:r>
    </w:p>
    <w:p w14:paraId="0A33EA93" w14:textId="77777777" w:rsidR="008C1AD8" w:rsidRDefault="008C1AD8" w:rsidP="008C1AD8">
      <w:r>
        <w:t xml:space="preserve">There are a number of additional threats to the species identified in the Recovery Plan and GGF Significant Guidelines. However, potential indirect impacts to the species associated with these threats are considered unlikely as a result of development under the Plan. </w:t>
      </w:r>
      <w:r w:rsidRPr="00D727EF">
        <w:t xml:space="preserve">Refer to </w:t>
      </w:r>
      <w:r w:rsidRPr="009E63A2">
        <w:t>Section 17.2</w:t>
      </w:r>
      <w:r w:rsidRPr="00D727EF">
        <w:t xml:space="preserve"> of </w:t>
      </w:r>
      <w:r w:rsidRPr="009E63A2">
        <w:t>Chapter 17</w:t>
      </w:r>
      <w:r w:rsidRPr="00D727EF">
        <w:t xml:space="preserve"> for</w:t>
      </w:r>
      <w:r>
        <w:t xml:space="preserve"> a detailed assessment of potential indirect impacts associated with the implementation of the Plan.</w:t>
      </w:r>
    </w:p>
    <w:p w14:paraId="04BAB2EB" w14:textId="77777777" w:rsidR="008C1AD8" w:rsidRDefault="008C1AD8" w:rsidP="008C1AD8">
      <w:r>
        <w:t xml:space="preserve">Climate change is also identified as a threat to the species. The potential impacts of climate change and relevant mitigation measures under the Plan are outlined in </w:t>
      </w:r>
      <w:r w:rsidRPr="00D727EF">
        <w:t>Section</w:t>
      </w:r>
      <w:r w:rsidRPr="009E63A2">
        <w:t xml:space="preserve"> 29.5</w:t>
      </w:r>
      <w:r w:rsidRPr="00D727EF">
        <w:t xml:space="preserve"> </w:t>
      </w:r>
      <w:r w:rsidRPr="009E63A2">
        <w:t>of Chapter 29</w:t>
      </w:r>
      <w:r w:rsidRPr="00D727EF">
        <w:t>.</w:t>
      </w:r>
    </w:p>
    <w:p w14:paraId="096E869D" w14:textId="77777777" w:rsidR="008C1AD8" w:rsidRDefault="008C1AD8" w:rsidP="008C1AD8">
      <w:pPr>
        <w:pStyle w:val="Heading4"/>
      </w:pPr>
      <w:r>
        <w:t>Habitat degradation/modification: changed hydrological regimes</w:t>
      </w:r>
    </w:p>
    <w:p w14:paraId="702EF313" w14:textId="77777777" w:rsidR="008C1AD8" w:rsidRDefault="008C1AD8" w:rsidP="008C1AD8">
      <w:r>
        <w:t xml:space="preserve">Changed hydrological regimes have the potential to impact GGF by altering the nature of habitat for the species and making it unsuitable. This can relate to both water quantity and the rate that it flows. </w:t>
      </w:r>
    </w:p>
    <w:p w14:paraId="54300907" w14:textId="77777777" w:rsidR="008C1AD8" w:rsidRDefault="008C1AD8" w:rsidP="008C1AD8">
      <w:r>
        <w:t xml:space="preserve">In Cowies Creek, all of the aquatic habitat in the WGGA occurs as still or slow flowing instream pools, and the majority of habitat downstream of the growth area is also instream. The lack of off-stream habitat makes the Cowies Creek metapopulation particularly sensitive to hydrological changes as any significant alteration to flows has the potential to affect the instream areas. </w:t>
      </w:r>
    </w:p>
    <w:p w14:paraId="51D72563" w14:textId="77777777" w:rsidR="008C1AD8" w:rsidRDefault="008C1AD8" w:rsidP="008C1AD8">
      <w:r>
        <w:lastRenderedPageBreak/>
        <w:t>Development under the Plan has the potential to alter hydrological regimes through the creation of hard surfaces and the need to manage stormwater that is generated from developed areas. Cowies Creek is hydrologically connected to development within the Creamery Road Precinct within the WGGA and parts of the NGGA (se</w:t>
      </w:r>
      <w:r w:rsidRPr="00D727EF">
        <w:t xml:space="preserve">e </w:t>
      </w:r>
      <w:hyperlink r:id="rId35" w:history="1">
        <w:r w:rsidRPr="00466211">
          <w:rPr>
            <w:rStyle w:val="Hyperlink"/>
          </w:rPr>
          <w:t>Map 3-9</w:t>
        </w:r>
      </w:hyperlink>
      <w:r w:rsidRPr="00D727EF">
        <w:t>).</w:t>
      </w:r>
      <w:r>
        <w:t xml:space="preserve"> </w:t>
      </w:r>
    </w:p>
    <w:p w14:paraId="45C22A9F" w14:textId="77777777" w:rsidR="008C1AD8" w:rsidRDefault="008C1AD8" w:rsidP="008C1AD8">
      <w:r>
        <w:t>The Plan proposes to manage stormwater through the preparation of Integrated Water Management strategies for each precinct. These strategies are prepared as part of the precinct planning process and set out how water is managed. Key components of these strategies in relation to GGF include:</w:t>
      </w:r>
    </w:p>
    <w:p w14:paraId="44E9DF91" w14:textId="77777777" w:rsidR="008C1AD8" w:rsidRDefault="008C1AD8" w:rsidP="008C1AD8">
      <w:pPr>
        <w:pStyle w:val="Bullet1"/>
      </w:pPr>
      <w:r>
        <w:t xml:space="preserve">Consideration of downstream biodiversity values </w:t>
      </w:r>
    </w:p>
    <w:p w14:paraId="5B32944B" w14:textId="77777777" w:rsidR="008C1AD8" w:rsidRDefault="008C1AD8" w:rsidP="008C1AD8">
      <w:pPr>
        <w:pStyle w:val="Bullet1"/>
      </w:pPr>
      <w:r>
        <w:t>Management of water quantity and flow rates</w:t>
      </w:r>
    </w:p>
    <w:p w14:paraId="3E6FDA30" w14:textId="77777777" w:rsidR="008C1AD8" w:rsidRDefault="008C1AD8" w:rsidP="008C1AD8">
      <w:pPr>
        <w:pStyle w:val="Bullet1"/>
      </w:pPr>
      <w:r>
        <w:t>Management of water quality (discussed further below)</w:t>
      </w:r>
    </w:p>
    <w:p w14:paraId="64122E37" w14:textId="77777777" w:rsidR="008C1AD8" w:rsidRDefault="008C1AD8" w:rsidP="008C1AD8">
      <w:pPr>
        <w:pStyle w:val="Bullet1"/>
      </w:pPr>
      <w:r>
        <w:t>Location of water infrastructure and water outflows</w:t>
      </w:r>
    </w:p>
    <w:p w14:paraId="2883D876" w14:textId="77777777" w:rsidR="008C1AD8" w:rsidRDefault="008C1AD8" w:rsidP="008C1AD8">
      <w:r>
        <w:t xml:space="preserve">Concept designs have been completed for the Creamery Road Precinct for the management of stormwater </w:t>
      </w:r>
      <w:sdt>
        <w:sdtPr>
          <w:rPr>
            <w:color w:val="000000"/>
          </w:rPr>
          <w:tag w:val="MENDELEY_CITATION_v3_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"/>
          <w:id w:val="1044632646"/>
          <w:placeholder>
            <w:docPart w:val="EA492B379251784A8EF33F6B6775C3A8"/>
          </w:placeholder>
        </w:sdtPr>
        <w:sdtContent>
          <w:r w:rsidRPr="00273871">
            <w:rPr>
              <w:color w:val="000000"/>
            </w:rPr>
            <w:t>(Alluvium, 2022)</w:t>
          </w:r>
        </w:sdtContent>
      </w:sdt>
      <w:r>
        <w:t>. Further work is required to finalise these plans. However, the concept designs:</w:t>
      </w:r>
    </w:p>
    <w:p w14:paraId="6513F098" w14:textId="77777777" w:rsidR="008C1AD8" w:rsidRDefault="008C1AD8" w:rsidP="008C1AD8">
      <w:pPr>
        <w:pStyle w:val="Bullet1"/>
      </w:pPr>
      <w:r>
        <w:t xml:space="preserve">Provide an indication of the number and location of water management assets (see </w:t>
      </w:r>
      <w:hyperlink r:id="rId36" w:history="1">
        <w:r w:rsidRPr="00466211">
          <w:rPr>
            <w:rStyle w:val="Hyperlink"/>
          </w:rPr>
          <w:t>Map 19-7</w:t>
        </w:r>
      </w:hyperlink>
      <w:r>
        <w:t xml:space="preserve">, taken from </w:t>
      </w:r>
      <w:sdt>
        <w:sdtPr>
          <w:rPr>
            <w:color w:val="000000"/>
          </w:rPr>
          <w:tag w:val="MENDELEY_CITATION_v3_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"/>
          <w:id w:val="-22716155"/>
          <w:placeholder>
            <w:docPart w:val="EA492B379251784A8EF33F6B6775C3A8"/>
          </w:placeholder>
        </w:sdtPr>
        <w:sdtContent>
          <w:r w:rsidRPr="00273871">
            <w:rPr>
              <w:color w:val="000000"/>
            </w:rPr>
            <w:t>(Alluvium, 2022)</w:t>
          </w:r>
        </w:sdtContent>
      </w:sdt>
    </w:p>
    <w:p w14:paraId="4901ED3B" w14:textId="77777777" w:rsidR="008C1AD8" w:rsidRDefault="008C1AD8" w:rsidP="008C1AD8">
      <w:pPr>
        <w:pStyle w:val="Bullet1"/>
      </w:pPr>
      <w:r>
        <w:t>Establish that water quantity will be managed to protect downstream environmental values. This typically involves ensuring that stormwater runoff rates are no greater than the pre-development 1 in 100 year peak flow rates. It should be noted that while the rates are not expected to be higher than pre-development rates, the overall quantity of water entering Cowies Creek is expected to increase due to the creation of hard surfaces and the reductions in infiltration. This would mean that water flows more regularly into the creek</w:t>
      </w:r>
    </w:p>
    <w:p w14:paraId="69F6CD7E" w14:textId="77777777" w:rsidR="008C1AD8" w:rsidRDefault="008C1AD8" w:rsidP="008C1AD8">
      <w:r>
        <w:t xml:space="preserve">A similar process will be used for development in the part of the NGGA that is hydrologically connected to Cowies Creek. Although it is noted that these areas are further removed from GGF habitat and the potential impacts to habitat for the species are likely to be more diffuse. </w:t>
      </w:r>
    </w:p>
    <w:p w14:paraId="3C364B8B" w14:textId="77777777" w:rsidR="008C1AD8" w:rsidRDefault="008C1AD8" w:rsidP="008C1AD8">
      <w:r>
        <w:t xml:space="preserve">The implementation of Integrated Water Strategies that are designed with the aim of protecting habitat for GGF is considered an appropriate mitigation approach in relation to hydrological regimes. However, given the overall quantity of water flowing into Cowies Creek will increase there is some outstanding risk that instream habitat will be negatively affected. It will be critical as part of implementing the Conservation Management Plan for the Cowies Creek Conservation Area that monitoring considers any potential impacts to habitat quality, and if necessary, contingency measures are applied to better manage water flows. </w:t>
      </w:r>
    </w:p>
    <w:p w14:paraId="09FCD523" w14:textId="77777777" w:rsidR="008C1AD8" w:rsidRDefault="008C1AD8" w:rsidP="008C1AD8">
      <w:pPr>
        <w:pStyle w:val="Heading4"/>
      </w:pPr>
      <w:r>
        <w:t xml:space="preserve">Habitat degradation/modification: </w:t>
      </w:r>
      <w:r w:rsidRPr="001A4124">
        <w:t>deterioration of water quality</w:t>
      </w:r>
    </w:p>
    <w:p w14:paraId="438957B0" w14:textId="77777777" w:rsidR="008C1AD8" w:rsidRDefault="008C1AD8" w:rsidP="008C1AD8">
      <w:r>
        <w:t xml:space="preserve">Amphibians are particularly susceptible to the impacts of pollutants due to their semi-permeable skin, and GGF is likely to be susceptible to the impacts of pollutants in waterways. There are known instances of mortality of the species associated with herbicide use, however, there is limited information available regarding the impacts of other forms of pollutants. While the overall impact of pollutants on the species is unknown, it is thought that this could represent a considerable threat to the species </w:t>
      </w:r>
      <w:sdt>
        <w:sdtPr>
          <w:rPr>
            <w:color w:val="000000"/>
          </w:rPr>
          <w:tag w:val="MENDELEY_CITATION_v3_eyJjaXRhdGlvbklEIjoiTUVOREVMRVlfQ0lUQVRJT05fN2JlMTY5OTctZWQ1ZS00ZTk3LWFiM2UtYmEyYTA5OGUyNjMxIiwicHJvcGVydGllcyI6eyJub3RlSW5kZXgiOjB9LCJpc0VkaXRlZCI6ZmFsc2UsIm1hbnVhbE92ZXJyaWRlIjp7ImNpdGVwcm9jVGV4dCI6IihDbGVtYW5uIGFuZCBHaWxsZXNwaWUsIDIwMTIpIiwiaXNNYW51YWxseU92ZXJyaWRkZW4iOnRydWUsIm1hbnVhbE92ZXJyaWRlVGV4dCI6IihDbGVtYW5uICYgR2lsbGVzcGllLCAyMDEyKSJ9LCJjaXRhdGlvbkl0ZW1zIjpb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XX0="/>
          <w:id w:val="1369189584"/>
          <w:placeholder>
            <w:docPart w:val="EA492B379251784A8EF33F6B6775C3A8"/>
          </w:placeholder>
        </w:sdtPr>
        <w:sdtContent>
          <w:r>
            <w:rPr>
              <w:rFonts w:eastAsia="Times New Roman"/>
            </w:rPr>
            <w:t>(Clemann &amp; Gillespie, 2012)</w:t>
          </w:r>
        </w:sdtContent>
      </w:sdt>
      <w:r>
        <w:t>.</w:t>
      </w:r>
    </w:p>
    <w:p w14:paraId="06F5C8B8" w14:textId="77777777" w:rsidR="008C1AD8" w:rsidRDefault="008C1AD8" w:rsidP="008C1AD8">
      <w:r>
        <w:t>Development under the Plan has the potential to reduce water quality through:</w:t>
      </w:r>
    </w:p>
    <w:p w14:paraId="1E21DCCA" w14:textId="77777777" w:rsidR="008C1AD8" w:rsidRDefault="008C1AD8" w:rsidP="008C1AD8">
      <w:pPr>
        <w:pStyle w:val="Bullet1"/>
      </w:pPr>
      <w:r>
        <w:t>Sediment and other materials entering Cowies Creek during the construction phase of development</w:t>
      </w:r>
    </w:p>
    <w:p w14:paraId="141FEFBA" w14:textId="77777777" w:rsidR="008C1AD8" w:rsidRDefault="008C1AD8" w:rsidP="008C1AD8">
      <w:pPr>
        <w:pStyle w:val="Bullet1"/>
      </w:pPr>
      <w:r>
        <w:t>The introduction of pollutants into stormwater</w:t>
      </w:r>
    </w:p>
    <w:p w14:paraId="283C6AD8" w14:textId="77777777" w:rsidR="008C1AD8" w:rsidRDefault="008C1AD8" w:rsidP="008C1AD8">
      <w:r>
        <w:t xml:space="preserve">All relevant development under the Plan will require sediment and erosion control plans to ensure sediment is appropriately managed during construction. These will be implemented through the standard development application processes and are considered appropriate for mitigating the risk to GGF. </w:t>
      </w:r>
    </w:p>
    <w:p w14:paraId="30DBA3C1" w14:textId="77777777" w:rsidR="008C1AD8" w:rsidRDefault="008C1AD8" w:rsidP="008C1AD8">
      <w:r>
        <w:t xml:space="preserve">Stormwater quality entering Cowies Creek will be managed through the Integrated Water Management strategies prepared for each precinct. The concept designs for the Creamery Road Precinct </w:t>
      </w:r>
      <w:sdt>
        <w:sdtPr>
          <w:rPr>
            <w:color w:val="000000"/>
          </w:rPr>
          <w:tag w:val="MENDELEY_CITATION_v3_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"/>
          <w:id w:val="1688176474"/>
          <w:placeholder>
            <w:docPart w:val="EA492B379251784A8EF33F6B6775C3A8"/>
          </w:placeholder>
        </w:sdtPr>
        <w:sdtContent>
          <w:r w:rsidRPr="00273871">
            <w:rPr>
              <w:color w:val="000000"/>
            </w:rPr>
            <w:t>(Alluvium, 2022)</w:t>
          </w:r>
        </w:sdtContent>
      </w:sdt>
      <w:r>
        <w:t xml:space="preserve"> set out that </w:t>
      </w:r>
      <w:r w:rsidRPr="00742293">
        <w:t xml:space="preserve">water quality </w:t>
      </w:r>
      <w:r>
        <w:t xml:space="preserve">needs to meet the Urban Stormwater Best Practice Environmental Management (BPEM) Guidelines </w:t>
      </w:r>
      <w:sdt>
        <w:sdtPr>
          <w:rPr>
            <w:color w:val="000000"/>
          </w:rPr>
          <w:tag w:val="MENDELEY_CITATION_v3_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"/>
          <w:id w:val="293806786"/>
          <w:placeholder>
            <w:docPart w:val="EA492B379251784A8EF33F6B6775C3A8"/>
          </w:placeholder>
        </w:sdtPr>
        <w:sdtContent>
          <w:r w:rsidRPr="00273871">
            <w:rPr>
              <w:color w:val="000000"/>
            </w:rPr>
            <w:t>(CSIRO, 1999)</w:t>
          </w:r>
        </w:sdtContent>
      </w:sdt>
      <w:r>
        <w:t xml:space="preserve"> </w:t>
      </w:r>
      <w:r w:rsidRPr="00E075B7">
        <w:t>pollution reduction targets</w:t>
      </w:r>
      <w:r>
        <w:t>. These targets are:</w:t>
      </w:r>
    </w:p>
    <w:p w14:paraId="7526014C" w14:textId="77777777" w:rsidR="008C1AD8" w:rsidRPr="00E075B7" w:rsidRDefault="008C1AD8" w:rsidP="008C1AD8">
      <w:pPr>
        <w:pStyle w:val="Bullet1"/>
      </w:pPr>
      <w:r w:rsidRPr="00E075B7">
        <w:t>70% removal of the Total Gross Pollutant load</w:t>
      </w:r>
    </w:p>
    <w:p w14:paraId="4E0CA6D0" w14:textId="77777777" w:rsidR="008C1AD8" w:rsidRPr="00E075B7" w:rsidRDefault="008C1AD8" w:rsidP="008C1AD8">
      <w:pPr>
        <w:pStyle w:val="Bullet1"/>
      </w:pPr>
      <w:r w:rsidRPr="00E075B7">
        <w:t>80% removal of Total Suspended Solids (TSS)</w:t>
      </w:r>
    </w:p>
    <w:p w14:paraId="56684A1C" w14:textId="77777777" w:rsidR="008C1AD8" w:rsidRPr="00E075B7" w:rsidRDefault="008C1AD8" w:rsidP="008C1AD8">
      <w:pPr>
        <w:pStyle w:val="Bullet1"/>
      </w:pPr>
      <w:r w:rsidRPr="00E075B7">
        <w:lastRenderedPageBreak/>
        <w:t>45% removal of Total Nitrogen (TN)</w:t>
      </w:r>
    </w:p>
    <w:p w14:paraId="79EFF81F" w14:textId="77777777" w:rsidR="008C1AD8" w:rsidRPr="00E075B7" w:rsidRDefault="008C1AD8" w:rsidP="008C1AD8">
      <w:pPr>
        <w:pStyle w:val="Bullet1"/>
      </w:pPr>
      <w:r w:rsidRPr="00E075B7">
        <w:t>45% removal of Total Phosphorus (TP)</w:t>
      </w:r>
    </w:p>
    <w:p w14:paraId="060EC94E" w14:textId="77777777" w:rsidR="008C1AD8" w:rsidRPr="004F4DC1" w:rsidRDefault="008C1AD8" w:rsidP="008C1AD8">
      <w:r>
        <w:t xml:space="preserve">As per the management of water quantity, the implementation of Integrated Water Strategies that are designed with the aim of protecting habitat for GGF is considered an appropriate mitigation approach in relation to water quality. However, monitoring of water quality as part of implementing the Conservation Management Plan for the Cowies Creek Conservation Area will be important, and if needed, contingency measures to better manage water quality will need to be applied. </w:t>
      </w:r>
    </w:p>
    <w:p w14:paraId="004D7B8C" w14:textId="77777777" w:rsidR="008C1AD8" w:rsidRDefault="008C1AD8" w:rsidP="008C1AD8">
      <w:pPr>
        <w:pStyle w:val="Heading4"/>
      </w:pPr>
      <w:r>
        <w:t>Fragmentation and isolation of populations</w:t>
      </w:r>
    </w:p>
    <w:p w14:paraId="378964E7" w14:textId="77777777" w:rsidR="008C1AD8" w:rsidRDefault="008C1AD8" w:rsidP="008C1AD8">
      <w:r>
        <w:t xml:space="preserve">Fragmentation and isolation of GGF populations is a critical threat to the species. As outlined previously, GGF is dependent on metapopulation dynamics and in particular connected landscapes to allow those dynamics to operate. </w:t>
      </w:r>
    </w:p>
    <w:p w14:paraId="2CF0D0DB" w14:textId="77777777" w:rsidR="008C1AD8" w:rsidRPr="004F4DC1" w:rsidRDefault="008C1AD8" w:rsidP="008C1AD8">
      <w:r>
        <w:t xml:space="preserve">Development under the Plan has the potential to fragment the Cowies Creek metapopulation if the measures to manage hydrological changes and/or water quality are not successful. This places additional emphasis on the need to manage those issues appropriately and maintain a functioning metapopulation of GGF along Cowies Creek. </w:t>
      </w:r>
    </w:p>
    <w:p w14:paraId="2D8928BE" w14:textId="77777777" w:rsidR="008C1AD8" w:rsidRDefault="008C1AD8" w:rsidP="008C1AD8">
      <w:pPr>
        <w:pStyle w:val="Heading4"/>
      </w:pPr>
      <w:r>
        <w:t>Introduction of cats</w:t>
      </w:r>
    </w:p>
    <w:p w14:paraId="01ECC9EF" w14:textId="77777777" w:rsidR="008C1AD8" w:rsidRDefault="008C1AD8" w:rsidP="008C1AD8">
      <w:r>
        <w:t xml:space="preserve">While there is no information available about the impacts of cat predation upon GGF, cats are known to be effective predators of amphibians. It is therefore considered that predation by cats could pose a threat to the species, particularly to populations which are already suppressed by other threatening processes </w:t>
      </w:r>
      <w:sdt>
        <w:sdtPr>
          <w:rPr>
            <w:color w:val="000000"/>
          </w:rPr>
          <w:tag w:val="MENDELEY_CITATION_v3_eyJjaXRhdGlvbklEIjoiTUVOREVMRVlfQ0lUQVRJT05fZjQ0MTVjMGQtNzJhZi00YTkyLWI2MGYtMDNhYzM2ZTk3MTcyIiwicHJvcGVydGllcyI6eyJub3RlSW5kZXgiOjB9LCJpc0VkaXRlZCI6ZmFsc2UsIm1hbnVhbE92ZXJyaWRlIjp7ImNpdGVwcm9jVGV4dCI6IihDbGVtYW5uIGFuZCBHaWxsZXNwaWUsIDIwMTIpIiwiaXNNYW51YWxseU92ZXJyaWRkZW4iOnRydWUsIm1hbnVhbE92ZXJyaWRlVGV4dCI6IihDbGVtYW5uICYgR2lsbGVzcGllLCAyMDEyKSJ9LCJjaXRhdGlvbkl0ZW1zIjpb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XX0="/>
          <w:id w:val="-1643120585"/>
          <w:placeholder>
            <w:docPart w:val="EA492B379251784A8EF33F6B6775C3A8"/>
          </w:placeholder>
        </w:sdtPr>
        <w:sdtContent>
          <w:r>
            <w:rPr>
              <w:rFonts w:eastAsia="Times New Roman"/>
            </w:rPr>
            <w:t>(Clemann &amp; Gillespie, 2012)</w:t>
          </w:r>
        </w:sdtContent>
      </w:sdt>
      <w:r>
        <w:t>.</w:t>
      </w:r>
    </w:p>
    <w:p w14:paraId="740B7F2F" w14:textId="77777777" w:rsidR="008C1AD8" w:rsidRDefault="008C1AD8" w:rsidP="008C1AD8">
      <w:r>
        <w:t>This potential impact is most relevant to the Cowies Creek Conservation Area, where an increase in nearby housing has the potential to increase the prevalence of domestic and feral cats interacting with the GGF population.</w:t>
      </w:r>
    </w:p>
    <w:p w14:paraId="781B121A" w14:textId="77777777" w:rsidR="008C1AD8" w:rsidRDefault="008C1AD8" w:rsidP="008C1AD8">
      <w:r>
        <w:t xml:space="preserve">However, cats are likely to already be prevalent in the strategic assessment area due to the level of existing development. This includes locations to the north of Cowies Creek in the WGGA, and downstream areas of Cowies Creek. </w:t>
      </w:r>
    </w:p>
    <w:p w14:paraId="41927318" w14:textId="77777777" w:rsidR="008C1AD8" w:rsidRDefault="008C1AD8" w:rsidP="008C1AD8">
      <w:r>
        <w:t xml:space="preserve">Management of the Cowies Creek Conservation Area in accordance with a Conservation Management Plan will address any key threats operating on the GGF population. Should cat predation become an increased issue that adversely affects the population, this will be identified through monitoring and suitable cat management arrangements will be put in place. These processes are expected to adequately address the potential indirect impacts associated with any increase in the prevalence of cats.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49BFAB0D" w14:textId="77777777" w:rsidTr="00A15226">
        <w:tc>
          <w:tcPr>
            <w:tcW w:w="9622" w:type="dxa"/>
            <w:shd w:val="clear" w:color="auto" w:fill="C9C9C9" w:themeFill="accent3" w:themeFillTint="99"/>
          </w:tcPr>
          <w:p w14:paraId="2A563F1B" w14:textId="77777777" w:rsidR="008C1AD8" w:rsidRPr="008F55BC" w:rsidRDefault="008C1AD8" w:rsidP="00A15226">
            <w:pPr>
              <w:pStyle w:val="Tabletext"/>
              <w:rPr>
                <w:b/>
                <w:bCs/>
              </w:rPr>
            </w:pPr>
            <w:r w:rsidRPr="00AE4F91">
              <w:rPr>
                <w:rFonts w:ascii="Helvetica" w:hAnsi="Helvetica"/>
                <w:b/>
                <w:sz w:val="16"/>
                <w:szCs w:val="16"/>
              </w:rPr>
              <w:t xml:space="preserve">OFFSETS </w:t>
            </w:r>
            <w:r>
              <w:rPr>
                <w:rFonts w:ascii="Helvetica" w:hAnsi="Helvetica"/>
                <w:b/>
                <w:sz w:val="16"/>
                <w:szCs w:val="16"/>
              </w:rPr>
              <w:t xml:space="preserve">TO COMPENSATE </w:t>
            </w:r>
            <w:r w:rsidRPr="00AE4F91">
              <w:rPr>
                <w:rFonts w:ascii="Helvetica" w:hAnsi="Helvetica"/>
                <w:b/>
                <w:sz w:val="16"/>
                <w:szCs w:val="16"/>
              </w:rPr>
              <w:t xml:space="preserve">FOR RESIDUAL </w:t>
            </w:r>
            <w:r>
              <w:rPr>
                <w:rFonts w:ascii="Helvetica" w:hAnsi="Helvetica"/>
                <w:b/>
                <w:sz w:val="16"/>
                <w:szCs w:val="16"/>
              </w:rPr>
              <w:t xml:space="preserve">ADVERSE </w:t>
            </w:r>
            <w:r w:rsidRPr="00AE4F91">
              <w:rPr>
                <w:rFonts w:ascii="Helvetica" w:hAnsi="Helvetica"/>
                <w:b/>
                <w:sz w:val="16"/>
                <w:szCs w:val="16"/>
              </w:rPr>
              <w:t>IMPACTS</w:t>
            </w:r>
          </w:p>
        </w:tc>
      </w:tr>
    </w:tbl>
    <w:p w14:paraId="5911ED0F" w14:textId="77777777" w:rsidR="008C1AD8" w:rsidRPr="000816D6" w:rsidRDefault="008C1AD8" w:rsidP="008C1AD8">
      <w:pPr>
        <w:rPr>
          <w:i/>
          <w:color w:val="4472C4" w:themeColor="accent1"/>
        </w:rPr>
      </w:pPr>
      <w:r>
        <w:rPr>
          <w:i/>
          <w:color w:val="4472C4" w:themeColor="accent1"/>
        </w:rPr>
        <w:t>T</w:t>
      </w:r>
      <w:r w:rsidRPr="00972D8D">
        <w:rPr>
          <w:i/>
          <w:color w:val="4472C4" w:themeColor="accent1"/>
        </w:rPr>
        <w:t>his section identifies any offsets needed to address residual adverse impacts to listed threatened species</w:t>
      </w:r>
      <w:r>
        <w:rPr>
          <w:i/>
          <w:color w:val="4472C4" w:themeColor="accent1"/>
        </w:rPr>
        <w:t>.</w:t>
      </w:r>
    </w:p>
    <w:p w14:paraId="1FC04266" w14:textId="77777777" w:rsidR="008C1AD8" w:rsidRDefault="008C1AD8" w:rsidP="008C1AD8">
      <w:r>
        <w:t xml:space="preserve">Residual adverse impacts to GGF are not expected based on the implementation of the Cowies Creek Conservation Area and the proposed mitigation measures set out in the Plan and BCS to address indirect impacts. On this basis, offsets are not required for the species. However, there remain some residual risks to the species persisting in the long term in the presence of additional urban development. </w:t>
      </w:r>
    </w:p>
    <w:p w14:paraId="2DC016C0" w14:textId="77777777" w:rsidR="008C1AD8" w:rsidRPr="009B6041" w:rsidRDefault="008C1AD8" w:rsidP="008C1AD8">
      <w:r w:rsidRPr="009B6041">
        <w:t xml:space="preserve">The Plan commits to regular monitoring of the Cowies Creek metapopulation both within the WGGA and on City managed land downstream. In the case that declines in the population are observed, the priority will be undertaking further actions to protect and restore the population in Cowies Creek. </w:t>
      </w:r>
      <w:r w:rsidRPr="00033240">
        <w:t>The BCS sets out the following process if declines are observed:</w:t>
      </w:r>
    </w:p>
    <w:p w14:paraId="3D359978" w14:textId="77777777" w:rsidR="008C1AD8" w:rsidRPr="009B6041" w:rsidRDefault="008C1AD8" w:rsidP="008C1AD8">
      <w:pPr>
        <w:pStyle w:val="Bullet1"/>
      </w:pPr>
      <w:r w:rsidRPr="009B6041">
        <w:t>If necessary, the City will instigate further information gathering to try and determine the causes of the declines</w:t>
      </w:r>
    </w:p>
    <w:p w14:paraId="4C4D62A4" w14:textId="77777777" w:rsidR="008C1AD8" w:rsidRPr="009B6041" w:rsidRDefault="008C1AD8" w:rsidP="008C1AD8">
      <w:pPr>
        <w:pStyle w:val="Bullet1"/>
      </w:pPr>
      <w:r w:rsidRPr="009B6041">
        <w:t>Restorative actions will be determined based on the causes of any declines. These may include measures such as:</w:t>
      </w:r>
    </w:p>
    <w:p w14:paraId="4FCE0372" w14:textId="77777777" w:rsidR="008C1AD8" w:rsidRPr="009B6041" w:rsidRDefault="008C1AD8" w:rsidP="008C1AD8">
      <w:pPr>
        <w:pStyle w:val="Bullet2"/>
      </w:pPr>
      <w:r w:rsidRPr="009B6041">
        <w:t>Changes to how water quantity and/or quality are managed</w:t>
      </w:r>
    </w:p>
    <w:p w14:paraId="2D670C66" w14:textId="77777777" w:rsidR="008C1AD8" w:rsidRPr="009B6041" w:rsidRDefault="008C1AD8" w:rsidP="008C1AD8">
      <w:pPr>
        <w:pStyle w:val="Bullet2"/>
      </w:pPr>
      <w:r w:rsidRPr="009B6041">
        <w:t>Management actions in the corridor to restore habitat</w:t>
      </w:r>
    </w:p>
    <w:p w14:paraId="655372AE" w14:textId="77777777" w:rsidR="008C1AD8" w:rsidRPr="009B6041" w:rsidRDefault="008C1AD8" w:rsidP="008C1AD8">
      <w:pPr>
        <w:pStyle w:val="Bullet2"/>
      </w:pPr>
      <w:r w:rsidRPr="009B6041">
        <w:t>Creation of new habitat features (e.g., off-stream ponds)</w:t>
      </w:r>
    </w:p>
    <w:p w14:paraId="4D635DF1" w14:textId="77777777" w:rsidR="008C1AD8" w:rsidRPr="009B6041" w:rsidRDefault="008C1AD8" w:rsidP="008C1AD8">
      <w:pPr>
        <w:pStyle w:val="Bullet1"/>
      </w:pPr>
      <w:r w:rsidRPr="009B6041">
        <w:t>Monitoring intensity will be increased to determine if the restorative actions are working</w:t>
      </w:r>
    </w:p>
    <w:p w14:paraId="7817D37E" w14:textId="77777777" w:rsidR="008C1AD8" w:rsidRDefault="008C1AD8" w:rsidP="008C1AD8">
      <w:pPr>
        <w:tabs>
          <w:tab w:val="clear" w:pos="4962"/>
        </w:tabs>
        <w:spacing w:before="0"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0043E996" w14:textId="77777777" w:rsidTr="00A15226">
        <w:tc>
          <w:tcPr>
            <w:tcW w:w="9622" w:type="dxa"/>
            <w:shd w:val="clear" w:color="auto" w:fill="C9C9C9" w:themeFill="accent3" w:themeFillTint="99"/>
          </w:tcPr>
          <w:p w14:paraId="45198D06" w14:textId="77777777" w:rsidR="008C1AD8" w:rsidRPr="008F55BC" w:rsidRDefault="008C1AD8" w:rsidP="00A15226">
            <w:pPr>
              <w:pStyle w:val="Tabletext"/>
              <w:keepNext/>
              <w:keepLines/>
              <w:rPr>
                <w:b/>
                <w:bCs/>
              </w:rPr>
            </w:pPr>
            <w:r w:rsidRPr="008E2D83">
              <w:rPr>
                <w:rFonts w:ascii="Helvetica" w:hAnsi="Helvetica"/>
                <w:b/>
                <w:sz w:val="16"/>
                <w:szCs w:val="16"/>
              </w:rPr>
              <w:lastRenderedPageBreak/>
              <w:t>LIKELY EFFECTS OF IMPLEMENTATION OF THE PLAN ON THE LONG-TERM VIABILITY OF THE SPECIES</w:t>
            </w:r>
          </w:p>
        </w:tc>
      </w:tr>
    </w:tbl>
    <w:p w14:paraId="4864E121" w14:textId="77777777" w:rsidR="008C1AD8" w:rsidRPr="000816D6" w:rsidRDefault="008C1AD8" w:rsidP="008C1AD8">
      <w:pPr>
        <w:rPr>
          <w:i/>
          <w:color w:val="4472C4" w:themeColor="accent1"/>
        </w:rPr>
      </w:pPr>
      <w:r w:rsidRPr="000816D6">
        <w:rPr>
          <w:i/>
          <w:color w:val="4472C4" w:themeColor="accent1"/>
        </w:rPr>
        <w:t xml:space="preserve">This section considers the likely effects of implementation of the Plan on the long-term viability of the species. The assessment of viability has regard for the guidance in the Recovery Plan and draws on the </w:t>
      </w:r>
      <w:r>
        <w:rPr>
          <w:i/>
          <w:color w:val="4472C4" w:themeColor="accent1"/>
        </w:rPr>
        <w:t>impact analysis</w:t>
      </w:r>
      <w:r w:rsidRPr="000816D6">
        <w:rPr>
          <w:i/>
          <w:color w:val="4472C4" w:themeColor="accent1"/>
        </w:rPr>
        <w:t xml:space="preserve"> presented above. </w:t>
      </w:r>
    </w:p>
    <w:p w14:paraId="611D8D53" w14:textId="77777777" w:rsidR="008C1AD8" w:rsidRPr="00C6364C" w:rsidRDefault="008C1AD8" w:rsidP="008C1AD8">
      <w:pPr>
        <w:rPr>
          <w:i/>
          <w:color w:val="4472C4" w:themeColor="accent1"/>
        </w:rPr>
      </w:pPr>
      <w:r>
        <w:rPr>
          <w:i/>
          <w:color w:val="4472C4" w:themeColor="accent1"/>
        </w:rPr>
        <w:t>T</w:t>
      </w:r>
      <w:r w:rsidRPr="000816D6">
        <w:rPr>
          <w:i/>
          <w:color w:val="4472C4" w:themeColor="accent1"/>
        </w:rPr>
        <w:t xml:space="preserve">his section also discusses the consistency of the Plan with </w:t>
      </w:r>
      <w:r>
        <w:rPr>
          <w:i/>
          <w:color w:val="4472C4" w:themeColor="accent1"/>
        </w:rPr>
        <w:t>the</w:t>
      </w:r>
      <w:r w:rsidRPr="000816D6">
        <w:rPr>
          <w:i/>
          <w:color w:val="4472C4" w:themeColor="accent1"/>
        </w:rPr>
        <w:t xml:space="preserve"> Recovery Plan and relevant Threat Abatement Plans. The general consistency of the Plan with Threat Abatement Plans is </w:t>
      </w:r>
      <w:r w:rsidRPr="00C930ED">
        <w:rPr>
          <w:i/>
          <w:color w:val="4472C4" w:themeColor="accent1"/>
        </w:rPr>
        <w:t xml:space="preserve">discussed in detail in </w:t>
      </w:r>
      <w:r w:rsidRPr="009E63A2">
        <w:rPr>
          <w:i/>
          <w:color w:val="4472C4" w:themeColor="accent1"/>
        </w:rPr>
        <w:t xml:space="preserve">Section 17.3 </w:t>
      </w:r>
      <w:r w:rsidRPr="00C930ED">
        <w:rPr>
          <w:i/>
          <w:color w:val="4472C4" w:themeColor="accent1"/>
        </w:rPr>
        <w:t xml:space="preserve">of </w:t>
      </w:r>
      <w:r w:rsidRPr="009E63A2">
        <w:rPr>
          <w:i/>
          <w:color w:val="4472C4" w:themeColor="accent1"/>
        </w:rPr>
        <w:t>Chapter 17.</w:t>
      </w:r>
    </w:p>
    <w:p w14:paraId="45C38550" w14:textId="77777777" w:rsidR="008C1AD8" w:rsidRDefault="008C1AD8" w:rsidP="008C1AD8">
      <w:pPr>
        <w:pStyle w:val="Heading3"/>
      </w:pPr>
      <w:r w:rsidRPr="000816D6">
        <w:t>I</w:t>
      </w:r>
      <w:r>
        <w:t>mplications for the species long-term viability and summary of outcomes</w:t>
      </w:r>
    </w:p>
    <w:p w14:paraId="78DE37EF" w14:textId="77777777" w:rsidR="008C1AD8" w:rsidRDefault="008C1AD8" w:rsidP="008C1AD8">
      <w:r>
        <w:t xml:space="preserve">An important population of GGF occurs within Cowies Creek within and downstream of the WGGA. </w:t>
      </w:r>
    </w:p>
    <w:p w14:paraId="0014BEEB" w14:textId="77777777" w:rsidR="008C1AD8" w:rsidRDefault="008C1AD8" w:rsidP="008C1AD8">
      <w:r>
        <w:t xml:space="preserve">Development under the Plan will not impact the species directly. The assessment presented here analysed the potential for the species to be impacted indirectly as a result of potential changes in hydrology, water quality, fragmentation, and the introduction of cats. It was concluded that the range of commitments in the Plan and measures in the BCS are expected to adequately protect the species from these potential impacts. In particular, the establishment and management of the Cowies Creek Conservation Area will be important for ensuring GGF persists in the strategic assessment area. </w:t>
      </w:r>
    </w:p>
    <w:p w14:paraId="36ECF0D9" w14:textId="77777777" w:rsidR="008C1AD8" w:rsidRDefault="008C1AD8" w:rsidP="008C1AD8">
      <w:r>
        <w:t xml:space="preserve">In this way, development under the Plan is unlikely to adversely influence the long-term viability of GGF. </w:t>
      </w:r>
    </w:p>
    <w:p w14:paraId="3AE08682" w14:textId="77777777" w:rsidR="008C1AD8" w:rsidRPr="000816D6" w:rsidRDefault="008C1AD8" w:rsidP="008C1AD8">
      <w:pPr>
        <w:pStyle w:val="Heading3"/>
      </w:pPr>
      <w:r w:rsidRPr="000816D6">
        <w:t>C</w:t>
      </w:r>
      <w:r>
        <w:t>onsistency with the recovery plan</w:t>
      </w:r>
    </w:p>
    <w:p w14:paraId="5294E9E4" w14:textId="77777777" w:rsidR="008C1AD8" w:rsidRPr="00DB68B8" w:rsidRDefault="008C1AD8" w:rsidP="008C1AD8">
      <w:r w:rsidRPr="00DB68B8">
        <w:t>In accordance with Section 146K of the EPBC Act, this section considers whether the implementation of the Plan is not inconsistent with the species’ Recovery Plan. It considers two questions:</w:t>
      </w:r>
    </w:p>
    <w:p w14:paraId="35DDA04D" w14:textId="77777777" w:rsidR="008C1AD8" w:rsidRPr="00DB68B8" w:rsidRDefault="008C1AD8" w:rsidP="008C1AD8">
      <w:pPr>
        <w:pStyle w:val="Bullet1"/>
      </w:pPr>
      <w:r w:rsidRPr="00DB68B8">
        <w:t xml:space="preserve">Does the Plan </w:t>
      </w:r>
      <w:r>
        <w:t>p</w:t>
      </w:r>
      <w:r w:rsidRPr="00DB68B8">
        <w:t>revent achievement of the objectives of the Recovery Plan?</w:t>
      </w:r>
    </w:p>
    <w:p w14:paraId="125B86F6" w14:textId="77777777" w:rsidR="008C1AD8" w:rsidRPr="00DB68B8" w:rsidRDefault="008C1AD8" w:rsidP="008C1AD8">
      <w:pPr>
        <w:pStyle w:val="Bullet1"/>
      </w:pPr>
      <w:r w:rsidRPr="00DB68B8">
        <w:t>Does the Plan prevent implementation of the Recovery Plan actions?</w:t>
      </w:r>
    </w:p>
    <w:p w14:paraId="5C554ECD" w14:textId="77777777" w:rsidR="008C1AD8" w:rsidRDefault="008C1AD8" w:rsidP="008C1AD8">
      <w:r w:rsidRPr="00DB68B8">
        <w:t>These questions are discussed below.</w:t>
      </w:r>
    </w:p>
    <w:p w14:paraId="4FBCFA98" w14:textId="77777777" w:rsidR="008C1AD8" w:rsidRDefault="008C1AD8" w:rsidP="008C1AD8">
      <w:pPr>
        <w:pStyle w:val="Heading4"/>
      </w:pPr>
      <w:r w:rsidRPr="00F614B0">
        <w:t xml:space="preserve">Does the Plan </w:t>
      </w:r>
      <w:r>
        <w:t>p</w:t>
      </w:r>
      <w:r w:rsidRPr="00F614B0">
        <w:t>revent achievement of the objectives of the Recovery Plan?</w:t>
      </w:r>
    </w:p>
    <w:p w14:paraId="1FE6772E" w14:textId="77777777" w:rsidR="008C1AD8" w:rsidRPr="007B3DD8" w:rsidRDefault="008C1AD8" w:rsidP="008C1AD8">
      <w:r w:rsidRPr="00F614B0">
        <w:t xml:space="preserve">The </w:t>
      </w:r>
      <w:r>
        <w:t xml:space="preserve">overall long-term objective of the Recovery Plan is to achieve a down-listing of GGF from Vulnerable to a lower threat category based on the IUCN 2001 Red List categories and criteria. </w:t>
      </w:r>
      <w:r w:rsidRPr="00F614B0">
        <w:t xml:space="preserve">This overall </w:t>
      </w:r>
      <w:r>
        <w:t xml:space="preserve">objective </w:t>
      </w:r>
      <w:r w:rsidRPr="00F614B0">
        <w:t xml:space="preserve">is associated with a series of specific objectives </w:t>
      </w:r>
      <w:sdt>
        <w:sdtPr>
          <w:rPr>
            <w:color w:val="000000"/>
          </w:rPr>
          <w:tag w:val="MENDELEY_CITATION_v3_eyJjaXRhdGlvbklEIjoiTUVOREVMRVlfQ0lUQVRJT05fNmJjNzcyMGUtY2JlNy00ODdlLWFiYmUtNzdkZjI2ZGE0ODYzIiwicHJvcGVydGllcyI6eyJub3RlSW5kZXgiOjB9LCJpc0VkaXRlZCI6ZmFsc2UsIm1hbnVhbE92ZXJyaWRlIjp7ImNpdGVwcm9jVGV4dCI6IihDbGVtYW5uIGFuZCBHaWxsZXNwaWUsIDIwMTIpIiwiaXNNYW51YWxseU92ZXJyaWRkZW4iOnRydWUsIm1hbnVhbE92ZXJyaWRlVGV4dCI6IihDbGVtYW5uICYgR2lsbGVzcGllLCAyMDEyKSJ9LCJjaXRhdGlvbkl0ZW1zIjpb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XX0="/>
          <w:id w:val="168308577"/>
          <w:placeholder>
            <w:docPart w:val="EA492B379251784A8EF33F6B6775C3A8"/>
          </w:placeholder>
        </w:sdtPr>
        <w:sdtContent>
          <w:r>
            <w:rPr>
              <w:rFonts w:eastAsia="Times New Roman"/>
            </w:rPr>
            <w:t>(Clemann &amp; Gillespie, 2012)</w:t>
          </w:r>
        </w:sdtContent>
      </w:sdt>
      <w:r>
        <w:rPr>
          <w:iCs/>
        </w:rPr>
        <w:t>:</w:t>
      </w:r>
    </w:p>
    <w:p w14:paraId="6776F102" w14:textId="77777777" w:rsidR="008C1AD8" w:rsidRDefault="008C1AD8" w:rsidP="008C1AD8">
      <w:pPr>
        <w:pStyle w:val="Bullet1"/>
        <w:numPr>
          <w:ilvl w:val="0"/>
          <w:numId w:val="43"/>
        </w:numPr>
      </w:pPr>
      <w:r>
        <w:t>Secure extant populations of [GGF], particularly those occurring in known breeding habitats, and improve their viability through increases in size and / or area of occurrence</w:t>
      </w:r>
    </w:p>
    <w:p w14:paraId="5908B6A3" w14:textId="77777777" w:rsidR="008C1AD8" w:rsidRDefault="008C1AD8" w:rsidP="008C1AD8">
      <w:pPr>
        <w:pStyle w:val="Bullet1"/>
        <w:numPr>
          <w:ilvl w:val="0"/>
          <w:numId w:val="43"/>
        </w:numPr>
      </w:pPr>
      <w:r>
        <w:t>Determine distribution, biology and ecology of the [GGF], and identify causes of the decline of the species across its geographic range</w:t>
      </w:r>
    </w:p>
    <w:p w14:paraId="3E536E0C" w14:textId="77777777" w:rsidR="008C1AD8" w:rsidRDefault="008C1AD8" w:rsidP="008C1AD8">
      <w:pPr>
        <w:pStyle w:val="Bullet1"/>
        <w:numPr>
          <w:ilvl w:val="0"/>
          <w:numId w:val="43"/>
        </w:numPr>
      </w:pPr>
      <w:r>
        <w:t>Address known or predicted threatening processes, and implement appropriate management practices where possible to ensure that land use activities do not threaten the survival of the [GGF]</w:t>
      </w:r>
    </w:p>
    <w:p w14:paraId="21B18C3E" w14:textId="77777777" w:rsidR="008C1AD8" w:rsidRDefault="008C1AD8" w:rsidP="008C1AD8">
      <w:pPr>
        <w:pStyle w:val="Bullet1"/>
        <w:numPr>
          <w:ilvl w:val="0"/>
          <w:numId w:val="43"/>
        </w:numPr>
      </w:pPr>
      <w:r>
        <w:t>Increase community awareness of and support for [GGF] conservation</w:t>
      </w:r>
    </w:p>
    <w:p w14:paraId="335DDDBF" w14:textId="77777777" w:rsidR="008C1AD8" w:rsidRDefault="008C1AD8" w:rsidP="008C1AD8">
      <w:r>
        <w:t xml:space="preserve">Development under the </w:t>
      </w:r>
      <w:r w:rsidRPr="00F614B0">
        <w:t>Plan will not prevent the achievement of any of the objectives of the Recovery Plan.</w:t>
      </w:r>
      <w:r>
        <w:t xml:space="preserve"> In addition, the commitments in the Plan will support the specific objectives (particularly Objective 1) by:</w:t>
      </w:r>
    </w:p>
    <w:p w14:paraId="3310BD35" w14:textId="77777777" w:rsidR="008C1AD8" w:rsidRDefault="008C1AD8" w:rsidP="008C1AD8">
      <w:pPr>
        <w:pStyle w:val="Bullet1"/>
      </w:pPr>
      <w:r>
        <w:t>Improving the protection of the species within Cowies Creek</w:t>
      </w:r>
    </w:p>
    <w:p w14:paraId="24376569" w14:textId="77777777" w:rsidR="008C1AD8" w:rsidRPr="00F614B0" w:rsidRDefault="008C1AD8" w:rsidP="008C1AD8">
      <w:pPr>
        <w:pStyle w:val="Bullet1"/>
      </w:pPr>
      <w:r>
        <w:t>Aiming to improve the condition of habitat within Cowies Creek in the WGGA</w:t>
      </w:r>
    </w:p>
    <w:p w14:paraId="7C3A27BC" w14:textId="77777777" w:rsidR="008C1AD8" w:rsidRPr="00F614B0" w:rsidRDefault="008C1AD8" w:rsidP="008C1AD8">
      <w:pPr>
        <w:pStyle w:val="Heading4"/>
      </w:pPr>
      <w:r w:rsidRPr="00F614B0">
        <w:t>Does the Plan prevent implementation of the Recovery Plan actions?</w:t>
      </w:r>
    </w:p>
    <w:p w14:paraId="5E135925" w14:textId="77777777" w:rsidR="008C1AD8" w:rsidRPr="002B70F0" w:rsidRDefault="008C1AD8" w:rsidP="008C1AD8">
      <w:r w:rsidRPr="00F614B0">
        <w:t>The Recovery Plan identifies a set of actions in order to deliver on the objectives. Each action is associated with performance criteria</w:t>
      </w:r>
      <w:r>
        <w:rPr>
          <w:i/>
          <w:iCs/>
        </w:rPr>
        <w:t xml:space="preserve"> </w:t>
      </w:r>
      <w:sdt>
        <w:sdtPr>
          <w:rPr>
            <w:iCs/>
            <w:color w:val="000000"/>
          </w:rPr>
          <w:tag w:val="MENDELEY_CITATION_v3_eyJjaXRhdGlvbklEIjoiTUVOREVMRVlfQ0lUQVRJT05fZmU1NjE4N2ItZWNjNy00NGE1LThjYzctMGI1NTNkYTc0N2JmIiwicHJvcGVydGllcyI6eyJub3RlSW5kZXgiOjB9LCJpc0VkaXRlZCI6ZmFsc2UsIm1hbnVhbE92ZXJyaWRlIjp7ImNpdGVwcm9jVGV4dCI6IihDbGVtYW5uIGFuZCBHaWxsZXNwaWUsIDIwMTIpIiwiaXNNYW51YWxseU92ZXJyaWRkZW4iOnRydWUsIm1hbnVhbE92ZXJyaWRlVGV4dCI6IihDbGVtYW5uICYgR2lsbGVzcGllLCAyMDEyKSJ9LCJjaXRhdGlvbkl0ZW1zIjpb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XX0="/>
          <w:id w:val="239995235"/>
          <w:placeholder>
            <w:docPart w:val="EA492B379251784A8EF33F6B6775C3A8"/>
          </w:placeholder>
        </w:sdtPr>
        <w:sdtEndPr>
          <w:rPr>
            <w:iCs w:val="0"/>
          </w:rPr>
        </w:sdtEndPr>
        <w:sdtContent>
          <w:r>
            <w:rPr>
              <w:rFonts w:eastAsia="Times New Roman"/>
            </w:rPr>
            <w:t>(Clemann &amp; Gillespie, 2012)</w:t>
          </w:r>
        </w:sdtContent>
      </w:sdt>
      <w:r>
        <w:rPr>
          <w:iCs/>
        </w:rPr>
        <w:t xml:space="preserve">. </w:t>
      </w:r>
      <w:r w:rsidRPr="00F614B0">
        <w:t>The Plan will not prevent the implementation of any of these actions, nor will it prevent the achievement of any of the performance criteria.</w:t>
      </w:r>
    </w:p>
    <w:p w14:paraId="274FD867" w14:textId="77777777" w:rsidR="008C1AD8" w:rsidRPr="000816D6" w:rsidRDefault="008C1AD8" w:rsidP="008C1AD8">
      <w:pPr>
        <w:pStyle w:val="Heading3"/>
      </w:pPr>
      <w:r w:rsidRPr="000816D6">
        <w:lastRenderedPageBreak/>
        <w:t>K</w:t>
      </w:r>
      <w:r>
        <w:t>ey threatening processes and consistency with Threat Abatement Plans</w:t>
      </w:r>
    </w:p>
    <w:p w14:paraId="3D2DB9D7" w14:textId="77777777" w:rsidR="008C1AD8" w:rsidRDefault="008C1AD8" w:rsidP="008C1AD8">
      <w:r>
        <w:t xml:space="preserve">Relevant Key Threatening Processes (KTPs) and any of their associated Threat Abatement Plans (TAPs) have been identified in </w:t>
      </w:r>
      <w:r>
        <w:fldChar w:fldCharType="begin"/>
      </w:r>
      <w:r>
        <w:instrText xml:space="preserve"> REF _Ref106869703 \h </w:instrText>
      </w:r>
      <w:r>
        <w:fldChar w:fldCharType="separate"/>
      </w:r>
      <w:r>
        <w:t xml:space="preserve">Table </w:t>
      </w:r>
      <w:r>
        <w:rPr>
          <w:noProof/>
        </w:rPr>
        <w:t>19</w:t>
      </w:r>
      <w:r>
        <w:noBreakHyphen/>
      </w:r>
      <w:r>
        <w:rPr>
          <w:noProof/>
        </w:rPr>
        <w:t>4</w:t>
      </w:r>
      <w:r>
        <w:fldChar w:fldCharType="end"/>
      </w:r>
      <w:r>
        <w:t xml:space="preserve"> where they relate to:</w:t>
      </w:r>
    </w:p>
    <w:p w14:paraId="1E3F3F74" w14:textId="77777777" w:rsidR="008C1AD8" w:rsidRDefault="008C1AD8" w:rsidP="008C1AD8">
      <w:pPr>
        <w:pStyle w:val="Bullet1"/>
      </w:pPr>
      <w:r>
        <w:t>The potential direct impacts of the Plan, or</w:t>
      </w:r>
    </w:p>
    <w:p w14:paraId="7B721084" w14:textId="77777777" w:rsidR="008C1AD8" w:rsidRDefault="008C1AD8" w:rsidP="008C1AD8">
      <w:pPr>
        <w:pStyle w:val="Bullet1"/>
      </w:pPr>
      <w:r>
        <w:t>The relevant indirect impacts</w:t>
      </w:r>
    </w:p>
    <w:p w14:paraId="61F08DD0" w14:textId="77777777" w:rsidR="008C1AD8" w:rsidRDefault="008C1AD8" w:rsidP="008C1AD8">
      <w:pPr>
        <w:pStyle w:val="Caption"/>
        <w:keepNext/>
      </w:pPr>
      <w:bookmarkStart w:id="77" w:name="_Ref106869703"/>
      <w:bookmarkStart w:id="78" w:name="_Toc135122720"/>
      <w:r>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4</w:t>
      </w:r>
      <w:r>
        <w:fldChar w:fldCharType="end"/>
      </w:r>
      <w:bookmarkEnd w:id="77"/>
      <w:r>
        <w:t xml:space="preserve">: </w:t>
      </w:r>
      <w:r w:rsidRPr="005F676F">
        <w:t xml:space="preserve">Relevant Key Threatening Processes and associated Threat Abatement Plans for </w:t>
      </w:r>
      <w:r>
        <w:t>GGF</w:t>
      </w:r>
      <w:bookmarkEnd w:id="78"/>
    </w:p>
    <w:tbl>
      <w:tblPr>
        <w:tblStyle w:val="TableGrid"/>
        <w:tblW w:w="0" w:type="auto"/>
        <w:tblLook w:val="04A0" w:firstRow="1" w:lastRow="0" w:firstColumn="1" w:lastColumn="0" w:noHBand="0" w:noVBand="1"/>
      </w:tblPr>
      <w:tblGrid>
        <w:gridCol w:w="4811"/>
        <w:gridCol w:w="4811"/>
      </w:tblGrid>
      <w:tr w:rsidR="008C1AD8" w14:paraId="26DAA24B" w14:textId="77777777" w:rsidTr="00A15226">
        <w:trPr>
          <w:tblHeader/>
        </w:trPr>
        <w:tc>
          <w:tcPr>
            <w:tcW w:w="4811" w:type="dxa"/>
            <w:shd w:val="clear" w:color="auto" w:fill="DBDBDB" w:themeFill="accent3" w:themeFillTint="66"/>
          </w:tcPr>
          <w:p w14:paraId="647D5A20" w14:textId="77777777" w:rsidR="008C1AD8" w:rsidRPr="00FF1996" w:rsidRDefault="008C1AD8" w:rsidP="00A15226">
            <w:pPr>
              <w:pStyle w:val="Tabletext"/>
              <w:rPr>
                <w:b/>
                <w:bCs/>
              </w:rPr>
            </w:pPr>
            <w:r>
              <w:rPr>
                <w:b/>
                <w:bCs/>
              </w:rPr>
              <w:t>Key threatening processes</w:t>
            </w:r>
          </w:p>
        </w:tc>
        <w:tc>
          <w:tcPr>
            <w:tcW w:w="4811" w:type="dxa"/>
            <w:shd w:val="clear" w:color="auto" w:fill="DBDBDB" w:themeFill="accent3" w:themeFillTint="66"/>
          </w:tcPr>
          <w:p w14:paraId="37F7573D" w14:textId="77777777" w:rsidR="008C1AD8" w:rsidRPr="00FF1996" w:rsidRDefault="008C1AD8" w:rsidP="00A15226">
            <w:pPr>
              <w:pStyle w:val="Tabletext"/>
              <w:rPr>
                <w:b/>
                <w:bCs/>
              </w:rPr>
            </w:pPr>
            <w:r w:rsidRPr="00FF1996">
              <w:rPr>
                <w:b/>
                <w:bCs/>
              </w:rPr>
              <w:t>Threat abatement plan</w:t>
            </w:r>
          </w:p>
        </w:tc>
      </w:tr>
      <w:tr w:rsidR="008C1AD8" w14:paraId="13F111BF" w14:textId="77777777" w:rsidTr="00A15226">
        <w:tc>
          <w:tcPr>
            <w:tcW w:w="4811" w:type="dxa"/>
            <w:vAlign w:val="center"/>
          </w:tcPr>
          <w:p w14:paraId="2C90D6A3" w14:textId="77777777" w:rsidR="008C1AD8" w:rsidRDefault="008C1AD8" w:rsidP="00A15226">
            <w:pPr>
              <w:pStyle w:val="Tabletext"/>
            </w:pPr>
            <w:r>
              <w:t xml:space="preserve">Land clearance </w:t>
            </w:r>
          </w:p>
        </w:tc>
        <w:tc>
          <w:tcPr>
            <w:tcW w:w="4811" w:type="dxa"/>
          </w:tcPr>
          <w:p w14:paraId="4B86F851" w14:textId="77777777" w:rsidR="008C1AD8" w:rsidRDefault="008C1AD8" w:rsidP="00A15226">
            <w:pPr>
              <w:pStyle w:val="Tabletext"/>
            </w:pPr>
            <w:r>
              <w:t>There is no relevant TAP</w:t>
            </w:r>
          </w:p>
        </w:tc>
      </w:tr>
      <w:tr w:rsidR="008C1AD8" w14:paraId="2E890C66" w14:textId="77777777" w:rsidTr="00A15226">
        <w:tc>
          <w:tcPr>
            <w:tcW w:w="4811" w:type="dxa"/>
            <w:vAlign w:val="center"/>
          </w:tcPr>
          <w:p w14:paraId="22428975" w14:textId="77777777" w:rsidR="008C1AD8" w:rsidRPr="00672E41" w:rsidRDefault="008C1AD8" w:rsidP="00A15226">
            <w:pPr>
              <w:pStyle w:val="Tabletext"/>
            </w:pPr>
            <w:r w:rsidRPr="00EB4621">
              <w:t>Infection of amphibians with chytrid fungus resulting in chytridiomycosis</w:t>
            </w:r>
          </w:p>
        </w:tc>
        <w:tc>
          <w:tcPr>
            <w:tcW w:w="4811" w:type="dxa"/>
            <w:vAlign w:val="center"/>
          </w:tcPr>
          <w:p w14:paraId="6DA00267" w14:textId="77777777" w:rsidR="008C1AD8" w:rsidRDefault="008C1AD8" w:rsidP="00A15226">
            <w:pPr>
              <w:pStyle w:val="Tabletext"/>
            </w:pPr>
            <w:r w:rsidRPr="00AD7637">
              <w:t xml:space="preserve">Threat abatement plan for infection of amphibians with chytrid fungus resulting in chytridiomycosis </w:t>
            </w:r>
            <w:sdt>
              <w:sdtPr>
                <w:rPr>
                  <w:color w:val="000000"/>
                </w:rPr>
                <w:tag w:val="MENDELEY_CITATION_v3_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"/>
                <w:id w:val="802972950"/>
                <w:placeholder>
                  <w:docPart w:val="EA492B379251784A8EF33F6B6775C3A8"/>
                </w:placeholder>
              </w:sdtPr>
              <w:sdtContent>
                <w:r w:rsidRPr="00273871">
                  <w:rPr>
                    <w:color w:val="000000"/>
                  </w:rPr>
                  <w:t>(DoEE, 2016b)</w:t>
                </w:r>
              </w:sdtContent>
            </w:sdt>
          </w:p>
        </w:tc>
      </w:tr>
      <w:tr w:rsidR="008C1AD8" w14:paraId="11707E85" w14:textId="77777777" w:rsidTr="00A15226">
        <w:tc>
          <w:tcPr>
            <w:tcW w:w="4811" w:type="dxa"/>
          </w:tcPr>
          <w:p w14:paraId="5AAD7CF2" w14:textId="77777777" w:rsidR="008C1AD8" w:rsidRPr="003919C8" w:rsidRDefault="008C1AD8" w:rsidP="00A15226">
            <w:pPr>
              <w:pStyle w:val="Tabletext"/>
            </w:pPr>
            <w:r w:rsidRPr="003919C8">
              <w:t>Novel biota and their impact on biodiversity</w:t>
            </w:r>
          </w:p>
        </w:tc>
        <w:tc>
          <w:tcPr>
            <w:tcW w:w="4811" w:type="dxa"/>
          </w:tcPr>
          <w:p w14:paraId="4C9F2C3A" w14:textId="77777777" w:rsidR="008C1AD8" w:rsidRDefault="008C1AD8" w:rsidP="00A15226">
            <w:pPr>
              <w:pStyle w:val="Tabletext"/>
            </w:pPr>
            <w:r>
              <w:t>There is no relevant TAP</w:t>
            </w:r>
          </w:p>
        </w:tc>
      </w:tr>
      <w:tr w:rsidR="008C1AD8" w14:paraId="436DCF71" w14:textId="77777777" w:rsidTr="00A15226">
        <w:tc>
          <w:tcPr>
            <w:tcW w:w="4811" w:type="dxa"/>
            <w:vAlign w:val="center"/>
          </w:tcPr>
          <w:p w14:paraId="23B278CE" w14:textId="77777777" w:rsidR="008C1AD8" w:rsidRPr="003919C8" w:rsidRDefault="008C1AD8" w:rsidP="00A15226">
            <w:pPr>
              <w:pStyle w:val="Tabletext"/>
            </w:pPr>
            <w:r>
              <w:t>Predation by feral cats</w:t>
            </w:r>
          </w:p>
        </w:tc>
        <w:tc>
          <w:tcPr>
            <w:tcW w:w="4811" w:type="dxa"/>
          </w:tcPr>
          <w:p w14:paraId="10D12B10" w14:textId="77777777" w:rsidR="008C1AD8" w:rsidRDefault="008C1AD8" w:rsidP="00A15226">
            <w:pPr>
              <w:pStyle w:val="Tabletext"/>
            </w:pPr>
            <w:r w:rsidRPr="001367FF">
              <w:rPr>
                <w:iCs/>
              </w:rPr>
              <w:t xml:space="preserve">Threat abatement plan for predation by feral cats </w:t>
            </w:r>
            <w:sdt>
              <w:sdtPr>
                <w:rPr>
                  <w:iCs/>
                  <w:color w:val="000000"/>
                </w:rPr>
                <w:tag w:val="MENDELEY_CITATION_v3_eyJjaXRhdGlvbklEIjoiTUVOREVMRVlfQ0lUQVRJT05fMzMwNWYzYTMtN2QyMi00MTI2LWI3NGItMWE4ZjczYmRlMjUwIiwicHJvcGVydGllcyI6eyJub3RlSW5kZXgiOjB9LCJpc0VkaXRlZCI6ZmFsc2UsIm1hbnVhbE92ZXJyaWRlIjp7ImNpdGVwcm9jVGV4dCI6IihEb0UsIDIwMTVj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32810683"/>
                <w:placeholder>
                  <w:docPart w:val="EA492B379251784A8EF33F6B6775C3A8"/>
                </w:placeholder>
              </w:sdtPr>
              <w:sdtEndPr>
                <w:rPr>
                  <w:iCs w:val="0"/>
                </w:rPr>
              </w:sdtEndPr>
              <w:sdtContent>
                <w:r w:rsidRPr="00273871">
                  <w:rPr>
                    <w:color w:val="000000"/>
                  </w:rPr>
                  <w:t>(DoE, 2015c)</w:t>
                </w:r>
              </w:sdtContent>
            </w:sdt>
          </w:p>
        </w:tc>
      </w:tr>
      <w:tr w:rsidR="008C1AD8" w14:paraId="376673B3" w14:textId="77777777" w:rsidTr="00A15226">
        <w:tc>
          <w:tcPr>
            <w:tcW w:w="4811" w:type="dxa"/>
            <w:vAlign w:val="center"/>
          </w:tcPr>
          <w:p w14:paraId="66BBF897" w14:textId="77777777" w:rsidR="008C1AD8" w:rsidRPr="003919C8" w:rsidRDefault="008C1AD8" w:rsidP="00A15226">
            <w:pPr>
              <w:pStyle w:val="Tabletext"/>
            </w:pPr>
            <w:r>
              <w:t>Predation by the European red fox</w:t>
            </w:r>
          </w:p>
        </w:tc>
        <w:tc>
          <w:tcPr>
            <w:tcW w:w="4811" w:type="dxa"/>
          </w:tcPr>
          <w:p w14:paraId="543CB130" w14:textId="77777777" w:rsidR="008C1AD8" w:rsidRDefault="008C1AD8" w:rsidP="00A15226">
            <w:pPr>
              <w:pStyle w:val="Tabletext"/>
            </w:pPr>
            <w:r w:rsidRPr="001367FF">
              <w:rPr>
                <w:iCs/>
              </w:rPr>
              <w:t xml:space="preserve">Threat abatement plan for predation by the European red fox </w:t>
            </w:r>
            <w:sdt>
              <w:sdtPr>
                <w:rPr>
                  <w:iCs/>
                  <w:color w:val="000000"/>
                </w:rPr>
                <w:tag w:val="MENDELEY_CITATION_v3_eyJjaXRhdGlvbklEIjoiTUVOREVMRVlfQ0lUQVRJT05fMTNhODgyZGYtZjMzOS00MDE2LWFmZTItOTkwMjhjNjY3MGFmIiwicHJvcGVydGllcyI6eyJub3RlSW5kZXgiOjB9LCJpc0VkaXRlZCI6ZmFsc2UsIm1hbnVhbE92ZXJyaWRlIjp7ImNpdGVwcm9jVGV4dCI6IihERVdIQSwgMjAwOGQ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167360422"/>
                <w:placeholder>
                  <w:docPart w:val="EA492B379251784A8EF33F6B6775C3A8"/>
                </w:placeholder>
              </w:sdtPr>
              <w:sdtEndPr>
                <w:rPr>
                  <w:iCs w:val="0"/>
                </w:rPr>
              </w:sdtEndPr>
              <w:sdtContent>
                <w:r w:rsidRPr="00273871">
                  <w:rPr>
                    <w:color w:val="000000"/>
                  </w:rPr>
                  <w:t>(DEWHA, 2008d)</w:t>
                </w:r>
              </w:sdtContent>
            </w:sdt>
          </w:p>
        </w:tc>
      </w:tr>
    </w:tbl>
    <w:p w14:paraId="70717E21" w14:textId="77777777" w:rsidR="008C1AD8" w:rsidRDefault="008C1AD8" w:rsidP="008C1AD8"/>
    <w:p w14:paraId="4D00AB9A" w14:textId="77777777" w:rsidR="008C1AD8" w:rsidRDefault="008C1AD8" w:rsidP="008C1AD8">
      <w:pPr>
        <w:tabs>
          <w:tab w:val="clear" w:pos="4962"/>
        </w:tabs>
        <w:spacing w:before="0" w:after="0" w:line="240" w:lineRule="auto"/>
      </w:pPr>
      <w:r>
        <w:br w:type="page"/>
      </w:r>
    </w:p>
    <w:p w14:paraId="2DC41747" w14:textId="77777777" w:rsidR="008C1AD8" w:rsidRPr="00297975" w:rsidRDefault="008C1AD8" w:rsidP="008C1AD8">
      <w:pPr>
        <w:pStyle w:val="Heading2"/>
      </w:pPr>
      <w:bookmarkStart w:id="79" w:name="_Toc116306533"/>
      <w:bookmarkStart w:id="80" w:name="_Toc135122674"/>
      <w:r>
        <w:lastRenderedPageBreak/>
        <w:t>Striped Legless Lizard</w:t>
      </w:r>
      <w:r w:rsidRPr="00813B1B">
        <w:rPr>
          <w:i/>
          <w:iCs/>
        </w:rPr>
        <w:t xml:space="preserve"> </w:t>
      </w:r>
      <w:r w:rsidRPr="00AD2552">
        <w:t>(</w:t>
      </w:r>
      <w:r>
        <w:rPr>
          <w:i/>
          <w:iCs/>
        </w:rPr>
        <w:t>Delma impar</w:t>
      </w:r>
      <w:r w:rsidRPr="00AD2552">
        <w:t>)</w:t>
      </w:r>
      <w:bookmarkEnd w:id="79"/>
      <w:bookmarkEnd w:id="80"/>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8C1AD8" w:rsidRPr="000816D6" w14:paraId="47ABE462" w14:textId="77777777" w:rsidTr="00A15226">
        <w:trPr>
          <w:tblHeader/>
        </w:trPr>
        <w:tc>
          <w:tcPr>
            <w:tcW w:w="9747" w:type="dxa"/>
            <w:shd w:val="clear" w:color="auto" w:fill="D9D9D9" w:themeFill="background1" w:themeFillShade="D9"/>
            <w:vAlign w:val="center"/>
          </w:tcPr>
          <w:p w14:paraId="56BDBA96" w14:textId="77777777" w:rsidR="008C1AD8" w:rsidRPr="000816D6" w:rsidRDefault="008C1AD8" w:rsidP="00A15226">
            <w:pPr>
              <w:pStyle w:val="TableHeadingLarge"/>
              <w:rPr>
                <w:rFonts w:ascii="Helvetica" w:hAnsi="Helvetica"/>
              </w:rPr>
            </w:pPr>
            <w:r w:rsidRPr="000816D6">
              <w:rPr>
                <w:rFonts w:ascii="Helvetica" w:hAnsi="Helvetica"/>
              </w:rPr>
              <w:t>SPECIES BACKGROUND</w:t>
            </w:r>
          </w:p>
        </w:tc>
      </w:tr>
    </w:tbl>
    <w:p w14:paraId="28655FEA" w14:textId="77777777" w:rsidR="008C1AD8" w:rsidRPr="000816D6" w:rsidRDefault="008C1AD8" w:rsidP="008C1AD8">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0816D6" w14:paraId="3CCF1288" w14:textId="77777777" w:rsidTr="00A15226">
        <w:tc>
          <w:tcPr>
            <w:tcW w:w="1526" w:type="dxa"/>
            <w:vAlign w:val="center"/>
          </w:tcPr>
          <w:p w14:paraId="541D6574"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06C9FDFE" w14:textId="77777777" w:rsidR="008C1AD8" w:rsidRDefault="008C1AD8" w:rsidP="00A15226">
            <w:pPr>
              <w:pStyle w:val="Tabletext"/>
            </w:pPr>
            <w:r>
              <w:t>Vulnerable</w:t>
            </w:r>
          </w:p>
          <w:p w14:paraId="0E21AD80" w14:textId="77777777" w:rsidR="008C1AD8" w:rsidRDefault="008C1AD8" w:rsidP="00A15226">
            <w:pPr>
              <w:pStyle w:val="Tabletext"/>
            </w:pPr>
            <w:r>
              <w:t xml:space="preserve">Note that the Striped Legless Lizard </w:t>
            </w:r>
            <w:r w:rsidRPr="00C00E39">
              <w:t>is currently on the Finalised Priority Assessment List (FPAL) and is proposed to have its listing upgraded to Endangered</w:t>
            </w:r>
            <w:r>
              <w:t xml:space="preserve"> </w:t>
            </w:r>
            <w:sdt>
              <w:sdtPr>
                <w:rPr>
                  <w:color w:val="000000"/>
                </w:rPr>
                <w:tag w:val="MENDELEY_CITATION_v3_eyJjaXRhdGlvbklEIjoiTUVOREVMRVlfQ0lUQVRJT05fYTZjMjIxNTQtOWM0ZC00NmJlLTk0YmMtYWM2YWIzYzEzYzNiIiwicHJvcGVydGllcyI6eyJub3RlSW5kZXgiOjB9LCJpc0VkaXRlZCI6ZmFsc2UsIm1hbnVhbE92ZXJyaWRlIjp7ImNpdGVwcm9jVGV4dCI6IihEQVdFLCAyMDIxYikiLCJpc01hbnVhbGx5T3ZlcnJpZGRlbiI6ZmFsc2UsIm1hbnVhbE92ZXJyaWRlVGV4dCI6Ii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17841399"/>
                <w:placeholder>
                  <w:docPart w:val="EA492B379251784A8EF33F6B6775C3A8"/>
                </w:placeholder>
              </w:sdtPr>
              <w:sdtContent>
                <w:r w:rsidRPr="00273871">
                  <w:rPr>
                    <w:color w:val="000000"/>
                  </w:rPr>
                  <w:t>(DAWE, 2021b)</w:t>
                </w:r>
              </w:sdtContent>
            </w:sdt>
            <w:r>
              <w:t>.</w:t>
            </w:r>
          </w:p>
          <w:p w14:paraId="3D09D221" w14:textId="77777777" w:rsidR="008C1AD8" w:rsidRPr="003E1ADD" w:rsidRDefault="008C1AD8" w:rsidP="00A15226">
            <w:pPr>
              <w:pStyle w:val="Tabletext"/>
            </w:pPr>
            <w:r>
              <w:t xml:space="preserve">A decision is due by 30 April 2024 </w:t>
            </w:r>
            <w:sdt>
              <w:sdtPr>
                <w:rPr>
                  <w:color w:val="000000"/>
                </w:rPr>
                <w:tag w:val="MENDELEY_CITATION_v3_eyJjaXRhdGlvbklEIjoiTUVOREVMRVlfQ0lUQVRJT05fNTEyNGExY2QtOTgwMi00NmFiLTk4MjktOWE0YmZhZTA5OGIxIiwicHJvcGVydGllcyI6eyJub3RlSW5kZXgiOjB9LCJpc0VkaXRlZCI6ZmFsc2UsIm1hbnVhbE92ZXJyaWRlIjp7ImNpdGVwcm9jVGV4dCI6IihEQVdFLCAyMDIxYikiLCJpc01hbnVhbGx5T3ZlcnJpZGRlbiI6ZmFsc2UsIm1hbnVhbE92ZXJyaWRlVGV4dCI6Ii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636109424"/>
                <w:placeholder>
                  <w:docPart w:val="EA492B379251784A8EF33F6B6775C3A8"/>
                </w:placeholder>
              </w:sdtPr>
              <w:sdtContent>
                <w:r w:rsidRPr="00273871">
                  <w:rPr>
                    <w:color w:val="000000"/>
                  </w:rPr>
                  <w:t>(DAWE, 2021b)</w:t>
                </w:r>
              </w:sdtContent>
            </w:sdt>
            <w:r>
              <w:t>.</w:t>
            </w:r>
          </w:p>
        </w:tc>
      </w:tr>
      <w:tr w:rsidR="008C1AD8" w:rsidRPr="000816D6" w14:paraId="2BE47FE5" w14:textId="77777777" w:rsidTr="00A15226">
        <w:tc>
          <w:tcPr>
            <w:tcW w:w="1526" w:type="dxa"/>
            <w:vAlign w:val="center"/>
          </w:tcPr>
          <w:p w14:paraId="6F06BD60"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709C0123" w14:textId="77777777" w:rsidR="008C1AD8" w:rsidRPr="00EF4912" w:rsidRDefault="008C1AD8" w:rsidP="00A15226">
            <w:pPr>
              <w:pStyle w:val="Tabletext"/>
            </w:pPr>
            <w:r>
              <w:t>Striped Legless Lizard (SLL) (</w:t>
            </w:r>
            <w:r>
              <w:rPr>
                <w:i/>
                <w:iCs/>
              </w:rPr>
              <w:t>Delma impar</w:t>
            </w:r>
            <w:r w:rsidRPr="00E65D9D">
              <w:t>)</w:t>
            </w:r>
            <w:r>
              <w:t xml:space="preserve"> is a small reptile in the </w:t>
            </w:r>
            <w:r w:rsidRPr="00760A4B">
              <w:t>Pygopodidae</w:t>
            </w:r>
            <w:r>
              <w:t xml:space="preserve"> family. The SLL lacks forelimbs and has reduced vestigial hind limbs. It has considerable variation in colour and pattern, with a pale grey-brown dorsal, cream ventral, and dark brown or blackish dorsolateral with stripes along the length of the tail and body </w:t>
            </w:r>
            <w:sdt>
              <w:sdtPr>
                <w:rPr>
                  <w:color w:val="000000"/>
                </w:rPr>
                <w:tag w:val="MENDELEY_CITATION_v3_eyJjaXRhdGlvbklEIjoiTUVOREVMRVlfQ0lUQVRJT05fYTNkMjc0ZjQtZmVlZC00ZjY0LWFiOTctMDViNGRkYzk1YmQz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558693867"/>
                <w:placeholder>
                  <w:docPart w:val="EA492B379251784A8EF33F6B6775C3A8"/>
                </w:placeholder>
              </w:sdtPr>
              <w:sdtContent>
                <w:r w:rsidRPr="00273871">
                  <w:rPr>
                    <w:color w:val="000000"/>
                  </w:rPr>
                  <w:t>(TSSC, 2016a)</w:t>
                </w:r>
              </w:sdtContent>
            </w:sdt>
            <w:r>
              <w:t xml:space="preserve">. The species can reach a total length of 300 mm </w:t>
            </w:r>
            <w:sdt>
              <w:sdtPr>
                <w:rPr>
                  <w:color w:val="000000"/>
                </w:rPr>
                <w:tag w:val="MENDELEY_CITATION_v3_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"/>
                <w:id w:val="1125968950"/>
                <w:placeholder>
                  <w:docPart w:val="EA492B379251784A8EF33F6B6775C3A8"/>
                </w:placeholder>
              </w:sdtPr>
              <w:sdtContent>
                <w:r w:rsidRPr="00273871">
                  <w:rPr>
                    <w:color w:val="000000"/>
                  </w:rPr>
                  <w:t>(DSEWPC, 2011)</w:t>
                </w:r>
              </w:sdtContent>
            </w:sdt>
            <w:r>
              <w:t>.</w:t>
            </w:r>
          </w:p>
        </w:tc>
      </w:tr>
      <w:tr w:rsidR="008C1AD8" w:rsidRPr="000816D6" w14:paraId="7101BB55" w14:textId="77777777" w:rsidTr="00A15226">
        <w:tc>
          <w:tcPr>
            <w:tcW w:w="1526" w:type="dxa"/>
            <w:vAlign w:val="center"/>
          </w:tcPr>
          <w:p w14:paraId="780B487C"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63E8A425" w14:textId="77777777" w:rsidR="008C1AD8" w:rsidRDefault="008C1AD8" w:rsidP="00A15226">
            <w:pPr>
              <w:pStyle w:val="Tabletext"/>
            </w:pPr>
            <w:r>
              <w:t xml:space="preserve">SLL is a long-lived species with estimates of lifespan beginning at 10 years, though individuals may live significantly longer. Age of first reproduction is thought to be 2-3 years for males, and 3-4 years for females </w:t>
            </w:r>
            <w:sdt>
              <w:sdtPr>
                <w:rPr>
                  <w:color w:val="000000"/>
                </w:rPr>
                <w:tag w:val="MENDELEY_CITATION_v3_eyJjaXRhdGlvbklEIjoiTUVOREVMRVlfQ0lUQVRJT05fZmJjNzc1ZDEtNzdlYS00OTUxLThjMDQtZmEyMTIwM2FmNTky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209880942"/>
                <w:placeholder>
                  <w:docPart w:val="EA492B379251784A8EF33F6B6775C3A8"/>
                </w:placeholder>
              </w:sdtPr>
              <w:sdtContent>
                <w:r w:rsidRPr="00273871">
                  <w:rPr>
                    <w:color w:val="000000"/>
                  </w:rPr>
                  <w:t>(TSSC, 2016a)</w:t>
                </w:r>
              </w:sdtContent>
            </w:sdt>
            <w:r>
              <w:t xml:space="preserve">. </w:t>
            </w:r>
          </w:p>
          <w:p w14:paraId="6EEE1D3E" w14:textId="77777777" w:rsidR="008C1AD8" w:rsidRDefault="008C1AD8" w:rsidP="00A15226">
            <w:pPr>
              <w:pStyle w:val="Tabletext"/>
            </w:pPr>
            <w:r>
              <w:t xml:space="preserve">The species feeds on spiders, crickets, grasshoppers, </w:t>
            </w:r>
            <w:r w:rsidRPr="00225498">
              <w:rPr>
                <w:i/>
                <w:iCs/>
              </w:rPr>
              <w:t>Lepidopteran</w:t>
            </w:r>
            <w:r>
              <w:t xml:space="preserve"> larvae and cockroaches </w:t>
            </w:r>
            <w:sdt>
              <w:sdtPr>
                <w:rPr>
                  <w:color w:val="000000"/>
                </w:rPr>
                <w:tag w:val="MENDELEY_CITATION_v3_eyJjaXRhdGlvbklEIjoiTUVOREVMRVlfQ0lUQVRJT05fMzRmZWZkODYtNjFmZi00MTM5LWJjYTMtNGY2ZmRkMzFlM2Fk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727645220"/>
                <w:placeholder>
                  <w:docPart w:val="EA492B379251784A8EF33F6B6775C3A8"/>
                </w:placeholder>
              </w:sdtPr>
              <w:sdtContent>
                <w:r w:rsidRPr="00273871">
                  <w:rPr>
                    <w:color w:val="000000"/>
                  </w:rPr>
                  <w:t>(TSSC, 2016a)</w:t>
                </w:r>
              </w:sdtContent>
            </w:sdt>
            <w:r>
              <w:t xml:space="preserve">. It predominantly uses active searching foraging methods, though may also use ambush methods. Foraging methods alter according to prey type </w:t>
            </w:r>
            <w:sdt>
              <w:sdtPr>
                <w:rPr>
                  <w:color w:val="000000"/>
                </w:rPr>
                <w:tag w:val="MENDELEY_CITATION_v3_eyJjaXRhdGlvbklEIjoiTUVOREVMRVlfQ0lUQVRJT05fMTM2OTRlZWEtZjA0OS00ODVmLTgxOTAtNTZmNjgzZjE2Zjdk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621300815"/>
                <w:placeholder>
                  <w:docPart w:val="EA492B379251784A8EF33F6B6775C3A8"/>
                </w:placeholder>
              </w:sdtPr>
              <w:sdtContent>
                <w:r w:rsidRPr="00273871">
                  <w:rPr>
                    <w:color w:val="000000"/>
                  </w:rPr>
                  <w:t>(DCCEEW, 2022)</w:t>
                </w:r>
              </w:sdtContent>
            </w:sdt>
            <w:r>
              <w:t>.</w:t>
            </w:r>
          </w:p>
          <w:p w14:paraId="3FE4D2C1" w14:textId="77777777" w:rsidR="008C1AD8" w:rsidRDefault="008C1AD8" w:rsidP="00A15226">
            <w:pPr>
              <w:pStyle w:val="Tabletext"/>
            </w:pPr>
            <w:r>
              <w:t xml:space="preserve">Females are capable of breeding every year and lay two eggs in a soil cavity or under a rock. Nests are communal and contain up to 36 eggs. Repeated use of communal nests has been recorded. Eggs are laid in December – January and hatch in January – February </w:t>
            </w:r>
            <w:sdt>
              <w:sdtPr>
                <w:rPr>
                  <w:color w:val="000000"/>
                </w:rPr>
                <w:tag w:val="MENDELEY_CITATION_v3_eyJjaXRhdGlvbklEIjoiTUVOREVMRVlfQ0lUQVRJT05fM2JlZTVmMzgtNmMyOC00MWNmLWI4NmQtOWM2ZjZiNzA5YmIx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076898262"/>
                <w:placeholder>
                  <w:docPart w:val="EA492B379251784A8EF33F6B6775C3A8"/>
                </w:placeholder>
              </w:sdtPr>
              <w:sdtContent>
                <w:r w:rsidRPr="00273871">
                  <w:rPr>
                    <w:color w:val="000000"/>
                  </w:rPr>
                  <w:t>(TSSC, 2016a)</w:t>
                </w:r>
              </w:sdtContent>
            </w:sdt>
            <w:r>
              <w:t xml:space="preserve"> after an incubation period of around 50 days </w:t>
            </w:r>
            <w:sdt>
              <w:sdtPr>
                <w:rPr>
                  <w:color w:val="000000"/>
                </w:rPr>
                <w:tag w:val="MENDELEY_CITATION_v3_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"/>
                <w:id w:val="1999462788"/>
                <w:placeholder>
                  <w:docPart w:val="EA492B379251784A8EF33F6B6775C3A8"/>
                </w:placeholder>
              </w:sdtPr>
              <w:sdtContent>
                <w:r w:rsidRPr="00273871">
                  <w:rPr>
                    <w:color w:val="000000"/>
                  </w:rPr>
                  <w:t>(Parks Victoria, 2022h)</w:t>
                </w:r>
              </w:sdtContent>
            </w:sdt>
            <w:r>
              <w:t>.</w:t>
            </w:r>
          </w:p>
          <w:p w14:paraId="4875F9EC" w14:textId="77777777" w:rsidR="008C1AD8" w:rsidRPr="003E1ADD" w:rsidRDefault="008C1AD8" w:rsidP="00A15226">
            <w:pPr>
              <w:pStyle w:val="Tabletext"/>
            </w:pPr>
            <w:r>
              <w:t xml:space="preserve">SLL is active during the day from late spring to early autumn, with a peak in activity in November and December </w:t>
            </w:r>
            <w:r w:rsidRPr="001D3B62">
              <w:rPr>
                <w:noProof/>
              </w:rPr>
              <w:t>(DSEWPC, 2011</w:t>
            </w:r>
            <w:r>
              <w:rPr>
                <w:noProof/>
              </w:rPr>
              <w:t>)</w:t>
            </w:r>
            <w:r>
              <w:t xml:space="preserve">. The species shelters in grass tussocks, thick ground cover, soil cracks, under rocks, spider burrows, and under debris such as timber. The species enters a state of reduced activity (or torpor) during the winter months, overwintering in soil cracks, under bed rocks, and in tussock bases </w:t>
            </w:r>
            <w:sdt>
              <w:sdtPr>
                <w:rPr>
                  <w:color w:val="000000"/>
                </w:rPr>
                <w:tag w:val="MENDELEY_CITATION_v3_eyJjaXRhdGlvbklEIjoiTUVOREVMRVlfQ0lUQVRJT05fY2ZmY2E0MGYtYWZiNS00ZjAxLTgyNTYtYmRlODEyMGY5MjBh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746180788"/>
                <w:placeholder>
                  <w:docPart w:val="EA492B379251784A8EF33F6B6775C3A8"/>
                </w:placeholder>
              </w:sdtPr>
              <w:sdtContent>
                <w:r w:rsidRPr="00273871">
                  <w:rPr>
                    <w:color w:val="000000"/>
                  </w:rPr>
                  <w:t>(DCCEEW, 2022)</w:t>
                </w:r>
              </w:sdtContent>
            </w:sdt>
            <w:r>
              <w:t xml:space="preserve">. </w:t>
            </w:r>
          </w:p>
        </w:tc>
      </w:tr>
      <w:tr w:rsidR="008C1AD8" w:rsidRPr="000816D6" w14:paraId="1418BB3C" w14:textId="77777777" w:rsidTr="00A15226">
        <w:tc>
          <w:tcPr>
            <w:tcW w:w="1526" w:type="dxa"/>
            <w:vAlign w:val="center"/>
          </w:tcPr>
          <w:p w14:paraId="6A7C9B98"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496A0FD4" w14:textId="77777777" w:rsidR="008C1AD8" w:rsidRDefault="008C1AD8" w:rsidP="00A15226">
            <w:pPr>
              <w:pStyle w:val="Heading4"/>
              <w:spacing w:before="120" w:after="120"/>
            </w:pPr>
            <w:r>
              <w:t>Distribution</w:t>
            </w:r>
          </w:p>
          <w:p w14:paraId="04EE0A4A" w14:textId="77777777" w:rsidR="008C1AD8" w:rsidRDefault="008C1AD8" w:rsidP="00A15226">
            <w:pPr>
              <w:pStyle w:val="Tabletext"/>
            </w:pPr>
            <w:r>
              <w:t xml:space="preserve">SLL was formerly distributed throughout temperate lowland grasslands in the ACT, the south-western slopes and southern tablelands of NSW, central and southern Victoria, and the south-eastern corner of SA. The species distribution has declined, with many known sites no longer supporting populations. The range of the species within Victoria appears to have contracted to the southern part of the state </w:t>
            </w:r>
            <w:sdt>
              <w:sdtPr>
                <w:rPr>
                  <w:color w:val="000000"/>
                </w:rPr>
                <w:tag w:val="MENDELEY_CITATION_v3_eyJjaXRhdGlvbklEIjoiTUVOREVMRVlfQ0lUQVRJT05fMzY0Y2UwNDQtNmNkZS00NTIwLTk3YzItMTBhOTBmNzdkMmEz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045096966"/>
                <w:placeholder>
                  <w:docPart w:val="EA492B379251784A8EF33F6B6775C3A8"/>
                </w:placeholder>
              </w:sdtPr>
              <w:sdtContent>
                <w:r w:rsidRPr="00273871">
                  <w:rPr>
                    <w:color w:val="000000"/>
                  </w:rPr>
                  <w:t>(DCCEEW, 2022)</w:t>
                </w:r>
              </w:sdtContent>
            </w:sdt>
            <w:r>
              <w:t>. The Strategic Assessment Area is towards the southern extent of the species known range.</w:t>
            </w:r>
          </w:p>
          <w:p w14:paraId="3B0D7D4B" w14:textId="77777777" w:rsidR="008C1AD8" w:rsidRDefault="008C1AD8" w:rsidP="00A15226">
            <w:pPr>
              <w:pStyle w:val="Heading4"/>
              <w:spacing w:before="120" w:after="120"/>
            </w:pPr>
            <w:r>
              <w:t>Habitat</w:t>
            </w:r>
          </w:p>
          <w:p w14:paraId="0F8C79DF" w14:textId="77777777" w:rsidR="008C1AD8" w:rsidRDefault="008C1AD8" w:rsidP="00A15226">
            <w:pPr>
              <w:pStyle w:val="Tabletext"/>
            </w:pPr>
            <w:r>
              <w:t xml:space="preserve">The species is a grassland specialist and is only found in areas of native grassland and nearby grassy woodland and exotic pasture </w:t>
            </w:r>
            <w:sdt>
              <w:sdtPr>
                <w:rPr>
                  <w:color w:val="000000"/>
                </w:rPr>
                <w:tag w:val="MENDELEY_CITATION_v3_eyJjaXRhdGlvbklEIjoiTUVOREVMRVlfQ0lUQVRJT05fYTM0N2U5OGEtZjZhZS00ZmNmLTg4ZDktMjIxZDNlMDczNzU4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213571192"/>
                <w:placeholder>
                  <w:docPart w:val="EA492B379251784A8EF33F6B6775C3A8"/>
                </w:placeholder>
              </w:sdtPr>
              <w:sdtContent>
                <w:r w:rsidRPr="00273871">
                  <w:rPr>
                    <w:color w:val="000000"/>
                  </w:rPr>
                  <w:t>(TSSC, 2016a)</w:t>
                </w:r>
              </w:sdtContent>
            </w:sdt>
            <w:r>
              <w:t xml:space="preserve">. Occupied sites have a grassy groundcover, with a mixture of native and exotic perennial and annual species of tussock-forming grasses. </w:t>
            </w:r>
            <w:r w:rsidRPr="002829D5">
              <w:t>The species was thought to only occur in native grasslands dominated by Spear Grass (</w:t>
            </w:r>
            <w:r w:rsidRPr="002829D5">
              <w:rPr>
                <w:i/>
                <w:iCs/>
              </w:rPr>
              <w:t xml:space="preserve">Stipa </w:t>
            </w:r>
            <w:r w:rsidRPr="002829D5">
              <w:t>bigeniculata) and Kangaroo Grass (</w:t>
            </w:r>
            <w:r w:rsidRPr="002829D5">
              <w:rPr>
                <w:i/>
                <w:iCs/>
              </w:rPr>
              <w:t>Themeda triandra</w:t>
            </w:r>
            <w:r w:rsidRPr="002829D5">
              <w:t xml:space="preserve">). However, the species is now known to occur in some areas dominated by introduced species including </w:t>
            </w:r>
            <w:r w:rsidRPr="002829D5">
              <w:rPr>
                <w:i/>
                <w:iCs/>
              </w:rPr>
              <w:t>Phalaris aquatica</w:t>
            </w:r>
            <w:r w:rsidRPr="002829D5">
              <w:t>, Serrated Tussock (</w:t>
            </w:r>
            <w:r w:rsidRPr="002829D5">
              <w:rPr>
                <w:i/>
                <w:iCs/>
              </w:rPr>
              <w:t>Nasella trichotoma</w:t>
            </w:r>
            <w:r w:rsidRPr="002829D5">
              <w:t xml:space="preserve">) and </w:t>
            </w:r>
            <w:r w:rsidRPr="002829D5">
              <w:rPr>
                <w:i/>
                <w:iCs/>
              </w:rPr>
              <w:t>Hypocharis radicata</w:t>
            </w:r>
            <w:r w:rsidRPr="002829D5">
              <w:t>, and at sites with a history of grazing and pasture improvement</w:t>
            </w:r>
            <w:r>
              <w:t xml:space="preserve"> </w:t>
            </w:r>
            <w:sdt>
              <w:sdtPr>
                <w:rPr>
                  <w:color w:val="000000"/>
                </w:rPr>
                <w:tag w:val="MENDELEY_CITATION_v3_eyJjaXRhdGlvbklEIjoiTUVOREVMRVlfQ0lUQVRJT05fNGNhNjBmNGUtOWE1Ny00MzJkLWEzY2UtYjE5YTdkMjhjODU3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563222900"/>
                <w:placeholder>
                  <w:docPart w:val="EA492B379251784A8EF33F6B6775C3A8"/>
                </w:placeholder>
              </w:sdtPr>
              <w:sdtContent>
                <w:r w:rsidRPr="00273871">
                  <w:rPr>
                    <w:color w:val="000000"/>
                  </w:rPr>
                  <w:t>(DCCEEW, 2022)</w:t>
                </w:r>
              </w:sdtContent>
            </w:sdt>
            <w:r>
              <w:t xml:space="preserve">. There is a higher probability of encountering the species in grasslands with a high structural complexity. Managed grazing regimes, which avoid high intensity grazing, are important to promote the formation of complex grass structures </w:t>
            </w:r>
            <w:sdt>
              <w:sdtPr>
                <w:rPr>
                  <w:color w:val="000000"/>
                </w:rPr>
                <w:tag w:val="MENDELEY_CITATION_v3_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"/>
                <w:id w:val="-746106832"/>
                <w:placeholder>
                  <w:docPart w:val="EA492B379251784A8EF33F6B6775C3A8"/>
                </w:placeholder>
              </w:sdtPr>
              <w:sdtContent>
                <w:r>
                  <w:rPr>
                    <w:rFonts w:eastAsia="Times New Roman"/>
                  </w:rPr>
                  <w:t xml:space="preserve">(Howland </w:t>
                </w:r>
                <w:r>
                  <w:rPr>
                    <w:rFonts w:eastAsia="Times New Roman"/>
                    <w:i/>
                    <w:iCs/>
                  </w:rPr>
                  <w:t>et al.</w:t>
                </w:r>
                <w:r>
                  <w:rPr>
                    <w:rFonts w:eastAsia="Times New Roman"/>
                  </w:rPr>
                  <w:t>, 2016)</w:t>
                </w:r>
              </w:sdtContent>
            </w:sdt>
            <w:r>
              <w:t xml:space="preserve">. </w:t>
            </w:r>
          </w:p>
          <w:p w14:paraId="1B2C0867" w14:textId="77777777" w:rsidR="008C1AD8" w:rsidRDefault="008C1AD8" w:rsidP="00A15226">
            <w:pPr>
              <w:pStyle w:val="Tabletext"/>
            </w:pPr>
            <w:r>
              <w:lastRenderedPageBreak/>
              <w:t xml:space="preserve">The minimum patch size threshold for medium to long-term habitat and population viability is ≥ 0.5 hectares, which supports predominantly tussock-forming grass species (native or non-native) </w:t>
            </w:r>
            <w:sdt>
              <w:sdtPr>
                <w:rPr>
                  <w:color w:val="000000"/>
                </w:rPr>
                <w:tag w:val="MENDELEY_CITATION_v3_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"/>
                <w:id w:val="-593636049"/>
                <w:placeholder>
                  <w:docPart w:val="EA492B379251784A8EF33F6B6775C3A8"/>
                </w:placeholder>
              </w:sdtPr>
              <w:sdtContent>
                <w:r w:rsidRPr="00273871">
                  <w:rPr>
                    <w:color w:val="000000"/>
                  </w:rPr>
                  <w:t>(DSEWPC, 2011)</w:t>
                </w:r>
              </w:sdtContent>
            </w:sdt>
            <w:r>
              <w:rPr>
                <w:i/>
                <w:iCs/>
              </w:rPr>
              <w:t>.</w:t>
            </w:r>
          </w:p>
          <w:p w14:paraId="034B073A" w14:textId="77777777" w:rsidR="008C1AD8" w:rsidRDefault="008C1AD8" w:rsidP="00A15226">
            <w:pPr>
              <w:pStyle w:val="Tabletext"/>
            </w:pPr>
            <w:r>
              <w:t xml:space="preserve">The species Conservation Advice </w:t>
            </w:r>
            <w:sdt>
              <w:sdtPr>
                <w:rPr>
                  <w:color w:val="000000"/>
                </w:rPr>
                <w:tag w:val="MENDELEY_CITATION_v3_eyJjaXRhdGlvbklEIjoiTUVOREVMRVlfQ0lUQVRJT05fMjdkYWJlYmUtMmVkOS00N2EzLTkxMGMtN2I0ZmY3YWIxNzk0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605345771"/>
                <w:placeholder>
                  <w:docPart w:val="EA492B379251784A8EF33F6B6775C3A8"/>
                </w:placeholder>
              </w:sdtPr>
              <w:sdtContent>
                <w:r w:rsidRPr="00273871">
                  <w:rPr>
                    <w:color w:val="000000"/>
                  </w:rPr>
                  <w:t>(TSSC, 2016a)</w:t>
                </w:r>
              </w:sdtContent>
            </w:sdt>
            <w:r>
              <w:t xml:space="preserve"> identifies habitat critical to the survival of the species as sites that:</w:t>
            </w:r>
          </w:p>
          <w:p w14:paraId="7060EB33" w14:textId="77777777" w:rsidR="008C1AD8" w:rsidRDefault="008C1AD8" w:rsidP="00A15226">
            <w:pPr>
              <w:pStyle w:val="Bullet1"/>
            </w:pPr>
            <w:r>
              <w:t>Support:</w:t>
            </w:r>
          </w:p>
          <w:p w14:paraId="512BE709" w14:textId="77777777" w:rsidR="008C1AD8" w:rsidRDefault="008C1AD8" w:rsidP="00A15226">
            <w:pPr>
              <w:pStyle w:val="Bullet2"/>
            </w:pPr>
            <w:r>
              <w:t>Breeding habitat, generally indicated by the presence of 2 or more adult individuals or juveniles, and includes complex grass structures, surface rocks or invertebrate burrows</w:t>
            </w:r>
          </w:p>
          <w:p w14:paraId="1C4B1711" w14:textId="77777777" w:rsidR="008C1AD8" w:rsidRDefault="008C1AD8" w:rsidP="00A15226">
            <w:pPr>
              <w:pStyle w:val="Bullet2"/>
            </w:pPr>
            <w:r>
              <w:t>Foraging habitat, generally indicated by the presence of good floristic diversity, minimal disturbance and connectivity with other nearby habitat</w:t>
            </w:r>
          </w:p>
          <w:p w14:paraId="07C0B601" w14:textId="77777777" w:rsidR="008C1AD8" w:rsidRDefault="008C1AD8" w:rsidP="00A15226">
            <w:pPr>
              <w:pStyle w:val="Bullet2"/>
            </w:pPr>
            <w:r>
              <w:t xml:space="preserve">Refuge habitat, generally indicated the by the presence of surface rocks, arthropod burrows or suitable cracks in the soil where lizards can escape disturbance such as trampling by livestock or fire </w:t>
            </w:r>
          </w:p>
          <w:p w14:paraId="0712FB24" w14:textId="77777777" w:rsidR="008C1AD8" w:rsidRDefault="008C1AD8" w:rsidP="00A15226">
            <w:pPr>
              <w:pStyle w:val="Bullet1"/>
            </w:pPr>
            <w:r>
              <w:t>Include areas for long-term protection from development, such as sites currently being managed for conservation purposes</w:t>
            </w:r>
          </w:p>
          <w:p w14:paraId="7E393F15" w14:textId="77777777" w:rsidR="008C1AD8" w:rsidRDefault="008C1AD8" w:rsidP="00A15226">
            <w:pPr>
              <w:pStyle w:val="Bullet1"/>
            </w:pPr>
            <w:r>
              <w:t>Have</w:t>
            </w:r>
            <w:r w:rsidRPr="006F6ECD">
              <w:t xml:space="preserve"> connectivity value and contribute to the evolutionary potential of the species</w:t>
            </w:r>
            <w:r>
              <w:t xml:space="preserve">, such as large areas of habitat within undeveloped areas and connected to breeding areas, or habitat areas that have been free from adverse practices such as </w:t>
            </w:r>
            <w:r w:rsidRPr="006F6ECD">
              <w:t>ploughing, cropping, cultivation, fertiliser use or heavy grazing</w:t>
            </w:r>
          </w:p>
          <w:p w14:paraId="753612DE" w14:textId="77777777" w:rsidR="008C1AD8" w:rsidRDefault="008C1AD8" w:rsidP="00A15226">
            <w:pPr>
              <w:pStyle w:val="Tabletext"/>
            </w:pPr>
            <w:r>
              <w:t xml:space="preserve">Where uncertainty exists regarding habitat critical to survival (for instance, </w:t>
            </w:r>
            <w:r w:rsidRPr="00CF0E52">
              <w:t>small, fragmented, highly modified or exotic habitats in urban areas between 0.1 and 10 ha</w:t>
            </w:r>
            <w:r>
              <w:t>), the critical importance of a site is likely to depend on one or more of the following characteristics:</w:t>
            </w:r>
          </w:p>
          <w:p w14:paraId="367ED3CC" w14:textId="77777777" w:rsidR="008C1AD8" w:rsidRDefault="008C1AD8" w:rsidP="00A15226">
            <w:pPr>
              <w:pStyle w:val="Bullet1"/>
            </w:pPr>
            <w:r>
              <w:t>Occurs at the edge of the known and likely modelled distribution</w:t>
            </w:r>
          </w:p>
          <w:p w14:paraId="3A900A68" w14:textId="77777777" w:rsidR="008C1AD8" w:rsidRDefault="008C1AD8" w:rsidP="00A15226">
            <w:pPr>
              <w:pStyle w:val="Bullet1"/>
            </w:pPr>
            <w:r>
              <w:t>Represents a newly discovered range extension</w:t>
            </w:r>
          </w:p>
          <w:p w14:paraId="42EC14B1" w14:textId="77777777" w:rsidR="008C1AD8" w:rsidRDefault="008C1AD8" w:rsidP="00A15226">
            <w:pPr>
              <w:pStyle w:val="Bullet1"/>
            </w:pPr>
            <w:r>
              <w:t>Has not been subject to adverse practices (ploughing, cropping, cultivation, fertiliser use, intense farming) in the last 10 years, or,</w:t>
            </w:r>
          </w:p>
          <w:p w14:paraId="75E2AD21" w14:textId="77777777" w:rsidR="008C1AD8" w:rsidRPr="003E1ADD" w:rsidRDefault="008C1AD8" w:rsidP="00A15226">
            <w:pPr>
              <w:pStyle w:val="Bullet1"/>
            </w:pPr>
            <w:r>
              <w:t>Contains a high density of lizards found through site surveys</w:t>
            </w:r>
          </w:p>
        </w:tc>
      </w:tr>
      <w:tr w:rsidR="008C1AD8" w:rsidRPr="000816D6" w14:paraId="7B87CF21" w14:textId="77777777" w:rsidTr="00A15226">
        <w:tc>
          <w:tcPr>
            <w:tcW w:w="1526" w:type="dxa"/>
            <w:vAlign w:val="center"/>
          </w:tcPr>
          <w:p w14:paraId="13D3A406" w14:textId="77777777" w:rsidR="008C1AD8" w:rsidRPr="000816D6" w:rsidRDefault="008C1AD8" w:rsidP="00A15226">
            <w:pPr>
              <w:pStyle w:val="Tabletext"/>
              <w:rPr>
                <w:rFonts w:ascii="Helvetica" w:hAnsi="Helvetica"/>
                <w:b/>
                <w:bCs/>
                <w:sz w:val="14"/>
              </w:rPr>
            </w:pPr>
            <w:r w:rsidRPr="000816D6">
              <w:rPr>
                <w:rFonts w:ascii="Helvetica" w:hAnsi="Helvetica"/>
                <w:b/>
                <w:bCs/>
                <w:sz w:val="14"/>
              </w:rPr>
              <w:lastRenderedPageBreak/>
              <w:t xml:space="preserve">POPULATIONS </w:t>
            </w:r>
          </w:p>
        </w:tc>
        <w:tc>
          <w:tcPr>
            <w:tcW w:w="8113" w:type="dxa"/>
            <w:vAlign w:val="center"/>
          </w:tcPr>
          <w:p w14:paraId="394828A3" w14:textId="77777777" w:rsidR="008C1AD8" w:rsidRDefault="008C1AD8" w:rsidP="00A15226">
            <w:pPr>
              <w:pStyle w:val="Tabletext"/>
            </w:pPr>
            <w:r>
              <w:t xml:space="preserve">There are four distinct genetic lineages of SLL: South Australia &amp; Victorian Wimmera; south-western Victoria (including Melbourne and Geelong); eastern Victoria; and a lineage covering the ACT and Monaro Plains in NSW. These lineages have a high level of genetic divergence and should be considered as separate Evolutionarily Significant Units </w:t>
            </w:r>
            <w:sdt>
              <w:sdtPr>
                <w:rPr>
                  <w:color w:val="000000"/>
                </w:rPr>
                <w:tag w:val="MENDELEY_CITATION_v3_eyJjaXRhdGlvbklEIjoiTUVOREVMRVlfQ0lUQVRJT05fNjkwODlhZDctZTQ2Yi00OWNjLTkyMGItMDRlZDVkN2YzODE4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575975373"/>
                <w:placeholder>
                  <w:docPart w:val="EA492B379251784A8EF33F6B6775C3A8"/>
                </w:placeholder>
              </w:sdtPr>
              <w:sdtContent>
                <w:r w:rsidRPr="00273871">
                  <w:rPr>
                    <w:color w:val="000000"/>
                  </w:rPr>
                  <w:t>(TSSC, 2016a)</w:t>
                </w:r>
              </w:sdtContent>
            </w:sdt>
            <w:r>
              <w:t>.</w:t>
            </w:r>
          </w:p>
          <w:p w14:paraId="204BC05F" w14:textId="77777777" w:rsidR="008C1AD8" w:rsidRDefault="008C1AD8" w:rsidP="00A15226">
            <w:pPr>
              <w:pStyle w:val="Tabletext"/>
            </w:pPr>
            <w:r>
              <w:t xml:space="preserve">The total number of individuals of the species is unknown, but likely to be in excess of 1,000 individuals. Understanding of fine scale population structure is difficult given the cryptic nature of the species, and the fragmented and disturbed nature of the species habitat </w:t>
            </w:r>
            <w:sdt>
              <w:sdtPr>
                <w:rPr>
                  <w:color w:val="000000"/>
                </w:rPr>
                <w:tag w:val="MENDELEY_CITATION_v3_eyJjaXRhdGlvbklEIjoiTUVOREVMRVlfQ0lUQVRJT05fNWQ2NDBmMjctNjRlMi00NjNlLTgzMTItOWIyYTk3OTVhNjZ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119031965"/>
                <w:placeholder>
                  <w:docPart w:val="EA492B379251784A8EF33F6B6775C3A8"/>
                </w:placeholder>
              </w:sdtPr>
              <w:sdtContent>
                <w:r w:rsidRPr="00273871">
                  <w:rPr>
                    <w:color w:val="000000"/>
                  </w:rPr>
                  <w:t>(DCCEEW, 2022)</w:t>
                </w:r>
              </w:sdtContent>
            </w:sdt>
            <w:r>
              <w:t>.</w:t>
            </w:r>
          </w:p>
          <w:p w14:paraId="151FB71C" w14:textId="77777777" w:rsidR="008C1AD8" w:rsidRDefault="008C1AD8" w:rsidP="00A15226">
            <w:pPr>
              <w:pStyle w:val="Tabletext"/>
            </w:pPr>
            <w:r>
              <w:t xml:space="preserve">Individuals have been recorded moving up to 20 m in a day, and 50 m over several weeks </w:t>
            </w:r>
            <w:sdt>
              <w:sdtPr>
                <w:rPr>
                  <w:color w:val="000000"/>
                </w:rPr>
                <w:tag w:val="MENDELEY_CITATION_v3_eyJjaXRhdGlvbklEIjoiTUVOREVMRVlfQ0lUQVRJT05fZmI0MjFiZmQtMmE5ZC00YjlhLTg2NjktNjg2NzQxNmYyYWQ4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407057230"/>
                <w:placeholder>
                  <w:docPart w:val="EA492B379251784A8EF33F6B6775C3A8"/>
                </w:placeholder>
              </w:sdtPr>
              <w:sdtContent>
                <w:r w:rsidRPr="00273871">
                  <w:rPr>
                    <w:color w:val="000000"/>
                  </w:rPr>
                  <w:t>(DCCEEW, 2022)</w:t>
                </w:r>
              </w:sdtContent>
            </w:sdt>
            <w:r>
              <w:t xml:space="preserve">. Evidence suggests that the species does not disperse over long distances, as populations have been recorded to be genetically differentiated at distances of less than 400 m </w:t>
            </w:r>
            <w:sdt>
              <w:sdtPr>
                <w:rPr>
                  <w:color w:val="000000"/>
                </w:rPr>
                <w:tag w:val="MENDELEY_CITATION_v3_eyJjaXRhdGlvbklEIjoiTUVOREVMRVlfQ0lUQVRJT05fNWUyYjg1ZTItMWVhYy00NzMxLTk2MzEtMGEwYjI5NGZkNDk5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523437116"/>
                <w:placeholder>
                  <w:docPart w:val="EA492B379251784A8EF33F6B6775C3A8"/>
                </w:placeholder>
              </w:sdtPr>
              <w:sdtContent>
                <w:r w:rsidRPr="00273871">
                  <w:rPr>
                    <w:color w:val="000000"/>
                  </w:rPr>
                  <w:t>(TSSC, 2016a)</w:t>
                </w:r>
              </w:sdtContent>
            </w:sdt>
            <w:r>
              <w:t>.</w:t>
            </w:r>
          </w:p>
          <w:p w14:paraId="7CC0624B" w14:textId="77777777" w:rsidR="008C1AD8" w:rsidRPr="003E1ADD" w:rsidRDefault="008C1AD8" w:rsidP="00A15226">
            <w:pPr>
              <w:pStyle w:val="Tabletext"/>
            </w:pPr>
            <w:r>
              <w:t xml:space="preserve">Due to habitat fragmentation, populations are probably small and isolated </w:t>
            </w:r>
            <w:sdt>
              <w:sdtPr>
                <w:rPr>
                  <w:color w:val="000000"/>
                </w:rPr>
                <w:tag w:val="MENDELEY_CITATION_v3_eyJjaXRhdGlvbklEIjoiTUVOREVMRVlfQ0lUQVRJT05fNWFkYjVjZjgtNjEwOS00NDc1LWJhODctMDJhY2M3NjNjODQz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689524391"/>
                <w:placeholder>
                  <w:docPart w:val="EA492B379251784A8EF33F6B6775C3A8"/>
                </w:placeholder>
              </w:sdtPr>
              <w:sdtContent>
                <w:r w:rsidRPr="00273871">
                  <w:rPr>
                    <w:color w:val="000000"/>
                  </w:rPr>
                  <w:t>(DCCEEW, 2022)</w:t>
                </w:r>
              </w:sdtContent>
            </w:sdt>
            <w:r>
              <w:t xml:space="preserve">. All populations of SLL are considered important for the species recovery </w:t>
            </w:r>
            <w:sdt>
              <w:sdtPr>
                <w:rPr>
                  <w:color w:val="000000"/>
                </w:rPr>
                <w:tag w:val="MENDELEY_CITATION_v3_eyJjaXRhdGlvbklEIjoiTUVOREVMRVlfQ0lUQVRJT05fMDcwNjdiM2UtZDY5MC00NzBkLWFlYjAtYzNlOTEzODNkMjI0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2023739428"/>
                <w:placeholder>
                  <w:docPart w:val="EA492B379251784A8EF33F6B6775C3A8"/>
                </w:placeholder>
              </w:sdtPr>
              <w:sdtContent>
                <w:r w:rsidRPr="00273871">
                  <w:rPr>
                    <w:color w:val="000000"/>
                  </w:rPr>
                  <w:t>(TSSC, 2016a)</w:t>
                </w:r>
              </w:sdtContent>
            </w:sdt>
            <w:r>
              <w:t xml:space="preserve">. </w:t>
            </w:r>
          </w:p>
        </w:tc>
      </w:tr>
      <w:tr w:rsidR="008C1AD8" w:rsidRPr="002F23FB" w14:paraId="01F22287" w14:textId="77777777" w:rsidTr="00A15226">
        <w:tc>
          <w:tcPr>
            <w:tcW w:w="1526" w:type="dxa"/>
            <w:vAlign w:val="center"/>
          </w:tcPr>
          <w:p w14:paraId="242216CE" w14:textId="77777777" w:rsidR="008C1AD8" w:rsidRPr="000816D6" w:rsidRDefault="008C1AD8" w:rsidP="00A15226">
            <w:pPr>
              <w:pStyle w:val="Tabletext"/>
              <w:rPr>
                <w:rFonts w:ascii="Helvetica" w:hAnsi="Helvetica"/>
                <w:b/>
                <w:bCs/>
                <w:sz w:val="14"/>
              </w:rPr>
            </w:pPr>
            <w:r>
              <w:rPr>
                <w:rFonts w:ascii="Helvetica" w:hAnsi="Helvetica"/>
                <w:b/>
                <w:bCs/>
                <w:sz w:val="14"/>
              </w:rPr>
              <w:t>THREATS</w:t>
            </w:r>
          </w:p>
        </w:tc>
        <w:tc>
          <w:tcPr>
            <w:tcW w:w="8113" w:type="dxa"/>
            <w:vAlign w:val="center"/>
          </w:tcPr>
          <w:p w14:paraId="4AD1B361" w14:textId="77777777" w:rsidR="008C1AD8" w:rsidRDefault="008C1AD8" w:rsidP="00A15226">
            <w:pPr>
              <w:pStyle w:val="Tabletext"/>
            </w:pPr>
            <w:r>
              <w:t xml:space="preserve">The Conservation Advice for the species </w:t>
            </w:r>
            <w:sdt>
              <w:sdtPr>
                <w:rPr>
                  <w:color w:val="000000"/>
                </w:rPr>
                <w:tag w:val="MENDELEY_CITATION_v3_eyJjaXRhdGlvbklEIjoiTUVOREVMRVlfQ0lUQVRJT05fODRjNmY4NzgtNmNhOC00MjZmLTg5M2EtN2UwOGI2OWFlODdk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516899392"/>
                <w:placeholder>
                  <w:docPart w:val="EA492B379251784A8EF33F6B6775C3A8"/>
                </w:placeholder>
              </w:sdtPr>
              <w:sdtContent>
                <w:r w:rsidRPr="00273871">
                  <w:rPr>
                    <w:color w:val="000000"/>
                  </w:rPr>
                  <w:t>(TSSC, 2016a)</w:t>
                </w:r>
              </w:sdtContent>
            </w:sdt>
            <w:r>
              <w:t xml:space="preserve"> identifies the following threats:</w:t>
            </w:r>
          </w:p>
          <w:p w14:paraId="69DB6235" w14:textId="77777777" w:rsidR="008C1AD8" w:rsidRDefault="008C1AD8" w:rsidP="00A15226">
            <w:pPr>
              <w:pStyle w:val="Bullet1"/>
            </w:pPr>
            <w:r>
              <w:t>Loss, modification, degradation and fragmentation of habitat from:</w:t>
            </w:r>
          </w:p>
          <w:p w14:paraId="20538085" w14:textId="77777777" w:rsidR="008C1AD8" w:rsidRDefault="008C1AD8" w:rsidP="00A15226">
            <w:pPr>
              <w:pStyle w:val="Bullet2"/>
            </w:pPr>
            <w:r>
              <w:t>Urban development</w:t>
            </w:r>
          </w:p>
          <w:p w14:paraId="3E762C0F" w14:textId="77777777" w:rsidR="008C1AD8" w:rsidRDefault="008C1AD8" w:rsidP="00A15226">
            <w:pPr>
              <w:pStyle w:val="Bullet2"/>
            </w:pPr>
            <w:r>
              <w:t>High intensity grazing by livestock and kangaroos</w:t>
            </w:r>
          </w:p>
          <w:p w14:paraId="568508B3" w14:textId="77777777" w:rsidR="008C1AD8" w:rsidRDefault="008C1AD8" w:rsidP="00A15226">
            <w:pPr>
              <w:pStyle w:val="Bullet2"/>
            </w:pPr>
            <w:r>
              <w:t>Ploughing and pasture improvement</w:t>
            </w:r>
          </w:p>
          <w:p w14:paraId="48AB9F48" w14:textId="77777777" w:rsidR="008C1AD8" w:rsidRDefault="008C1AD8" w:rsidP="00A15226">
            <w:pPr>
              <w:pStyle w:val="Bullet2"/>
            </w:pPr>
            <w:r>
              <w:t>Rock collection or destruction</w:t>
            </w:r>
          </w:p>
          <w:p w14:paraId="7B0A6857" w14:textId="77777777" w:rsidR="008C1AD8" w:rsidRDefault="008C1AD8" w:rsidP="00A15226">
            <w:pPr>
              <w:pStyle w:val="Bullet1"/>
            </w:pPr>
            <w:r>
              <w:t>Invasive species, including:</w:t>
            </w:r>
          </w:p>
          <w:p w14:paraId="5951D3FB" w14:textId="77777777" w:rsidR="008C1AD8" w:rsidRDefault="008C1AD8" w:rsidP="00A15226">
            <w:pPr>
              <w:pStyle w:val="Bullet2"/>
            </w:pPr>
            <w:r>
              <w:t>The spread of exotic grasses</w:t>
            </w:r>
          </w:p>
          <w:p w14:paraId="333E201F" w14:textId="77777777" w:rsidR="008C1AD8" w:rsidRDefault="008C1AD8" w:rsidP="00A15226">
            <w:pPr>
              <w:pStyle w:val="Bullet2"/>
            </w:pPr>
            <w:r>
              <w:t>Predation by cats and foxes</w:t>
            </w:r>
          </w:p>
          <w:p w14:paraId="71631A3A" w14:textId="77777777" w:rsidR="008C1AD8" w:rsidRPr="003E1ADD" w:rsidRDefault="008C1AD8" w:rsidP="00A15226">
            <w:pPr>
              <w:pStyle w:val="Bullet1"/>
            </w:pPr>
            <w:r>
              <w:t>Inappropriate fire regimes</w:t>
            </w:r>
          </w:p>
        </w:tc>
      </w:tr>
      <w:tr w:rsidR="008C1AD8" w:rsidRPr="002F23FB" w14:paraId="33426F92" w14:textId="77777777" w:rsidTr="00A15226">
        <w:tc>
          <w:tcPr>
            <w:tcW w:w="1526" w:type="dxa"/>
            <w:vAlign w:val="center"/>
          </w:tcPr>
          <w:p w14:paraId="41234778" w14:textId="77777777" w:rsidR="008C1AD8" w:rsidRPr="000816D6" w:rsidRDefault="008C1AD8" w:rsidP="00A15226">
            <w:pPr>
              <w:pStyle w:val="Tabletext"/>
              <w:rPr>
                <w:rFonts w:ascii="Helvetica" w:hAnsi="Helvetica"/>
                <w:b/>
                <w:bCs/>
                <w:sz w:val="14"/>
              </w:rPr>
            </w:pPr>
            <w:r w:rsidRPr="000816D6">
              <w:rPr>
                <w:rFonts w:ascii="Helvetica" w:hAnsi="Helvetica"/>
                <w:b/>
                <w:bCs/>
                <w:sz w:val="14"/>
              </w:rPr>
              <w:lastRenderedPageBreak/>
              <w:t>RELEVANT PLANS AND POLICIES</w:t>
            </w:r>
          </w:p>
        </w:tc>
        <w:tc>
          <w:tcPr>
            <w:tcW w:w="8113" w:type="dxa"/>
            <w:vAlign w:val="center"/>
          </w:tcPr>
          <w:p w14:paraId="0179A9CE" w14:textId="77777777" w:rsidR="008C1AD8" w:rsidRDefault="008C1AD8" w:rsidP="00A15226">
            <w:pPr>
              <w:pStyle w:val="Tabletext"/>
            </w:pPr>
            <w:r w:rsidRPr="003E1ADD">
              <w:t>Conservation</w:t>
            </w:r>
            <w:r>
              <w:t xml:space="preserve"> Advice </w:t>
            </w:r>
            <w:r>
              <w:rPr>
                <w:i/>
                <w:iCs/>
              </w:rPr>
              <w:t xml:space="preserve">Delma impar </w:t>
            </w:r>
            <w:r>
              <w:t xml:space="preserve">Striped Legless Lizard </w:t>
            </w:r>
            <w:sdt>
              <w:sdtPr>
                <w:rPr>
                  <w:color w:val="000000"/>
                </w:rPr>
                <w:tag w:val="MENDELEY_CITATION_v3_eyJjaXRhdGlvbklEIjoiTUVOREVMRVlfQ0lUQVRJT05fZmMxMmQzMjMtODFmNi00YmNlLTkxOTgtZTQ5NTUxZDA0Y2I1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923139302"/>
                <w:placeholder>
                  <w:docPart w:val="EA492B379251784A8EF33F6B6775C3A8"/>
                </w:placeholder>
              </w:sdtPr>
              <w:sdtContent>
                <w:r w:rsidRPr="00273871">
                  <w:rPr>
                    <w:color w:val="000000"/>
                  </w:rPr>
                  <w:t>(TSSC, 2016a)</w:t>
                </w:r>
              </w:sdtContent>
            </w:sdt>
          </w:p>
          <w:p w14:paraId="3373FAD6" w14:textId="77777777" w:rsidR="008C1AD8" w:rsidRDefault="008C1AD8" w:rsidP="00A15226">
            <w:pPr>
              <w:pStyle w:val="Tabletext"/>
              <w:rPr>
                <w:iCs/>
              </w:rPr>
            </w:pPr>
            <w:r>
              <w:rPr>
                <w:iCs/>
              </w:rPr>
              <w:t xml:space="preserve">National Recovery Plan for the Striped Legless Lizard (Delma impar) </w:t>
            </w:r>
            <w:sdt>
              <w:sdtPr>
                <w:rPr>
                  <w:iCs/>
                  <w:color w:val="000000"/>
                </w:rPr>
                <w:tag w:val="MENDELEY_CITATION_v3_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"/>
                <w:id w:val="-421640019"/>
                <w:placeholder>
                  <w:docPart w:val="EA492B379251784A8EF33F6B6775C3A8"/>
                </w:placeholder>
              </w:sdtPr>
              <w:sdtEndPr>
                <w:rPr>
                  <w:iCs w:val="0"/>
                </w:rPr>
              </w:sdtEndPr>
              <w:sdtContent>
                <w:r w:rsidRPr="00273871">
                  <w:rPr>
                    <w:rFonts w:eastAsia="Times New Roman"/>
                    <w:color w:val="000000"/>
                  </w:rPr>
                  <w:t>(Smith and Robertson, 1999)</w:t>
                </w:r>
              </w:sdtContent>
            </w:sdt>
          </w:p>
          <w:p w14:paraId="036AA3A9" w14:textId="77777777" w:rsidR="008C1AD8" w:rsidRDefault="008C1AD8" w:rsidP="00A15226">
            <w:pPr>
              <w:pStyle w:val="Tabletext"/>
              <w:rPr>
                <w:iCs/>
              </w:rPr>
            </w:pPr>
            <w:r>
              <w:rPr>
                <w:iCs/>
              </w:rPr>
              <w:t xml:space="preserve">Threat abatement plan for competition and land degradation by rabbits </w:t>
            </w:r>
            <w:sdt>
              <w:sdtPr>
                <w:rPr>
                  <w:iCs/>
                  <w:color w:val="000000"/>
                </w:rPr>
                <w:tag w:val="MENDELEY_CITATION_v3_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"/>
                <w:id w:val="302284247"/>
                <w:placeholder>
                  <w:docPart w:val="EA492B379251784A8EF33F6B6775C3A8"/>
                </w:placeholder>
              </w:sdtPr>
              <w:sdtEndPr>
                <w:rPr>
                  <w:iCs w:val="0"/>
                </w:rPr>
              </w:sdtEndPr>
              <w:sdtContent>
                <w:r w:rsidRPr="00273871">
                  <w:rPr>
                    <w:color w:val="000000"/>
                  </w:rPr>
                  <w:t>(DoEE, 2016a)</w:t>
                </w:r>
              </w:sdtContent>
            </w:sdt>
          </w:p>
          <w:p w14:paraId="2D15470D" w14:textId="77777777" w:rsidR="008C1AD8" w:rsidRDefault="008C1AD8" w:rsidP="00A15226">
            <w:pPr>
              <w:pStyle w:val="Tabletext"/>
              <w:rPr>
                <w:iCs/>
              </w:rPr>
            </w:pPr>
            <w:r>
              <w:rPr>
                <w:iCs/>
              </w:rPr>
              <w:t xml:space="preserve">Threat abatement plan for predation by feral cats </w:t>
            </w:r>
            <w:sdt>
              <w:sdtPr>
                <w:rPr>
                  <w:iCs/>
                  <w:color w:val="000000"/>
                </w:rPr>
                <w:tag w:val="MENDELEY_CITATION_v3_eyJjaXRhdGlvbklEIjoiTUVOREVMRVlfQ0lUQVRJT05fNWI4YzU3MzEtZjA0OS00NmY4LWE2ZmEtYjI3OTBiZjdlYzViIiwicHJvcGVydGllcyI6eyJub3RlSW5kZXgiOjB9LCJpc0VkaXRlZCI6ZmFsc2UsIm1hbnVhbE92ZXJyaWRlIjp7ImNpdGVwcm9jVGV4dCI6IihEb0UsIDIwMTVj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937449860"/>
                <w:placeholder>
                  <w:docPart w:val="EA492B379251784A8EF33F6B6775C3A8"/>
                </w:placeholder>
              </w:sdtPr>
              <w:sdtEndPr>
                <w:rPr>
                  <w:iCs w:val="0"/>
                </w:rPr>
              </w:sdtEndPr>
              <w:sdtContent>
                <w:r w:rsidRPr="00273871">
                  <w:rPr>
                    <w:color w:val="000000"/>
                  </w:rPr>
                  <w:t>(DoE, 2015c)</w:t>
                </w:r>
              </w:sdtContent>
            </w:sdt>
          </w:p>
          <w:p w14:paraId="245385D8" w14:textId="77777777" w:rsidR="008C1AD8" w:rsidRPr="003E1ADD" w:rsidRDefault="008C1AD8" w:rsidP="00A15226">
            <w:pPr>
              <w:pStyle w:val="Tabletext"/>
              <w:rPr>
                <w:iCs/>
              </w:rPr>
            </w:pPr>
            <w:r>
              <w:rPr>
                <w:iCs/>
              </w:rPr>
              <w:t xml:space="preserve">Threat abatement plan for predation by the European red fox </w:t>
            </w:r>
            <w:sdt>
              <w:sdtPr>
                <w:rPr>
                  <w:iCs/>
                  <w:color w:val="000000"/>
                </w:rPr>
                <w:tag w:val="MENDELEY_CITATION_v3_eyJjaXRhdGlvbklEIjoiTUVOREVMRVlfQ0lUQVRJT05fZDM1ZjJmNWYtMjNiZC00Njc3LTg1YjYtZDljODk0ZTYzNGJjIiwicHJvcGVydGllcyI6eyJub3RlSW5kZXgiOjB9LCJpc0VkaXRlZCI6ZmFsc2UsIm1hbnVhbE92ZXJyaWRlIjp7ImNpdGVwcm9jVGV4dCI6IihERVdIQSwgMjAwOGQ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501004647"/>
                <w:placeholder>
                  <w:docPart w:val="EA492B379251784A8EF33F6B6775C3A8"/>
                </w:placeholder>
              </w:sdtPr>
              <w:sdtEndPr>
                <w:rPr>
                  <w:iCs w:val="0"/>
                </w:rPr>
              </w:sdtEndPr>
              <w:sdtContent>
                <w:r w:rsidRPr="00273871">
                  <w:rPr>
                    <w:color w:val="000000"/>
                  </w:rPr>
                  <w:t>(DEWHA, 2008d)</w:t>
                </w:r>
              </w:sdtContent>
            </w:sdt>
          </w:p>
        </w:tc>
      </w:tr>
      <w:tr w:rsidR="008C1AD8" w:rsidRPr="000816D6" w14:paraId="137435FC" w14:textId="77777777" w:rsidTr="00A15226">
        <w:tc>
          <w:tcPr>
            <w:tcW w:w="1526" w:type="dxa"/>
            <w:vAlign w:val="center"/>
          </w:tcPr>
          <w:p w14:paraId="16BF09CC"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39E79976" w14:textId="77777777" w:rsidR="008C1AD8" w:rsidRPr="00B03883" w:rsidRDefault="008C1AD8" w:rsidP="00A15226">
            <w:pPr>
              <w:pStyle w:val="Tabletext"/>
            </w:pPr>
            <w:r>
              <w:t xml:space="preserve">Referral guidelines for the striped legless lizard, </w:t>
            </w:r>
            <w:r>
              <w:rPr>
                <w:i/>
                <w:iCs/>
              </w:rPr>
              <w:t xml:space="preserve">Delma impar </w:t>
            </w:r>
            <w:sdt>
              <w:sdtPr>
                <w:rPr>
                  <w:iCs/>
                  <w:color w:val="000000"/>
                </w:rPr>
                <w:tag w:val="MENDELEY_CITATION_v3_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"/>
                <w:id w:val="-735788773"/>
                <w:placeholder>
                  <w:docPart w:val="EA492B379251784A8EF33F6B6775C3A8"/>
                </w:placeholder>
              </w:sdtPr>
              <w:sdtEndPr>
                <w:rPr>
                  <w:iCs w:val="0"/>
                </w:rPr>
              </w:sdtEndPr>
              <w:sdtContent>
                <w:r w:rsidRPr="00273871">
                  <w:rPr>
                    <w:color w:val="000000"/>
                  </w:rPr>
                  <w:t>(DSEWPC, 2011)</w:t>
                </w:r>
              </w:sdtContent>
            </w:sdt>
          </w:p>
          <w:p w14:paraId="04F7047F" w14:textId="77777777" w:rsidR="008C1AD8" w:rsidRPr="00980D4D" w:rsidRDefault="008C1AD8" w:rsidP="00A15226">
            <w:pPr>
              <w:pStyle w:val="Tabletext"/>
            </w:pPr>
            <w:r>
              <w:t xml:space="preserve">Survey guidelines for Australia’s threatened reptiles. EPBC Act survey guidelines 6.6 </w:t>
            </w:r>
            <w:sdt>
              <w:sdtPr>
                <w:rPr>
                  <w:color w:val="000000"/>
                </w:rPr>
                <w:tag w:val="MENDELEY_CITATION_v3_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"/>
                <w:id w:val="905969878"/>
                <w:placeholder>
                  <w:docPart w:val="EA492B379251784A8EF33F6B6775C3A8"/>
                </w:placeholder>
              </w:sdtPr>
              <w:sdtContent>
                <w:r w:rsidRPr="00273871">
                  <w:rPr>
                    <w:color w:val="000000"/>
                  </w:rPr>
                  <w:t>(DSEWPaC, 2011b)</w:t>
                </w:r>
              </w:sdtContent>
            </w:sdt>
          </w:p>
        </w:tc>
      </w:tr>
      <w:tr w:rsidR="008C1AD8" w:rsidRPr="000816D6" w14:paraId="2F6272E7" w14:textId="77777777" w:rsidTr="00A15226">
        <w:tc>
          <w:tcPr>
            <w:tcW w:w="1526" w:type="dxa"/>
            <w:vAlign w:val="center"/>
          </w:tcPr>
          <w:p w14:paraId="6C47C0B6"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17B900DA" w14:textId="77777777" w:rsidR="008C1AD8" w:rsidRPr="003E1ADD" w:rsidRDefault="008C1AD8" w:rsidP="00A15226">
            <w:pPr>
              <w:pStyle w:val="Tabletext"/>
            </w:pPr>
            <w:r w:rsidRPr="003E1ADD">
              <w:t>http://www.environment.gov.au/cgi-bin/sprat/public/publicspecies.pl?taxon_id=1649</w:t>
            </w:r>
          </w:p>
        </w:tc>
      </w:tr>
    </w:tbl>
    <w:p w14:paraId="6EDEDB3C"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2F500BC8" w14:textId="77777777" w:rsidTr="00A15226">
        <w:tc>
          <w:tcPr>
            <w:tcW w:w="9622" w:type="dxa"/>
            <w:shd w:val="clear" w:color="auto" w:fill="C9C9C9" w:themeFill="accent3" w:themeFillTint="99"/>
          </w:tcPr>
          <w:p w14:paraId="768D8C66" w14:textId="77777777" w:rsidR="008C1AD8" w:rsidRPr="008F55BC" w:rsidRDefault="008C1AD8" w:rsidP="00A15226">
            <w:pPr>
              <w:pStyle w:val="Tabletext"/>
              <w:rPr>
                <w:b/>
                <w:bCs/>
              </w:rPr>
            </w:pPr>
            <w:r>
              <w:rPr>
                <w:rFonts w:ascii="Helvetica" w:hAnsi="Helvetica"/>
                <w:b/>
                <w:sz w:val="16"/>
                <w:szCs w:val="16"/>
              </w:rPr>
              <w:t>APPROACH TO BASELINE DATA</w:t>
            </w:r>
          </w:p>
        </w:tc>
      </w:tr>
    </w:tbl>
    <w:p w14:paraId="2CE0D2B2" w14:textId="77777777" w:rsidR="008C1AD8" w:rsidRPr="0007741A" w:rsidRDefault="008C1AD8" w:rsidP="008C1AD8">
      <w:pPr>
        <w:rPr>
          <w:i/>
          <w:iCs/>
          <w:color w:val="4472C4" w:themeColor="accent1"/>
        </w:rPr>
      </w:pPr>
      <w:r w:rsidRPr="0007741A">
        <w:rPr>
          <w:i/>
          <w:iCs/>
          <w:color w:val="4472C4" w:themeColor="accent1"/>
        </w:rPr>
        <w:t>This section provides a summary of the baseline information used in the assessment. It sets out:</w:t>
      </w:r>
    </w:p>
    <w:p w14:paraId="47FFC4BD" w14:textId="77777777" w:rsidR="008C1AD8" w:rsidRPr="0007741A" w:rsidRDefault="008C1AD8" w:rsidP="008C1AD8">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3A2B6AD7" w14:textId="77777777" w:rsidR="008C1AD8" w:rsidRDefault="008C1AD8" w:rsidP="008C1AD8">
      <w:pPr>
        <w:pStyle w:val="Bullet1"/>
        <w:rPr>
          <w:i/>
          <w:iCs/>
          <w:color w:val="4472C4" w:themeColor="accent1"/>
        </w:rPr>
      </w:pPr>
      <w:r w:rsidRPr="0007741A">
        <w:rPr>
          <w:i/>
          <w:iCs/>
          <w:color w:val="4472C4" w:themeColor="accent1"/>
        </w:rPr>
        <w:t>An overview of the population mapping for the species</w:t>
      </w:r>
    </w:p>
    <w:p w14:paraId="2EAE8E54" w14:textId="77777777" w:rsidR="008C1AD8" w:rsidRPr="00A375B5" w:rsidRDefault="008C1AD8" w:rsidP="008C1AD8">
      <w:pPr>
        <w:rPr>
          <w:i/>
          <w:color w:val="4472C4" w:themeColor="accent1"/>
        </w:rPr>
      </w:pPr>
      <w:r w:rsidRPr="000816D6">
        <w:rPr>
          <w:i/>
          <w:color w:val="4472C4" w:themeColor="accent1"/>
        </w:rPr>
        <w:t xml:space="preserve">Please </w:t>
      </w:r>
      <w:r w:rsidRPr="009E41C5">
        <w:rPr>
          <w:i/>
          <w:color w:val="4472C4" w:themeColor="accent1"/>
        </w:rPr>
        <w:t xml:space="preserve">refer to </w:t>
      </w:r>
      <w:r w:rsidRPr="009E63A2">
        <w:rPr>
          <w:i/>
          <w:color w:val="4472C4" w:themeColor="accent1"/>
        </w:rPr>
        <w:t>Chapter 13</w:t>
      </w:r>
      <w:r w:rsidRPr="00FD2820">
        <w:rPr>
          <w:i/>
          <w:color w:val="4472C4" w:themeColor="accent1"/>
        </w:rPr>
        <w:t xml:space="preserve"> for</w:t>
      </w:r>
      <w:r w:rsidRPr="000816D6">
        <w:rPr>
          <w:i/>
          <w:color w:val="4472C4" w:themeColor="accent1"/>
        </w:rPr>
        <w:t xml:space="preserve"> further details about the threatened species baseline data, including the various approaches to habitat and population mapping. </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980D4D" w14:paraId="7445B01E" w14:textId="77777777" w:rsidTr="00A15226">
        <w:tc>
          <w:tcPr>
            <w:tcW w:w="1526" w:type="dxa"/>
            <w:vMerge w:val="restart"/>
            <w:vAlign w:val="center"/>
          </w:tcPr>
          <w:p w14:paraId="7996E648" w14:textId="77777777" w:rsidR="008C1AD8" w:rsidRDefault="008C1AD8"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2D0D5A15" w14:textId="77777777" w:rsidR="008C1AD8" w:rsidRDefault="008C1AD8"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8C1AD8" w:rsidRPr="00980D4D" w14:paraId="3094ACC9" w14:textId="77777777" w:rsidTr="00A15226">
        <w:tc>
          <w:tcPr>
            <w:tcW w:w="1526" w:type="dxa"/>
            <w:vMerge/>
            <w:vAlign w:val="center"/>
          </w:tcPr>
          <w:p w14:paraId="30825C98" w14:textId="77777777" w:rsidR="008C1AD8" w:rsidRDefault="008C1AD8" w:rsidP="00A15226">
            <w:pPr>
              <w:pStyle w:val="Tabletext"/>
              <w:rPr>
                <w:rFonts w:ascii="Helvetica" w:hAnsi="Helvetica"/>
                <w:b/>
                <w:bCs/>
                <w:sz w:val="14"/>
              </w:rPr>
            </w:pPr>
          </w:p>
        </w:tc>
        <w:tc>
          <w:tcPr>
            <w:tcW w:w="8113" w:type="dxa"/>
            <w:vAlign w:val="center"/>
          </w:tcPr>
          <w:p w14:paraId="14270A10" w14:textId="77777777" w:rsidR="008C1AD8" w:rsidRDefault="008C1AD8" w:rsidP="00A15226">
            <w:pPr>
              <w:pStyle w:val="Tabletext"/>
            </w:pPr>
            <w:r>
              <w:t>Mapping is based on the results of targeted surveys undertaken by EHP (2021). The following categories of mapped habitat have been used in the assessment:</w:t>
            </w:r>
          </w:p>
          <w:p w14:paraId="38B9CF4B" w14:textId="77777777" w:rsidR="008C1AD8" w:rsidRDefault="008C1AD8" w:rsidP="00A15226">
            <w:pPr>
              <w:pStyle w:val="Bullet1"/>
            </w:pPr>
            <w:r>
              <w:t>Confirmed habitat, comprising areas of contiguous habitat where the species was recorded</w:t>
            </w:r>
          </w:p>
          <w:p w14:paraId="4B525506" w14:textId="77777777" w:rsidR="008C1AD8" w:rsidRDefault="008C1AD8" w:rsidP="00A15226">
            <w:pPr>
              <w:pStyle w:val="Bullet1"/>
            </w:pPr>
            <w:r>
              <w:t xml:space="preserve">Suitable habitat, comprising contiguous areas where the species has not been recorded but which support </w:t>
            </w:r>
            <w:r w:rsidRPr="0026517B">
              <w:t>predominantly native grassland with cracking soils and surface rock</w:t>
            </w:r>
          </w:p>
        </w:tc>
      </w:tr>
      <w:tr w:rsidR="008C1AD8" w:rsidRPr="00980D4D" w14:paraId="5FCC7888" w14:textId="77777777" w:rsidTr="00A15226">
        <w:tc>
          <w:tcPr>
            <w:tcW w:w="1526" w:type="dxa"/>
            <w:vMerge/>
            <w:vAlign w:val="center"/>
          </w:tcPr>
          <w:p w14:paraId="52B55A2F"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12519BA3" w14:textId="77777777" w:rsidR="008C1AD8" w:rsidRDefault="008C1AD8" w:rsidP="00A15226">
            <w:pPr>
              <w:pStyle w:val="Bullet1"/>
              <w:numPr>
                <w:ilvl w:val="0"/>
                <w:numId w:val="0"/>
              </w:numPr>
              <w:ind w:left="360" w:hanging="360"/>
            </w:pPr>
            <w:r>
              <w:rPr>
                <w:rFonts w:ascii="Helvetica" w:hAnsi="Helvetica"/>
                <w:b/>
                <w:bCs/>
                <w:sz w:val="14"/>
              </w:rPr>
              <w:t>WITH THE UNSURVEYED AREAS OF THE GROWTH AREAS</w:t>
            </w:r>
          </w:p>
        </w:tc>
      </w:tr>
      <w:tr w:rsidR="008C1AD8" w:rsidRPr="00980D4D" w14:paraId="4C7DA9FC" w14:textId="77777777" w:rsidTr="00A15226">
        <w:tc>
          <w:tcPr>
            <w:tcW w:w="1526" w:type="dxa"/>
            <w:vMerge/>
            <w:vAlign w:val="center"/>
          </w:tcPr>
          <w:p w14:paraId="4238DBB6" w14:textId="77777777" w:rsidR="008C1AD8" w:rsidRDefault="008C1AD8" w:rsidP="00A15226">
            <w:pPr>
              <w:pStyle w:val="Tabletext"/>
              <w:rPr>
                <w:rFonts w:ascii="Helvetica" w:hAnsi="Helvetica"/>
                <w:b/>
                <w:bCs/>
                <w:sz w:val="14"/>
              </w:rPr>
            </w:pPr>
          </w:p>
        </w:tc>
        <w:tc>
          <w:tcPr>
            <w:tcW w:w="8113" w:type="dxa"/>
            <w:shd w:val="clear" w:color="auto" w:fill="auto"/>
            <w:vAlign w:val="center"/>
          </w:tcPr>
          <w:p w14:paraId="1A51BAF3" w14:textId="77777777" w:rsidR="008C1AD8" w:rsidRPr="000816D6" w:rsidRDefault="008C1AD8" w:rsidP="00A15226">
            <w:pPr>
              <w:pStyle w:val="Tabletext"/>
            </w:pPr>
            <w:r>
              <w:t xml:space="preserve">A combination of DELWP’s SLL HIM </w:t>
            </w:r>
            <w:sdt>
              <w:sdtPr>
                <w:rPr>
                  <w:color w:val="000000"/>
                </w:rPr>
                <w:tag w:val="MENDELEY_CITATION_v3_eyJjaXRhdGlvbklEIjoiTUVOREVMRVlfQ0lUQVRJT05fMDNjYTY5MGYtYmMxNC00NDQ0LWEwY2UtMDViNzQ1Yzc1MDA1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1597859239"/>
                <w:placeholder>
                  <w:docPart w:val="EA492B379251784A8EF33F6B6775C3A8"/>
                </w:placeholder>
              </w:sdtPr>
              <w:sdtContent>
                <w:r w:rsidRPr="00273871">
                  <w:rPr>
                    <w:color w:val="000000"/>
                  </w:rPr>
                  <w:t>(DELWP, 2017d)</w:t>
                </w:r>
              </w:sdtContent>
            </w:sdt>
            <w:r>
              <w:t xml:space="preserve"> and </w:t>
            </w:r>
            <w:r w:rsidRPr="00B83866">
              <w:t>DELWP</w:t>
            </w:r>
            <w:r>
              <w:t>’</w:t>
            </w:r>
            <w:r w:rsidRPr="00B83866">
              <w:t xml:space="preserve">s EVC mapping for EVC 132 (Plains Grassland) </w:t>
            </w:r>
            <w:sdt>
              <w:sdtPr>
                <w:rPr>
                  <w:color w:val="000000"/>
                </w:rPr>
                <w:tag w:val="MENDELEY_CITATION_v3_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"/>
                <w:id w:val="-1193842664"/>
                <w:placeholder>
                  <w:docPart w:val="EA492B379251784A8EF33F6B6775C3A8"/>
                </w:placeholder>
              </w:sdtPr>
              <w:sdtContent>
                <w:r w:rsidRPr="00273871">
                  <w:rPr>
                    <w:color w:val="000000"/>
                  </w:rPr>
                  <w:t>(DELWP, 2005)</w:t>
                </w:r>
              </w:sdtContent>
            </w:sdt>
            <w:r>
              <w:t xml:space="preserve"> was used to provide an indication of potential habitat extent within the unsurveyed areas of the Growth Areas</w:t>
            </w:r>
          </w:p>
        </w:tc>
      </w:tr>
      <w:tr w:rsidR="008C1AD8" w:rsidRPr="00980D4D" w14:paraId="700F52C1" w14:textId="77777777" w:rsidTr="00A15226">
        <w:tc>
          <w:tcPr>
            <w:tcW w:w="1526" w:type="dxa"/>
            <w:vMerge/>
            <w:vAlign w:val="center"/>
          </w:tcPr>
          <w:p w14:paraId="0BEEFABF"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6A162ED3" w14:textId="77777777" w:rsidR="008C1AD8" w:rsidRPr="000816D6" w:rsidRDefault="008C1AD8" w:rsidP="00A15226">
            <w:pPr>
              <w:pStyle w:val="Bullet1"/>
              <w:numPr>
                <w:ilvl w:val="0"/>
                <w:numId w:val="0"/>
              </w:numPr>
              <w:ind w:left="360" w:hanging="360"/>
              <w:rPr>
                <w:rFonts w:ascii="Helvetica" w:hAnsi="Helvetica"/>
                <w:b/>
                <w:bCs/>
                <w:sz w:val="14"/>
              </w:rPr>
            </w:pPr>
            <w:r>
              <w:rPr>
                <w:rFonts w:ascii="Helvetica" w:hAnsi="Helvetica"/>
                <w:b/>
                <w:bCs/>
                <w:sz w:val="14"/>
              </w:rPr>
              <w:t>OUTSIDE THE GROWTH AREAS</w:t>
            </w:r>
          </w:p>
        </w:tc>
      </w:tr>
      <w:tr w:rsidR="008C1AD8" w:rsidRPr="00980D4D" w14:paraId="58ED3633" w14:textId="77777777" w:rsidTr="00A15226">
        <w:tc>
          <w:tcPr>
            <w:tcW w:w="1526" w:type="dxa"/>
            <w:vMerge/>
            <w:vAlign w:val="center"/>
          </w:tcPr>
          <w:p w14:paraId="16E6AADB" w14:textId="77777777" w:rsidR="008C1AD8" w:rsidRPr="000816D6" w:rsidRDefault="008C1AD8" w:rsidP="00A15226">
            <w:pPr>
              <w:pStyle w:val="Tabletext"/>
              <w:rPr>
                <w:rFonts w:ascii="Helvetica" w:hAnsi="Helvetica"/>
                <w:b/>
                <w:bCs/>
                <w:sz w:val="14"/>
              </w:rPr>
            </w:pPr>
          </w:p>
        </w:tc>
        <w:tc>
          <w:tcPr>
            <w:tcW w:w="8113" w:type="dxa"/>
            <w:vAlign w:val="center"/>
          </w:tcPr>
          <w:p w14:paraId="2A3546E3" w14:textId="77777777" w:rsidR="008C1AD8" w:rsidRPr="00980D4D" w:rsidRDefault="008C1AD8" w:rsidP="00A15226">
            <w:pPr>
              <w:pStyle w:val="Tabletext"/>
            </w:pPr>
            <w:r>
              <w:t xml:space="preserve">Habitat mapping across the broader Strategic Assessment Area and Study Area was based on the SLL HIM prepared by DELWP </w:t>
            </w:r>
            <w:sdt>
              <w:sdtPr>
                <w:rPr>
                  <w:color w:val="000000"/>
                </w:rPr>
                <w:tag w:val="MENDELEY_CITATION_v3_eyJjaXRhdGlvbklEIjoiTUVOREVMRVlfQ0lUQVRJT05fYWVlNGZlMjMtMTYxOS00ZjlkLWFiNmYtMmNmNjYzZjNhNDQ3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306697950"/>
                <w:placeholder>
                  <w:docPart w:val="EA492B379251784A8EF33F6B6775C3A8"/>
                </w:placeholder>
              </w:sdtPr>
              <w:sdtContent>
                <w:r w:rsidRPr="00273871">
                  <w:rPr>
                    <w:color w:val="000000"/>
                  </w:rPr>
                  <w:t>(DELWP, 2017d)</w:t>
                </w:r>
              </w:sdtContent>
            </w:sdt>
          </w:p>
        </w:tc>
      </w:tr>
      <w:tr w:rsidR="008C1AD8" w:rsidRPr="003E1ADD" w14:paraId="35C63D4F" w14:textId="77777777" w:rsidTr="00A15226">
        <w:tc>
          <w:tcPr>
            <w:tcW w:w="1526" w:type="dxa"/>
            <w:vMerge w:val="restart"/>
            <w:vAlign w:val="center"/>
          </w:tcPr>
          <w:p w14:paraId="1F452429" w14:textId="77777777" w:rsidR="008C1AD8" w:rsidRPr="000816D6" w:rsidRDefault="008C1AD8"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3A89065F" w14:textId="77777777" w:rsidR="008C1AD8" w:rsidRPr="00BB022D" w:rsidRDefault="008C1AD8" w:rsidP="00A15226">
            <w:pPr>
              <w:pStyle w:val="Bullet1"/>
              <w:numPr>
                <w:ilvl w:val="0"/>
                <w:numId w:val="0"/>
              </w:numPr>
              <w:ind w:left="360" w:hanging="360"/>
            </w:pPr>
            <w:r w:rsidRPr="000816D6">
              <w:rPr>
                <w:rFonts w:ascii="Helvetica" w:hAnsi="Helvetica"/>
                <w:b/>
                <w:bCs/>
                <w:sz w:val="14"/>
              </w:rPr>
              <w:t>RECORD SELECTION</w:t>
            </w:r>
          </w:p>
        </w:tc>
      </w:tr>
      <w:tr w:rsidR="008C1AD8" w:rsidRPr="003E1ADD" w14:paraId="209B6E4D" w14:textId="77777777" w:rsidTr="00A15226">
        <w:tc>
          <w:tcPr>
            <w:tcW w:w="1526" w:type="dxa"/>
            <w:vMerge/>
            <w:vAlign w:val="center"/>
          </w:tcPr>
          <w:p w14:paraId="112ACE87" w14:textId="77777777" w:rsidR="008C1AD8" w:rsidRDefault="008C1AD8" w:rsidP="00A15226">
            <w:pPr>
              <w:pStyle w:val="Tabletext"/>
              <w:rPr>
                <w:rFonts w:ascii="Helvetica" w:hAnsi="Helvetica"/>
                <w:b/>
                <w:bCs/>
                <w:sz w:val="14"/>
              </w:rPr>
            </w:pPr>
          </w:p>
        </w:tc>
        <w:tc>
          <w:tcPr>
            <w:tcW w:w="8113" w:type="dxa"/>
            <w:vAlign w:val="center"/>
          </w:tcPr>
          <w:p w14:paraId="3241C7D1" w14:textId="77777777" w:rsidR="008C1AD8" w:rsidRPr="00BB022D" w:rsidRDefault="008C1AD8" w:rsidP="00A15226">
            <w:pPr>
              <w:pStyle w:val="Tabletext"/>
            </w:pPr>
            <w:r w:rsidRPr="00D751AB">
              <w:t xml:space="preserve">Species records were compiled from </w:t>
            </w:r>
            <w:r>
              <w:t>the VBA</w:t>
            </w:r>
            <w:r w:rsidRPr="00D751AB">
              <w:t xml:space="preserve"> and surveys undertaken </w:t>
            </w:r>
            <w:r>
              <w:t>by EHP</w:t>
            </w:r>
            <w:r w:rsidRPr="00D751AB">
              <w:t xml:space="preserve">. The </w:t>
            </w:r>
            <w:r>
              <w:t>VBA records were filtered to remove records prior to 1990 for the purpose of the impact assessment</w:t>
            </w:r>
          </w:p>
        </w:tc>
      </w:tr>
      <w:tr w:rsidR="008C1AD8" w:rsidRPr="003E1ADD" w14:paraId="0CDC4685" w14:textId="77777777" w:rsidTr="00A15226">
        <w:tc>
          <w:tcPr>
            <w:tcW w:w="1526" w:type="dxa"/>
            <w:vMerge/>
            <w:vAlign w:val="center"/>
          </w:tcPr>
          <w:p w14:paraId="05E33D7E"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79BAC31E" w14:textId="77777777" w:rsidR="008C1AD8" w:rsidRPr="00BB022D" w:rsidRDefault="008C1AD8" w:rsidP="00A15226">
            <w:pPr>
              <w:pStyle w:val="Bullet1"/>
              <w:numPr>
                <w:ilvl w:val="0"/>
                <w:numId w:val="0"/>
              </w:numPr>
              <w:ind w:left="360" w:hanging="360"/>
            </w:pPr>
            <w:r>
              <w:rPr>
                <w:rFonts w:ascii="Helvetica" w:hAnsi="Helvetica"/>
                <w:b/>
                <w:bCs/>
                <w:sz w:val="14"/>
              </w:rPr>
              <w:t>RECORD DOWNLOAD DATE</w:t>
            </w:r>
          </w:p>
        </w:tc>
      </w:tr>
      <w:tr w:rsidR="008C1AD8" w:rsidRPr="003E1ADD" w14:paraId="297279D3" w14:textId="77777777" w:rsidTr="00A15226">
        <w:tc>
          <w:tcPr>
            <w:tcW w:w="1526" w:type="dxa"/>
            <w:vMerge/>
            <w:vAlign w:val="center"/>
          </w:tcPr>
          <w:p w14:paraId="798A1017" w14:textId="77777777" w:rsidR="008C1AD8" w:rsidRDefault="008C1AD8" w:rsidP="00A15226">
            <w:pPr>
              <w:pStyle w:val="Tabletext"/>
              <w:rPr>
                <w:rFonts w:ascii="Helvetica" w:hAnsi="Helvetica"/>
                <w:b/>
                <w:bCs/>
                <w:sz w:val="14"/>
              </w:rPr>
            </w:pPr>
          </w:p>
        </w:tc>
        <w:tc>
          <w:tcPr>
            <w:tcW w:w="8113" w:type="dxa"/>
            <w:vAlign w:val="center"/>
          </w:tcPr>
          <w:p w14:paraId="40982FE7" w14:textId="77777777" w:rsidR="008C1AD8" w:rsidRPr="00BB022D" w:rsidRDefault="008C1AD8" w:rsidP="00A15226">
            <w:pPr>
              <w:pStyle w:val="Bullet1"/>
              <w:numPr>
                <w:ilvl w:val="0"/>
                <w:numId w:val="0"/>
              </w:numPr>
              <w:ind w:left="360" w:hanging="360"/>
            </w:pPr>
            <w:r>
              <w:t>VBA records for SLL used in this assessment were downloaded in June 2022</w:t>
            </w:r>
          </w:p>
        </w:tc>
      </w:tr>
      <w:tr w:rsidR="008C1AD8" w:rsidRPr="003E1ADD" w14:paraId="2E58B391" w14:textId="77777777" w:rsidTr="00A15226">
        <w:tc>
          <w:tcPr>
            <w:tcW w:w="1526" w:type="dxa"/>
            <w:vMerge/>
            <w:vAlign w:val="center"/>
          </w:tcPr>
          <w:p w14:paraId="27B86361"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67C93DE7" w14:textId="77777777" w:rsidR="008C1AD8" w:rsidRPr="00BB022D" w:rsidRDefault="008C1AD8" w:rsidP="00A15226">
            <w:pPr>
              <w:pStyle w:val="Bullet1"/>
              <w:numPr>
                <w:ilvl w:val="0"/>
                <w:numId w:val="0"/>
              </w:numPr>
              <w:ind w:left="360" w:hanging="360"/>
            </w:pPr>
            <w:r>
              <w:rPr>
                <w:rFonts w:ascii="Helvetica" w:hAnsi="Helvetica"/>
                <w:b/>
                <w:bCs/>
                <w:sz w:val="14"/>
              </w:rPr>
              <w:t>POPULATION DEFINITION</w:t>
            </w:r>
          </w:p>
        </w:tc>
      </w:tr>
      <w:tr w:rsidR="008C1AD8" w:rsidRPr="003E1ADD" w14:paraId="4F389248" w14:textId="77777777" w:rsidTr="00A15226">
        <w:tc>
          <w:tcPr>
            <w:tcW w:w="1526" w:type="dxa"/>
            <w:vMerge/>
            <w:vAlign w:val="center"/>
          </w:tcPr>
          <w:p w14:paraId="1BED83B1" w14:textId="77777777" w:rsidR="008C1AD8" w:rsidRDefault="008C1AD8" w:rsidP="00A15226">
            <w:pPr>
              <w:pStyle w:val="Tabletext"/>
              <w:rPr>
                <w:rFonts w:ascii="Helvetica" w:hAnsi="Helvetica"/>
                <w:b/>
                <w:bCs/>
                <w:sz w:val="14"/>
              </w:rPr>
            </w:pPr>
          </w:p>
        </w:tc>
        <w:tc>
          <w:tcPr>
            <w:tcW w:w="8113" w:type="dxa"/>
            <w:vAlign w:val="center"/>
          </w:tcPr>
          <w:p w14:paraId="01E1D1C1" w14:textId="77777777" w:rsidR="008C1AD8" w:rsidRPr="00BB022D" w:rsidRDefault="008C1AD8" w:rsidP="00A15226">
            <w:pPr>
              <w:pStyle w:val="Tabletext"/>
            </w:pPr>
            <w:r>
              <w:t xml:space="preserve">A discrete population has been defined where SLL has been recorded within mapped patches of habitat separated by less that 400 m. This criteria is based on the information in the Conservation Advice </w:t>
            </w:r>
            <w:sdt>
              <w:sdtPr>
                <w:rPr>
                  <w:color w:val="000000"/>
                </w:rPr>
                <w:tag w:val="MENDELEY_CITATION_v3_eyJjaXRhdGlvbklEIjoiTUVOREVMRVlfQ0lUQVRJT05fYjRhZWE5OGYtZmU0Ny00MDg2LTk0MjctZTA5MGZkNGMzYzU1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952742828"/>
                <w:placeholder>
                  <w:docPart w:val="EA492B379251784A8EF33F6B6775C3A8"/>
                </w:placeholder>
              </w:sdtPr>
              <w:sdtContent>
                <w:r w:rsidRPr="00273871">
                  <w:rPr>
                    <w:color w:val="000000"/>
                  </w:rPr>
                  <w:t>(TSSC, 2016a)</w:t>
                </w:r>
              </w:sdtContent>
            </w:sdt>
            <w:r>
              <w:t xml:space="preserve"> and understanding of the small home range and limited dispersal ability of the species.</w:t>
            </w:r>
          </w:p>
        </w:tc>
      </w:tr>
    </w:tbl>
    <w:p w14:paraId="4850C4B3"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02AD3A43" w14:textId="77777777" w:rsidTr="00A15226">
        <w:tc>
          <w:tcPr>
            <w:tcW w:w="9622" w:type="dxa"/>
            <w:shd w:val="clear" w:color="auto" w:fill="C9C9C9" w:themeFill="accent3" w:themeFillTint="99"/>
          </w:tcPr>
          <w:p w14:paraId="5D96F120" w14:textId="77777777" w:rsidR="008C1AD8" w:rsidRPr="008F55BC" w:rsidRDefault="008C1AD8" w:rsidP="00A15226">
            <w:pPr>
              <w:pStyle w:val="Tabletext"/>
              <w:keepNext/>
              <w:keepLines/>
              <w:rPr>
                <w:b/>
                <w:bCs/>
              </w:rPr>
            </w:pPr>
            <w:r>
              <w:rPr>
                <w:rFonts w:ascii="Helvetica" w:hAnsi="Helvetica"/>
                <w:b/>
                <w:sz w:val="16"/>
                <w:szCs w:val="16"/>
              </w:rPr>
              <w:lastRenderedPageBreak/>
              <w:t>OC</w:t>
            </w:r>
            <w:r w:rsidRPr="008F55BC">
              <w:rPr>
                <w:rFonts w:ascii="Helvetica" w:hAnsi="Helvetica"/>
                <w:b/>
                <w:sz w:val="16"/>
                <w:szCs w:val="16"/>
              </w:rPr>
              <w:t>C</w:t>
            </w:r>
            <w:r>
              <w:rPr>
                <w:rFonts w:ascii="Helvetica" w:hAnsi="Helvetica"/>
                <w:b/>
                <w:sz w:val="16"/>
                <w:szCs w:val="16"/>
              </w:rPr>
              <w:t>URRENCE IN THE STUDY AREA</w:t>
            </w:r>
          </w:p>
        </w:tc>
      </w:tr>
    </w:tbl>
    <w:p w14:paraId="4AA0C374" w14:textId="77777777" w:rsidR="008C1AD8" w:rsidRPr="003B08F2" w:rsidRDefault="008C1AD8" w:rsidP="008C1AD8">
      <w:pPr>
        <w:rPr>
          <w:i/>
          <w:iCs/>
          <w:color w:val="4472C4" w:themeColor="accent1"/>
        </w:rPr>
      </w:pPr>
      <w:r w:rsidRPr="00BB022D">
        <w:rPr>
          <w:i/>
          <w:iCs/>
          <w:color w:val="4472C4" w:themeColor="accent1"/>
        </w:rPr>
        <w:t xml:space="preserve">This section describes the occurrence of the species in the </w:t>
      </w:r>
      <w:r>
        <w:rPr>
          <w:i/>
          <w:iCs/>
          <w:color w:val="4472C4" w:themeColor="accent1"/>
        </w:rPr>
        <w:t xml:space="preserve">Study </w:t>
      </w:r>
      <w:r w:rsidRPr="009E41C5">
        <w:rPr>
          <w:i/>
          <w:iCs/>
          <w:color w:val="4472C4" w:themeColor="accent1"/>
        </w:rPr>
        <w:t>Area. It includes reference to map</w:t>
      </w:r>
      <w:r>
        <w:rPr>
          <w:i/>
          <w:iCs/>
          <w:color w:val="4472C4" w:themeColor="accent1"/>
        </w:rPr>
        <w:t>s</w:t>
      </w:r>
      <w:r w:rsidRPr="009E41C5">
        <w:rPr>
          <w:i/>
          <w:iCs/>
          <w:color w:val="4472C4" w:themeColor="accent1"/>
        </w:rPr>
        <w:t xml:space="preserve"> of records and habitat which can be viewed as separate file</w:t>
      </w:r>
      <w:r>
        <w:rPr>
          <w:i/>
          <w:iCs/>
          <w:color w:val="4472C4" w:themeColor="accent1"/>
        </w:rPr>
        <w:t>s</w:t>
      </w:r>
      <w:r w:rsidRPr="009E41C5">
        <w:rPr>
          <w:i/>
          <w:iCs/>
          <w:color w:val="4472C4" w:themeColor="accent1"/>
        </w:rPr>
        <w:t>. The map provides critical context for the</w:t>
      </w:r>
      <w:r w:rsidRPr="00BB022D">
        <w:rPr>
          <w:i/>
          <w:iCs/>
          <w:color w:val="4472C4" w:themeColor="accent1"/>
        </w:rPr>
        <w:t xml:space="preserve"> assessment and should be viewed in conjunction with the text presented in this assessment. This section also provides a qualitative description of where records and habitat occur.</w:t>
      </w:r>
    </w:p>
    <w:p w14:paraId="14770BF1" w14:textId="77777777" w:rsidR="008C1AD8" w:rsidRPr="009E41C5" w:rsidRDefault="008C1AD8" w:rsidP="008C1AD8">
      <w:r w:rsidRPr="009E41C5">
        <w:t xml:space="preserve">See </w:t>
      </w:r>
      <w:hyperlink r:id="rId37" w:history="1">
        <w:r w:rsidRPr="00466211">
          <w:rPr>
            <w:rStyle w:val="Hyperlink"/>
          </w:rPr>
          <w:t>Map 19-8</w:t>
        </w:r>
      </w:hyperlink>
      <w:r w:rsidRPr="009E41C5">
        <w:t xml:space="preserve"> for a map of records and habitat across the Study Area and </w:t>
      </w:r>
      <w:hyperlink r:id="rId38" w:history="1">
        <w:r w:rsidRPr="00466211">
          <w:rPr>
            <w:rStyle w:val="Hyperlink"/>
          </w:rPr>
          <w:t>Map 19-9</w:t>
        </w:r>
      </w:hyperlink>
      <w:r w:rsidRPr="009E41C5">
        <w:t xml:space="preserve"> for a map of records and habitat across the Strategic Assessment Area.</w:t>
      </w:r>
    </w:p>
    <w:p w14:paraId="3611DC04" w14:textId="77777777" w:rsidR="008C1AD8" w:rsidRDefault="008C1AD8" w:rsidP="008C1AD8">
      <w:pPr>
        <w:pStyle w:val="Heading3"/>
      </w:pPr>
      <w:r>
        <w:t>Occurrence within Growth Areas</w:t>
      </w:r>
    </w:p>
    <w:p w14:paraId="66325985" w14:textId="77777777" w:rsidR="008C1AD8" w:rsidRPr="000838A6" w:rsidRDefault="008C1AD8" w:rsidP="008C1AD8">
      <w:pPr>
        <w:pStyle w:val="Heading4"/>
      </w:pPr>
      <w:r>
        <w:t>SLL within the surveyed areas of the Growth Areas</w:t>
      </w:r>
    </w:p>
    <w:p w14:paraId="34A13BE1" w14:textId="77777777" w:rsidR="008C1AD8" w:rsidRDefault="008C1AD8" w:rsidP="008C1AD8">
      <w:r>
        <w:t xml:space="preserve">EHP (2021) undertook targeted surveys for SLL within the two Growth Areas between </w:t>
      </w:r>
      <w:r w:rsidRPr="00776984">
        <w:t>2</w:t>
      </w:r>
      <w:r>
        <w:t>8</w:t>
      </w:r>
      <w:r w:rsidRPr="00776984">
        <w:t xml:space="preserve"> September and 30</w:t>
      </w:r>
      <w:r>
        <w:t> </w:t>
      </w:r>
      <w:r w:rsidRPr="00776984">
        <w:t>November</w:t>
      </w:r>
      <w:r>
        <w:t> </w:t>
      </w:r>
      <w:r w:rsidRPr="00776984">
        <w:t>2020</w:t>
      </w:r>
      <w:r>
        <w:t xml:space="preserve">. The surveys were </w:t>
      </w:r>
      <w:r w:rsidRPr="00A644C0">
        <w:t xml:space="preserve">undertaken in accordance with the </w:t>
      </w:r>
      <w:r w:rsidRPr="00A644C0">
        <w:rPr>
          <w:i/>
          <w:iCs/>
        </w:rPr>
        <w:t>EPBC Act Referral Guidelines for the Vulnerable Striped Legless Lizard, Delma impar</w:t>
      </w:r>
      <w:r w:rsidRPr="00776984">
        <w:t xml:space="preserve"> </w:t>
      </w:r>
      <w:sdt>
        <w:sdtPr>
          <w:rPr>
            <w:color w:val="000000"/>
          </w:rPr>
          <w:tag w:val="MENDELEY_CITATION_v3_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"/>
          <w:id w:val="-1728216427"/>
          <w:placeholder>
            <w:docPart w:val="EA492B379251784A8EF33F6B6775C3A8"/>
          </w:placeholder>
        </w:sdtPr>
        <w:sdtContent>
          <w:r w:rsidRPr="00273871">
            <w:rPr>
              <w:color w:val="000000"/>
            </w:rPr>
            <w:t>(DSEWPC, 2011)</w:t>
          </w:r>
        </w:sdtContent>
      </w:sdt>
      <w:r>
        <w:t xml:space="preserve"> </w:t>
      </w:r>
      <w:r w:rsidRPr="00776984">
        <w:t>with a total of 77 tile grids checked eight times, comprising a total of 616 tile checks in total</w:t>
      </w:r>
      <w:r>
        <w:t xml:space="preserve"> (EHP, 2021).</w:t>
      </w:r>
    </w:p>
    <w:p w14:paraId="2882E42E" w14:textId="77777777" w:rsidR="008C1AD8" w:rsidRDefault="008C1AD8" w:rsidP="008C1AD8">
      <w:r>
        <w:t xml:space="preserve">Forty-five individuals were recorded within the NGGA under ten different tile grids. </w:t>
      </w:r>
      <w:r w:rsidRPr="009A2112">
        <w:t xml:space="preserve">Sites where the species was recorded generally represent the </w:t>
      </w:r>
      <w:r>
        <w:t>most suitable areas of</w:t>
      </w:r>
      <w:r w:rsidRPr="009A2112">
        <w:t xml:space="preserve"> habitat for </w:t>
      </w:r>
      <w:r>
        <w:t>SLL</w:t>
      </w:r>
      <w:r w:rsidRPr="009A2112">
        <w:t xml:space="preserve"> within the NGGA. These areas supported a high cover of surface rock, cracking soils and tussock-forming grasses providing inter-tussock space. </w:t>
      </w:r>
      <w:r>
        <w:t xml:space="preserve">Altogether, </w:t>
      </w:r>
      <w:r w:rsidRPr="009E63A2">
        <w:t>103.8</w:t>
      </w:r>
      <w:r w:rsidRPr="00FD2820">
        <w:t xml:space="preserve"> ha of confirmed habitat and </w:t>
      </w:r>
      <w:r w:rsidRPr="009E63A2">
        <w:t>76.3</w:t>
      </w:r>
      <w:r w:rsidRPr="00FD2820">
        <w:t xml:space="preserve"> ha of suitable habitat has</w:t>
      </w:r>
      <w:r>
        <w:t xml:space="preserve"> been mapped across the surveyed areas of the NGGA.</w:t>
      </w:r>
    </w:p>
    <w:p w14:paraId="40789074" w14:textId="77777777" w:rsidR="008C1AD8" w:rsidRDefault="008C1AD8" w:rsidP="008C1AD8">
      <w:r w:rsidRPr="009F003E">
        <w:t>For the purposes of this assessment, the individuals recorded within the NGGA are considered to represent four discrete populations as follows:</w:t>
      </w:r>
    </w:p>
    <w:p w14:paraId="6C4A8083" w14:textId="77777777" w:rsidR="008C1AD8" w:rsidRDefault="008C1AD8" w:rsidP="008C1AD8">
      <w:pPr>
        <w:pStyle w:val="Bullet1"/>
      </w:pPr>
      <w:r w:rsidRPr="00FD2820">
        <w:t xml:space="preserve">In the north-western corner of the NGGA within a consolidated patch of </w:t>
      </w:r>
      <w:r w:rsidRPr="009E63A2">
        <w:t>47.2</w:t>
      </w:r>
      <w:r>
        <w:t xml:space="preserve"> ha of confirmed habitat where 11 individuals were recorded. This is the largest confirmed patch of habitat within the NGGA, supporting multiple remnants of native grassland. Adjacent to this </w:t>
      </w:r>
      <w:r w:rsidRPr="00FD2820">
        <w:t xml:space="preserve">is a </w:t>
      </w:r>
      <w:r w:rsidRPr="009E63A2">
        <w:t>76.3</w:t>
      </w:r>
      <w:r w:rsidRPr="00FD2820">
        <w:t xml:space="preserve"> ha</w:t>
      </w:r>
      <w:r>
        <w:t xml:space="preserve"> area of suitable habitat containing a consolidated patch of native grassland. This suitable habitat is separated from the confirmed habitat by less than 30 m, and so would be considered within dispersal distance for the lizard. This whole area is likely to be considered critical to the survival of the species based on the definition outlined in the Conservation Advice </w:t>
      </w:r>
      <w:sdt>
        <w:sdtPr>
          <w:rPr>
            <w:color w:val="000000"/>
          </w:rPr>
          <w:tag w:val="MENDELEY_CITATION_v3_eyJjaXRhdGlvbklEIjoiTUVOREVMRVlfQ0lUQVRJT05fMmQ0Y2JhZTctNmUwOC00YmNmLTg4NjItMTQ4MTViYTAzZjRm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101060529"/>
          <w:placeholder>
            <w:docPart w:val="EA492B379251784A8EF33F6B6775C3A8"/>
          </w:placeholder>
        </w:sdtPr>
        <w:sdtContent>
          <w:r w:rsidRPr="00273871">
            <w:rPr>
              <w:color w:val="000000"/>
            </w:rPr>
            <w:t>(TSSC, 2016a)</w:t>
          </w:r>
        </w:sdtContent>
      </w:sdt>
    </w:p>
    <w:p w14:paraId="013121A5" w14:textId="77777777" w:rsidR="008C1AD8" w:rsidRDefault="008C1AD8" w:rsidP="008C1AD8">
      <w:pPr>
        <w:pStyle w:val="Bullet1"/>
      </w:pPr>
      <w:r>
        <w:t xml:space="preserve">In the west of the NGGA within a consolidated patch </w:t>
      </w:r>
      <w:r w:rsidRPr="00FD2820">
        <w:t xml:space="preserve">of </w:t>
      </w:r>
      <w:r w:rsidRPr="009E63A2">
        <w:t>31.6</w:t>
      </w:r>
      <w:r w:rsidRPr="00FD2820">
        <w:t xml:space="preserve"> ha</w:t>
      </w:r>
      <w:r>
        <w:t xml:space="preserve"> of confirmed habitat where 13 individuals were recorded. This is the second largest confirmed patch of habitat. This area is disconnected from other areas of confirmed or suitable habitat within the NGGA by over 1 km and does not support any mapped native grassland.  This area is considered to provide a more marginal representation of habitat critical to the survival of the species</w:t>
      </w:r>
    </w:p>
    <w:p w14:paraId="54E47AC0" w14:textId="77777777" w:rsidR="008C1AD8" w:rsidRDefault="008C1AD8" w:rsidP="008C1AD8">
      <w:pPr>
        <w:pStyle w:val="Bullet1"/>
      </w:pPr>
      <w:r>
        <w:t>In the centre of the NGGA within an are</w:t>
      </w:r>
      <w:r w:rsidRPr="004B23F2">
        <w:t xml:space="preserve">a of </w:t>
      </w:r>
      <w:r w:rsidRPr="009E63A2">
        <w:t>19.1</w:t>
      </w:r>
      <w:r>
        <w:t xml:space="preserve"> ha of confirmed habitat where 20 individuals were recorded. It appears that the habitat supporting this population is likely to have been substantially degraded since the time of surveys as a result of rock removal and ploughing and the persistence of this population is uncertain. This area is disconnected from other areas of confirmed or suitable habitat within the NGGA areas by over 1 km</w:t>
      </w:r>
    </w:p>
    <w:p w14:paraId="5C46005A" w14:textId="77777777" w:rsidR="008C1AD8" w:rsidRDefault="008C1AD8" w:rsidP="008C1AD8">
      <w:pPr>
        <w:pStyle w:val="Bullet1"/>
      </w:pPr>
      <w:r>
        <w:t xml:space="preserve">In the east of the NGGA within a thin </w:t>
      </w:r>
      <w:r w:rsidRPr="00FD2820">
        <w:t xml:space="preserve">patch of </w:t>
      </w:r>
      <w:r w:rsidRPr="009E63A2">
        <w:t>5.9</w:t>
      </w:r>
      <w:r w:rsidRPr="00FD2820">
        <w:t xml:space="preserve"> ha of</w:t>
      </w:r>
      <w:r>
        <w:t xml:space="preserve"> confirmed habitat where 1 individual was recorded. This area of confirmed habitat is small, isolated from other patches of confirmed or suitable habitat, has a very high edge to area ratio and a small number of lizards detected. All of these factors are likely to be impacting on the viability of this population and it is less likely that this area would be considered critical to the survival of the species</w:t>
      </w:r>
    </w:p>
    <w:p w14:paraId="04885185" w14:textId="77777777" w:rsidR="008C1AD8" w:rsidRDefault="008C1AD8" w:rsidP="008C1AD8">
      <w:r>
        <w:t>The</w:t>
      </w:r>
      <w:r w:rsidRPr="00C50CEC">
        <w:t xml:space="preserve"> numbers </w:t>
      </w:r>
      <w:r>
        <w:t>of individuals recorded using the tile survey method do not provide</w:t>
      </w:r>
      <w:r w:rsidRPr="00C50CEC">
        <w:t xml:space="preserve"> </w:t>
      </w:r>
      <w:r>
        <w:t>an indication</w:t>
      </w:r>
      <w:r w:rsidRPr="00C50CEC">
        <w:t xml:space="preserve"> of population size, </w:t>
      </w:r>
      <w:r>
        <w:t xml:space="preserve">or even </w:t>
      </w:r>
      <w:r w:rsidRPr="00C50CEC">
        <w:t>of relative lizard density</w:t>
      </w:r>
      <w:r>
        <w:t xml:space="preserve">. The method is designed to determine presence/absence, where the detection of an individual at a site infers that a population is present. As identified in the Conservation Advice </w:t>
      </w:r>
      <w:sdt>
        <w:sdtPr>
          <w:rPr>
            <w:color w:val="000000"/>
          </w:rPr>
          <w:tag w:val="MENDELEY_CITATION_v3_eyJjaXRhdGlvbklEIjoiTUVOREVMRVlfQ0lUQVRJT05fMTNmYzlmODMtN2U0MC00OWE1LWJiZGEtNmVhMjlkODNkOWY2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655457377"/>
          <w:placeholder>
            <w:docPart w:val="EA492B379251784A8EF33F6B6775C3A8"/>
          </w:placeholder>
        </w:sdtPr>
        <w:sdtContent>
          <w:r w:rsidRPr="00273871">
            <w:rPr>
              <w:color w:val="000000"/>
            </w:rPr>
            <w:t>(TSSC, 2016a)</w:t>
          </w:r>
        </w:sdtContent>
      </w:sdt>
      <w:r>
        <w:t xml:space="preserve">, all populations of SLL are important to the recovery of the species. </w:t>
      </w:r>
    </w:p>
    <w:p w14:paraId="7CAC001A" w14:textId="77777777" w:rsidR="008C1AD8" w:rsidRDefault="008C1AD8" w:rsidP="008C1AD8">
      <w:r>
        <w:t xml:space="preserve">SLL was not recorded within the WGGA. EHP (2021) found that </w:t>
      </w:r>
      <w:r w:rsidRPr="00122AA9">
        <w:t xml:space="preserve">the removal of native vegetation, high levels of grazing, pasture improvement and cultivation </w:t>
      </w:r>
      <w:r>
        <w:t xml:space="preserve">across the WGGA </w:t>
      </w:r>
      <w:r w:rsidRPr="00122AA9">
        <w:t xml:space="preserve">has contributed to the decline of high quality habitat for the species. </w:t>
      </w:r>
      <w:r>
        <w:t>They concluded that it is highly unlikely that a population of SLL is present within the WGGA.</w:t>
      </w:r>
    </w:p>
    <w:p w14:paraId="6D8CECC3" w14:textId="77777777" w:rsidR="008C1AD8" w:rsidRDefault="008C1AD8" w:rsidP="008C1AD8">
      <w:pPr>
        <w:pStyle w:val="Heading4"/>
      </w:pPr>
      <w:r>
        <w:t>SLL within the unsurveyed areas of the Growth Areas</w:t>
      </w:r>
    </w:p>
    <w:p w14:paraId="5263F6B1" w14:textId="77777777" w:rsidR="008C1AD8" w:rsidRDefault="008C1AD8" w:rsidP="008C1AD8">
      <w:r>
        <w:t xml:space="preserve">There is potential for SLL to occur within the unsurveyed areas of the NGGA. </w:t>
      </w:r>
    </w:p>
    <w:p w14:paraId="5FFBB5E5" w14:textId="77777777" w:rsidR="008C1AD8" w:rsidRDefault="008C1AD8" w:rsidP="008C1AD8">
      <w:r>
        <w:t xml:space="preserve">DELWP’s HIM for SLL provides a broad predictor of presence of the species across the landscape </w:t>
      </w:r>
      <w:sdt>
        <w:sdtPr>
          <w:rPr>
            <w:color w:val="000000"/>
          </w:rPr>
          <w:tag w:val="MENDELEY_CITATION_v3_eyJjaXRhdGlvbklEIjoiTUVOREVMRVlfQ0lUQVRJT05fNGRjYzJhY2EtOTVjZC00OGE1LWI2YjctYTQyZmRhNWM4NjY3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670872397"/>
          <w:placeholder>
            <w:docPart w:val="EA492B379251784A8EF33F6B6775C3A8"/>
          </w:placeholder>
        </w:sdtPr>
        <w:sdtContent>
          <w:r w:rsidRPr="00273871">
            <w:rPr>
              <w:color w:val="000000"/>
            </w:rPr>
            <w:t>(DELWP, 2017d)</w:t>
          </w:r>
        </w:sdtContent>
      </w:sdt>
      <w:r>
        <w:t xml:space="preserve">. When combined with </w:t>
      </w:r>
      <w:r w:rsidRPr="00B83866">
        <w:t>DELWP</w:t>
      </w:r>
      <w:r>
        <w:t>’</w:t>
      </w:r>
      <w:r w:rsidRPr="00B83866">
        <w:t xml:space="preserve">s EVC mapping for EVC 132 (Plains Grassland) </w:t>
      </w:r>
      <w:sdt>
        <w:sdtPr>
          <w:rPr>
            <w:color w:val="000000"/>
          </w:rPr>
          <w:tag w:val="MENDELEY_CITATION_v3_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"/>
          <w:id w:val="-1222289311"/>
          <w:placeholder>
            <w:docPart w:val="EA492B379251784A8EF33F6B6775C3A8"/>
          </w:placeholder>
        </w:sdtPr>
        <w:sdtContent>
          <w:r w:rsidRPr="00273871">
            <w:rPr>
              <w:color w:val="000000"/>
            </w:rPr>
            <w:t>(DELWP, 2005)</w:t>
          </w:r>
        </w:sdtContent>
      </w:sdt>
      <w:r>
        <w:t xml:space="preserve">, the two datasets </w:t>
      </w:r>
      <w:r>
        <w:lastRenderedPageBreak/>
        <w:t xml:space="preserve">identified an equivalent area to the extent confirmed within the surveyed areas of the Growth Areas as Confirmed habitat and Suitable habitat. </w:t>
      </w:r>
    </w:p>
    <w:p w14:paraId="567E0AFA" w14:textId="77777777" w:rsidR="008C1AD8" w:rsidRDefault="008C1AD8" w:rsidP="008C1AD8">
      <w:r>
        <w:t xml:space="preserve">Given the types of </w:t>
      </w:r>
      <w:r w:rsidRPr="0044657F">
        <w:t xml:space="preserve">ecological values </w:t>
      </w:r>
      <w:r>
        <w:t xml:space="preserve">within the unsurveyed areas are likely to be broadly </w:t>
      </w:r>
      <w:r w:rsidRPr="0044657F">
        <w:t>consistent with those already confirmed within the surveyed areas of the Growth Areas (EHP, 2021)</w:t>
      </w:r>
      <w:r>
        <w:t xml:space="preserve"> the use of these combined datasets was considered appropriate to provide an indication of potential habitat extent within the unsurveyed areas for the purposes of the assessment. However, some accounting was made to reflect the more fragmented nature of the small, rural residential landholdings and the higher proportion of land use for dwellings and driveways compared to the broader Growth Areas. The following method was applied:</w:t>
      </w:r>
    </w:p>
    <w:p w14:paraId="3C77EB2B" w14:textId="77777777" w:rsidR="008C1AD8" w:rsidRDefault="008C1AD8" w:rsidP="008C1AD8">
      <w:pPr>
        <w:pStyle w:val="Bullet1"/>
      </w:pPr>
      <w:r>
        <w:t>It has been assumed that the two unsurveyed blocks of land along the western boundary of the NGGA support an equivalent area of SLL habitat to the surveyed land based on their location adjacent to or within proximity of known habitat and the apparent continuity of land use as broader agricultural land. The combination of DELWP’s HIM for SLL and EVC 132 mapping was therefore used to estimate the extent of potential habitat within these two unsurveyed blocks. These two blocks contribute around 6.6 ha of potential habitat</w:t>
      </w:r>
    </w:p>
    <w:p w14:paraId="5F859BFF" w14:textId="77777777" w:rsidR="008C1AD8" w:rsidRDefault="008C1AD8" w:rsidP="008C1AD8">
      <w:pPr>
        <w:pStyle w:val="Bullet1"/>
      </w:pPr>
      <w:r>
        <w:t>The remaining areas of unsurveyed land comprise the rural residential blocks, which are expected to support a reduced or more fragmented distribution of potential habitat which reflects the different land use compared with the surveyed areas of the NGGA. For these areas, potential habitat extent was estimated to be around 75% of that observed within the surveyed areas. This area was calculated as 75% of the extent modelled using DELWP’s HIM for SLL and EVC 132 mapping across the rural residential blocks. This approach identified a further 40.3 ha of potential habitat</w:t>
      </w:r>
    </w:p>
    <w:p w14:paraId="23BE7B80" w14:textId="77777777" w:rsidR="008C1AD8" w:rsidRDefault="008C1AD8" w:rsidP="008C1AD8">
      <w:r>
        <w:t>Altogether, t</w:t>
      </w:r>
      <w:r w:rsidRPr="00DE5A08">
        <w:t>his</w:t>
      </w:r>
      <w:r>
        <w:t xml:space="preserve"> mapping method identified </w:t>
      </w:r>
      <w:r w:rsidRPr="008F6C3F">
        <w:t xml:space="preserve">around </w:t>
      </w:r>
      <w:r w:rsidRPr="009E63A2">
        <w:t>47 ha</w:t>
      </w:r>
      <w:r>
        <w:t xml:space="preserve"> of potential habitat within the unsurveyed areas of the Growth Areas. </w:t>
      </w:r>
    </w:p>
    <w:p w14:paraId="5D94AC9F" w14:textId="77777777" w:rsidR="008C1AD8" w:rsidRDefault="008C1AD8" w:rsidP="008C1AD8">
      <w:r>
        <w:t>This method is considered to be suitably precautionary for the purposes of the assessment. This method is intended to identify an area of potential SLL habitat within the unsurveyed land that over-predicts extent, as supported by over-the-fence observations of the properties as part of recent site visits during the strategic assessment.</w:t>
      </w:r>
    </w:p>
    <w:p w14:paraId="2BAF48C6" w14:textId="77777777" w:rsidR="008C1AD8" w:rsidRDefault="008C1AD8" w:rsidP="008C1AD8">
      <w:pPr>
        <w:pStyle w:val="Heading3"/>
      </w:pPr>
      <w:r>
        <w:t>Occurrence within the broader Study Area</w:t>
      </w:r>
    </w:p>
    <w:p w14:paraId="7E8794D0" w14:textId="77777777" w:rsidR="008C1AD8" w:rsidRDefault="008C1AD8" w:rsidP="008C1AD8">
      <w:r>
        <w:t>Historical records of SLL within the Strategic Assessment Area and broader Study Area are limited. There is one record on the boundary of the Strategic Assessment Area to the east of the NGGA. However, this record is from 1992 within a rural residential area and there is some uncertainty around what is likely to remain of any suitable habitat.</w:t>
      </w:r>
    </w:p>
    <w:p w14:paraId="3264FB4E" w14:textId="77777777" w:rsidR="008C1AD8" w:rsidRDefault="008C1AD8" w:rsidP="008C1AD8">
      <w:r>
        <w:t xml:space="preserve">There is only one additional record, towards the north-eastern boundary of the Study Area from 1990. </w:t>
      </w:r>
    </w:p>
    <w:p w14:paraId="6709B008" w14:textId="77777777" w:rsidR="008C1AD8" w:rsidRDefault="008C1AD8" w:rsidP="008C1AD8">
      <w:r>
        <w:t xml:space="preserve">The very few historical records in the region is likely to reflect a lack of targeted survey effort rather than the absence of the species or available habitat. DELWP’s HIM for SLL provides a broad predictor of presence of the species across the landscape </w:t>
      </w:r>
      <w:sdt>
        <w:sdtPr>
          <w:rPr>
            <w:color w:val="000000"/>
          </w:rPr>
          <w:tag w:val="MENDELEY_CITATION_v3_eyJjaXRhdGlvbklEIjoiTUVOREVMRVlfQ0lUQVRJT05fMDdiNTRmMDYtYmFmYy00ZDUyLWI5OWYtMzliODZkZTQxNzI1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954683922"/>
          <w:placeholder>
            <w:docPart w:val="EA492B379251784A8EF33F6B6775C3A8"/>
          </w:placeholder>
        </w:sdtPr>
        <w:sdtContent>
          <w:r w:rsidRPr="00273871">
            <w:rPr>
              <w:color w:val="000000"/>
            </w:rPr>
            <w:t>(DELWP, 2017d)</w:t>
          </w:r>
        </w:sdtContent>
      </w:sdt>
      <w:r>
        <w:t xml:space="preserve">. It provides useful context for the assessment, identifying </w:t>
      </w:r>
      <w:r w:rsidRPr="004B23F2">
        <w:t xml:space="preserve">approximately </w:t>
      </w:r>
      <w:r w:rsidRPr="009E63A2">
        <w:t>7,8</w:t>
      </w:r>
      <w:r>
        <w:t>97.8 ha of habitat within the Strategic Assessment Areas and broader Study Area.</w:t>
      </w:r>
    </w:p>
    <w:p w14:paraId="79B314CB" w14:textId="77777777" w:rsidR="008C1AD8" w:rsidRPr="00143D80"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1BC1C8D2" w14:textId="77777777" w:rsidTr="00A15226">
        <w:tc>
          <w:tcPr>
            <w:tcW w:w="9632" w:type="dxa"/>
            <w:shd w:val="clear" w:color="auto" w:fill="D9D9D9" w:themeFill="background1" w:themeFillShade="D9"/>
            <w:vAlign w:val="center"/>
          </w:tcPr>
          <w:p w14:paraId="6631B38B" w14:textId="77777777" w:rsidR="008C1AD8" w:rsidRPr="000816D6" w:rsidRDefault="008C1AD8" w:rsidP="00A15226">
            <w:pPr>
              <w:pStyle w:val="TableHeadingLarge"/>
              <w:rPr>
                <w:rFonts w:ascii="Helvetica" w:hAnsi="Helvetica"/>
              </w:rPr>
            </w:pPr>
            <w:r w:rsidRPr="000816D6">
              <w:rPr>
                <w:rFonts w:ascii="Helvetica" w:hAnsi="Helvetica"/>
              </w:rPr>
              <w:t>AVOIDANCE OF IMPACTS</w:t>
            </w:r>
            <w:r>
              <w:rPr>
                <w:rFonts w:ascii="Helvetica" w:hAnsi="Helvetica"/>
              </w:rPr>
              <w:t xml:space="preserve"> WITHIN GROWTH AREAS</w:t>
            </w:r>
          </w:p>
        </w:tc>
      </w:tr>
    </w:tbl>
    <w:p w14:paraId="7441D449" w14:textId="77777777" w:rsidR="008C1AD8" w:rsidRDefault="008C1AD8" w:rsidP="008C1AD8">
      <w:r w:rsidRPr="000816D6">
        <w:rPr>
          <w:i/>
          <w:color w:val="4472C4" w:themeColor="accent1"/>
        </w:rPr>
        <w:t xml:space="preserve">This section provides an overview of the area of potential habitat that was avoided for the species through the design of </w:t>
      </w:r>
      <w:r>
        <w:rPr>
          <w:i/>
          <w:color w:val="4472C4" w:themeColor="accent1"/>
        </w:rPr>
        <w:t xml:space="preserve">development within the Growth Areas. Avoidance of impacts to biodiversity was a critical part of the process to develop the Plan. </w:t>
      </w:r>
      <w:r w:rsidRPr="000816D6">
        <w:rPr>
          <w:i/>
          <w:color w:val="4472C4" w:themeColor="accent1"/>
        </w:rPr>
        <w:t xml:space="preserve">A detailed explanation of the avoidance process and terminology is provided in </w:t>
      </w:r>
      <w:r w:rsidRPr="009E63A2">
        <w:rPr>
          <w:i/>
          <w:color w:val="4472C4" w:themeColor="accent1"/>
        </w:rPr>
        <w:t>Chapter 16</w:t>
      </w:r>
      <w:r w:rsidRPr="004B23F2">
        <w:rPr>
          <w:i/>
          <w:color w:val="4472C4" w:themeColor="accent1"/>
        </w:rPr>
        <w:t>.</w:t>
      </w:r>
    </w:p>
    <w:p w14:paraId="1C79F6F9" w14:textId="77777777" w:rsidR="008C1AD8" w:rsidRDefault="008C1AD8" w:rsidP="008C1AD8">
      <w:r>
        <w:t xml:space="preserve">Avoidance within the NGGA was determined through a structured decision making process as part of the strategic assessment to identify the optimal layout of development and conservation land in the Growth </w:t>
      </w:r>
      <w:r w:rsidRPr="0087016A">
        <w:t>Area (</w:t>
      </w:r>
      <w:r w:rsidRPr="004B23F2">
        <w:t xml:space="preserve">see </w:t>
      </w:r>
      <w:r w:rsidRPr="009E63A2">
        <w:t>Section 16.3</w:t>
      </w:r>
      <w:r w:rsidRPr="004B23F2">
        <w:t xml:space="preserve"> of </w:t>
      </w:r>
      <w:r w:rsidRPr="009E63A2">
        <w:t>Chapter 16</w:t>
      </w:r>
      <w:r w:rsidRPr="004B23F2">
        <w:t>).</w:t>
      </w:r>
      <w:r>
        <w:t xml:space="preserve"> A key input to evaluate the biodiversity outcomes of the preferred NGGA layout was the avoidance and protection of SLL habitat. </w:t>
      </w:r>
    </w:p>
    <w:p w14:paraId="0E046B14" w14:textId="77777777" w:rsidR="008C1AD8" w:rsidRPr="004B23F2" w:rsidRDefault="008C1AD8" w:rsidP="008C1AD8">
      <w:pPr>
        <w:keepNext/>
        <w:keepLines/>
      </w:pPr>
      <w:r>
        <w:t xml:space="preserve">The outcome from this process was the avoidance of a total </w:t>
      </w:r>
      <w:r w:rsidRPr="004B23F2">
        <w:t xml:space="preserve">of </w:t>
      </w:r>
      <w:r w:rsidRPr="009E63A2">
        <w:t>73.7 ha</w:t>
      </w:r>
      <w:r w:rsidRPr="004B23F2">
        <w:t xml:space="preserve"> of SLL habitat. This avoidance focused on habitat areas in the north of the NGGA, protecting the largest patch of confirmed</w:t>
      </w:r>
      <w:r>
        <w:t xml:space="preserve"> habitat and a portion of the area mapped as </w:t>
      </w:r>
      <w:r w:rsidRPr="004B23F2">
        <w:t>suitable habitat. The avoided areas of SLL habitat include:</w:t>
      </w:r>
    </w:p>
    <w:p w14:paraId="5A8C8FB8" w14:textId="77777777" w:rsidR="008C1AD8" w:rsidRPr="009E63A2" w:rsidRDefault="008C1AD8" w:rsidP="008C1AD8">
      <w:pPr>
        <w:pStyle w:val="Bullet1"/>
      </w:pPr>
      <w:r w:rsidRPr="009E63A2">
        <w:t>47.2 ha of confirmed habitat</w:t>
      </w:r>
    </w:p>
    <w:p w14:paraId="5D725B30" w14:textId="77777777" w:rsidR="008C1AD8" w:rsidRPr="009E63A2" w:rsidRDefault="008C1AD8" w:rsidP="008C1AD8">
      <w:pPr>
        <w:pStyle w:val="Bullet1"/>
      </w:pPr>
      <w:r w:rsidRPr="009E63A2">
        <w:t xml:space="preserve">26.5 ha of suitable habitat </w:t>
      </w:r>
    </w:p>
    <w:p w14:paraId="07211602" w14:textId="77777777" w:rsidR="008C1AD8" w:rsidRDefault="008C1AD8" w:rsidP="008C1AD8">
      <w:r>
        <w:lastRenderedPageBreak/>
        <w:t>The avoided land will be protected and managed as a Conservation Area to enhance the habitat values for SLL.</w:t>
      </w:r>
    </w:p>
    <w:p w14:paraId="1B560ED7" w14:textId="77777777" w:rsidR="008C1AD8" w:rsidRDefault="008C1AD8" w:rsidP="008C1AD8">
      <w:r>
        <w:t>This avoidance process had to appropriately balance the social, economic and environmental issues relevant to the Growth Areas. Further avoidance of SLL habitat was not achievable or appropriate for the following key reasons:</w:t>
      </w:r>
    </w:p>
    <w:p w14:paraId="4F8405DA" w14:textId="77777777" w:rsidR="008C1AD8" w:rsidRDefault="008C1AD8" w:rsidP="008C1AD8">
      <w:pPr>
        <w:pStyle w:val="Bullet1"/>
      </w:pPr>
      <w:r>
        <w:t>There were significant concerns that further avoidance of land would not deliver real conservation outcomes for the species within the following areas of confirmed habitat:</w:t>
      </w:r>
    </w:p>
    <w:p w14:paraId="16E15B6F" w14:textId="77777777" w:rsidR="008C1AD8" w:rsidRDefault="008C1AD8" w:rsidP="008C1AD8">
      <w:pPr>
        <w:pStyle w:val="Bullet2"/>
      </w:pPr>
      <w:r>
        <w:t>In the centre of the NGGA where 20 individuals were recorded. While this represents a relatively high density of lizards, there is evidence to suggest that rock removal and ploughing within this area as part of ongoing agricultural activities has degraded the habitat values since the time of survey</w:t>
      </w:r>
    </w:p>
    <w:p w14:paraId="5E7D5FA1" w14:textId="77777777" w:rsidR="008C1AD8" w:rsidRDefault="008C1AD8" w:rsidP="008C1AD8">
      <w:pPr>
        <w:pStyle w:val="Bullet2"/>
      </w:pPr>
      <w:r>
        <w:t>The thin length of habitat in the east of the NGGA where 1 individual was recorded. The viability of this population is uncertain due to its level of fragmentation, high edge to area ratio within a degrading environment and small number of lizards detected</w:t>
      </w:r>
    </w:p>
    <w:p w14:paraId="0ACA8712" w14:textId="77777777" w:rsidR="008C1AD8" w:rsidRDefault="008C1AD8" w:rsidP="008C1AD8">
      <w:pPr>
        <w:pStyle w:val="Bullet1"/>
      </w:pPr>
      <w:r>
        <w:t xml:space="preserve">Any avoided areas would need to be managed in order to provide a benefit to the species. The extent of weeds and level of degradation across much of the NGGA meant there was uncertainty around the efficacy of management and restoration work in additional areas due to the level of modification and extent of weeds. Efforts to address these </w:t>
      </w:r>
      <w:r w:rsidRPr="00AD0D8A">
        <w:t>issues would likely be prohibitively expensive and may be ineffective, with Peter Wlodarczyk (pers comms.) noting</w:t>
      </w:r>
      <w:r>
        <w:t xml:space="preserve"> that some areas were degraded to the point that re-establishment of native grasses may not be feasible within a 10 year timeframe</w:t>
      </w:r>
    </w:p>
    <w:p w14:paraId="16AC8061" w14:textId="77777777" w:rsidR="008C1AD8" w:rsidRDefault="008C1AD8" w:rsidP="008C1AD8">
      <w:pPr>
        <w:pStyle w:val="Bullet1"/>
      </w:pPr>
      <w:r>
        <w:t>From an economic perspective, the cost of acquiring additional land for conservation and management and the associated reduction in net developable area would likely make development across the Growth Area unviable</w:t>
      </w:r>
    </w:p>
    <w:p w14:paraId="72C5BD9C" w14:textId="77777777" w:rsidR="008C1AD8" w:rsidRDefault="008C1AD8" w:rsidP="008C1AD8">
      <w:r>
        <w:t>There is also some potential for SLL to occur within the external infrastructure footprints within the Strategic Assessment Area, outside of the Growth Areas. The Commitments and Measures under the Plan require:</w:t>
      </w:r>
    </w:p>
    <w:p w14:paraId="2708089A" w14:textId="77777777" w:rsidR="008C1AD8" w:rsidRDefault="008C1AD8" w:rsidP="008C1AD8">
      <w:pPr>
        <w:pStyle w:val="Bullet1"/>
      </w:pPr>
      <w:r>
        <w:t>Targeted surveys within areas that may support SLL along these corridors prior to development and</w:t>
      </w:r>
    </w:p>
    <w:p w14:paraId="7A3ECA3E" w14:textId="77777777" w:rsidR="008C1AD8" w:rsidRDefault="008C1AD8" w:rsidP="008C1AD8">
      <w:pPr>
        <w:pStyle w:val="Bullet1"/>
      </w:pPr>
      <w:r>
        <w:t>Demonstrated avoidance of any confirmed areas of SLL habitat, to the full extent possible</w:t>
      </w:r>
    </w:p>
    <w:p w14:paraId="55E1A59B" w14:textId="77777777" w:rsidR="008C1AD8"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752F314C" w14:textId="77777777" w:rsidTr="00A15226">
        <w:tc>
          <w:tcPr>
            <w:tcW w:w="9632" w:type="dxa"/>
            <w:shd w:val="clear" w:color="auto" w:fill="D9D9D9" w:themeFill="background1" w:themeFillShade="D9"/>
          </w:tcPr>
          <w:p w14:paraId="4C9B1987" w14:textId="77777777" w:rsidR="008C1AD8" w:rsidRPr="000816D6" w:rsidRDefault="008C1AD8" w:rsidP="00A15226">
            <w:pPr>
              <w:pStyle w:val="TableHeadingLarge"/>
            </w:pPr>
            <w:r w:rsidRPr="0069547F">
              <w:rPr>
                <w:rFonts w:ascii="Helvetica" w:hAnsi="Helvetica"/>
              </w:rPr>
              <w:t>DIRECT IMPACTS</w:t>
            </w:r>
          </w:p>
        </w:tc>
      </w:tr>
    </w:tbl>
    <w:p w14:paraId="2E8327F9" w14:textId="77777777" w:rsidR="008C1AD8" w:rsidRPr="000816D6" w:rsidRDefault="008C1AD8" w:rsidP="008C1AD8">
      <w:pPr>
        <w:rPr>
          <w:i/>
          <w:color w:val="4472C4" w:themeColor="accent1"/>
        </w:rPr>
      </w:pPr>
      <w:r w:rsidRPr="000816D6">
        <w:rPr>
          <w:i/>
          <w:color w:val="4472C4" w:themeColor="accent1"/>
        </w:rPr>
        <w:t>This section provides an analysis of any direct impacts</w:t>
      </w:r>
      <w:r>
        <w:rPr>
          <w:i/>
          <w:color w:val="4472C4" w:themeColor="accent1"/>
        </w:rPr>
        <w:t xml:space="preserve">. </w:t>
      </w:r>
      <w:r w:rsidRPr="000816D6">
        <w:rPr>
          <w:i/>
          <w:color w:val="4472C4" w:themeColor="accent1"/>
        </w:rPr>
        <w:t xml:space="preserve">Direct impacts are assessed in relation to known populations, loss of potential habitat, or fragmentation of habitat. </w:t>
      </w:r>
    </w:p>
    <w:p w14:paraId="78A13C91" w14:textId="77777777" w:rsidR="008C1AD8" w:rsidRDefault="008C1AD8" w:rsidP="008C1AD8">
      <w:pPr>
        <w:pStyle w:val="Heading3"/>
      </w:pPr>
      <w:r>
        <w:t>Loss of known populations and potential habitat</w:t>
      </w:r>
    </w:p>
    <w:p w14:paraId="5C9D80F5" w14:textId="77777777" w:rsidR="008C1AD8" w:rsidRDefault="008C1AD8" w:rsidP="008C1AD8">
      <w:r>
        <w:t>Development under the Plan will lead to direct impacts to SLL within the NGGA. Direct impacts will include:</w:t>
      </w:r>
    </w:p>
    <w:p w14:paraId="216921A1" w14:textId="77777777" w:rsidR="008C1AD8" w:rsidRDefault="008C1AD8" w:rsidP="008C1AD8">
      <w:pPr>
        <w:pStyle w:val="Bullet1"/>
      </w:pPr>
      <w:r>
        <w:t>The loss of three isolated populations of SLL, including:</w:t>
      </w:r>
    </w:p>
    <w:p w14:paraId="593BE32C" w14:textId="77777777" w:rsidR="008C1AD8" w:rsidRDefault="008C1AD8" w:rsidP="008C1AD8">
      <w:pPr>
        <w:pStyle w:val="Bullet2"/>
      </w:pPr>
      <w:r>
        <w:t>One population in the west of the NGGA where a total of 13 individuals were recorded</w:t>
      </w:r>
    </w:p>
    <w:p w14:paraId="6986E5F9" w14:textId="77777777" w:rsidR="008C1AD8" w:rsidRDefault="008C1AD8" w:rsidP="008C1AD8">
      <w:pPr>
        <w:pStyle w:val="Bullet2"/>
      </w:pPr>
      <w:r>
        <w:t>One population towards the centre of the NGGA where a total of 20 individuals were recorded, noting that that the current status of this population is uncertain due to degradation of habitat values on the site since the time of surveys</w:t>
      </w:r>
    </w:p>
    <w:p w14:paraId="77317D3C" w14:textId="77777777" w:rsidR="008C1AD8" w:rsidRDefault="008C1AD8" w:rsidP="008C1AD8">
      <w:pPr>
        <w:pStyle w:val="Bullet2"/>
      </w:pPr>
      <w:r>
        <w:t>One population in the east of the NGGA where a single individual was recorded</w:t>
      </w:r>
    </w:p>
    <w:p w14:paraId="409E69B2" w14:textId="77777777" w:rsidR="008C1AD8" w:rsidRPr="00C95DE3" w:rsidRDefault="008C1AD8" w:rsidP="008C1AD8">
      <w:pPr>
        <w:pStyle w:val="Bullet1"/>
      </w:pPr>
      <w:r w:rsidRPr="00C95DE3">
        <w:t xml:space="preserve">Clearing of </w:t>
      </w:r>
      <w:r w:rsidRPr="009E63A2">
        <w:t>56.6</w:t>
      </w:r>
      <w:r w:rsidRPr="00C95DE3">
        <w:t xml:space="preserve"> ha of confirmed habitat and </w:t>
      </w:r>
      <w:r w:rsidRPr="009E63A2">
        <w:t>49.8</w:t>
      </w:r>
      <w:r w:rsidRPr="00C95DE3">
        <w:t xml:space="preserve"> ha of suitable habitat within the surveyed areas</w:t>
      </w:r>
    </w:p>
    <w:p w14:paraId="1849B818" w14:textId="77777777" w:rsidR="008C1AD8" w:rsidRPr="00C95DE3" w:rsidRDefault="008C1AD8" w:rsidP="008C1AD8">
      <w:pPr>
        <w:pStyle w:val="Bullet1"/>
      </w:pPr>
      <w:r w:rsidRPr="00C95DE3">
        <w:t xml:space="preserve">Clearing of an additional </w:t>
      </w:r>
      <w:r w:rsidRPr="009E63A2">
        <w:t>47 ha</w:t>
      </w:r>
      <w:r w:rsidRPr="00C95DE3">
        <w:t xml:space="preserve"> of potential habitat mapped using desktop data for the unsurveyed areas of the NGGA</w:t>
      </w:r>
    </w:p>
    <w:p w14:paraId="5F282FCF" w14:textId="77777777" w:rsidR="008C1AD8" w:rsidRDefault="008C1AD8" w:rsidP="008C1AD8">
      <w:r>
        <w:t xml:space="preserve">This level of clearing was unavoidable and will lead to residual adverse impacts that will need to be addressed through an appropriate package of offsets for SLL. </w:t>
      </w:r>
    </w:p>
    <w:p w14:paraId="23BEEFCB" w14:textId="77777777" w:rsidR="008C1AD8" w:rsidRDefault="008C1AD8" w:rsidP="008C1AD8">
      <w:r>
        <w:t>Importantly, the area of confirmed and suitable habitat within the north of the NGGA supports a known population of SLL. This habitat will be protected, managed and enhanced to provide for the long-term persistence of the local population and will aim to support population recovery through improvement of connectivity and colonisation of suitable habitat areas where the species has not yet been recorded.</w:t>
      </w:r>
    </w:p>
    <w:p w14:paraId="6F01FF2F" w14:textId="77777777" w:rsidR="008C1AD8" w:rsidRDefault="008C1AD8" w:rsidP="008C1AD8">
      <w:pPr>
        <w:pStyle w:val="Heading3"/>
      </w:pPr>
      <w:r>
        <w:lastRenderedPageBreak/>
        <w:t>Fragmentation of habitat</w:t>
      </w:r>
    </w:p>
    <w:p w14:paraId="3AA79002" w14:textId="77777777" w:rsidR="008C1AD8" w:rsidRDefault="008C1AD8" w:rsidP="008C1AD8">
      <w:r>
        <w:t xml:space="preserve">Development within the Growth Areas will reduce the extent of habitat available for SLL. However, it is not expected to contribute to or exacerbate fragmentation of habitat for the species or lead to the isolation of any areas of known habitat. SLL habitat within the NGGA is already bounded by urban growth and more intensive land uses to the south and east. The existing interface of habitat in the avoided area with rural lands to the north will be unchanged.  </w:t>
      </w:r>
    </w:p>
    <w:p w14:paraId="494C5FCA" w14:textId="77777777" w:rsidR="008C1AD8" w:rsidRPr="006934FA"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2DF7F2F6" w14:textId="77777777" w:rsidTr="00A15226">
        <w:trPr>
          <w:cantSplit/>
        </w:trPr>
        <w:tc>
          <w:tcPr>
            <w:tcW w:w="9632" w:type="dxa"/>
            <w:shd w:val="clear" w:color="auto" w:fill="D9D9D9" w:themeFill="background1" w:themeFillShade="D9"/>
            <w:vAlign w:val="center"/>
          </w:tcPr>
          <w:p w14:paraId="120391AA" w14:textId="77777777" w:rsidR="008C1AD8" w:rsidRPr="000816D6" w:rsidRDefault="008C1AD8" w:rsidP="00A15226">
            <w:pPr>
              <w:pStyle w:val="TableHeadingLarge"/>
              <w:keepLines/>
            </w:pPr>
            <w:r w:rsidRPr="000816D6">
              <w:rPr>
                <w:rFonts w:ascii="Helvetica" w:hAnsi="Helvetica"/>
              </w:rPr>
              <w:t>POTENTIAL INDIRECT IMPACTS AND MITIGATION</w:t>
            </w:r>
          </w:p>
        </w:tc>
      </w:tr>
    </w:tbl>
    <w:p w14:paraId="1C3096CB" w14:textId="77777777" w:rsidR="008C1AD8" w:rsidRPr="0004013F" w:rsidRDefault="008C1AD8" w:rsidP="008C1AD8">
      <w:pPr>
        <w:keepNext/>
        <w:keepLines/>
        <w:rPr>
          <w:i/>
          <w:color w:val="4472C4" w:themeColor="accent1"/>
        </w:rPr>
      </w:pPr>
      <w:r w:rsidRPr="0004013F">
        <w:rPr>
          <w:i/>
          <w:color w:val="4472C4" w:themeColor="accent1"/>
        </w:rPr>
        <w:t>This section identifies the relevant potential indirect impacts to the species that may occur as a result of development under the Plan. Indirect impacts were identified as being relevant to the species if:</w:t>
      </w:r>
    </w:p>
    <w:p w14:paraId="0F15B1E8" w14:textId="77777777" w:rsidR="008C1AD8" w:rsidRPr="0004013F" w:rsidRDefault="008C1AD8" w:rsidP="008C1AD8">
      <w:pPr>
        <w:pStyle w:val="Bullet1"/>
        <w:rPr>
          <w:i/>
          <w:color w:val="4472C4" w:themeColor="accent1"/>
        </w:rPr>
      </w:pPr>
      <w:r w:rsidRPr="0004013F">
        <w:rPr>
          <w:i/>
          <w:color w:val="4472C4" w:themeColor="accent1"/>
        </w:rPr>
        <w:t xml:space="preserve">The indirect impact is identified as a threat in a relevant profile, conservation advice, or recovery plan, </w:t>
      </w:r>
      <w:r w:rsidRPr="0004013F">
        <w:rPr>
          <w:i/>
          <w:iCs/>
          <w:color w:val="4472C4" w:themeColor="accent1"/>
        </w:rPr>
        <w:t>and</w:t>
      </w:r>
    </w:p>
    <w:p w14:paraId="4E56C1AF" w14:textId="77777777" w:rsidR="008C1AD8" w:rsidRPr="0004013F" w:rsidRDefault="008C1AD8" w:rsidP="008C1AD8">
      <w:pPr>
        <w:pStyle w:val="Bullet1"/>
        <w:rPr>
          <w:i/>
          <w:color w:val="4472C4" w:themeColor="accent1"/>
        </w:rPr>
      </w:pPr>
      <w:r w:rsidRPr="0004013F">
        <w:rPr>
          <w:i/>
          <w:color w:val="4472C4" w:themeColor="accent1"/>
        </w:rPr>
        <w:t xml:space="preserve">The Plan has the potential to </w:t>
      </w:r>
      <w:r>
        <w:rPr>
          <w:i/>
          <w:color w:val="4472C4" w:themeColor="accent1"/>
        </w:rPr>
        <w:t xml:space="preserve">introduce or </w:t>
      </w:r>
      <w:r w:rsidRPr="0004013F">
        <w:rPr>
          <w:i/>
          <w:color w:val="4472C4" w:themeColor="accent1"/>
        </w:rPr>
        <w:t>exacerbate the threat</w:t>
      </w:r>
    </w:p>
    <w:p w14:paraId="71513D73" w14:textId="77777777" w:rsidR="008C1AD8" w:rsidRPr="0004013F" w:rsidRDefault="008C1AD8" w:rsidP="008C1AD8">
      <w:pPr>
        <w:rPr>
          <w:i/>
          <w:color w:val="4472C4" w:themeColor="accent1"/>
        </w:rPr>
      </w:pPr>
      <w:r w:rsidRPr="0004013F">
        <w:rPr>
          <w:i/>
          <w:color w:val="4472C4" w:themeColor="accent1"/>
        </w:rPr>
        <w:t xml:space="preserve">It discusses each relevant potential indirect impact in detail and outlines how the Plan addresses it. </w:t>
      </w:r>
    </w:p>
    <w:p w14:paraId="54AF4DAD" w14:textId="77777777" w:rsidR="008C1AD8" w:rsidRPr="00C6364C" w:rsidRDefault="008C1AD8" w:rsidP="008C1AD8">
      <w:pPr>
        <w:rPr>
          <w:i/>
          <w:color w:val="4472C4" w:themeColor="accent1"/>
        </w:rPr>
      </w:pPr>
      <w:r w:rsidRPr="0004013F">
        <w:rPr>
          <w:i/>
          <w:color w:val="4472C4" w:themeColor="accent1"/>
        </w:rPr>
        <w:t xml:space="preserve">Please refer to </w:t>
      </w:r>
      <w:r w:rsidRPr="009E63A2">
        <w:rPr>
          <w:i/>
          <w:color w:val="4472C4" w:themeColor="accent1"/>
        </w:rPr>
        <w:t>Chapter 17</w:t>
      </w:r>
      <w:r w:rsidRPr="004B23F2">
        <w:rPr>
          <w:i/>
          <w:color w:val="4472C4" w:themeColor="accent1"/>
        </w:rPr>
        <w:t xml:space="preserve"> for a detailed discussion and analysis of indirect impacts and mitigation measures included in the Plan. It is critical to read </w:t>
      </w:r>
      <w:r w:rsidRPr="009E63A2">
        <w:rPr>
          <w:i/>
          <w:color w:val="4472C4" w:themeColor="accent1"/>
        </w:rPr>
        <w:t>Chapter 17</w:t>
      </w:r>
      <w:r w:rsidRPr="004B23F2">
        <w:rPr>
          <w:i/>
          <w:color w:val="4472C4" w:themeColor="accent1"/>
        </w:rPr>
        <w:t xml:space="preserve"> in</w:t>
      </w:r>
      <w:r w:rsidRPr="0004013F">
        <w:rPr>
          <w:i/>
          <w:color w:val="4472C4" w:themeColor="accent1"/>
        </w:rPr>
        <w:t xml:space="preserve"> order to understand the conclusions reached in this section.</w:t>
      </w:r>
    </w:p>
    <w:p w14:paraId="6443CB13" w14:textId="77777777" w:rsidR="008C1AD8" w:rsidRDefault="008C1AD8" w:rsidP="008C1AD8">
      <w:pPr>
        <w:pStyle w:val="Heading3"/>
      </w:pPr>
      <w:r w:rsidRPr="00FB680C">
        <w:t>R</w:t>
      </w:r>
      <w:r>
        <w:t>elevant potential indirect impacts</w:t>
      </w:r>
    </w:p>
    <w:p w14:paraId="17D280F4" w14:textId="77777777" w:rsidR="008C1AD8" w:rsidRDefault="008C1AD8" w:rsidP="008C1AD8">
      <w:r w:rsidRPr="008E77AC">
        <w:t xml:space="preserve">The Conservation Advice for </w:t>
      </w:r>
      <w:r>
        <w:t>SLL</w:t>
      </w:r>
      <w:r w:rsidRPr="002B70F0">
        <w:t xml:space="preserve"> identifies a range of threats to the species</w:t>
      </w:r>
      <w:r>
        <w:t xml:space="preserve"> </w:t>
      </w:r>
      <w:sdt>
        <w:sdtPr>
          <w:rPr>
            <w:color w:val="000000"/>
          </w:rPr>
          <w:tag w:val="MENDELEY_CITATION_v3_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"/>
          <w:id w:val="19602428"/>
          <w:placeholder>
            <w:docPart w:val="EA492B379251784A8EF33F6B6775C3A8"/>
          </w:placeholder>
        </w:sdtPr>
        <w:sdtContent>
          <w:r w:rsidRPr="00273871">
            <w:rPr>
              <w:color w:val="000000"/>
            </w:rPr>
            <w:t>(DAWE, 2021a)</w:t>
          </w:r>
        </w:sdtContent>
      </w:sdt>
      <w:r>
        <w:t>. The following threats to SLL are potentially relevant to implementation of the Plan and are discussed further below:</w:t>
      </w:r>
    </w:p>
    <w:p w14:paraId="01A9DD72" w14:textId="77777777" w:rsidR="008C1AD8" w:rsidRDefault="008C1AD8" w:rsidP="008C1AD8">
      <w:pPr>
        <w:pStyle w:val="Bullet1"/>
      </w:pPr>
      <w:r w:rsidRPr="009A36CE">
        <w:t>Habitat degradation from rock collection or destruction</w:t>
      </w:r>
    </w:p>
    <w:p w14:paraId="6CA118DB" w14:textId="77777777" w:rsidR="008C1AD8" w:rsidRPr="009A36CE" w:rsidRDefault="008C1AD8" w:rsidP="008C1AD8">
      <w:pPr>
        <w:pStyle w:val="Bullet1"/>
      </w:pPr>
      <w:r>
        <w:t>Spread of weeds</w:t>
      </w:r>
    </w:p>
    <w:p w14:paraId="7B437D78" w14:textId="77777777" w:rsidR="008C1AD8" w:rsidRPr="009A36CE" w:rsidRDefault="008C1AD8" w:rsidP="008C1AD8">
      <w:pPr>
        <w:pStyle w:val="Bullet1"/>
      </w:pPr>
      <w:r w:rsidRPr="009A36CE">
        <w:t>Predation by cats</w:t>
      </w:r>
    </w:p>
    <w:p w14:paraId="6731702F" w14:textId="77777777" w:rsidR="008C1AD8" w:rsidRPr="009A36CE" w:rsidRDefault="008C1AD8" w:rsidP="008C1AD8">
      <w:pPr>
        <w:pStyle w:val="Bullet1"/>
      </w:pPr>
      <w:r w:rsidRPr="009A36CE">
        <w:t>Inappropriate fire regimes</w:t>
      </w:r>
    </w:p>
    <w:p w14:paraId="6EA9A432" w14:textId="77777777" w:rsidR="008C1AD8" w:rsidRDefault="008C1AD8" w:rsidP="008C1AD8">
      <w:r>
        <w:t>The species is most vulnerable to indirect impacts associated with these threats at the following locations:</w:t>
      </w:r>
    </w:p>
    <w:p w14:paraId="7D0D0C4B" w14:textId="77777777" w:rsidR="008C1AD8" w:rsidRDefault="008C1AD8" w:rsidP="008C1AD8">
      <w:pPr>
        <w:pStyle w:val="Bullet1"/>
      </w:pPr>
      <w:r>
        <w:t>Within the Conservation Area that will be established in the NGGA</w:t>
      </w:r>
    </w:p>
    <w:p w14:paraId="789D9C4B" w14:textId="77777777" w:rsidR="008C1AD8" w:rsidRDefault="008C1AD8" w:rsidP="008C1AD8">
      <w:pPr>
        <w:pStyle w:val="Bullet1"/>
      </w:pPr>
      <w:r>
        <w:t>In areas of potential habitat that might occur adjacent to the Growth Areas or within the immediate vicinity</w:t>
      </w:r>
    </w:p>
    <w:p w14:paraId="5181DD9C" w14:textId="77777777" w:rsidR="008C1AD8" w:rsidRDefault="008C1AD8" w:rsidP="008C1AD8">
      <w:r w:rsidRPr="003A2AF0">
        <w:t>There are a number of additional threats to the species identified in the Conservation Advice</w:t>
      </w:r>
      <w:r>
        <w:t>, such as high intensity grazing by livestock and kangaroos, ploughing and pasture development, and predation by foxes</w:t>
      </w:r>
      <w:r w:rsidRPr="003A2AF0">
        <w:t xml:space="preserve">. </w:t>
      </w:r>
      <w:r w:rsidRPr="00196E04">
        <w:t xml:space="preserve">However, these are not considered relevant to implementation of the Plan as the Plan is unlikely to </w:t>
      </w:r>
      <w:r>
        <w:t xml:space="preserve">change or </w:t>
      </w:r>
      <w:r w:rsidRPr="00196E04">
        <w:t xml:space="preserve">exacerbate the risk across the </w:t>
      </w:r>
      <w:r>
        <w:t>Study Area.</w:t>
      </w:r>
      <w:r w:rsidRPr="003A2AF0">
        <w:t xml:space="preserve"> Refer to</w:t>
      </w:r>
      <w:r>
        <w:t xml:space="preserve"> </w:t>
      </w:r>
      <w:r w:rsidRPr="00A47923">
        <w:t>Sect</w:t>
      </w:r>
      <w:r w:rsidRPr="004B23F2">
        <w:t xml:space="preserve">ion </w:t>
      </w:r>
      <w:r w:rsidRPr="009E63A2">
        <w:t xml:space="preserve">17.2 </w:t>
      </w:r>
      <w:r w:rsidRPr="004B23F2">
        <w:t xml:space="preserve">of </w:t>
      </w:r>
      <w:r w:rsidRPr="009E63A2">
        <w:t>Chapter 17</w:t>
      </w:r>
      <w:r w:rsidRPr="004B23F2">
        <w:t xml:space="preserve"> for</w:t>
      </w:r>
      <w:r>
        <w:t xml:space="preserve"> a detailed assessment of potential indirect impacts associated with the implementation of the Plan.</w:t>
      </w:r>
      <w:r w:rsidRPr="00CC2A00" w:rsidDel="00727335">
        <w:rPr>
          <w:highlight w:val="yellow"/>
        </w:rPr>
        <w:t xml:space="preserve"> </w:t>
      </w:r>
    </w:p>
    <w:p w14:paraId="7E1F86F4" w14:textId="77777777" w:rsidR="008C1AD8" w:rsidRDefault="008C1AD8" w:rsidP="008C1AD8">
      <w:pPr>
        <w:pStyle w:val="Heading4"/>
      </w:pPr>
      <w:r>
        <w:t>Habitat degradation from rock collection or destruction</w:t>
      </w:r>
    </w:p>
    <w:p w14:paraId="1A894451" w14:textId="77777777" w:rsidR="008C1AD8" w:rsidRDefault="008C1AD8" w:rsidP="008C1AD8">
      <w:r>
        <w:t xml:space="preserve">Surface or embedded rocks are an important habitat feature for SLL. The species may shelter beneath rocks when inactive, seek refuge beneath rocks during times of disturbance and lay their egg under rocks. Rock collection or destruction pose a threat to the species by substantially degrading the species’ habitat </w:t>
      </w:r>
      <w:sdt>
        <w:sdtPr>
          <w:rPr>
            <w:color w:val="000000"/>
          </w:rPr>
          <w:tag w:val="MENDELEY_CITATION_v3_eyJjaXRhdGlvbklEIjoiTUVOREVMRVlfQ0lUQVRJT05fM2FjZDUwODktOTM4Yi00ODMwLWI2MGMtNzU2NTMwNjA5YjBh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777785461"/>
          <w:placeholder>
            <w:docPart w:val="EA492B379251784A8EF33F6B6775C3A8"/>
          </w:placeholder>
        </w:sdtPr>
        <w:sdtContent>
          <w:r w:rsidRPr="00273871">
            <w:rPr>
              <w:color w:val="000000"/>
            </w:rPr>
            <w:t>(TSSC, 2016a)</w:t>
          </w:r>
        </w:sdtContent>
      </w:sdt>
      <w:r>
        <w:t>.</w:t>
      </w:r>
    </w:p>
    <w:p w14:paraId="1F0E8CB4" w14:textId="77777777" w:rsidR="008C1AD8" w:rsidRDefault="008C1AD8" w:rsidP="008C1AD8">
      <w:r>
        <w:t>This potential impact is most relevant to the Conservation Area within the NGGA, where an increased human population may lead to an increase in rock collection; for instance, by residents for their gardens. However, this area will be actively managed and monitored, with interpretive signage erected to help inform residents of the biodiversity values of the site and the importance of embedded rock to SLL.</w:t>
      </w:r>
    </w:p>
    <w:p w14:paraId="0C388E7D" w14:textId="77777777" w:rsidR="008C1AD8" w:rsidRDefault="008C1AD8" w:rsidP="008C1AD8">
      <w:r>
        <w:t>The Conservation Area is currently used for agriculture which involves a significant risk of rock removal or destruction to enable activities such as slashing or ploughing. Converting this area to management for conservation substantially reduces the overall risk to the species in this area from this potential impact.</w:t>
      </w:r>
    </w:p>
    <w:p w14:paraId="70BF149E" w14:textId="77777777" w:rsidR="008C1AD8" w:rsidRDefault="008C1AD8" w:rsidP="008C1AD8">
      <w:pPr>
        <w:pStyle w:val="Heading4"/>
        <w:rPr>
          <w:rStyle w:val="Heading4Char"/>
          <w:b/>
          <w:i/>
          <w:iCs/>
          <w:smallCaps/>
        </w:rPr>
      </w:pPr>
      <w:r w:rsidRPr="00A80E56">
        <w:lastRenderedPageBreak/>
        <w:t>Spre</w:t>
      </w:r>
      <w:r w:rsidRPr="00A80E56">
        <w:rPr>
          <w:rStyle w:val="Heading4Char"/>
          <w:b/>
          <w:i/>
          <w:iCs/>
          <w:smallCaps/>
        </w:rPr>
        <w:t>ad of weeds</w:t>
      </w:r>
    </w:p>
    <w:p w14:paraId="6D86EEFA" w14:textId="77777777" w:rsidR="008C1AD8" w:rsidRDefault="008C1AD8" w:rsidP="008C1AD8">
      <w:r>
        <w:t xml:space="preserve">The spread of weeds is a threat to SLL’s native habitat. Weeds outcompete natural grasses and degrade habitat by changing the floristic diversity and structural complexity of grasslands. </w:t>
      </w:r>
    </w:p>
    <w:p w14:paraId="6C8AD724" w14:textId="77777777" w:rsidR="008C1AD8" w:rsidRDefault="008C1AD8" w:rsidP="008C1AD8">
      <w:r>
        <w:t xml:space="preserve">Although the invasion of weeds is considered to be a current threat to SLL </w:t>
      </w:r>
      <w:sdt>
        <w:sdtPr>
          <w:rPr>
            <w:color w:val="000000"/>
          </w:rPr>
          <w:tag w:val="MENDELEY_CITATION_v3_eyJjaXRhdGlvbklEIjoiTUVOREVMRVlfQ0lUQVRJT05fYWFmZmZiOWYtMjE0YS00OWYzLTk1MTgtNzc2ODg4NjhhZWEx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34776360"/>
          <w:placeholder>
            <w:docPart w:val="EA492B379251784A8EF33F6B6775C3A8"/>
          </w:placeholder>
        </w:sdtPr>
        <w:sdtContent>
          <w:r w:rsidRPr="00273871">
            <w:rPr>
              <w:color w:val="000000"/>
            </w:rPr>
            <w:t>(TSSC, 2016a)</w:t>
          </w:r>
        </w:sdtContent>
      </w:sdt>
      <w:r>
        <w:t>, the Plan is unlikely to exacerbate this threat. Weed invasion is a significant existing issue in the Growth Areas, as reported by EHP, landholder surveys and more recent site observations. Development activities are unlikely to influence the spread of weeds in a way that notably impacts the species.</w:t>
      </w:r>
    </w:p>
    <w:p w14:paraId="256C76B1" w14:textId="77777777" w:rsidR="008C1AD8" w:rsidRDefault="008C1AD8" w:rsidP="008C1AD8">
      <w:r>
        <w:t>It is also noted that standard weed management protocols will be a relevant requirement of development through the existing planning system.</w:t>
      </w:r>
    </w:p>
    <w:p w14:paraId="4D122C75" w14:textId="77777777" w:rsidR="008C1AD8" w:rsidRDefault="008C1AD8" w:rsidP="008C1AD8">
      <w:r>
        <w:t>Further, the areas of SLL habitat that are retained and protected in the NGGA Conservation Area will be subject to management to improve the condition of the native grassland. A conservation interface will be established between urban development and the Conservation Area to mitigate potential edge effects, including weeds. This measure will be delivered thr</w:t>
      </w:r>
      <w:r w:rsidRPr="001243DE">
        <w:t xml:space="preserve">ough </w:t>
      </w:r>
      <w:r w:rsidRPr="009E63A2">
        <w:t xml:space="preserve">Commitment </w:t>
      </w:r>
      <w:r>
        <w:t>8</w:t>
      </w:r>
      <w:r w:rsidRPr="001243DE">
        <w:t>, which</w:t>
      </w:r>
      <w:r>
        <w:t xml:space="preserve"> requires a list of actions to be implemented as part of development to mitigate the indirect impacts of development on the NGGA Conservation Area. </w:t>
      </w:r>
    </w:p>
    <w:p w14:paraId="4D405B45" w14:textId="77777777" w:rsidR="008C1AD8" w:rsidRDefault="008C1AD8" w:rsidP="008C1AD8">
      <w:r>
        <w:t xml:space="preserve">Refer </w:t>
      </w:r>
      <w:r w:rsidRPr="00A47923">
        <w:t xml:space="preserve">to Section </w:t>
      </w:r>
      <w:r w:rsidRPr="009E63A2">
        <w:t>17.2.</w:t>
      </w:r>
      <w:r w:rsidRPr="004B23F2">
        <w:t xml:space="preserve">3 of </w:t>
      </w:r>
      <w:r w:rsidRPr="009E63A2">
        <w:t>Chapter 17</w:t>
      </w:r>
      <w:r w:rsidRPr="004B23F2">
        <w:t xml:space="preserve"> for a</w:t>
      </w:r>
      <w:r w:rsidRPr="00A47923">
        <w:t xml:space="preserve"> detailed</w:t>
      </w:r>
      <w:r>
        <w:t xml:space="preserve"> assessment of potential indirect impacts associated with the spread of weeds under the Plan.</w:t>
      </w:r>
    </w:p>
    <w:p w14:paraId="38FA4CF2" w14:textId="77777777" w:rsidR="008C1AD8" w:rsidRDefault="008C1AD8" w:rsidP="008C1AD8">
      <w:pPr>
        <w:pStyle w:val="Heading4"/>
      </w:pPr>
      <w:r>
        <w:t>Predation by cats</w:t>
      </w:r>
    </w:p>
    <w:p w14:paraId="7566A273" w14:textId="77777777" w:rsidR="008C1AD8" w:rsidRDefault="008C1AD8" w:rsidP="008C1AD8">
      <w:r>
        <w:t xml:space="preserve">Cats are suspected of preying upon SLL, as there is substantial evidence of cat predation on other reptiles in Australia. This is particularly a threat in urban areas which adjoin high density lizard populations </w:t>
      </w:r>
      <w:sdt>
        <w:sdtPr>
          <w:rPr>
            <w:color w:val="000000"/>
          </w:rPr>
          <w:tag w:val="MENDELEY_CITATION_v3_eyJjaXRhdGlvbklEIjoiTUVOREVMRVlfQ0lUQVRJT05fMjNlYjEzZDUtNzUzNC00YjJkLTljMjItYWRhZjQ0MzU0NDQ0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504286274"/>
          <w:placeholder>
            <w:docPart w:val="EA492B379251784A8EF33F6B6775C3A8"/>
          </w:placeholder>
        </w:sdtPr>
        <w:sdtContent>
          <w:r w:rsidRPr="00273871">
            <w:rPr>
              <w:color w:val="000000"/>
            </w:rPr>
            <w:t>(TSSC, 2016a)</w:t>
          </w:r>
        </w:sdtContent>
      </w:sdt>
      <w:r>
        <w:t>.</w:t>
      </w:r>
    </w:p>
    <w:p w14:paraId="7D72FB01" w14:textId="77777777" w:rsidR="008C1AD8" w:rsidRDefault="008C1AD8" w:rsidP="008C1AD8">
      <w:r>
        <w:t>This potential impact is most relevant to the NGGA Conservation Area, where an increase in nearby housing has the potential to increase the prevalence of domestic and feral cats interacting with the SLL population.</w:t>
      </w:r>
    </w:p>
    <w:p w14:paraId="3F143E7D" w14:textId="77777777" w:rsidR="008C1AD8" w:rsidRDefault="008C1AD8" w:rsidP="008C1AD8">
      <w:r>
        <w:t xml:space="preserve">However, cats are likely to already be prevalent in the strategic assessment area due to the level of existing development to the east of the NGGA. </w:t>
      </w:r>
    </w:p>
    <w:p w14:paraId="06AE1542" w14:textId="77777777" w:rsidR="008C1AD8" w:rsidRDefault="008C1AD8" w:rsidP="008C1AD8">
      <w:r>
        <w:t xml:space="preserve">Management of the NGGA Conservation Area in accordance with a Conservation Management Plan will address any key threats operating on the SLL population. Should cat predation become an increased issue that adversely affects the population, this will be identified through monitoring and suitable cat management arrangements will be put in place. These processes are expected to adequately address the potential indirect impacts associated with any increase in the prevalence of cats.  </w:t>
      </w:r>
    </w:p>
    <w:p w14:paraId="5F724244" w14:textId="77777777" w:rsidR="008C1AD8" w:rsidRPr="009A36CE" w:rsidRDefault="008C1AD8" w:rsidP="008C1AD8">
      <w:pPr>
        <w:pStyle w:val="Heading4"/>
      </w:pPr>
      <w:r>
        <w:t>Inappropriate fire regimes</w:t>
      </w:r>
    </w:p>
    <w:p w14:paraId="3D651ADF" w14:textId="77777777" w:rsidR="008C1AD8" w:rsidRDefault="008C1AD8" w:rsidP="008C1AD8">
      <w:r>
        <w:t xml:space="preserve">Inappropriate fire regimes pose a threat to the species, either through direct mortality, or through high frequency fires reducing vegetation cover and complexity, which in turn reduces prey availability and may increase the risk of predation. Lack of fire may also threaten the species through a reduction in inter-tussock spaces and loss of tussock-forming species such as Kangaroo Grass </w:t>
      </w:r>
      <w:sdt>
        <w:sdtPr>
          <w:rPr>
            <w:color w:val="000000"/>
          </w:rPr>
          <w:tag w:val="MENDELEY_CITATION_v3_eyJjaXRhdGlvbklEIjoiTUVOREVMRVlfQ0lUQVRJT05fMzQ5MTA3MjItOWYzMy00NWQ1LWFkNjQtMGU5ZjU3MDZjNGY3IiwicHJvcGVydGllcyI6eyJub3RlSW5kZXgiOjB9LCJpc0VkaXRlZCI6ZmFsc2UsIm1hbnVhbE92ZXJyaWRlIjp7ImNpdGVwcm9jVGV4dCI6IihUU1NDLCAyMDE2YS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770279409"/>
          <w:placeholder>
            <w:docPart w:val="EA492B379251784A8EF33F6B6775C3A8"/>
          </w:placeholder>
        </w:sdtPr>
        <w:sdtContent>
          <w:r w:rsidRPr="00273871">
            <w:rPr>
              <w:color w:val="000000"/>
            </w:rPr>
            <w:t>(TSSC, 2016a)</w:t>
          </w:r>
        </w:sdtContent>
      </w:sdt>
      <w:r>
        <w:t>.</w:t>
      </w:r>
    </w:p>
    <w:p w14:paraId="6AC4B3A0" w14:textId="77777777" w:rsidR="008C1AD8" w:rsidRDefault="008C1AD8" w:rsidP="008C1AD8">
      <w:r>
        <w:t xml:space="preserve">The Plan is considered unlikely to notably change or contribute to this threat in the Growth Areas or more broadly given the existing level of development in the Greater Geelong region. </w:t>
      </w:r>
      <w:r w:rsidRPr="008D56F5">
        <w:t xml:space="preserve">The planning system has existing standard mitigation measures in place to address the risk of altered fire regimes and increased fire risk from development. This includes a broad requirement to ensure development can implement bushfire protection measures without unacceptable impacts to biodiversity through appropriate planning. </w:t>
      </w:r>
    </w:p>
    <w:p w14:paraId="172C006E" w14:textId="77777777" w:rsidR="008C1AD8" w:rsidRDefault="008C1AD8" w:rsidP="008C1AD8">
      <w:r>
        <w:t xml:space="preserve">In addition, the conservation interface established between urban development and the Conservation Area, as well as the ongoing management within the Conservation Area itself, </w:t>
      </w:r>
      <w:r w:rsidRPr="008D56F5">
        <w:t xml:space="preserve">will provide for appropriate fire management to protect </w:t>
      </w:r>
      <w:r>
        <w:t>SLL</w:t>
      </w:r>
      <w:r w:rsidRPr="008D56F5">
        <w:t xml:space="preserve"> values.</w:t>
      </w:r>
    </w:p>
    <w:p w14:paraId="0E1946D1" w14:textId="77777777" w:rsidR="008C1AD8" w:rsidRDefault="008C1AD8" w:rsidP="008C1AD8">
      <w:r>
        <w:t xml:space="preserve">Refer to </w:t>
      </w:r>
      <w:r w:rsidRPr="004B23F2">
        <w:t xml:space="preserve">Section </w:t>
      </w:r>
      <w:r w:rsidRPr="009E63A2">
        <w:t>17.2.5</w:t>
      </w:r>
      <w:r w:rsidRPr="004B23F2">
        <w:t xml:space="preserve"> of </w:t>
      </w:r>
      <w:r w:rsidRPr="009E63A2">
        <w:t>Chapter 17</w:t>
      </w:r>
      <w:r w:rsidRPr="004B23F2">
        <w:t xml:space="preserve"> for a detailed</w:t>
      </w:r>
      <w:r>
        <w:t xml:space="preserve"> assessment of potential indirect impacts associated with inappropriate fire regimes under the Plan.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7A0189B2" w14:textId="77777777" w:rsidTr="00A15226">
        <w:tc>
          <w:tcPr>
            <w:tcW w:w="9622" w:type="dxa"/>
            <w:shd w:val="clear" w:color="auto" w:fill="C9C9C9" w:themeFill="accent3" w:themeFillTint="99"/>
          </w:tcPr>
          <w:p w14:paraId="7ABE8502" w14:textId="77777777" w:rsidR="008C1AD8" w:rsidRPr="008F55BC" w:rsidRDefault="008C1AD8" w:rsidP="00A15226">
            <w:pPr>
              <w:pStyle w:val="Tabletext"/>
              <w:keepNext/>
              <w:keepLines/>
              <w:rPr>
                <w:b/>
                <w:bCs/>
              </w:rPr>
            </w:pPr>
            <w:r w:rsidRPr="00AE4F91">
              <w:rPr>
                <w:rFonts w:ascii="Helvetica" w:hAnsi="Helvetica"/>
                <w:b/>
                <w:sz w:val="16"/>
                <w:szCs w:val="16"/>
              </w:rPr>
              <w:lastRenderedPageBreak/>
              <w:t xml:space="preserve">OFFSETS </w:t>
            </w:r>
            <w:r>
              <w:rPr>
                <w:rFonts w:ascii="Helvetica" w:hAnsi="Helvetica"/>
                <w:b/>
                <w:sz w:val="16"/>
                <w:szCs w:val="16"/>
              </w:rPr>
              <w:t xml:space="preserve">TO COMPENSATE </w:t>
            </w:r>
            <w:r w:rsidRPr="00AE4F91">
              <w:rPr>
                <w:rFonts w:ascii="Helvetica" w:hAnsi="Helvetica"/>
                <w:b/>
                <w:sz w:val="16"/>
                <w:szCs w:val="16"/>
              </w:rPr>
              <w:t xml:space="preserve">FOR RESIDUAL </w:t>
            </w:r>
            <w:r>
              <w:rPr>
                <w:rFonts w:ascii="Helvetica" w:hAnsi="Helvetica"/>
                <w:b/>
                <w:sz w:val="16"/>
                <w:szCs w:val="16"/>
              </w:rPr>
              <w:t xml:space="preserve">ADVERSE </w:t>
            </w:r>
            <w:r w:rsidRPr="00AE4F91">
              <w:rPr>
                <w:rFonts w:ascii="Helvetica" w:hAnsi="Helvetica"/>
                <w:b/>
                <w:sz w:val="16"/>
                <w:szCs w:val="16"/>
              </w:rPr>
              <w:t>IMPACTS</w:t>
            </w:r>
          </w:p>
        </w:tc>
      </w:tr>
    </w:tbl>
    <w:p w14:paraId="280C6821" w14:textId="77777777" w:rsidR="008C1AD8" w:rsidRPr="000816D6" w:rsidRDefault="008C1AD8" w:rsidP="008C1AD8">
      <w:pPr>
        <w:rPr>
          <w:i/>
          <w:color w:val="4472C4" w:themeColor="accent1"/>
        </w:rPr>
      </w:pPr>
      <w:r>
        <w:rPr>
          <w:i/>
          <w:color w:val="4472C4" w:themeColor="accent1"/>
        </w:rPr>
        <w:t>T</w:t>
      </w:r>
      <w:r w:rsidRPr="00972D8D">
        <w:rPr>
          <w:i/>
          <w:color w:val="4472C4" w:themeColor="accent1"/>
        </w:rPr>
        <w:t>his section identifies any offsets needed to address residual adverse impacts to listed threatened species</w:t>
      </w:r>
    </w:p>
    <w:p w14:paraId="7F037434" w14:textId="77777777" w:rsidR="008C1AD8" w:rsidRDefault="008C1AD8" w:rsidP="008C1AD8">
      <w:pPr>
        <w:pStyle w:val="Heading3"/>
      </w:pPr>
      <w:r w:rsidRPr="00E47D22">
        <w:t>Offsets</w:t>
      </w:r>
      <w:r>
        <w:t xml:space="preserve"> to address potential impacts associated with development within the growth areas</w:t>
      </w:r>
    </w:p>
    <w:p w14:paraId="428DF443" w14:textId="77777777" w:rsidR="008C1AD8" w:rsidRDefault="008C1AD8" w:rsidP="008C1AD8">
      <w:r>
        <w:t xml:space="preserve">There will be residual adverse impacts to SLL as a result of habitat clearing within the NGGA. This clearing will lead to the potential loss of three isolated populations of the species. </w:t>
      </w:r>
    </w:p>
    <w:p w14:paraId="5AE09477" w14:textId="77777777" w:rsidR="008C1AD8" w:rsidRDefault="008C1AD8" w:rsidP="008C1AD8">
      <w:r w:rsidRPr="00FA6D53">
        <w:t>To compensate for th</w:t>
      </w:r>
      <w:r>
        <w:t>ese impacts</w:t>
      </w:r>
      <w:r w:rsidRPr="00FA6D53">
        <w:t xml:space="preserve">, the </w:t>
      </w:r>
      <w:r w:rsidRPr="004F1BD0">
        <w:t xml:space="preserve">Plan </w:t>
      </w:r>
      <w:r>
        <w:t>will deliver an offsets package for SLL comprising two key elements:</w:t>
      </w:r>
    </w:p>
    <w:p w14:paraId="74AC892C" w14:textId="77777777" w:rsidR="008C1AD8" w:rsidRDefault="008C1AD8" w:rsidP="008C1AD8">
      <w:pPr>
        <w:pStyle w:val="Bullet1"/>
      </w:pPr>
      <w:r w:rsidRPr="00BF4675">
        <w:rPr>
          <w:u w:val="single"/>
        </w:rPr>
        <w:t>Protection and ongoing management of 74 ha of SLL habitat within the NGGA Conservation Area</w:t>
      </w:r>
      <w:r>
        <w:t>. Specifically for SLL, the conservation area:</w:t>
      </w:r>
    </w:p>
    <w:p w14:paraId="1A174510" w14:textId="77777777" w:rsidR="008C1AD8" w:rsidRPr="005526E6" w:rsidRDefault="008C1AD8" w:rsidP="008C1AD8">
      <w:pPr>
        <w:pStyle w:val="Bullet2"/>
      </w:pPr>
      <w:r w:rsidRPr="005526E6">
        <w:t xml:space="preserve">Focuses on the largest habitat area for Striped Legless Lizard </w:t>
      </w:r>
      <w:r>
        <w:t>in the NGGA</w:t>
      </w:r>
    </w:p>
    <w:p w14:paraId="09C135D5" w14:textId="77777777" w:rsidR="008C1AD8" w:rsidRDefault="008C1AD8" w:rsidP="008C1AD8">
      <w:pPr>
        <w:pStyle w:val="Bullet2"/>
      </w:pPr>
      <w:r w:rsidRPr="005526E6">
        <w:t>Provides the best opportunities for protecting and managing viable areas of biodiversity in the long term due its suitable shape, area, and condition of the vegetation</w:t>
      </w:r>
      <w:r>
        <w:t>. This includes enhancing SLL habitat</w:t>
      </w:r>
    </w:p>
    <w:p w14:paraId="543AD6A3" w14:textId="77777777" w:rsidR="008C1AD8" w:rsidRDefault="008C1AD8" w:rsidP="008C1AD8">
      <w:pPr>
        <w:pStyle w:val="Bullet1"/>
        <w:numPr>
          <w:ilvl w:val="0"/>
          <w:numId w:val="0"/>
        </w:numPr>
        <w:ind w:left="360"/>
      </w:pPr>
      <w:r>
        <w:t>The NGGA Area will be a success if:</w:t>
      </w:r>
    </w:p>
    <w:p w14:paraId="70491623" w14:textId="77777777" w:rsidR="008C1AD8" w:rsidRDefault="008C1AD8" w:rsidP="008C1AD8">
      <w:pPr>
        <w:pStyle w:val="Bullet2"/>
      </w:pPr>
      <w:r>
        <w:t xml:space="preserve">The populations of </w:t>
      </w:r>
      <w:r w:rsidRPr="00193F09">
        <w:t xml:space="preserve">Striped Legless Lizard </w:t>
      </w:r>
      <w:r>
        <w:t>persists and remain viable over the long term</w:t>
      </w:r>
    </w:p>
    <w:p w14:paraId="3EE31E46" w14:textId="77777777" w:rsidR="008C1AD8" w:rsidRDefault="008C1AD8" w:rsidP="008C1AD8">
      <w:pPr>
        <w:pStyle w:val="Bullet2"/>
      </w:pPr>
      <w:r>
        <w:t xml:space="preserve">Habitat for </w:t>
      </w:r>
      <w:r w:rsidRPr="00193F09">
        <w:t xml:space="preserve">Striped Legless Lizard </w:t>
      </w:r>
      <w:r>
        <w:t>is retained and condition improves over time</w:t>
      </w:r>
    </w:p>
    <w:p w14:paraId="2A0D29F0" w14:textId="77777777" w:rsidR="008C1AD8" w:rsidRDefault="008C1AD8" w:rsidP="008C1AD8">
      <w:pPr>
        <w:pStyle w:val="Bullet1"/>
      </w:pPr>
      <w:r w:rsidRPr="00BF4675">
        <w:rPr>
          <w:u w:val="single"/>
        </w:rPr>
        <w:t>Protection and ongoing management of 301 ha of SLL habitat outside of the Growth Areas</w:t>
      </w:r>
      <w:r w:rsidRPr="009E63A2">
        <w:t>.</w:t>
      </w:r>
      <w:r>
        <w:t xml:space="preserve"> These external offsets will provide for</w:t>
      </w:r>
      <w:r w:rsidRPr="009E63A2">
        <w:t xml:space="preserve"> the protection of native habitat areas known to support </w:t>
      </w:r>
      <w:r>
        <w:t>SLL</w:t>
      </w:r>
      <w:r w:rsidRPr="009E63A2">
        <w:t xml:space="preserve"> within Victoria.</w:t>
      </w:r>
      <w:r>
        <w:t xml:space="preserve"> These offsets will be strategically located and will identify, protect and manage higher quality areas of SLL habitat which are important to the long-term maintenance and recovery of the species into the future.</w:t>
      </w:r>
    </w:p>
    <w:p w14:paraId="560EB31A" w14:textId="77777777" w:rsidR="008C1AD8" w:rsidRDefault="008C1AD8" w:rsidP="008C1AD8">
      <w:r w:rsidRPr="009E63A2">
        <w:t xml:space="preserve">The scale of development under the Plan and assessment through a single Part 10 process under the EPBC Act enables a more strategic approach to offsets compared to those that can be delivered through site-by-site, or Part 9 approval processes. While the ecological benefits of offsets are influenced by a range of factors, there are two key strategic components to the offsets that will be delivered under the Plan which are expected to provide for an improved biodiversity outcome for MNES compared with conventional offsets. These are: </w:t>
      </w:r>
    </w:p>
    <w:p w14:paraId="0CF9E143" w14:textId="77777777" w:rsidR="008C1AD8" w:rsidRPr="00553A1E" w:rsidRDefault="008C1AD8" w:rsidP="008C1AD8">
      <w:pPr>
        <w:pStyle w:val="Bullet1"/>
      </w:pPr>
      <w:r w:rsidRPr="00BF4675">
        <w:rPr>
          <w:u w:val="single"/>
        </w:rPr>
        <w:t>Advanced offset delivery</w:t>
      </w:r>
      <w:r w:rsidRPr="00553A1E">
        <w:t xml:space="preserve">: </w:t>
      </w:r>
      <w:r>
        <w:t xml:space="preserve">70% of the </w:t>
      </w:r>
      <w:r w:rsidRPr="00553A1E">
        <w:t>offsets</w:t>
      </w:r>
      <w:r>
        <w:t xml:space="preserve"> for SLL will be</w:t>
      </w:r>
      <w:r w:rsidRPr="00553A1E">
        <w:t xml:space="preserve"> delivered </w:t>
      </w:r>
      <w:r>
        <w:t>within the first five years of Plan implementation, with the balance secured to keep pace with impacts to SLL habitat</w:t>
      </w:r>
    </w:p>
    <w:p w14:paraId="694381A2" w14:textId="77777777" w:rsidR="008C1AD8" w:rsidRDefault="008C1AD8" w:rsidP="008C1AD8">
      <w:pPr>
        <w:pStyle w:val="Bullet1"/>
      </w:pPr>
      <w:r w:rsidRPr="00BF4675">
        <w:rPr>
          <w:u w:val="single"/>
        </w:rPr>
        <w:t>Spatially planned offsets</w:t>
      </w:r>
      <w:r w:rsidRPr="00553A1E">
        <w:t>:</w:t>
      </w:r>
      <w:r>
        <w:t xml:space="preserve"> Offsets will meet at least one of the following strategic landscape criteria: </w:t>
      </w:r>
    </w:p>
    <w:p w14:paraId="5DD109D4" w14:textId="77777777" w:rsidR="008C1AD8" w:rsidRDefault="008C1AD8" w:rsidP="008C1AD8">
      <w:pPr>
        <w:pStyle w:val="Bullet2"/>
      </w:pPr>
      <w:r>
        <w:t>Protection of SLL habitat areas that would be considered large for the species</w:t>
      </w:r>
    </w:p>
    <w:p w14:paraId="3772EC06" w14:textId="77777777" w:rsidR="008C1AD8" w:rsidRDefault="008C1AD8" w:rsidP="008C1AD8">
      <w:pPr>
        <w:pStyle w:val="Bullet2"/>
      </w:pPr>
      <w:r>
        <w:t>Located within a key biodiversity corridor and improves connectivity across the landscape</w:t>
      </w:r>
    </w:p>
    <w:p w14:paraId="4ED56C22" w14:textId="77777777" w:rsidR="008C1AD8" w:rsidRDefault="008C1AD8" w:rsidP="008C1AD8">
      <w:pPr>
        <w:pStyle w:val="Bullet2"/>
      </w:pPr>
      <w:r>
        <w:t>Connection of the offset site to an existing conservation reserve</w:t>
      </w:r>
    </w:p>
    <w:p w14:paraId="6CA238E7" w14:textId="77777777" w:rsidR="008C1AD8" w:rsidRDefault="008C1AD8" w:rsidP="008C1AD8">
      <w:r>
        <w:t xml:space="preserve">As outlined previously, strategic approaches to offsets such as this, can lead to outcomes that are in the order of 20-40% better than non-strategic offsets </w:t>
      </w:r>
      <w:sdt>
        <w:sdtPr>
          <w:rPr>
            <w:color w:val="000000"/>
          </w:rPr>
          <w:tag w:val="MENDELEY_CITATION_v3_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"/>
          <w:id w:val="-830594772"/>
          <w:placeholder>
            <w:docPart w:val="EA492B379251784A8EF33F6B6775C3A8"/>
          </w:placeholder>
        </w:sdtPr>
        <w:sdtContent>
          <w:r>
            <w:rPr>
              <w:rFonts w:eastAsia="Times New Roman"/>
            </w:rPr>
            <w:t xml:space="preserve">(Gordon </w:t>
          </w:r>
          <w:r>
            <w:rPr>
              <w:rFonts w:eastAsia="Times New Roman"/>
              <w:i/>
              <w:iCs/>
            </w:rPr>
            <w:t>et al.</w:t>
          </w:r>
          <w:r>
            <w:rPr>
              <w:rFonts w:eastAsia="Times New Roman"/>
            </w:rPr>
            <w:t>, 2011; Gordon and Peterson, 2019)</w:t>
          </w:r>
        </w:sdtContent>
      </w:sdt>
      <w:r>
        <w:t>.</w:t>
      </w:r>
    </w:p>
    <w:p w14:paraId="266DECFB" w14:textId="77777777" w:rsidR="008C1AD8" w:rsidRDefault="008C1AD8" w:rsidP="008C1AD8">
      <w:pPr>
        <w:pStyle w:val="Heading3"/>
      </w:pPr>
      <w:r w:rsidRPr="00F10435">
        <w:t>Offsets</w:t>
      </w:r>
      <w:r>
        <w:t xml:space="preserve"> to </w:t>
      </w:r>
      <w:r w:rsidRPr="00E47D22">
        <w:t>address</w:t>
      </w:r>
      <w:r>
        <w:t xml:space="preserve"> potential impacts associated with external infrastructure</w:t>
      </w:r>
    </w:p>
    <w:p w14:paraId="622924C9" w14:textId="77777777" w:rsidR="008C1AD8" w:rsidRDefault="008C1AD8" w:rsidP="008C1AD8">
      <w:r>
        <w:t xml:space="preserve">Any unavoidable clearing of confirmed areas of SLL within the external infrastructure footprints will be offset in accordance with the EPBC Act Environmental Offsets Policy and associated Offsets Assessment Guide </w:t>
      </w:r>
      <w:sdt>
        <w:sdtPr>
          <w:rPr>
            <w:color w:val="000000"/>
          </w:rPr>
          <w:tag w:val="MENDELEY_CITATION_v3_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"/>
          <w:id w:val="1713770860"/>
          <w:placeholder>
            <w:docPart w:val="EA492B379251784A8EF33F6B6775C3A8"/>
          </w:placeholder>
        </w:sdtPr>
        <w:sdtContent>
          <w:r w:rsidRPr="00273871">
            <w:rPr>
              <w:color w:val="000000"/>
            </w:rPr>
            <w:t>(Commonwealth of Australia, 2012)</w:t>
          </w:r>
        </w:sdtContent>
      </w:sdt>
      <w:r>
        <w:t>. Given the existing level of development and land use in these areas, and the need to demonstrate avoidance to the full extent possible under the Plan, the potential level of clearing and associated need for offsets is expected to be minimal.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2A10735C" w14:textId="77777777" w:rsidTr="00A15226">
        <w:tc>
          <w:tcPr>
            <w:tcW w:w="9622" w:type="dxa"/>
            <w:shd w:val="clear" w:color="auto" w:fill="C9C9C9" w:themeFill="accent3" w:themeFillTint="99"/>
          </w:tcPr>
          <w:p w14:paraId="5F75176C" w14:textId="77777777" w:rsidR="008C1AD8" w:rsidRPr="008F55BC" w:rsidRDefault="008C1AD8" w:rsidP="00A15226">
            <w:pPr>
              <w:pStyle w:val="Tabletext"/>
              <w:rPr>
                <w:b/>
                <w:bCs/>
              </w:rPr>
            </w:pPr>
            <w:r w:rsidRPr="008E2D83">
              <w:rPr>
                <w:rFonts w:ascii="Helvetica" w:hAnsi="Helvetica"/>
                <w:b/>
                <w:sz w:val="16"/>
                <w:szCs w:val="16"/>
              </w:rPr>
              <w:t>LIKELY EFFECTS OF IMPLEMENTATION OF THE PLAN ON THE LONG-TERM VIABILITY OF THE SPECIES</w:t>
            </w:r>
          </w:p>
        </w:tc>
      </w:tr>
    </w:tbl>
    <w:p w14:paraId="54266431" w14:textId="77777777" w:rsidR="008C1AD8" w:rsidRPr="000816D6" w:rsidRDefault="008C1AD8" w:rsidP="008C1AD8">
      <w:pPr>
        <w:rPr>
          <w:i/>
          <w:color w:val="4472C4" w:themeColor="accent1"/>
        </w:rPr>
      </w:pPr>
      <w:r w:rsidRPr="000816D6">
        <w:rPr>
          <w:i/>
          <w:color w:val="4472C4" w:themeColor="accent1"/>
        </w:rPr>
        <w:t>This section considers the likely effects of implementation of the Plan on the long-term viability of the species. The assessment of viability has regard for the guidance in the Conservation Advice and</w:t>
      </w:r>
      <w:r>
        <w:rPr>
          <w:i/>
          <w:color w:val="4472C4" w:themeColor="accent1"/>
        </w:rPr>
        <w:t xml:space="preserve"> </w:t>
      </w:r>
      <w:r w:rsidRPr="000816D6">
        <w:rPr>
          <w:i/>
          <w:color w:val="4472C4" w:themeColor="accent1"/>
        </w:rPr>
        <w:t xml:space="preserve">the Recovery Plan and draws on the </w:t>
      </w:r>
      <w:r>
        <w:rPr>
          <w:i/>
          <w:color w:val="4472C4" w:themeColor="accent1"/>
        </w:rPr>
        <w:t>impact analysis</w:t>
      </w:r>
      <w:r w:rsidRPr="000816D6">
        <w:rPr>
          <w:i/>
          <w:color w:val="4472C4" w:themeColor="accent1"/>
        </w:rPr>
        <w:t xml:space="preserve"> presented above. </w:t>
      </w:r>
    </w:p>
    <w:p w14:paraId="5FDE887C" w14:textId="77777777" w:rsidR="008C1AD8" w:rsidRPr="00C6364C" w:rsidRDefault="008C1AD8" w:rsidP="008C1AD8">
      <w:pPr>
        <w:rPr>
          <w:i/>
          <w:color w:val="4472C4" w:themeColor="accent1"/>
        </w:rPr>
      </w:pPr>
      <w:r w:rsidRPr="000816D6">
        <w:rPr>
          <w:i/>
          <w:color w:val="4472C4" w:themeColor="accent1"/>
        </w:rPr>
        <w:t xml:space="preserve">Where applicable, this section also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w:t>
      </w:r>
      <w:r w:rsidRPr="00582CBA">
        <w:rPr>
          <w:i/>
          <w:color w:val="4472C4" w:themeColor="accent1"/>
        </w:rPr>
        <w:t>in Secti</w:t>
      </w:r>
      <w:r w:rsidRPr="004B23F2">
        <w:rPr>
          <w:i/>
          <w:color w:val="4472C4" w:themeColor="accent1"/>
        </w:rPr>
        <w:t xml:space="preserve">on </w:t>
      </w:r>
      <w:r w:rsidRPr="009E63A2">
        <w:rPr>
          <w:i/>
          <w:color w:val="4472C4" w:themeColor="accent1"/>
        </w:rPr>
        <w:t xml:space="preserve">17.3 </w:t>
      </w:r>
      <w:r w:rsidRPr="004B23F2">
        <w:rPr>
          <w:i/>
          <w:color w:val="4472C4" w:themeColor="accent1"/>
        </w:rPr>
        <w:t xml:space="preserve">of </w:t>
      </w:r>
      <w:r w:rsidRPr="009E63A2">
        <w:rPr>
          <w:i/>
          <w:color w:val="4472C4" w:themeColor="accent1"/>
        </w:rPr>
        <w:t>Chapter 17</w:t>
      </w:r>
      <w:r w:rsidRPr="004B23F2">
        <w:rPr>
          <w:i/>
          <w:color w:val="4472C4" w:themeColor="accent1"/>
        </w:rPr>
        <w:t>.</w:t>
      </w:r>
    </w:p>
    <w:p w14:paraId="7726F155" w14:textId="77777777" w:rsidR="008C1AD8" w:rsidRDefault="008C1AD8" w:rsidP="008C1AD8">
      <w:pPr>
        <w:pStyle w:val="Heading3"/>
      </w:pPr>
      <w:r w:rsidRPr="000816D6">
        <w:lastRenderedPageBreak/>
        <w:t>I</w:t>
      </w:r>
      <w:r>
        <w:t>mplications for long-term viability and summary of outcomes</w:t>
      </w:r>
    </w:p>
    <w:p w14:paraId="2C05467C" w14:textId="77777777" w:rsidR="008C1AD8" w:rsidRDefault="008C1AD8" w:rsidP="008C1AD8">
      <w:r>
        <w:t>Forty-five individuals of SLL have been recorded within the NGGA. These lizards were recorded within four isolated areas of habitat across the growth area, including one in the north, one in the west, one towards the centre, and one in the east. Each of these areas is thought to support a discrete population of SLL, given the distance between suitable habitat areas and the limited dispersal ability of the species. All four populations are likely to be important to the recovery of the species.</w:t>
      </w:r>
    </w:p>
    <w:p w14:paraId="616DDF95" w14:textId="77777777" w:rsidR="008C1AD8" w:rsidRDefault="008C1AD8" w:rsidP="008C1AD8">
      <w:r>
        <w:t>No individual SLLs were recorded within the WGGA, reflecting a lack of suitable habitat in the area.</w:t>
      </w:r>
    </w:p>
    <w:p w14:paraId="4F273D7B" w14:textId="77777777" w:rsidR="008C1AD8" w:rsidRDefault="008C1AD8" w:rsidP="008C1AD8">
      <w:r>
        <w:t>Planning for the layout of the NGGA involved a</w:t>
      </w:r>
      <w:r w:rsidRPr="008B64B0">
        <w:t xml:space="preserve"> </w:t>
      </w:r>
      <w:r>
        <w:t>detailed</w:t>
      </w:r>
      <w:r w:rsidRPr="008B64B0">
        <w:t xml:space="preserve"> avoidance process which specifically sought to</w:t>
      </w:r>
      <w:r>
        <w:t xml:space="preserve"> retain SLL</w:t>
      </w:r>
      <w:r w:rsidRPr="008B64B0">
        <w:t xml:space="preserve"> values, while balancing social and economic considerations</w:t>
      </w:r>
      <w:r>
        <w:t xml:space="preserve">. This process led to the retention of </w:t>
      </w:r>
      <w:r w:rsidRPr="004B23F2">
        <w:t xml:space="preserve">a </w:t>
      </w:r>
      <w:r w:rsidRPr="009E63A2">
        <w:t>108.6</w:t>
      </w:r>
      <w:r w:rsidRPr="004B23F2">
        <w:t xml:space="preserve"> ha</w:t>
      </w:r>
      <w:r>
        <w:t xml:space="preserve"> area in the north of the NGGA, which contains the largest area of confirmed habitat for SLL as well as an adjacent area of suitable habitat that has the grassland characteristics that are likely to support the species. This area will be protected, managed and enhanced as part of a Conservation Area to provide for the long-term persistence of the local population. Management will aim to support population recovery by improving connectivity to enable the species to colonise areas of habitat in the Conservation Area where SLL have not yet been recorded. </w:t>
      </w:r>
    </w:p>
    <w:p w14:paraId="2F6E762B" w14:textId="77777777" w:rsidR="008C1AD8" w:rsidRDefault="008C1AD8" w:rsidP="008C1AD8">
      <w:r>
        <w:t xml:space="preserve">Development under the Plan will lead to the loss of the remaining three populations and associated habitat that has been recorded in the NGGA. The habitat condition and viability of these areas is more marginal compared with the area to be retained and protected in the north. However, each of these populations are considered important for the purposes of this assessment and their loss will lead to a residual adverse impact on the species. </w:t>
      </w:r>
    </w:p>
    <w:p w14:paraId="3BB82B55" w14:textId="77777777" w:rsidR="008C1AD8" w:rsidRPr="008A1701" w:rsidRDefault="008C1AD8" w:rsidP="008C1AD8">
      <w:r w:rsidRPr="008A1701">
        <w:t>These residual impacts will be addressed through the following offsets package:</w:t>
      </w:r>
    </w:p>
    <w:p w14:paraId="2363424F" w14:textId="77777777" w:rsidR="008C1AD8" w:rsidRDefault="008C1AD8" w:rsidP="008C1AD8">
      <w:pPr>
        <w:pStyle w:val="Bullet1"/>
        <w:rPr>
          <w:color w:val="FF0000"/>
        </w:rPr>
      </w:pPr>
      <w:r w:rsidRPr="008A1701">
        <w:t xml:space="preserve">Protection </w:t>
      </w:r>
      <w:r w:rsidRPr="003D6FCB">
        <w:t>and ongoing management of 74 ha of SLL habitat within the NGGA Conservation Area</w:t>
      </w:r>
      <w:r w:rsidRPr="0E001A45" w:rsidDel="008A1701">
        <w:rPr>
          <w:color w:val="FF0000"/>
        </w:rPr>
        <w:t xml:space="preserve"> </w:t>
      </w:r>
    </w:p>
    <w:p w14:paraId="31F38FCA" w14:textId="77777777" w:rsidR="008C1AD8" w:rsidRPr="009E63A2" w:rsidRDefault="008C1AD8" w:rsidP="008C1AD8">
      <w:pPr>
        <w:pStyle w:val="Bullet1"/>
      </w:pPr>
      <w:r w:rsidRPr="009E63A2">
        <w:t>Protection and ongoing management of 301 ha of SLL habitat outside of the Growth Areas</w:t>
      </w:r>
    </w:p>
    <w:p w14:paraId="67E00FF9" w14:textId="77777777" w:rsidR="008C1AD8" w:rsidRPr="00926A95" w:rsidRDefault="008C1AD8" w:rsidP="008C1AD8">
      <w:r>
        <w:t>These offsets will be delivered strategically, with a significant proportion secured early and in advance of impacts to the species’ habitat. This package will make an important and positive contribution to the long-term viability of the species and is considered to appropriately compensate for the residual impacts of development.</w:t>
      </w:r>
    </w:p>
    <w:p w14:paraId="19D1AA43" w14:textId="77777777" w:rsidR="008C1AD8" w:rsidRPr="000816D6" w:rsidRDefault="008C1AD8" w:rsidP="008C1AD8">
      <w:pPr>
        <w:pStyle w:val="Heading3"/>
      </w:pPr>
      <w:r w:rsidRPr="000816D6">
        <w:t>C</w:t>
      </w:r>
      <w:r>
        <w:t>onsistency with recovery plan</w:t>
      </w:r>
    </w:p>
    <w:p w14:paraId="1B7D87E9" w14:textId="77777777" w:rsidR="008C1AD8" w:rsidRPr="00DB68B8" w:rsidRDefault="008C1AD8" w:rsidP="008C1AD8">
      <w:r w:rsidRPr="00DB68B8">
        <w:t>In accordance with Section 146K of the EPBC Act, this section considers whether the implementation of the Plan is not inconsistent with the species’ Recovery Plan. It considers two questions:</w:t>
      </w:r>
    </w:p>
    <w:p w14:paraId="39D3B8A2" w14:textId="77777777" w:rsidR="008C1AD8" w:rsidRPr="00DB68B8" w:rsidRDefault="008C1AD8" w:rsidP="008C1AD8">
      <w:pPr>
        <w:pStyle w:val="Bullet1"/>
      </w:pPr>
      <w:r w:rsidRPr="00DB68B8">
        <w:t xml:space="preserve">Does the Plan </w:t>
      </w:r>
      <w:r>
        <w:t>p</w:t>
      </w:r>
      <w:r w:rsidRPr="00DB68B8">
        <w:t>revent achievement of the objectives of the Recovery Plan?</w:t>
      </w:r>
    </w:p>
    <w:p w14:paraId="0A5EE12B" w14:textId="77777777" w:rsidR="008C1AD8" w:rsidRPr="00DB68B8" w:rsidRDefault="008C1AD8" w:rsidP="008C1AD8">
      <w:pPr>
        <w:pStyle w:val="Bullet1"/>
      </w:pPr>
      <w:r w:rsidRPr="00DB68B8">
        <w:t>Does the Plan prevent implementation of the Recovery Plan actions?</w:t>
      </w:r>
    </w:p>
    <w:p w14:paraId="74F0D894" w14:textId="77777777" w:rsidR="008C1AD8" w:rsidRDefault="008C1AD8" w:rsidP="008C1AD8">
      <w:r w:rsidRPr="00DB68B8">
        <w:t>These questions are discussed below.</w:t>
      </w:r>
    </w:p>
    <w:p w14:paraId="56B19B2D" w14:textId="77777777" w:rsidR="008C1AD8" w:rsidRDefault="008C1AD8" w:rsidP="008C1AD8">
      <w:pPr>
        <w:pStyle w:val="Heading4"/>
      </w:pPr>
      <w:r w:rsidRPr="00F614B0">
        <w:t xml:space="preserve">Does the Plan </w:t>
      </w:r>
      <w:r>
        <w:t>p</w:t>
      </w:r>
      <w:r w:rsidRPr="00F614B0">
        <w:t>revent achievement of the objectives of the Recovery Plan?</w:t>
      </w:r>
    </w:p>
    <w:p w14:paraId="769AFF76" w14:textId="77777777" w:rsidR="008C1AD8" w:rsidRDefault="008C1AD8" w:rsidP="008C1AD8">
      <w:pPr>
        <w:rPr>
          <w:iCs/>
        </w:rPr>
      </w:pPr>
      <w:r w:rsidRPr="00F614B0">
        <w:t xml:space="preserve">The </w:t>
      </w:r>
      <w:r>
        <w:t>primary recovery criterion of the Recovery Plan is that v</w:t>
      </w:r>
      <w:r w:rsidRPr="000F091A">
        <w:t xml:space="preserve">iable populations or clusters of populations of </w:t>
      </w:r>
      <w:r w:rsidRPr="000F091A">
        <w:rPr>
          <w:i/>
          <w:iCs/>
        </w:rPr>
        <w:t>D. impar</w:t>
      </w:r>
      <w:r w:rsidRPr="000F091A">
        <w:t xml:space="preserve"> are represented and maintained in reserves or appropriately managed sites across the known distribution of the species.</w:t>
      </w:r>
      <w:r>
        <w:t xml:space="preserve"> </w:t>
      </w:r>
      <w:r w:rsidRPr="00F614B0">
        <w:t xml:space="preserve">This overall </w:t>
      </w:r>
      <w:r>
        <w:t>criterion</w:t>
      </w:r>
      <w:r w:rsidRPr="00F614B0">
        <w:t xml:space="preserve"> is associated with a series of specific objectives </w:t>
      </w:r>
      <w:sdt>
        <w:sdtPr>
          <w:rPr>
            <w:color w:val="000000"/>
          </w:rPr>
          <w:tag w:val="MENDELEY_CITATION_v3_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"/>
          <w:id w:val="1673756477"/>
          <w:placeholder>
            <w:docPart w:val="EA492B379251784A8EF33F6B6775C3A8"/>
          </w:placeholder>
        </w:sdtPr>
        <w:sdtContent>
          <w:r w:rsidRPr="00273871">
            <w:rPr>
              <w:rFonts w:eastAsia="Times New Roman"/>
              <w:color w:val="000000"/>
            </w:rPr>
            <w:t>(Smith and Robertson, 1999)</w:t>
          </w:r>
        </w:sdtContent>
      </w:sdt>
      <w:r>
        <w:rPr>
          <w:iCs/>
        </w:rPr>
        <w:t>:</w:t>
      </w:r>
    </w:p>
    <w:p w14:paraId="33474435" w14:textId="77777777" w:rsidR="008C1AD8" w:rsidRDefault="008C1AD8" w:rsidP="008C1AD8">
      <w:pPr>
        <w:pStyle w:val="Bullet1"/>
        <w:numPr>
          <w:ilvl w:val="0"/>
          <w:numId w:val="42"/>
        </w:numPr>
      </w:pPr>
      <w:r>
        <w:t xml:space="preserve">Establish and maintain national forums for the discussion and organisation of the conservation of </w:t>
      </w:r>
      <w:r w:rsidRPr="000F091A">
        <w:rPr>
          <w:i/>
          <w:iCs/>
        </w:rPr>
        <w:t>D. impar</w:t>
      </w:r>
      <w:r>
        <w:t xml:space="preserve"> across its natural distribution</w:t>
      </w:r>
    </w:p>
    <w:p w14:paraId="50108623" w14:textId="77777777" w:rsidR="008C1AD8" w:rsidRDefault="008C1AD8" w:rsidP="008C1AD8">
      <w:pPr>
        <w:pStyle w:val="Bullet1"/>
        <w:numPr>
          <w:ilvl w:val="0"/>
          <w:numId w:val="42"/>
        </w:numPr>
      </w:pPr>
      <w:r>
        <w:t xml:space="preserve">Determine the distribution of potential </w:t>
      </w:r>
      <w:r w:rsidRPr="000F091A">
        <w:rPr>
          <w:i/>
          <w:iCs/>
        </w:rPr>
        <w:t>D. impar</w:t>
      </w:r>
      <w:r>
        <w:t xml:space="preserve"> habitat</w:t>
      </w:r>
    </w:p>
    <w:p w14:paraId="24F6C13C" w14:textId="77777777" w:rsidR="008C1AD8" w:rsidRDefault="008C1AD8" w:rsidP="008C1AD8">
      <w:pPr>
        <w:pStyle w:val="Bullet1"/>
        <w:numPr>
          <w:ilvl w:val="0"/>
          <w:numId w:val="42"/>
        </w:numPr>
      </w:pPr>
      <w:r>
        <w:t xml:space="preserve">Determine the current distribution and abundance of </w:t>
      </w:r>
      <w:r w:rsidRPr="000F091A">
        <w:rPr>
          <w:i/>
          <w:iCs/>
        </w:rPr>
        <w:t xml:space="preserve">D. impar </w:t>
      </w:r>
      <w:r>
        <w:t>in Victoria, New South Wales, the Australian Capital Territory and South Australia</w:t>
      </w:r>
    </w:p>
    <w:p w14:paraId="295FF071" w14:textId="77777777" w:rsidR="008C1AD8" w:rsidRDefault="008C1AD8" w:rsidP="008C1AD8">
      <w:pPr>
        <w:pStyle w:val="Bullet1"/>
        <w:numPr>
          <w:ilvl w:val="0"/>
          <w:numId w:val="42"/>
        </w:numPr>
      </w:pPr>
      <w:r>
        <w:t>Establish a series of reserves and other managed areas such that viable populations are maintained across the known distribution of the species</w:t>
      </w:r>
    </w:p>
    <w:p w14:paraId="6097EA21" w14:textId="77777777" w:rsidR="008C1AD8" w:rsidRDefault="008C1AD8" w:rsidP="008C1AD8">
      <w:pPr>
        <w:pStyle w:val="Bullet1"/>
        <w:numPr>
          <w:ilvl w:val="0"/>
          <w:numId w:val="42"/>
        </w:numPr>
      </w:pPr>
      <w:r>
        <w:t xml:space="preserve">Determine the habitat use and ecological requirements of </w:t>
      </w:r>
      <w:r w:rsidRPr="000F091A">
        <w:rPr>
          <w:i/>
          <w:iCs/>
        </w:rPr>
        <w:t>D. impar</w:t>
      </w:r>
    </w:p>
    <w:p w14:paraId="3EFDCDFA" w14:textId="77777777" w:rsidR="008C1AD8" w:rsidRDefault="008C1AD8" w:rsidP="008C1AD8">
      <w:pPr>
        <w:pStyle w:val="Bullet1"/>
        <w:numPr>
          <w:ilvl w:val="0"/>
          <w:numId w:val="42"/>
        </w:numPr>
      </w:pPr>
      <w:r>
        <w:t xml:space="preserve">Identify the nature and extent of the threatening processes affecting </w:t>
      </w:r>
      <w:r w:rsidRPr="000F091A">
        <w:rPr>
          <w:i/>
          <w:iCs/>
        </w:rPr>
        <w:t>D. impar</w:t>
      </w:r>
    </w:p>
    <w:p w14:paraId="29D3CF6E" w14:textId="77777777" w:rsidR="008C1AD8" w:rsidRDefault="008C1AD8" w:rsidP="008C1AD8">
      <w:pPr>
        <w:pStyle w:val="Bullet1"/>
        <w:numPr>
          <w:ilvl w:val="0"/>
          <w:numId w:val="42"/>
        </w:numPr>
      </w:pPr>
      <w:r>
        <w:t xml:space="preserve">Undertake a program of research and monitoring to provide a basis for adaptive management of </w:t>
      </w:r>
      <w:r w:rsidRPr="000F091A">
        <w:rPr>
          <w:i/>
          <w:iCs/>
        </w:rPr>
        <w:t>D. impar</w:t>
      </w:r>
    </w:p>
    <w:p w14:paraId="3DC9801C" w14:textId="77777777" w:rsidR="008C1AD8" w:rsidRDefault="008C1AD8" w:rsidP="008C1AD8">
      <w:pPr>
        <w:pStyle w:val="Bullet1"/>
        <w:numPr>
          <w:ilvl w:val="0"/>
          <w:numId w:val="42"/>
        </w:numPr>
      </w:pPr>
      <w:r>
        <w:t>Increase community awareness and involve the community in aspects of the recovery program</w:t>
      </w:r>
    </w:p>
    <w:p w14:paraId="76448125" w14:textId="77777777" w:rsidR="008C1AD8" w:rsidRDefault="008C1AD8" w:rsidP="008C1AD8">
      <w:pPr>
        <w:pStyle w:val="Bullet1"/>
        <w:numPr>
          <w:ilvl w:val="0"/>
          <w:numId w:val="42"/>
        </w:numPr>
      </w:pPr>
      <w:r>
        <w:lastRenderedPageBreak/>
        <w:t>Assess the need for salvage and translocation, determine their feasibilities, develop protocols and undertake a trial translocation if appropriate</w:t>
      </w:r>
    </w:p>
    <w:p w14:paraId="3D1B5384" w14:textId="77777777" w:rsidR="008C1AD8" w:rsidRDefault="008C1AD8" w:rsidP="008C1AD8">
      <w:pPr>
        <w:pStyle w:val="Bullet1"/>
        <w:numPr>
          <w:ilvl w:val="0"/>
          <w:numId w:val="42"/>
        </w:numPr>
      </w:pPr>
      <w:r>
        <w:t>Ensure that captive population(s) are used to support education and research elements of the Recovery Plan</w:t>
      </w:r>
    </w:p>
    <w:p w14:paraId="5C5FB828" w14:textId="77777777" w:rsidR="008C1AD8" w:rsidRPr="00F614B0" w:rsidRDefault="008C1AD8" w:rsidP="008C1AD8">
      <w:r w:rsidRPr="00F614B0">
        <w:t xml:space="preserve">The outcome under the Plan for </w:t>
      </w:r>
      <w:r>
        <w:t>SLL</w:t>
      </w:r>
      <w:r w:rsidRPr="00F614B0">
        <w:t xml:space="preserve"> will not prevent the achievement of any of the objectives of the Recovery Plan.</w:t>
      </w:r>
    </w:p>
    <w:p w14:paraId="5F28C220" w14:textId="77777777" w:rsidR="008C1AD8" w:rsidRPr="00F614B0" w:rsidRDefault="008C1AD8" w:rsidP="008C1AD8">
      <w:pPr>
        <w:pStyle w:val="Heading4"/>
      </w:pPr>
      <w:r w:rsidRPr="00F614B0">
        <w:t>Does the Plan prevent implementation of the Recovery Plan actions?</w:t>
      </w:r>
    </w:p>
    <w:p w14:paraId="39AC3F89" w14:textId="77777777" w:rsidR="008C1AD8" w:rsidRDefault="008C1AD8" w:rsidP="008C1AD8">
      <w:r w:rsidRPr="00F614B0">
        <w:t>The Recovery Plan identifies a set of actions in order to deliver on the objectives. Each action is associated with performance criteria</w:t>
      </w:r>
      <w:r>
        <w:rPr>
          <w:i/>
          <w:iCs/>
        </w:rPr>
        <w:t xml:space="preserve"> </w:t>
      </w:r>
      <w:sdt>
        <w:sdtPr>
          <w:rPr>
            <w:iCs/>
            <w:color w:val="000000"/>
          </w:rPr>
          <w:tag w:val="MENDELEY_CITATION_v3_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"/>
          <w:id w:val="434946183"/>
          <w:placeholder>
            <w:docPart w:val="EA492B379251784A8EF33F6B6775C3A8"/>
          </w:placeholder>
        </w:sdtPr>
        <w:sdtEndPr>
          <w:rPr>
            <w:iCs w:val="0"/>
          </w:rPr>
        </w:sdtEndPr>
        <w:sdtContent>
          <w:r w:rsidRPr="00273871">
            <w:rPr>
              <w:rFonts w:eastAsia="Times New Roman"/>
              <w:color w:val="000000"/>
            </w:rPr>
            <w:t>(Smith and Robertson, 1999)</w:t>
          </w:r>
        </w:sdtContent>
      </w:sdt>
      <w:r w:rsidRPr="00F614B0">
        <w:t>.</w:t>
      </w:r>
      <w:r>
        <w:t xml:space="preserve"> </w:t>
      </w:r>
      <w:r w:rsidRPr="00F614B0">
        <w:t>The Plan will not prevent the implementation of any of these actions, nor will it prevent the achievement of any of the performance criteria</w:t>
      </w:r>
      <w:r>
        <w:t>.</w:t>
      </w:r>
    </w:p>
    <w:p w14:paraId="200E328E" w14:textId="77777777" w:rsidR="008C1AD8" w:rsidRPr="000816D6" w:rsidRDefault="008C1AD8" w:rsidP="008C1AD8">
      <w:pPr>
        <w:pStyle w:val="Heading3"/>
      </w:pPr>
      <w:r w:rsidRPr="000816D6">
        <w:t>K</w:t>
      </w:r>
      <w:r>
        <w:t>ey threatening processes and consistency with Threat Abatement Plans</w:t>
      </w:r>
    </w:p>
    <w:p w14:paraId="5BB62583" w14:textId="77777777" w:rsidR="008C1AD8" w:rsidRDefault="008C1AD8" w:rsidP="008C1AD8">
      <w:r>
        <w:t xml:space="preserve">Relevant Key Threatening Processes (KTPs) and any of their associated Threat Abatement Plans (TAPs) have been identified in </w:t>
      </w:r>
      <w:r>
        <w:fldChar w:fldCharType="begin"/>
      </w:r>
      <w:r>
        <w:instrText xml:space="preserve"> REF _Ref106869349 \h </w:instrText>
      </w:r>
      <w:r>
        <w:fldChar w:fldCharType="separate"/>
      </w:r>
      <w:r>
        <w:t xml:space="preserve">Table </w:t>
      </w:r>
      <w:r>
        <w:rPr>
          <w:noProof/>
        </w:rPr>
        <w:t>19</w:t>
      </w:r>
      <w:r>
        <w:noBreakHyphen/>
      </w:r>
      <w:r>
        <w:rPr>
          <w:noProof/>
        </w:rPr>
        <w:t>5</w:t>
      </w:r>
      <w:r>
        <w:fldChar w:fldCharType="end"/>
      </w:r>
      <w:r>
        <w:t xml:space="preserve"> where they relate to:</w:t>
      </w:r>
    </w:p>
    <w:p w14:paraId="75C9E7B5" w14:textId="77777777" w:rsidR="008C1AD8" w:rsidRDefault="008C1AD8" w:rsidP="008C1AD8">
      <w:pPr>
        <w:pStyle w:val="Bullet1"/>
      </w:pPr>
      <w:r>
        <w:t>The potential direct impacts of the Plan, or</w:t>
      </w:r>
    </w:p>
    <w:p w14:paraId="5DCAF1C7" w14:textId="77777777" w:rsidR="008C1AD8" w:rsidRDefault="008C1AD8" w:rsidP="008C1AD8">
      <w:pPr>
        <w:pStyle w:val="Bullet1"/>
      </w:pPr>
      <w:r>
        <w:t>The relevant indirect impacts</w:t>
      </w:r>
    </w:p>
    <w:p w14:paraId="4DAA5634" w14:textId="77777777" w:rsidR="008C1AD8" w:rsidRDefault="008C1AD8" w:rsidP="008C1AD8">
      <w:pPr>
        <w:pStyle w:val="Caption"/>
        <w:keepNext/>
      </w:pPr>
      <w:bookmarkStart w:id="81" w:name="_Ref106869349"/>
      <w:bookmarkStart w:id="82" w:name="_Toc135122721"/>
      <w:r>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5</w:t>
      </w:r>
      <w:r>
        <w:fldChar w:fldCharType="end"/>
      </w:r>
      <w:bookmarkEnd w:id="81"/>
      <w:r>
        <w:t xml:space="preserve">: </w:t>
      </w:r>
      <w:r w:rsidRPr="005F676F">
        <w:t xml:space="preserve">Relevant Key Threatening Processes and associated Threat Abatement Plans for </w:t>
      </w:r>
      <w:r>
        <w:t>the Striped Legless Lizard</w:t>
      </w:r>
      <w:bookmarkEnd w:id="82"/>
    </w:p>
    <w:tbl>
      <w:tblPr>
        <w:tblStyle w:val="TableGrid"/>
        <w:tblW w:w="9634" w:type="dxa"/>
        <w:tblLook w:val="04A0" w:firstRow="1" w:lastRow="0" w:firstColumn="1" w:lastColumn="0" w:noHBand="0" w:noVBand="1"/>
      </w:tblPr>
      <w:tblGrid>
        <w:gridCol w:w="6232"/>
        <w:gridCol w:w="3390"/>
        <w:gridCol w:w="12"/>
      </w:tblGrid>
      <w:tr w:rsidR="008C1AD8" w14:paraId="05D277F1" w14:textId="77777777" w:rsidTr="00A15226">
        <w:trPr>
          <w:gridAfter w:val="1"/>
          <w:wAfter w:w="12" w:type="dxa"/>
          <w:tblHeader/>
        </w:trPr>
        <w:tc>
          <w:tcPr>
            <w:tcW w:w="6232" w:type="dxa"/>
            <w:shd w:val="clear" w:color="auto" w:fill="DBDBDB" w:themeFill="accent3" w:themeFillTint="66"/>
          </w:tcPr>
          <w:p w14:paraId="1AB9ECD9" w14:textId="77777777" w:rsidR="008C1AD8" w:rsidRPr="00FF1996" w:rsidRDefault="008C1AD8" w:rsidP="00A15226">
            <w:pPr>
              <w:pStyle w:val="Tabletext"/>
              <w:rPr>
                <w:b/>
                <w:bCs/>
              </w:rPr>
            </w:pPr>
            <w:r w:rsidRPr="00FF1996">
              <w:rPr>
                <w:b/>
                <w:bCs/>
              </w:rPr>
              <w:t>Key threatening process</w:t>
            </w:r>
          </w:p>
        </w:tc>
        <w:tc>
          <w:tcPr>
            <w:tcW w:w="3390" w:type="dxa"/>
            <w:shd w:val="clear" w:color="auto" w:fill="DBDBDB" w:themeFill="accent3" w:themeFillTint="66"/>
          </w:tcPr>
          <w:p w14:paraId="69C00025" w14:textId="77777777" w:rsidR="008C1AD8" w:rsidRPr="00FF1996" w:rsidRDefault="008C1AD8" w:rsidP="00A15226">
            <w:pPr>
              <w:pStyle w:val="Tabletext"/>
              <w:rPr>
                <w:b/>
                <w:bCs/>
              </w:rPr>
            </w:pPr>
            <w:r w:rsidRPr="00FF1996">
              <w:rPr>
                <w:b/>
                <w:bCs/>
              </w:rPr>
              <w:t>Threat abatement plan</w:t>
            </w:r>
          </w:p>
        </w:tc>
      </w:tr>
      <w:tr w:rsidR="008C1AD8" w14:paraId="61FB787E" w14:textId="77777777" w:rsidTr="00A15226">
        <w:tc>
          <w:tcPr>
            <w:tcW w:w="6232" w:type="dxa"/>
            <w:vAlign w:val="center"/>
          </w:tcPr>
          <w:p w14:paraId="76500C9F" w14:textId="77777777" w:rsidR="008C1AD8" w:rsidRPr="00672E41" w:rsidRDefault="008C1AD8" w:rsidP="00A15226">
            <w:pPr>
              <w:pStyle w:val="Tabletext"/>
            </w:pPr>
            <w:r>
              <w:t>Competition and land degradation by rabbits</w:t>
            </w:r>
          </w:p>
        </w:tc>
        <w:tc>
          <w:tcPr>
            <w:tcW w:w="3402" w:type="dxa"/>
            <w:gridSpan w:val="2"/>
          </w:tcPr>
          <w:p w14:paraId="7801392D" w14:textId="77777777" w:rsidR="008C1AD8" w:rsidRPr="00E31BAE" w:rsidRDefault="008C1AD8" w:rsidP="00A15226">
            <w:pPr>
              <w:pStyle w:val="Tabletext"/>
              <w:rPr>
                <w:iCs/>
              </w:rPr>
            </w:pPr>
            <w:r>
              <w:t>There is no relevant TAP</w:t>
            </w:r>
          </w:p>
        </w:tc>
      </w:tr>
      <w:tr w:rsidR="008C1AD8" w14:paraId="5386BCA0" w14:textId="77777777" w:rsidTr="00A15226">
        <w:trPr>
          <w:gridAfter w:val="1"/>
          <w:wAfter w:w="12" w:type="dxa"/>
        </w:trPr>
        <w:tc>
          <w:tcPr>
            <w:tcW w:w="6232" w:type="dxa"/>
            <w:vAlign w:val="center"/>
          </w:tcPr>
          <w:p w14:paraId="074A7170" w14:textId="77777777" w:rsidR="008C1AD8" w:rsidRDefault="008C1AD8" w:rsidP="00A15226">
            <w:pPr>
              <w:pStyle w:val="Tabletext"/>
            </w:pPr>
            <w:r>
              <w:t xml:space="preserve">Land clearance </w:t>
            </w:r>
          </w:p>
        </w:tc>
        <w:tc>
          <w:tcPr>
            <w:tcW w:w="3390" w:type="dxa"/>
          </w:tcPr>
          <w:p w14:paraId="4DEE8C3C" w14:textId="77777777" w:rsidR="008C1AD8" w:rsidRDefault="008C1AD8" w:rsidP="00A15226">
            <w:pPr>
              <w:pStyle w:val="Tabletext"/>
            </w:pPr>
            <w:r>
              <w:t>There is no relevant TAP</w:t>
            </w:r>
          </w:p>
        </w:tc>
      </w:tr>
      <w:tr w:rsidR="008C1AD8" w14:paraId="7344AE30" w14:textId="77777777" w:rsidTr="00A15226">
        <w:trPr>
          <w:gridAfter w:val="1"/>
          <w:wAfter w:w="12" w:type="dxa"/>
        </w:trPr>
        <w:tc>
          <w:tcPr>
            <w:tcW w:w="6232" w:type="dxa"/>
          </w:tcPr>
          <w:p w14:paraId="72FF365D" w14:textId="77777777" w:rsidR="008C1AD8" w:rsidRDefault="008C1AD8" w:rsidP="00A15226">
            <w:pPr>
              <w:pStyle w:val="Tabletext"/>
            </w:pPr>
            <w:r w:rsidRPr="003919C8">
              <w:t>Loss and degradation of native plant and animal habitat by invasion of escaped garden plants</w:t>
            </w:r>
          </w:p>
        </w:tc>
        <w:tc>
          <w:tcPr>
            <w:tcW w:w="3390" w:type="dxa"/>
          </w:tcPr>
          <w:p w14:paraId="43D591BC" w14:textId="77777777" w:rsidR="008C1AD8" w:rsidRDefault="008C1AD8" w:rsidP="00A15226">
            <w:pPr>
              <w:pStyle w:val="Tabletext"/>
            </w:pPr>
            <w:r>
              <w:t>There is no relevant TAP</w:t>
            </w:r>
          </w:p>
        </w:tc>
      </w:tr>
      <w:tr w:rsidR="008C1AD8" w14:paraId="32A465E7" w14:textId="77777777" w:rsidTr="00A15226">
        <w:trPr>
          <w:gridAfter w:val="1"/>
          <w:wAfter w:w="12" w:type="dxa"/>
        </w:trPr>
        <w:tc>
          <w:tcPr>
            <w:tcW w:w="6232" w:type="dxa"/>
          </w:tcPr>
          <w:p w14:paraId="2CDB5FEC" w14:textId="77777777" w:rsidR="008C1AD8" w:rsidRDefault="008C1AD8" w:rsidP="00A15226">
            <w:pPr>
              <w:pStyle w:val="Tabletext"/>
            </w:pPr>
            <w:r w:rsidRPr="003919C8">
              <w:t>Novel biota and their impact on biodiversity</w:t>
            </w:r>
          </w:p>
        </w:tc>
        <w:tc>
          <w:tcPr>
            <w:tcW w:w="3390" w:type="dxa"/>
          </w:tcPr>
          <w:p w14:paraId="76FBBD91" w14:textId="77777777" w:rsidR="008C1AD8" w:rsidRDefault="008C1AD8" w:rsidP="00A15226">
            <w:pPr>
              <w:pStyle w:val="Tabletext"/>
            </w:pPr>
            <w:r>
              <w:t>There is no relevant TAP</w:t>
            </w:r>
          </w:p>
        </w:tc>
      </w:tr>
      <w:tr w:rsidR="008C1AD8" w14:paraId="78EA6C77" w14:textId="77777777" w:rsidTr="00A15226">
        <w:trPr>
          <w:gridAfter w:val="1"/>
          <w:wAfter w:w="12" w:type="dxa"/>
        </w:trPr>
        <w:tc>
          <w:tcPr>
            <w:tcW w:w="6232" w:type="dxa"/>
            <w:vAlign w:val="center"/>
          </w:tcPr>
          <w:p w14:paraId="67E61CEB" w14:textId="77777777" w:rsidR="008C1AD8" w:rsidRDefault="008C1AD8" w:rsidP="00A15226">
            <w:pPr>
              <w:pStyle w:val="Tabletext"/>
            </w:pPr>
            <w:r>
              <w:t>Predation by feral cats</w:t>
            </w:r>
          </w:p>
        </w:tc>
        <w:tc>
          <w:tcPr>
            <w:tcW w:w="3390" w:type="dxa"/>
          </w:tcPr>
          <w:p w14:paraId="01F04096" w14:textId="77777777" w:rsidR="008C1AD8" w:rsidRPr="0011395B" w:rsidRDefault="008C1AD8" w:rsidP="00A15226">
            <w:pPr>
              <w:pStyle w:val="Tabletext"/>
              <w:rPr>
                <w:iCs/>
              </w:rPr>
            </w:pPr>
            <w:r w:rsidRPr="00E31BAE">
              <w:rPr>
                <w:iCs/>
              </w:rPr>
              <w:t xml:space="preserve">Threat abatement plan for predation by feral cats </w:t>
            </w:r>
            <w:sdt>
              <w:sdtPr>
                <w:rPr>
                  <w:iCs/>
                  <w:color w:val="000000"/>
                </w:rPr>
                <w:tag w:val="MENDELEY_CITATION_v3_eyJjaXRhdGlvbklEIjoiTUVOREVMRVlfQ0lUQVRJT05fNzc1MmNhMzItODA1Ny00ZjVmLTkxNjQtMjYzZWI5ZGJhZmJmIiwicHJvcGVydGllcyI6eyJub3RlSW5kZXgiOjB9LCJpc0VkaXRlZCI6ZmFsc2UsIm1hbnVhbE92ZXJyaWRlIjp7ImNpdGVwcm9jVGV4dCI6IihEb0UsIDIwMTVj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1717496945"/>
                <w:placeholder>
                  <w:docPart w:val="EA492B379251784A8EF33F6B6775C3A8"/>
                </w:placeholder>
              </w:sdtPr>
              <w:sdtEndPr>
                <w:rPr>
                  <w:iCs w:val="0"/>
                </w:rPr>
              </w:sdtEndPr>
              <w:sdtContent>
                <w:r w:rsidRPr="00273871">
                  <w:rPr>
                    <w:color w:val="000000"/>
                  </w:rPr>
                  <w:t>(DoE, 2015c)</w:t>
                </w:r>
              </w:sdtContent>
            </w:sdt>
          </w:p>
        </w:tc>
      </w:tr>
      <w:tr w:rsidR="008C1AD8" w14:paraId="5D8C75D0" w14:textId="77777777" w:rsidTr="00A15226">
        <w:trPr>
          <w:gridAfter w:val="1"/>
          <w:wAfter w:w="12" w:type="dxa"/>
        </w:trPr>
        <w:tc>
          <w:tcPr>
            <w:tcW w:w="6232" w:type="dxa"/>
            <w:vAlign w:val="center"/>
          </w:tcPr>
          <w:p w14:paraId="5450175B" w14:textId="77777777" w:rsidR="008C1AD8" w:rsidRDefault="008C1AD8" w:rsidP="00A15226">
            <w:pPr>
              <w:pStyle w:val="Tabletext"/>
            </w:pPr>
            <w:r>
              <w:t>Predation by European red fox</w:t>
            </w:r>
          </w:p>
        </w:tc>
        <w:tc>
          <w:tcPr>
            <w:tcW w:w="3390" w:type="dxa"/>
          </w:tcPr>
          <w:p w14:paraId="1F9CCDB6" w14:textId="77777777" w:rsidR="008C1AD8" w:rsidRPr="0011395B" w:rsidRDefault="008C1AD8" w:rsidP="00A15226">
            <w:pPr>
              <w:pStyle w:val="Tabletext"/>
              <w:rPr>
                <w:iCs/>
              </w:rPr>
            </w:pPr>
            <w:r w:rsidRPr="00E31BAE">
              <w:rPr>
                <w:iCs/>
              </w:rPr>
              <w:t xml:space="preserve">Threat abatement plan for predation by the European red fox </w:t>
            </w:r>
            <w:sdt>
              <w:sdtPr>
                <w:rPr>
                  <w:iCs/>
                  <w:color w:val="000000"/>
                </w:rPr>
                <w:tag w:val="MENDELEY_CITATION_v3_eyJjaXRhdGlvbklEIjoiTUVOREVMRVlfQ0lUQVRJT05fOGJhZTlhOGMtYjViMi00NjVhLTk5NjQtMmI0MzZhMDFhOTQ0IiwicHJvcGVydGllcyI6eyJub3RlSW5kZXgiOjB9LCJpc0VkaXRlZCI6ZmFsc2UsIm1hbnVhbE92ZXJyaWRlIjp7ImNpdGVwcm9jVGV4dCI6IihERVdIQSwgMjAwOGQ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719814444"/>
                <w:placeholder>
                  <w:docPart w:val="EA492B379251784A8EF33F6B6775C3A8"/>
                </w:placeholder>
              </w:sdtPr>
              <w:sdtEndPr>
                <w:rPr>
                  <w:iCs w:val="0"/>
                </w:rPr>
              </w:sdtEndPr>
              <w:sdtContent>
                <w:r w:rsidRPr="00273871">
                  <w:rPr>
                    <w:color w:val="000000"/>
                  </w:rPr>
                  <w:t>(DEWHA, 2008d)</w:t>
                </w:r>
              </w:sdtContent>
            </w:sdt>
          </w:p>
        </w:tc>
      </w:tr>
    </w:tbl>
    <w:p w14:paraId="70909D54" w14:textId="77777777" w:rsidR="008C1AD8" w:rsidRDefault="008C1AD8" w:rsidP="008C1AD8"/>
    <w:p w14:paraId="76F08783" w14:textId="77777777" w:rsidR="008C1AD8" w:rsidRDefault="008C1AD8" w:rsidP="008C1AD8">
      <w:r>
        <w:br w:type="page"/>
      </w:r>
    </w:p>
    <w:p w14:paraId="048BB14B" w14:textId="77777777" w:rsidR="008C1AD8" w:rsidRPr="00901A6D" w:rsidRDefault="008C1AD8" w:rsidP="008C1AD8">
      <w:pPr>
        <w:pStyle w:val="Heading2"/>
        <w:numPr>
          <w:ilvl w:val="0"/>
          <w:numId w:val="0"/>
        </w:numPr>
        <w:shd w:val="clear" w:color="auto" w:fill="B4C6E7" w:themeFill="accent1" w:themeFillTint="66"/>
      </w:pPr>
      <w:bookmarkStart w:id="83" w:name="_Toc135122675"/>
      <w:r>
        <w:lastRenderedPageBreak/>
        <w:t>Potential to occur within the growth areas</w:t>
      </w:r>
      <w:bookmarkEnd w:id="83"/>
    </w:p>
    <w:p w14:paraId="7E1D31BB" w14:textId="77777777" w:rsidR="008C1AD8" w:rsidRDefault="008C1AD8" w:rsidP="008C1AD8">
      <w:r>
        <w:t xml:space="preserve">One threatened fauna species, the Blue-winged Parrot, has the potential to occur within the Growth Areas. The presence of potential habitat for this species has not been confirmed by site surveys, as the species was listed as threatened in March 2023. </w:t>
      </w:r>
    </w:p>
    <w:p w14:paraId="4109C892" w14:textId="77777777" w:rsidR="008C1AD8" w:rsidRPr="00297975" w:rsidRDefault="008C1AD8" w:rsidP="008C1AD8">
      <w:pPr>
        <w:pStyle w:val="Heading2"/>
      </w:pPr>
      <w:bookmarkStart w:id="84" w:name="_Toc135122676"/>
      <w:r>
        <w:t>Blue-</w:t>
      </w:r>
      <w:r w:rsidRPr="009845CE">
        <w:t>winged</w:t>
      </w:r>
      <w:r>
        <w:t xml:space="preserve"> Parrot (</w:t>
      </w:r>
      <w:r w:rsidRPr="0019353E">
        <w:rPr>
          <w:i/>
          <w:iCs/>
        </w:rPr>
        <w:t>Neophema chrysostoma</w:t>
      </w:r>
      <w:r>
        <w:t>)</w:t>
      </w:r>
      <w:bookmarkEnd w:id="84"/>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8C1AD8" w:rsidRPr="000816D6" w14:paraId="20C0D7C6" w14:textId="77777777" w:rsidTr="00A15226">
        <w:trPr>
          <w:tblHeader/>
        </w:trPr>
        <w:tc>
          <w:tcPr>
            <w:tcW w:w="9747" w:type="dxa"/>
            <w:shd w:val="clear" w:color="auto" w:fill="D9D9D9" w:themeFill="background1" w:themeFillShade="D9"/>
            <w:vAlign w:val="center"/>
          </w:tcPr>
          <w:p w14:paraId="2F60699F" w14:textId="77777777" w:rsidR="008C1AD8" w:rsidRPr="000816D6" w:rsidRDefault="008C1AD8" w:rsidP="00A15226">
            <w:pPr>
              <w:pStyle w:val="TableHeadingLarge"/>
              <w:rPr>
                <w:rFonts w:ascii="Helvetica" w:hAnsi="Helvetica"/>
              </w:rPr>
            </w:pPr>
            <w:r w:rsidRPr="000816D6">
              <w:rPr>
                <w:rFonts w:ascii="Helvetica" w:hAnsi="Helvetica"/>
              </w:rPr>
              <w:t>SPECIES BACKGROUND</w:t>
            </w:r>
          </w:p>
        </w:tc>
      </w:tr>
    </w:tbl>
    <w:p w14:paraId="212286B2" w14:textId="77777777" w:rsidR="008C1AD8" w:rsidRPr="000816D6" w:rsidRDefault="008C1AD8" w:rsidP="008C1AD8">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0816D6" w14:paraId="4C1640E2" w14:textId="77777777" w:rsidTr="00A15226">
        <w:tc>
          <w:tcPr>
            <w:tcW w:w="1526" w:type="dxa"/>
            <w:vAlign w:val="center"/>
          </w:tcPr>
          <w:p w14:paraId="4496243E"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4EF94699" w14:textId="77777777" w:rsidR="008C1AD8" w:rsidRPr="003E1ADD" w:rsidRDefault="008C1AD8" w:rsidP="00A15226">
            <w:pPr>
              <w:pStyle w:val="Tabletext"/>
            </w:pPr>
            <w:r>
              <w:t>Vulnerable</w:t>
            </w:r>
          </w:p>
        </w:tc>
      </w:tr>
      <w:tr w:rsidR="008C1AD8" w:rsidRPr="000816D6" w14:paraId="3CF895BC" w14:textId="77777777" w:rsidTr="00A15226">
        <w:tc>
          <w:tcPr>
            <w:tcW w:w="1526" w:type="dxa"/>
            <w:vAlign w:val="center"/>
          </w:tcPr>
          <w:p w14:paraId="0CC40E1F"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585E83F1" w14:textId="77777777" w:rsidR="008C1AD8" w:rsidRPr="00396D9D" w:rsidRDefault="008C1AD8" w:rsidP="00A15226">
            <w:pPr>
              <w:pStyle w:val="Tabletext"/>
            </w:pPr>
            <w:r>
              <w:t>Blue-winged Parrot is a small parrot up to 24 cm in length and less than 50 g in weight. The species has an olive-green head and upper body, which grades to light green on the fore-neck. It has yellow underparts, and a large dark blue patch on the wings</w:t>
            </w:r>
            <w:r>
              <w:rPr>
                <w:color w:val="000000"/>
              </w:rPr>
              <w:t xml:space="preserve"> </w:t>
            </w:r>
            <w:sdt>
              <w:sdtPr>
                <w:rPr>
                  <w:color w:val="000000"/>
                </w:rPr>
                <w:tag w:val="MENDELEY_CITATION_v3_eyJjaXRhdGlvbklEIjoiTUVOREVMRVlfQ0lUQVRJT05fZjRiMDJiYTMtNWIyMy00YjJhLWJkZDUtODA0OWVkNGZmMmIxIiwicHJvcGVydGllcyI6eyJub3RlSW5kZXgiOjB9LCJpc0VkaXRlZCI6ZmFsc2UsIm1hbnVhbE92ZXJyaWRlIjp7ImlzTWFudWFsbHlPdmVycmlkZGVuIjpmYWxzZSwiY2l0ZXByb2NUZXh0IjoiKERDQ0VFVywgMjAyMyki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73207363"/>
                <w:placeholder>
                  <w:docPart w:val="53263D66753F864BA248D609BD120A46"/>
                </w:placeholder>
              </w:sdtPr>
              <w:sdtContent>
                <w:r w:rsidRPr="00273871">
                  <w:rPr>
                    <w:color w:val="000000"/>
                  </w:rPr>
                  <w:t>(DCCEEW, 2023)</w:t>
                </w:r>
              </w:sdtContent>
            </w:sdt>
            <w:r>
              <w:t>.</w:t>
            </w:r>
          </w:p>
        </w:tc>
      </w:tr>
      <w:tr w:rsidR="008C1AD8" w:rsidRPr="000816D6" w14:paraId="3B26D46A" w14:textId="77777777" w:rsidTr="00A15226">
        <w:tc>
          <w:tcPr>
            <w:tcW w:w="1526" w:type="dxa"/>
            <w:vAlign w:val="center"/>
          </w:tcPr>
          <w:p w14:paraId="27951754"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1DACB6AD" w14:textId="77777777" w:rsidR="008C1AD8" w:rsidRDefault="008C1AD8" w:rsidP="00A15226">
            <w:pPr>
              <w:pStyle w:val="Tabletext"/>
            </w:pPr>
            <w:r>
              <w:t xml:space="preserve">The breeding season occurs during spring and summer. The species is a partial migrant and most Blue-winged Parrots migrate to Tasmania to breed. The majority of the population will migrate back to the mainland leaving part of the population behind in Tasmania. Breeding also occurs on the mainland, in coastal south-eastern South Australia, and in southern Victoria. Overall, the movements of the species are poorly understood </w:t>
            </w:r>
            <w:sdt>
              <w:sdtPr>
                <w:rPr>
                  <w:color w:val="000000"/>
                </w:rPr>
                <w:tag w:val="MENDELEY_CITATION_v3_eyJjaXRhdGlvbklEIjoiTUVOREVMRVlfQ0lUQVRJT05fNTIwODFkZTItN2RiOC00MzNmLWJmZmUtNDczZWM3YTNiNzBhIiwicHJvcGVydGllcyI6eyJub3RlSW5kZXgiOjB9LCJpc0VkaXRlZCI6ZmFsc2UsIm1hbnVhbE92ZXJyaWRlIjp7ImlzTWFudWFsbHlPdmVycmlkZGVuIjpmYWxzZSwiY2l0ZXByb2NUZXh0IjoiKERDQ0VFVywgMjAyMyki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011798755"/>
                <w:placeholder>
                  <w:docPart w:val="53263D66753F864BA248D609BD120A46"/>
                </w:placeholder>
              </w:sdtPr>
              <w:sdtContent>
                <w:r w:rsidRPr="00273871">
                  <w:rPr>
                    <w:color w:val="000000"/>
                  </w:rPr>
                  <w:t>(DCCEEW, 2023)</w:t>
                </w:r>
              </w:sdtContent>
            </w:sdt>
            <w:r>
              <w:t>.</w:t>
            </w:r>
          </w:p>
          <w:p w14:paraId="05E8D76E" w14:textId="77777777" w:rsidR="008C1AD8" w:rsidRDefault="008C1AD8" w:rsidP="00A15226">
            <w:pPr>
              <w:pStyle w:val="Tabletext"/>
            </w:pPr>
            <w:r>
              <w:t xml:space="preserve">Breeding occurs in monogamous pairs. Nests are created in the hollows of live or dead trees or stumps. Four to six eggs are laid and incubated by females. Nestlings are fed by both parents </w:t>
            </w:r>
            <w:sdt>
              <w:sdtPr>
                <w:rPr>
                  <w:color w:val="000000"/>
                </w:rPr>
                <w:tag w:val="MENDELEY_CITATION_v3_eyJjaXRhdGlvbklEIjoiTUVOREVMRVlfQ0lUQVRJT05fNTcxN2JkZmEtZDYxZC00MTczLTk0MTktOWMxNjdkZWY3NDM4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841582148"/>
                <w:placeholder>
                  <w:docPart w:val="876264BD2049534F8CE23A3626FE6B36"/>
                </w:placeholder>
              </w:sdtPr>
              <w:sdtContent>
                <w:r w:rsidRPr="00273871">
                  <w:rPr>
                    <w:color w:val="000000"/>
                  </w:rPr>
                  <w:t>(DCCEEW, 2023)</w:t>
                </w:r>
              </w:sdtContent>
            </w:sdt>
            <w:r>
              <w:t xml:space="preserve">. </w:t>
            </w:r>
          </w:p>
          <w:p w14:paraId="509D3C80" w14:textId="77777777" w:rsidR="008C1AD8" w:rsidRPr="003E1ADD" w:rsidRDefault="008C1AD8" w:rsidP="00A15226">
            <w:pPr>
              <w:pStyle w:val="Tabletext"/>
            </w:pPr>
            <w:r>
              <w:t xml:space="preserve">Blue-winged Parrots forage for seeds of native and introduced grasses, herbs and shrubs in pairs or small parties near or on the ground </w:t>
            </w:r>
            <w:sdt>
              <w:sdtPr>
                <w:rPr>
                  <w:color w:val="000000"/>
                </w:rPr>
                <w:tag w:val="MENDELEY_CITATION_v3_eyJjaXRhdGlvbklEIjoiTUVOREVMRVlfQ0lUQVRJT05fNzkwZDQ5ZTctNmRhMy00MWRlLThjZTUtYjI5MWIwYzRiNDRi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2065174570"/>
                <w:placeholder>
                  <w:docPart w:val="876264BD2049534F8CE23A3626FE6B36"/>
                </w:placeholder>
              </w:sdtPr>
              <w:sdtContent>
                <w:r w:rsidRPr="00273871">
                  <w:rPr>
                    <w:color w:val="000000"/>
                  </w:rPr>
                  <w:t>(DCCEEW, 2023)</w:t>
                </w:r>
              </w:sdtContent>
            </w:sdt>
            <w:r>
              <w:t>.</w:t>
            </w:r>
          </w:p>
        </w:tc>
      </w:tr>
      <w:tr w:rsidR="008C1AD8" w:rsidRPr="000816D6" w14:paraId="7C04E765" w14:textId="77777777" w:rsidTr="00A15226">
        <w:tc>
          <w:tcPr>
            <w:tcW w:w="1526" w:type="dxa"/>
            <w:vAlign w:val="center"/>
          </w:tcPr>
          <w:p w14:paraId="5BAFBF26"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0044EA14" w14:textId="77777777" w:rsidR="008C1AD8" w:rsidRDefault="008C1AD8" w:rsidP="00A15226">
            <w:pPr>
              <w:pStyle w:val="Tabletext"/>
            </w:pPr>
            <w:r>
              <w:t>The species occurs across south-eastern Australia and Tasmania.</w:t>
            </w:r>
          </w:p>
          <w:p w14:paraId="6ED4A980" w14:textId="77777777" w:rsidR="008C1AD8" w:rsidRDefault="008C1AD8" w:rsidP="00A15226">
            <w:pPr>
              <w:pStyle w:val="Tabletext"/>
            </w:pPr>
            <w:r>
              <w:t xml:space="preserve">During the breeding season the species occurs in Tasmania, coastal south-eastern South Australia, and in southern Victoria. During the non-breeding season, the species has been recorded in northern Victoria, eastern South Australia, south-western Queensland, and Western NSW. The species may also reach eastern Victoria and south-eastern NSW, especially during the southern migration </w:t>
            </w:r>
            <w:sdt>
              <w:sdtPr>
                <w:rPr>
                  <w:color w:val="000000"/>
                </w:rPr>
                <w:tag w:val="MENDELEY_CITATION_v3_eyJjaXRhdGlvbklEIjoiTUVOREVMRVlfQ0lUQVRJT05fYTEzYTBiZGYtN2Y1Ni00NzIxLTgzMDgtNDkxMDcxNzE0OGY0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619799674"/>
                <w:placeholder>
                  <w:docPart w:val="876264BD2049534F8CE23A3626FE6B36"/>
                </w:placeholder>
              </w:sdtPr>
              <w:sdtContent>
                <w:r w:rsidRPr="00273871">
                  <w:rPr>
                    <w:color w:val="000000"/>
                  </w:rPr>
                  <w:t>(DCCEEW, 2023)</w:t>
                </w:r>
              </w:sdtContent>
            </w:sdt>
            <w:r>
              <w:t>.</w:t>
            </w:r>
          </w:p>
          <w:p w14:paraId="6F778218" w14:textId="77777777" w:rsidR="008C1AD8" w:rsidRDefault="008C1AD8" w:rsidP="00A15226">
            <w:pPr>
              <w:pStyle w:val="Tabletext"/>
            </w:pPr>
            <w:r>
              <w:t xml:space="preserve">Habitat for Blue-winged Parrot includes coastal, sub-coastal, inland areas, and semi-arid zones. The species is often found near wetlands in semi-arid or coastal areas. It appears to favour habitat comprised of grassy woodlands or grasslands. It has also been observed in disturbed or developed environments including paddocks, airfields and golf courses </w:t>
            </w:r>
            <w:sdt>
              <w:sdtPr>
                <w:rPr>
                  <w:color w:val="000000"/>
                </w:rPr>
                <w:tag w:val="MENDELEY_CITATION_v3_eyJjaXRhdGlvbklEIjoiTUVOREVMRVlfQ0lUQVRJT05fY2JjYjM1ZDYtYTI4ZS00M2IxLWI2ZTAtNGE0N2MxM2ZlZTJh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032619975"/>
                <w:placeholder>
                  <w:docPart w:val="876264BD2049534F8CE23A3626FE6B36"/>
                </w:placeholder>
              </w:sdtPr>
              <w:sdtContent>
                <w:r w:rsidRPr="00273871">
                  <w:rPr>
                    <w:color w:val="000000"/>
                  </w:rPr>
                  <w:t>(DCCEEW, 2023)</w:t>
                </w:r>
              </w:sdtContent>
            </w:sdt>
            <w:r>
              <w:t xml:space="preserve">. </w:t>
            </w:r>
          </w:p>
          <w:p w14:paraId="56C6BED7" w14:textId="77777777" w:rsidR="008C1AD8" w:rsidRDefault="008C1AD8" w:rsidP="00A15226">
            <w:pPr>
              <w:pStyle w:val="Tabletext"/>
            </w:pPr>
            <w:r>
              <w:t xml:space="preserve">Habitat used by the species during the breeding season typically comprises woodlands and eucalypt forests. Breeding habitat in Victoria is typically heathy forests and woodlands, or wetter forests following logging or fire. Habitat used in the non-breeding season varies though may include saltmarshes and agricultural land in Tasmania, and rough pasture and saltmarsh on the mainland. The species may travel up to 100 km to feed in semi-arid chenopod shrubland and sparse grassland during winter </w:t>
            </w:r>
            <w:sdt>
              <w:sdtPr>
                <w:rPr>
                  <w:color w:val="000000"/>
                </w:rPr>
                <w:tag w:val="MENDELEY_CITATION_v3_eyJjaXRhdGlvbklEIjoiTUVOREVMRVlfQ0lUQVRJT05fZmQyYjFkMTgtNTMwYy00MzAzLWE1ZmUtYTRjNTU5MjJjNjI5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283843355"/>
                <w:placeholder>
                  <w:docPart w:val="876264BD2049534F8CE23A3626FE6B36"/>
                </w:placeholder>
              </w:sdtPr>
              <w:sdtContent>
                <w:r w:rsidRPr="00273871">
                  <w:rPr>
                    <w:color w:val="000000"/>
                  </w:rPr>
                  <w:t>(DCCEEW, 2023)</w:t>
                </w:r>
              </w:sdtContent>
            </w:sdt>
            <w:r>
              <w:t>.</w:t>
            </w:r>
          </w:p>
          <w:p w14:paraId="21941C25" w14:textId="77777777" w:rsidR="008C1AD8" w:rsidRDefault="008C1AD8" w:rsidP="00A15226">
            <w:pPr>
              <w:pStyle w:val="Tabletext"/>
            </w:pPr>
            <w:r>
              <w:t xml:space="preserve">The species Conservation Advice identifies habitat critical to the survival of the species to include areas of </w:t>
            </w:r>
            <w:sdt>
              <w:sdtPr>
                <w:rPr>
                  <w:color w:val="000000"/>
                </w:rPr>
                <w:tag w:val="MENDELEY_CITATION_v3_eyJjaXRhdGlvbklEIjoiTUVOREVMRVlfQ0lUQVRJT05fZWQ3YWYwOWMtOTMzZi00MTRhLTkzNGMtMjNjMzkyZjcxZmVm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485765999"/>
                <w:placeholder>
                  <w:docPart w:val="876264BD2049534F8CE23A3626FE6B36"/>
                </w:placeholder>
              </w:sdtPr>
              <w:sdtContent>
                <w:r w:rsidRPr="00273871">
                  <w:rPr>
                    <w:color w:val="000000"/>
                  </w:rPr>
                  <w:t>(DCCEEW, 2023)</w:t>
                </w:r>
              </w:sdtContent>
            </w:sdt>
            <w:r>
              <w:t>:</w:t>
            </w:r>
          </w:p>
          <w:p w14:paraId="4A086958" w14:textId="77777777" w:rsidR="008C1AD8" w:rsidRPr="00A773A3" w:rsidRDefault="008C1AD8" w:rsidP="00A15226">
            <w:pPr>
              <w:pStyle w:val="Bullet1"/>
              <w:rPr>
                <w:i/>
                <w:iCs/>
              </w:rPr>
            </w:pPr>
            <w:r w:rsidRPr="00A773A3">
              <w:rPr>
                <w:i/>
                <w:iCs/>
              </w:rPr>
              <w:t>Foraging and staging habitats found from coastal, sub-coastal and inland areas, right through to semi-arid zones including: grasslands, grassy woodlands and semi‐arid chenopod shrubland with native and introduced grasses, herbs and shrubs</w:t>
            </w:r>
          </w:p>
          <w:p w14:paraId="3FBE2DC2" w14:textId="77777777" w:rsidR="008C1AD8" w:rsidRPr="00A773A3" w:rsidRDefault="008C1AD8" w:rsidP="00A15226">
            <w:pPr>
              <w:pStyle w:val="Bullet1"/>
              <w:rPr>
                <w:i/>
                <w:iCs/>
              </w:rPr>
            </w:pPr>
            <w:r w:rsidRPr="00A773A3">
              <w:rPr>
                <w:i/>
                <w:iCs/>
              </w:rPr>
              <w:t>Wetlands both near the coast and in semi-arid zones used for foraging and staging</w:t>
            </w:r>
          </w:p>
          <w:p w14:paraId="7DEE4EAE" w14:textId="77777777" w:rsidR="008C1AD8" w:rsidRPr="00A773A3" w:rsidRDefault="008C1AD8" w:rsidP="00A15226">
            <w:pPr>
              <w:pStyle w:val="Bullet1"/>
              <w:rPr>
                <w:i/>
                <w:iCs/>
              </w:rPr>
            </w:pPr>
            <w:r w:rsidRPr="00A773A3">
              <w:rPr>
                <w:i/>
                <w:iCs/>
              </w:rPr>
              <w:t>Eucalypt forests and woodlands within the breeding range in Tasmania, coastal southeastern South Australia and southern Victoria</w:t>
            </w:r>
          </w:p>
          <w:p w14:paraId="3A4D55EF" w14:textId="77777777" w:rsidR="008C1AD8" w:rsidRPr="00A773A3" w:rsidRDefault="008C1AD8" w:rsidP="00A15226">
            <w:pPr>
              <w:pStyle w:val="Bullet1"/>
            </w:pPr>
            <w:r w:rsidRPr="00A773A3">
              <w:rPr>
                <w:i/>
                <w:iCs/>
              </w:rPr>
              <w:t>Live and dead trees and stumps with suitable hollows within the breeding range</w:t>
            </w:r>
          </w:p>
          <w:p w14:paraId="43E67AE1" w14:textId="77777777" w:rsidR="008C1AD8" w:rsidRPr="00A773A3" w:rsidRDefault="008C1AD8" w:rsidP="00A15226">
            <w:pPr>
              <w:pStyle w:val="Tabletext"/>
            </w:pPr>
            <w:r>
              <w:lastRenderedPageBreak/>
              <w:t>Further, “</w:t>
            </w:r>
            <w:r w:rsidRPr="005E2633">
              <w:rPr>
                <w:i/>
                <w:iCs/>
              </w:rPr>
              <w:t>any known or likely habitat should be considered as habitat critical to the survival of the species” and “areas that are not currently occupied by the species due to recent disturbance (e.g., fire, grazing or human activity), but should bec</w:t>
            </w:r>
            <w:r>
              <w:rPr>
                <w:i/>
                <w:iCs/>
              </w:rPr>
              <w:t>o</w:t>
            </w:r>
            <w:r w:rsidRPr="005E2633">
              <w:rPr>
                <w:i/>
                <w:iCs/>
              </w:rPr>
              <w:t>me suitable again in the future, should also be considered habitat critical to the survival of the species</w:t>
            </w:r>
            <w:r>
              <w:t xml:space="preserve">” </w:t>
            </w:r>
            <w:sdt>
              <w:sdtPr>
                <w:rPr>
                  <w:color w:val="000000"/>
                </w:rPr>
                <w:tag w:val="MENDELEY_CITATION_v3_eyJjaXRhdGlvbklEIjoiTUVOREVMRVlfQ0lUQVRJT05fMjljN2ZjZTctZjBiNy00NTFmLTkzMTEtOGFjNDk3OGJhY2Yy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414543411"/>
                <w:placeholder>
                  <w:docPart w:val="876264BD2049534F8CE23A3626FE6B36"/>
                </w:placeholder>
              </w:sdtPr>
              <w:sdtContent>
                <w:r w:rsidRPr="00273871">
                  <w:rPr>
                    <w:color w:val="000000"/>
                  </w:rPr>
                  <w:t>(DCCEEW, 2023)</w:t>
                </w:r>
              </w:sdtContent>
            </w:sdt>
            <w:r>
              <w:t>.</w:t>
            </w:r>
          </w:p>
        </w:tc>
      </w:tr>
      <w:tr w:rsidR="008C1AD8" w:rsidRPr="000816D6" w14:paraId="3F4427B4" w14:textId="77777777" w:rsidTr="00A15226">
        <w:tc>
          <w:tcPr>
            <w:tcW w:w="1526" w:type="dxa"/>
            <w:vAlign w:val="center"/>
          </w:tcPr>
          <w:p w14:paraId="632E0FD7" w14:textId="77777777" w:rsidR="008C1AD8" w:rsidRPr="000816D6" w:rsidRDefault="008C1AD8" w:rsidP="00A15226">
            <w:pPr>
              <w:pStyle w:val="Tabletext"/>
              <w:rPr>
                <w:rFonts w:ascii="Helvetica" w:hAnsi="Helvetica"/>
                <w:b/>
                <w:bCs/>
                <w:sz w:val="14"/>
              </w:rPr>
            </w:pPr>
            <w:r w:rsidRPr="000816D6">
              <w:rPr>
                <w:rFonts w:ascii="Helvetica" w:hAnsi="Helvetica"/>
                <w:b/>
                <w:bCs/>
                <w:sz w:val="14"/>
              </w:rPr>
              <w:lastRenderedPageBreak/>
              <w:t xml:space="preserve">POPULATIONS </w:t>
            </w:r>
          </w:p>
        </w:tc>
        <w:tc>
          <w:tcPr>
            <w:tcW w:w="8113" w:type="dxa"/>
            <w:vAlign w:val="center"/>
          </w:tcPr>
          <w:p w14:paraId="79229893" w14:textId="77777777" w:rsidR="008C1AD8" w:rsidRPr="003E1ADD" w:rsidRDefault="008C1AD8" w:rsidP="00A15226">
            <w:pPr>
              <w:pStyle w:val="Tabletext"/>
            </w:pPr>
            <w:r>
              <w:t xml:space="preserve">It is estimated that there are 10,000 mature individuals in the wild. The population is thought to have declined by 30 – 50 per cent in the past three generations. The Victorian and Tasmanian breeding subpopulations are considered to be separate although they may mix </w:t>
            </w:r>
            <w:sdt>
              <w:sdtPr>
                <w:rPr>
                  <w:color w:val="000000"/>
                </w:rPr>
                <w:tag w:val="MENDELEY_CITATION_v3_eyJjaXRhdGlvbklEIjoiTUVOREVMRVlfQ0lUQVRJT05fNDcwZmNmNTAtNmI4MC00NjViLWEyZDMtNGNlNzQyYTFjYWMz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914900801"/>
                <w:placeholder>
                  <w:docPart w:val="876264BD2049534F8CE23A3626FE6B36"/>
                </w:placeholder>
              </w:sdtPr>
              <w:sdtContent>
                <w:r w:rsidRPr="00273871">
                  <w:rPr>
                    <w:color w:val="000000"/>
                  </w:rPr>
                  <w:t>(DCCEEW, 2023)</w:t>
                </w:r>
              </w:sdtContent>
            </w:sdt>
            <w:r>
              <w:t>.</w:t>
            </w:r>
          </w:p>
        </w:tc>
      </w:tr>
      <w:tr w:rsidR="008C1AD8" w:rsidRPr="002F23FB" w14:paraId="7E357ED2" w14:textId="77777777" w:rsidTr="00A15226">
        <w:tc>
          <w:tcPr>
            <w:tcW w:w="1526" w:type="dxa"/>
            <w:vAlign w:val="center"/>
          </w:tcPr>
          <w:p w14:paraId="34B3F83D" w14:textId="77777777" w:rsidR="008C1AD8" w:rsidRPr="000816D6" w:rsidRDefault="008C1AD8" w:rsidP="00A15226">
            <w:pPr>
              <w:pStyle w:val="Tabletext"/>
              <w:rPr>
                <w:rFonts w:ascii="Helvetica" w:hAnsi="Helvetica"/>
                <w:b/>
                <w:bCs/>
                <w:sz w:val="14"/>
              </w:rPr>
            </w:pPr>
            <w:r>
              <w:rPr>
                <w:rFonts w:ascii="Helvetica" w:hAnsi="Helvetica"/>
                <w:b/>
                <w:bCs/>
                <w:sz w:val="14"/>
              </w:rPr>
              <w:t>THREATS</w:t>
            </w:r>
          </w:p>
        </w:tc>
        <w:tc>
          <w:tcPr>
            <w:tcW w:w="8113" w:type="dxa"/>
            <w:vAlign w:val="center"/>
          </w:tcPr>
          <w:p w14:paraId="7746F973" w14:textId="77777777" w:rsidR="008C1AD8" w:rsidRDefault="008C1AD8" w:rsidP="00A15226">
            <w:pPr>
              <w:pStyle w:val="Tabletext"/>
            </w:pPr>
            <w:r>
              <w:t xml:space="preserve">The Conservation Advice for the species has identified the following threats </w:t>
            </w:r>
            <w:sdt>
              <w:sdtPr>
                <w:rPr>
                  <w:color w:val="000000"/>
                </w:rPr>
                <w:tag w:val="MENDELEY_CITATION_v3_eyJjaXRhdGlvbklEIjoiTUVOREVMRVlfQ0lUQVRJT05fY2Q4ZDllZDMtNTEwNy00MTY0LWJmMTUtZjRmMmNkMDU1ZThh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220873909"/>
                <w:placeholder>
                  <w:docPart w:val="876264BD2049534F8CE23A3626FE6B36"/>
                </w:placeholder>
              </w:sdtPr>
              <w:sdtContent>
                <w:r w:rsidRPr="00273871">
                  <w:rPr>
                    <w:color w:val="000000"/>
                  </w:rPr>
                  <w:t>(DCCEEW, 2023)</w:t>
                </w:r>
              </w:sdtContent>
            </w:sdt>
            <w:r>
              <w:t>:</w:t>
            </w:r>
          </w:p>
          <w:p w14:paraId="78DCA0F1" w14:textId="77777777" w:rsidR="008C1AD8" w:rsidRDefault="008C1AD8" w:rsidP="00A15226">
            <w:pPr>
              <w:pStyle w:val="Bullet1"/>
            </w:pPr>
            <w:r>
              <w:t>Habitat loss, degradation, and fragmentation – caused by clearing for agriculture, livestock grazing, and invasive weeds</w:t>
            </w:r>
          </w:p>
          <w:p w14:paraId="43173A9B" w14:textId="77777777" w:rsidR="008C1AD8" w:rsidRDefault="008C1AD8" w:rsidP="00A15226">
            <w:pPr>
              <w:pStyle w:val="Bullet1"/>
            </w:pPr>
            <w:r>
              <w:t>Increased likelihood of extreme weather events associated with climate change</w:t>
            </w:r>
          </w:p>
          <w:p w14:paraId="6D302C4A" w14:textId="77777777" w:rsidR="008C1AD8" w:rsidRDefault="008C1AD8" w:rsidP="00A15226">
            <w:pPr>
              <w:pStyle w:val="Bullet1"/>
            </w:pPr>
            <w:r>
              <w:t>Inappropriate fire regimes</w:t>
            </w:r>
          </w:p>
          <w:p w14:paraId="6C2006DF" w14:textId="77777777" w:rsidR="008C1AD8" w:rsidRDefault="008C1AD8" w:rsidP="00A15226">
            <w:pPr>
              <w:pStyle w:val="Bullet1"/>
            </w:pPr>
            <w:r>
              <w:t>Predation by cats</w:t>
            </w:r>
          </w:p>
          <w:p w14:paraId="23B479BF" w14:textId="77777777" w:rsidR="008C1AD8" w:rsidRDefault="008C1AD8" w:rsidP="00A15226">
            <w:pPr>
              <w:pStyle w:val="Bullet1"/>
            </w:pPr>
            <w:r>
              <w:t>Predation by foxes on the mainland</w:t>
            </w:r>
          </w:p>
          <w:p w14:paraId="5DAF5B0B" w14:textId="77777777" w:rsidR="008C1AD8" w:rsidRDefault="008C1AD8" w:rsidP="00A15226">
            <w:pPr>
              <w:pStyle w:val="Bullet1"/>
            </w:pPr>
            <w:r>
              <w:t>Predation by introduced sugar gliders in Tasmania</w:t>
            </w:r>
          </w:p>
          <w:p w14:paraId="2B4499DA" w14:textId="77777777" w:rsidR="008C1AD8" w:rsidRDefault="008C1AD8" w:rsidP="00A15226">
            <w:pPr>
              <w:pStyle w:val="Bullet1"/>
            </w:pPr>
            <w:r>
              <w:t>Competition for tree hollows</w:t>
            </w:r>
          </w:p>
          <w:p w14:paraId="01CF0668" w14:textId="77777777" w:rsidR="008C1AD8" w:rsidRPr="003E1ADD" w:rsidRDefault="008C1AD8" w:rsidP="00A15226">
            <w:pPr>
              <w:pStyle w:val="Bullet1"/>
            </w:pPr>
            <w:r>
              <w:t>Psittacine Beak and Feather Disease</w:t>
            </w:r>
          </w:p>
        </w:tc>
      </w:tr>
      <w:tr w:rsidR="008C1AD8" w:rsidRPr="00274D54" w14:paraId="4E2868E8" w14:textId="77777777" w:rsidTr="00A15226">
        <w:tc>
          <w:tcPr>
            <w:tcW w:w="1526" w:type="dxa"/>
            <w:vAlign w:val="center"/>
          </w:tcPr>
          <w:p w14:paraId="654F4396"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2CE0C7A8" w14:textId="77777777" w:rsidR="008C1AD8" w:rsidRPr="00A95173" w:rsidRDefault="008C1AD8" w:rsidP="00A15226">
            <w:pPr>
              <w:pStyle w:val="Tabletext"/>
              <w:rPr>
                <w:iCs/>
              </w:rPr>
            </w:pPr>
            <w:r w:rsidRPr="00A95173">
              <w:rPr>
                <w:iCs/>
              </w:rPr>
              <w:t>Conservation Advice for</w:t>
            </w:r>
            <w:r>
              <w:rPr>
                <w:iCs/>
              </w:rPr>
              <w:t xml:space="preserve"> </w:t>
            </w:r>
            <w:r w:rsidRPr="00DB4C57">
              <w:rPr>
                <w:i/>
              </w:rPr>
              <w:t>Neophema chrysostoma</w:t>
            </w:r>
            <w:r>
              <w:rPr>
                <w:iCs/>
              </w:rPr>
              <w:t xml:space="preserve"> </w:t>
            </w:r>
            <w:r w:rsidRPr="00A95173">
              <w:rPr>
                <w:iCs/>
              </w:rPr>
              <w:t>(</w:t>
            </w:r>
            <w:r>
              <w:rPr>
                <w:iCs/>
              </w:rPr>
              <w:t>B</w:t>
            </w:r>
            <w:r w:rsidRPr="00A95173">
              <w:rPr>
                <w:iCs/>
              </w:rPr>
              <w:t xml:space="preserve">lue-winged </w:t>
            </w:r>
            <w:r>
              <w:rPr>
                <w:iCs/>
              </w:rPr>
              <w:t>P</w:t>
            </w:r>
            <w:r w:rsidRPr="00A95173">
              <w:rPr>
                <w:iCs/>
              </w:rPr>
              <w:t>arrot)</w:t>
            </w:r>
            <w:sdt>
              <w:sdtPr>
                <w:rPr>
                  <w:iCs/>
                  <w:color w:val="000000"/>
                </w:rPr>
                <w:tag w:val="MENDELEY_CITATION_v3_eyJjaXRhdGlvbklEIjoiTUVOREVMRVlfQ0lUQVRJT05fMDg3ZWFmYmQtZjUzMy00ODIyLTk2NDItYTZlOGU0MTY4ZjVh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884784977"/>
                <w:placeholder>
                  <w:docPart w:val="876264BD2049534F8CE23A3626FE6B36"/>
                </w:placeholder>
              </w:sdtPr>
              <w:sdtEndPr>
                <w:rPr>
                  <w:iCs w:val="0"/>
                </w:rPr>
              </w:sdtEndPr>
              <w:sdtContent>
                <w:r w:rsidRPr="00273871">
                  <w:rPr>
                    <w:iCs/>
                    <w:color w:val="000000"/>
                  </w:rPr>
                  <w:t>(DCCEEW, 2023)</w:t>
                </w:r>
              </w:sdtContent>
            </w:sdt>
          </w:p>
          <w:p w14:paraId="46583CAA" w14:textId="77777777" w:rsidR="008C1AD8" w:rsidRPr="006370D7" w:rsidRDefault="008C1AD8" w:rsidP="00A15226">
            <w:pPr>
              <w:pStyle w:val="Tabletext"/>
              <w:rPr>
                <w:iCs/>
              </w:rPr>
            </w:pPr>
            <w:r w:rsidRPr="006370D7">
              <w:rPr>
                <w:iCs/>
              </w:rPr>
              <w:t xml:space="preserve">Threat abatement plan for predation by feral cats </w:t>
            </w:r>
            <w:sdt>
              <w:sdtPr>
                <w:rPr>
                  <w:iCs/>
                  <w:color w:val="000000"/>
                </w:rPr>
                <w:tag w:val="MENDELEY_CITATION_v3_eyJjaXRhdGlvbklEIjoiTUVOREVMRVlfQ0lUQVRJT05fNmIwNTI1MDAtZThkNy00NmNhLTg1MzgtODU2OTMwNzA0ZmVlIiwicHJvcGVydGllcyI6eyJub3RlSW5kZXgiOjB9LCJpc0VkaXRlZCI6ZmFsc2UsIm1hbnVhbE92ZXJyaWRlIjp7ImNpdGVwcm9jVGV4dCI6IihEb0UsIDIwMTVj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1634060883"/>
                <w:placeholder>
                  <w:docPart w:val="876264BD2049534F8CE23A3626FE6B36"/>
                </w:placeholder>
              </w:sdtPr>
              <w:sdtEndPr>
                <w:rPr>
                  <w:iCs w:val="0"/>
                </w:rPr>
              </w:sdtEndPr>
              <w:sdtContent>
                <w:r w:rsidRPr="00273871">
                  <w:rPr>
                    <w:color w:val="000000"/>
                  </w:rPr>
                  <w:t>(DoE, 2015c)</w:t>
                </w:r>
              </w:sdtContent>
            </w:sdt>
          </w:p>
          <w:p w14:paraId="421C2E48" w14:textId="77777777" w:rsidR="008C1AD8" w:rsidRPr="006370D7" w:rsidRDefault="008C1AD8" w:rsidP="00A15226">
            <w:pPr>
              <w:pStyle w:val="Tabletext"/>
              <w:rPr>
                <w:iCs/>
              </w:rPr>
            </w:pPr>
            <w:r w:rsidRPr="006370D7">
              <w:rPr>
                <w:iCs/>
              </w:rPr>
              <w:t xml:space="preserve">Threat abatement plan for predation by the European red fox </w:t>
            </w:r>
            <w:sdt>
              <w:sdtPr>
                <w:rPr>
                  <w:iCs/>
                  <w:color w:val="000000"/>
                </w:rPr>
                <w:tag w:val="MENDELEY_CITATION_v3_eyJjaXRhdGlvbklEIjoiTUVOREVMRVlfQ0lUQVRJT05fZWMxNDY3YmMtMGFkMS00YWQ1LTgwYzUtNTExYTgwZTU5Nzg2IiwicHJvcGVydGllcyI6eyJub3RlSW5kZXgiOjB9LCJpc0VkaXRlZCI6ZmFsc2UsIm1hbnVhbE92ZXJyaWRlIjp7ImNpdGVwcm9jVGV4dCI6IihERVdIQSwgMjAwOGQ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806438256"/>
                <w:placeholder>
                  <w:docPart w:val="876264BD2049534F8CE23A3626FE6B36"/>
                </w:placeholder>
              </w:sdtPr>
              <w:sdtEndPr>
                <w:rPr>
                  <w:iCs w:val="0"/>
                </w:rPr>
              </w:sdtEndPr>
              <w:sdtContent>
                <w:r w:rsidRPr="00273871">
                  <w:rPr>
                    <w:color w:val="000000"/>
                  </w:rPr>
                  <w:t>(DEWHA, 2008d)</w:t>
                </w:r>
              </w:sdtContent>
            </w:sdt>
          </w:p>
        </w:tc>
      </w:tr>
      <w:tr w:rsidR="008C1AD8" w:rsidRPr="000816D6" w14:paraId="14C58DEF" w14:textId="77777777" w:rsidTr="00A15226">
        <w:tc>
          <w:tcPr>
            <w:tcW w:w="1526" w:type="dxa"/>
            <w:vAlign w:val="center"/>
          </w:tcPr>
          <w:p w14:paraId="7F4D6392"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56F1C954" w14:textId="77777777" w:rsidR="008C1AD8" w:rsidRPr="00980D4D" w:rsidRDefault="008C1AD8" w:rsidP="00A15226">
            <w:pPr>
              <w:pStyle w:val="Tabletext"/>
            </w:pPr>
            <w:r>
              <w:t>There are no species specific guidelines for this species.</w:t>
            </w:r>
          </w:p>
        </w:tc>
      </w:tr>
      <w:tr w:rsidR="008C1AD8" w:rsidRPr="000816D6" w14:paraId="397F60F6" w14:textId="77777777" w:rsidTr="00A15226">
        <w:tc>
          <w:tcPr>
            <w:tcW w:w="1526" w:type="dxa"/>
            <w:vAlign w:val="center"/>
          </w:tcPr>
          <w:p w14:paraId="79E2CB4F"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0C9E8C77" w14:textId="77777777" w:rsidR="008C1AD8" w:rsidRPr="003E1ADD" w:rsidRDefault="008C1AD8" w:rsidP="00A15226">
            <w:pPr>
              <w:pStyle w:val="Tabletext"/>
            </w:pPr>
            <w:r w:rsidRPr="000D5960">
              <w:t>http://www.environment.gov.au/cgi-bin/sprat/public/publicspecies.pl?taxon_id=726</w:t>
            </w:r>
          </w:p>
        </w:tc>
      </w:tr>
    </w:tbl>
    <w:p w14:paraId="66B78BE4"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549EF0FF" w14:textId="77777777" w:rsidTr="00A15226">
        <w:tc>
          <w:tcPr>
            <w:tcW w:w="9622" w:type="dxa"/>
            <w:shd w:val="clear" w:color="auto" w:fill="C9C9C9" w:themeFill="accent3" w:themeFillTint="99"/>
          </w:tcPr>
          <w:p w14:paraId="2A7E9175" w14:textId="77777777" w:rsidR="008C1AD8" w:rsidRPr="008F55BC" w:rsidRDefault="008C1AD8" w:rsidP="00A15226">
            <w:pPr>
              <w:pStyle w:val="Tabletext"/>
              <w:rPr>
                <w:b/>
                <w:bCs/>
              </w:rPr>
            </w:pPr>
            <w:r>
              <w:rPr>
                <w:rFonts w:ascii="Helvetica" w:hAnsi="Helvetica"/>
                <w:b/>
                <w:sz w:val="16"/>
                <w:szCs w:val="16"/>
              </w:rPr>
              <w:t>APPROACH TO BASELINE DATA</w:t>
            </w:r>
          </w:p>
        </w:tc>
      </w:tr>
    </w:tbl>
    <w:p w14:paraId="70904904" w14:textId="77777777" w:rsidR="008C1AD8" w:rsidRPr="00E528F5" w:rsidRDefault="008C1AD8" w:rsidP="008C1AD8">
      <w:pPr>
        <w:rPr>
          <w:i/>
          <w:iCs/>
          <w:color w:val="4472C4" w:themeColor="accent1"/>
        </w:rPr>
      </w:pPr>
      <w:r w:rsidRPr="0007741A">
        <w:rPr>
          <w:i/>
          <w:iCs/>
          <w:color w:val="4472C4" w:themeColor="accent1"/>
        </w:rPr>
        <w:t>This section provides a summary of the baseline information used in the assessment.</w:t>
      </w:r>
      <w:r>
        <w:rPr>
          <w:i/>
          <w:iCs/>
          <w:color w:val="4472C4" w:themeColor="accent1"/>
        </w:rPr>
        <w:t xml:space="preserve"> </w:t>
      </w:r>
      <w:r w:rsidRPr="000816D6">
        <w:rPr>
          <w:i/>
          <w:color w:val="4472C4" w:themeColor="accent1"/>
        </w:rPr>
        <w:t xml:space="preserve">Please refer to </w:t>
      </w:r>
      <w:r w:rsidRPr="009E63A2">
        <w:rPr>
          <w:i/>
          <w:color w:val="4472C4" w:themeColor="accent1"/>
        </w:rPr>
        <w:t>Chapter 13</w:t>
      </w:r>
      <w:r w:rsidRPr="00073961">
        <w:rPr>
          <w:i/>
          <w:color w:val="4472C4" w:themeColor="accent1"/>
        </w:rPr>
        <w:t xml:space="preserve"> for further</w:t>
      </w:r>
      <w:r w:rsidRPr="000816D6">
        <w:rPr>
          <w:i/>
          <w:color w:val="4472C4" w:themeColor="accent1"/>
        </w:rPr>
        <w:t xml:space="preserve"> details about the threatened species baseline data, including the various approaches to habitat and population mapping. </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3E1ADD" w14:paraId="0FE7851A" w14:textId="77777777" w:rsidTr="00A15226">
        <w:tc>
          <w:tcPr>
            <w:tcW w:w="1526" w:type="dxa"/>
            <w:vMerge w:val="restart"/>
            <w:vAlign w:val="center"/>
          </w:tcPr>
          <w:p w14:paraId="6A4E0B3F" w14:textId="77777777" w:rsidR="008C1AD8" w:rsidRPr="000816D6" w:rsidRDefault="008C1AD8"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4F126633" w14:textId="77777777" w:rsidR="008C1AD8" w:rsidRPr="00BB022D" w:rsidRDefault="008C1AD8" w:rsidP="00A15226">
            <w:pPr>
              <w:pStyle w:val="Bullet1"/>
              <w:numPr>
                <w:ilvl w:val="0"/>
                <w:numId w:val="0"/>
              </w:numPr>
              <w:ind w:left="360" w:hanging="360"/>
            </w:pPr>
            <w:r w:rsidRPr="000816D6">
              <w:rPr>
                <w:rFonts w:ascii="Helvetica" w:hAnsi="Helvetica"/>
                <w:b/>
                <w:bCs/>
                <w:sz w:val="14"/>
              </w:rPr>
              <w:t>RECORD SELECTION</w:t>
            </w:r>
          </w:p>
        </w:tc>
      </w:tr>
      <w:tr w:rsidR="008C1AD8" w:rsidRPr="003E1ADD" w14:paraId="64EC05C4" w14:textId="77777777" w:rsidTr="00A15226">
        <w:tc>
          <w:tcPr>
            <w:tcW w:w="1526" w:type="dxa"/>
            <w:vMerge/>
            <w:vAlign w:val="center"/>
          </w:tcPr>
          <w:p w14:paraId="3FE9F05D" w14:textId="77777777" w:rsidR="008C1AD8" w:rsidRDefault="008C1AD8" w:rsidP="00A15226">
            <w:pPr>
              <w:pStyle w:val="Tabletext"/>
              <w:rPr>
                <w:rFonts w:ascii="Helvetica" w:hAnsi="Helvetica"/>
                <w:b/>
                <w:bCs/>
                <w:sz w:val="14"/>
              </w:rPr>
            </w:pPr>
          </w:p>
        </w:tc>
        <w:tc>
          <w:tcPr>
            <w:tcW w:w="8113" w:type="dxa"/>
            <w:vAlign w:val="center"/>
          </w:tcPr>
          <w:p w14:paraId="0CB7094A" w14:textId="77777777" w:rsidR="008C1AD8" w:rsidRPr="00BB022D" w:rsidRDefault="008C1AD8" w:rsidP="00A15226">
            <w:pPr>
              <w:pStyle w:val="Tabletext"/>
            </w:pPr>
            <w:r w:rsidRPr="00D751AB">
              <w:t xml:space="preserve">Species records were </w:t>
            </w:r>
            <w:r>
              <w:t>downloaded from the VBA</w:t>
            </w:r>
            <w:r w:rsidRPr="00D751AB">
              <w:t xml:space="preserve">. The </w:t>
            </w:r>
            <w:r>
              <w:t>VBA records were filtered to remove records prior to 1990 for the purpose of the impact assessment</w:t>
            </w:r>
          </w:p>
        </w:tc>
      </w:tr>
      <w:tr w:rsidR="008C1AD8" w:rsidRPr="003E1ADD" w14:paraId="0D754E72" w14:textId="77777777" w:rsidTr="00A15226">
        <w:tc>
          <w:tcPr>
            <w:tcW w:w="1526" w:type="dxa"/>
            <w:vMerge/>
            <w:vAlign w:val="center"/>
          </w:tcPr>
          <w:p w14:paraId="4DA61EA6"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78F2961A" w14:textId="77777777" w:rsidR="008C1AD8" w:rsidRPr="00BB022D" w:rsidRDefault="008C1AD8" w:rsidP="00A15226">
            <w:pPr>
              <w:pStyle w:val="Bullet1"/>
              <w:keepNext/>
              <w:numPr>
                <w:ilvl w:val="0"/>
                <w:numId w:val="0"/>
              </w:numPr>
              <w:ind w:left="357" w:hanging="357"/>
            </w:pPr>
            <w:r>
              <w:rPr>
                <w:rFonts w:ascii="Helvetica" w:hAnsi="Helvetica"/>
                <w:b/>
                <w:bCs/>
                <w:sz w:val="14"/>
              </w:rPr>
              <w:t>RECORD DOWNLOAD DATE</w:t>
            </w:r>
          </w:p>
        </w:tc>
      </w:tr>
      <w:tr w:rsidR="008C1AD8" w:rsidRPr="003E1ADD" w14:paraId="13C73476" w14:textId="77777777" w:rsidTr="00A15226">
        <w:tc>
          <w:tcPr>
            <w:tcW w:w="1526" w:type="dxa"/>
            <w:vMerge/>
            <w:vAlign w:val="center"/>
          </w:tcPr>
          <w:p w14:paraId="684F2D93" w14:textId="77777777" w:rsidR="008C1AD8" w:rsidRDefault="008C1AD8" w:rsidP="00A15226">
            <w:pPr>
              <w:pStyle w:val="Tabletext"/>
              <w:rPr>
                <w:rFonts w:ascii="Helvetica" w:hAnsi="Helvetica"/>
                <w:b/>
                <w:bCs/>
                <w:sz w:val="14"/>
              </w:rPr>
            </w:pPr>
          </w:p>
        </w:tc>
        <w:tc>
          <w:tcPr>
            <w:tcW w:w="8113" w:type="dxa"/>
            <w:vAlign w:val="center"/>
          </w:tcPr>
          <w:p w14:paraId="40944927" w14:textId="77777777" w:rsidR="008C1AD8" w:rsidRPr="00BB022D" w:rsidRDefault="008C1AD8" w:rsidP="00A15226">
            <w:pPr>
              <w:pStyle w:val="Tabletext"/>
            </w:pPr>
            <w:r>
              <w:t>VBA records for Blue-winged Parrot used in this assessment were downloaded in May 2023</w:t>
            </w:r>
          </w:p>
        </w:tc>
      </w:tr>
      <w:tr w:rsidR="008C1AD8" w:rsidRPr="003E1ADD" w14:paraId="5A8E37BE" w14:textId="77777777" w:rsidTr="00A15226">
        <w:tc>
          <w:tcPr>
            <w:tcW w:w="1526" w:type="dxa"/>
            <w:vMerge/>
            <w:vAlign w:val="center"/>
          </w:tcPr>
          <w:p w14:paraId="5C345DCB"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5FFF2729" w14:textId="77777777" w:rsidR="008C1AD8" w:rsidRPr="00BB022D" w:rsidRDefault="008C1AD8" w:rsidP="00A15226">
            <w:pPr>
              <w:pStyle w:val="Bullet1"/>
              <w:numPr>
                <w:ilvl w:val="0"/>
                <w:numId w:val="0"/>
              </w:numPr>
              <w:ind w:left="360" w:hanging="360"/>
            </w:pPr>
            <w:r>
              <w:rPr>
                <w:rFonts w:ascii="Helvetica" w:hAnsi="Helvetica"/>
                <w:b/>
                <w:bCs/>
                <w:sz w:val="14"/>
              </w:rPr>
              <w:t>METHOD FOR IDENTIFYING POPULATIONS</w:t>
            </w:r>
          </w:p>
        </w:tc>
      </w:tr>
      <w:tr w:rsidR="008C1AD8" w:rsidRPr="003E1ADD" w14:paraId="4A418230" w14:textId="77777777" w:rsidTr="00A15226">
        <w:tc>
          <w:tcPr>
            <w:tcW w:w="1526" w:type="dxa"/>
            <w:vMerge/>
            <w:vAlign w:val="center"/>
          </w:tcPr>
          <w:p w14:paraId="1CFD6ACA" w14:textId="77777777" w:rsidR="008C1AD8" w:rsidRDefault="008C1AD8" w:rsidP="00A15226">
            <w:pPr>
              <w:pStyle w:val="Tabletext"/>
              <w:rPr>
                <w:rFonts w:ascii="Helvetica" w:hAnsi="Helvetica"/>
                <w:b/>
                <w:bCs/>
                <w:sz w:val="14"/>
              </w:rPr>
            </w:pPr>
          </w:p>
        </w:tc>
        <w:tc>
          <w:tcPr>
            <w:tcW w:w="8113" w:type="dxa"/>
            <w:vAlign w:val="center"/>
          </w:tcPr>
          <w:p w14:paraId="40F6770A" w14:textId="77777777" w:rsidR="008C1AD8" w:rsidRPr="00BB022D" w:rsidRDefault="008C1AD8" w:rsidP="00A15226">
            <w:pPr>
              <w:pStyle w:val="Tabletext"/>
            </w:pPr>
            <w:r>
              <w:t>The records of Blue-Winged Parrot within the Study Area are considered to be one population</w:t>
            </w:r>
          </w:p>
        </w:tc>
      </w:tr>
    </w:tbl>
    <w:p w14:paraId="4E2C572F"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6C72387C" w14:textId="77777777" w:rsidTr="00A15226">
        <w:tc>
          <w:tcPr>
            <w:tcW w:w="9622" w:type="dxa"/>
            <w:shd w:val="clear" w:color="auto" w:fill="C9C9C9" w:themeFill="accent3" w:themeFillTint="99"/>
          </w:tcPr>
          <w:p w14:paraId="1619878F" w14:textId="77777777" w:rsidR="008C1AD8" w:rsidRPr="008F55BC" w:rsidRDefault="008C1AD8"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74EDEE72" w14:textId="77777777" w:rsidR="008C1AD8" w:rsidRDefault="008C1AD8" w:rsidP="008C1AD8">
      <w:pPr>
        <w:rPr>
          <w:i/>
          <w:iCs/>
          <w:color w:val="4472C4" w:themeColor="accent1"/>
        </w:rPr>
      </w:pPr>
      <w:r w:rsidRPr="00BB022D">
        <w:rPr>
          <w:i/>
          <w:iCs/>
          <w:color w:val="4472C4" w:themeColor="accent1"/>
        </w:rPr>
        <w:t xml:space="preserve">This section describes the occurrence of the species in the </w:t>
      </w:r>
      <w:r>
        <w:rPr>
          <w:i/>
          <w:iCs/>
          <w:color w:val="4472C4" w:themeColor="accent1"/>
        </w:rPr>
        <w:t>Study Area based a qualitative description of VBA records and potentially suitable habitat.</w:t>
      </w:r>
    </w:p>
    <w:p w14:paraId="66E17FED" w14:textId="77777777" w:rsidR="008C1AD8" w:rsidRPr="00DB4C57" w:rsidRDefault="008C1AD8" w:rsidP="008C1AD8">
      <w:r w:rsidRPr="009E41C5">
        <w:t>Se</w:t>
      </w:r>
      <w:r w:rsidRPr="00466211">
        <w:t xml:space="preserve">e </w:t>
      </w:r>
      <w:hyperlink r:id="rId39" w:history="1">
        <w:r w:rsidRPr="00466211">
          <w:rPr>
            <w:rStyle w:val="Hyperlink"/>
          </w:rPr>
          <w:t>Map 19-24</w:t>
        </w:r>
      </w:hyperlink>
      <w:r w:rsidRPr="009E41C5">
        <w:t xml:space="preserve"> for a map of records across the Study</w:t>
      </w:r>
      <w:r>
        <w:t xml:space="preserve"> Area</w:t>
      </w:r>
      <w:r w:rsidRPr="009E41C5">
        <w:t>.</w:t>
      </w:r>
    </w:p>
    <w:p w14:paraId="73F59251" w14:textId="77777777" w:rsidR="008C1AD8" w:rsidRDefault="008C1AD8" w:rsidP="008C1AD8">
      <w:pPr>
        <w:pStyle w:val="Heading3"/>
      </w:pPr>
      <w:r>
        <w:t>Records and potentially suitable habitat in the study area</w:t>
      </w:r>
    </w:p>
    <w:p w14:paraId="2EFB2ADB" w14:textId="77777777" w:rsidR="008C1AD8" w:rsidRDefault="008C1AD8" w:rsidP="008C1AD8">
      <w:r w:rsidRPr="00DB4C57">
        <w:t>The species has not been recorded in the Strategic Assessment Area. There are 373 VBA records</w:t>
      </w:r>
      <w:r>
        <w:t xml:space="preserve"> of Blue-winged Parrot within the Study Area. Records occur in higher densities near the wetlands and coastal areas associated with the Port Phillip Bay (Western Shoreline) and Bellarine Peninsula Ramsar site. Fewer records are also scattered across inland parts </w:t>
      </w:r>
      <w:r>
        <w:lastRenderedPageBreak/>
        <w:t>of the Study Area, including in rural pastures, residential areas, woodland remnants and roadside vegetation. The distribution of records across the Study Area reflects the range of habitat types associated with the species. The density of records in wetlands and coastal areas reflects the relative importance of habitat within the Study Area.</w:t>
      </w:r>
    </w:p>
    <w:p w14:paraId="74A7EFF1" w14:textId="77777777" w:rsidR="008C1AD8" w:rsidRDefault="008C1AD8" w:rsidP="008C1AD8">
      <w:r>
        <w:t>Specific habitat mapping or modelling showing the extent of potential habitat for the species across the Study Area has not been developed as part of the Strategic Assessment. Instead:</w:t>
      </w:r>
    </w:p>
    <w:p w14:paraId="69ACEF54" w14:textId="77777777" w:rsidR="008C1AD8" w:rsidRDefault="008C1AD8" w:rsidP="008C1AD8">
      <w:pPr>
        <w:pStyle w:val="Bullet1"/>
      </w:pPr>
      <w:r>
        <w:t>The distribution of VBA records across the Study Area provides an adequate indication of the type and range of habitats used by the species</w:t>
      </w:r>
    </w:p>
    <w:p w14:paraId="2A66503E" w14:textId="77777777" w:rsidR="008C1AD8" w:rsidRDefault="008C1AD8" w:rsidP="008C1AD8">
      <w:pPr>
        <w:pStyle w:val="Bullet1"/>
      </w:pPr>
      <w:r>
        <w:t>The density of records reflects the relative importance of these habitat types, with the more coastal areas preferred habitat with which the birds appear to show greater fidelity</w:t>
      </w:r>
    </w:p>
    <w:p w14:paraId="3221357D" w14:textId="77777777" w:rsidR="008C1AD8" w:rsidRDefault="008C1AD8" w:rsidP="008C1AD8">
      <w:r>
        <w:t>Potentially suitable habitat within the Growth Areas and the Strategic Assessment Areas is likely limited to foraging areas of native and introduced grassland, although the species may utilise more disturbed areas such as rural residential and agricultural land. Although these areas correspond with some aspects of the habitat description in the Conservation Advice, the Strategic Assessment Area is unlikely to provide important habitat for the species given the:</w:t>
      </w:r>
    </w:p>
    <w:p w14:paraId="3F0DC384" w14:textId="77777777" w:rsidR="008C1AD8" w:rsidRDefault="008C1AD8" w:rsidP="008C1AD8">
      <w:pPr>
        <w:pStyle w:val="Bullet1"/>
      </w:pPr>
      <w:r>
        <w:t>Absence of records within the Strategic Assessment Area</w:t>
      </w:r>
    </w:p>
    <w:p w14:paraId="0E128742" w14:textId="77777777" w:rsidR="008C1AD8" w:rsidRDefault="008C1AD8" w:rsidP="008C1AD8">
      <w:pPr>
        <w:pStyle w:val="Bullet1"/>
      </w:pPr>
      <w:r>
        <w:t>Homogeneity of the landscape and broad availability of similar habitat values across the Victorian Volcanic Plains</w:t>
      </w:r>
    </w:p>
    <w:p w14:paraId="77DB9C74" w14:textId="77777777" w:rsidR="008C1AD8" w:rsidRDefault="008C1AD8" w:rsidP="008C1AD8">
      <w:pPr>
        <w:pStyle w:val="Bullet1"/>
      </w:pPr>
      <w:r>
        <w:t>Absence of suitable habitat for breeding, roosting or dispersal within the Strategic Assessment Area</w:t>
      </w:r>
    </w:p>
    <w:p w14:paraId="3F0E1829" w14:textId="77777777" w:rsidR="008C1AD8" w:rsidRDefault="008C1AD8" w:rsidP="008C1AD8">
      <w:pPr>
        <w:pStyle w:val="Bullet1"/>
      </w:pPr>
      <w:r>
        <w:t xml:space="preserve">Ecology of the species. It is highly mobile and may travel up to 100 km inland for foraging habitat </w:t>
      </w:r>
      <w:sdt>
        <w:sdtPr>
          <w:rPr>
            <w:color w:val="000000"/>
          </w:rPr>
          <w:tag w:val="MENDELEY_CITATION_v3_eyJjaXRhdGlvbklEIjoiTUVOREVMRVlfQ0lUQVRJT05fYTgyMGNhMGQtM2M3Zi00ZDk1LTk4ZDktMWJmZTg3NTE1OTJiIiwicHJvcGVydGllcyI6eyJub3RlSW5kZXgiOjB9LCJpc0VkaXRlZCI6ZmFsc2UsIm1hbnVhbE92ZXJyaWRlIjp7ImlzTWFudWFsbHlPdmVycmlkZGVuIjpmYWxzZSwiY2l0ZXByb2NUZXh0IjoiKERDQ0VFVywgMjAyMyki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39911547"/>
          <w:placeholder>
            <w:docPart w:val="53263D66753F864BA248D609BD120A46"/>
          </w:placeholder>
        </w:sdtPr>
        <w:sdtContent>
          <w:r w:rsidRPr="00273871">
            <w:rPr>
              <w:color w:val="000000"/>
            </w:rPr>
            <w:t>(DCCEEW, 2023)</w:t>
          </w:r>
        </w:sdtContent>
      </w:sdt>
    </w:p>
    <w:p w14:paraId="1AC1A6B4" w14:textId="77777777" w:rsidR="008C1AD8" w:rsidRDefault="008C1AD8" w:rsidP="008C1AD8">
      <w:pPr>
        <w:pStyle w:val="Bullet1"/>
      </w:pPr>
      <w:r>
        <w:t>Species does not have restricted foraging habitat and demonstrates a level of versatility in the types of environments used for foraging</w:t>
      </w:r>
    </w:p>
    <w:p w14:paraId="1224F7A6" w14:textId="77777777" w:rsidR="008C1AD8" w:rsidRPr="000816D6"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5DE1A1E1" w14:textId="77777777" w:rsidTr="00A15226">
        <w:tc>
          <w:tcPr>
            <w:tcW w:w="9632" w:type="dxa"/>
            <w:shd w:val="clear" w:color="auto" w:fill="D9D9D9" w:themeFill="background1" w:themeFillShade="D9"/>
            <w:vAlign w:val="center"/>
          </w:tcPr>
          <w:p w14:paraId="2F3D4DE2" w14:textId="77777777" w:rsidR="008C1AD8" w:rsidRPr="000816D6" w:rsidRDefault="008C1AD8" w:rsidP="00A15226">
            <w:pPr>
              <w:pStyle w:val="TableHeadingLarge"/>
              <w:rPr>
                <w:rFonts w:ascii="Helvetica" w:hAnsi="Helvetica"/>
              </w:rPr>
            </w:pPr>
            <w:r w:rsidRPr="0070691B">
              <w:rPr>
                <w:rFonts w:ascii="Helvetica" w:hAnsi="Helvetica"/>
              </w:rPr>
              <w:t>ANAL</w:t>
            </w:r>
            <w:r>
              <w:rPr>
                <w:rFonts w:ascii="Helvetica" w:hAnsi="Helvetica"/>
              </w:rPr>
              <w:t>YSIS OF POTENTIAL IMPACTS AND OUTCOMES FOR THE SPECIES</w:t>
            </w:r>
            <w:r w:rsidRPr="00C136C5">
              <w:rPr>
                <w:rFonts w:ascii="Helvetica" w:hAnsi="Helvetica"/>
                <w:highlight w:val="yellow"/>
              </w:rPr>
              <w:t xml:space="preserve"> </w:t>
            </w:r>
          </w:p>
        </w:tc>
      </w:tr>
    </w:tbl>
    <w:p w14:paraId="340C1938" w14:textId="77777777" w:rsidR="008C1AD8" w:rsidRPr="008D7256" w:rsidRDefault="008C1AD8" w:rsidP="008C1AD8">
      <w:pPr>
        <w:rPr>
          <w:i/>
          <w:color w:val="4472C4" w:themeColor="accent1"/>
        </w:rPr>
      </w:pPr>
      <w:r w:rsidRPr="000816D6">
        <w:rPr>
          <w:i/>
          <w:color w:val="4472C4" w:themeColor="accent1"/>
        </w:rPr>
        <w:t>This section provides an overview of the potential</w:t>
      </w:r>
      <w:r>
        <w:rPr>
          <w:i/>
          <w:color w:val="4472C4" w:themeColor="accent1"/>
        </w:rPr>
        <w:t xml:space="preserve"> direct and indirect impacts of the Plan on the species, and a discussion of the outcomes of the Plan that are relevant to the species</w:t>
      </w:r>
      <w:r w:rsidRPr="000816D6">
        <w:rPr>
          <w:i/>
          <w:color w:val="4472C4" w:themeColor="accent1"/>
        </w:rPr>
        <w:t>.</w:t>
      </w:r>
    </w:p>
    <w:p w14:paraId="4F304313" w14:textId="77777777" w:rsidR="008C1AD8" w:rsidRDefault="008C1AD8" w:rsidP="008C1AD8">
      <w:pPr>
        <w:pStyle w:val="Heading3"/>
      </w:pPr>
      <w:r>
        <w:t>Avoidance of potential direct impacts to records and suitable habitat</w:t>
      </w:r>
    </w:p>
    <w:p w14:paraId="0989FF8E" w14:textId="77777777" w:rsidR="008C1AD8" w:rsidRPr="00A02F1C" w:rsidRDefault="008C1AD8" w:rsidP="008C1AD8">
      <w:r w:rsidRPr="00A02F1C">
        <w:t>Th</w:t>
      </w:r>
      <w:r>
        <w:t xml:space="preserve">ere will be no direct impacts to areas associated with known records of Blue-winged Parrot under the Plan. However, there may be direct impacts to areas of potential foraging habitat associated with grasslands in the Growth Areas. </w:t>
      </w:r>
    </w:p>
    <w:p w14:paraId="0E1DA149" w14:textId="77777777" w:rsidR="008C1AD8" w:rsidRDefault="008C1AD8" w:rsidP="008C1AD8">
      <w:r>
        <w:t xml:space="preserve">The avoided areas within the NGGA are likely to provide benefits to the species (see </w:t>
      </w:r>
      <w:r w:rsidRPr="009E63A2">
        <w:t>Chapter 16</w:t>
      </w:r>
      <w:r w:rsidRPr="00F867C6">
        <w:t>).</w:t>
      </w:r>
      <w:r>
        <w:t xml:space="preserve"> The NGGA Conservation Area supports </w:t>
      </w:r>
      <w:r w:rsidRPr="009E63A2">
        <w:t>55.1</w:t>
      </w:r>
      <w:r>
        <w:t xml:space="preserve"> ha of native grassland and areas of non-native grassland which may be suitable for the species. These areas will be protected and managed under the Plan. </w:t>
      </w:r>
    </w:p>
    <w:p w14:paraId="21C137ED" w14:textId="77777777" w:rsidR="008C1AD8" w:rsidRDefault="008C1AD8" w:rsidP="008C1AD8">
      <w:pPr>
        <w:pStyle w:val="Heading3"/>
      </w:pPr>
      <w:r>
        <w:t>Relevant potential indirect impacts</w:t>
      </w:r>
    </w:p>
    <w:p w14:paraId="0C8B40BD" w14:textId="77777777" w:rsidR="008C1AD8" w:rsidRDefault="008C1AD8" w:rsidP="008C1AD8">
      <w:r>
        <w:t xml:space="preserve">The Conservation Advice for Blue-winged Parrot identifies a range of threats to the species </w:t>
      </w:r>
      <w:sdt>
        <w:sdtPr>
          <w:rPr>
            <w:color w:val="000000"/>
          </w:rPr>
          <w:tag w:val="MENDELEY_CITATION_v3_eyJjaXRhdGlvbklEIjoiTUVOREVMRVlfQ0lUQVRJT05fYTM0Y2ZlODQtZjVhNS00NzQ5LTkzZTAtZTNjMGQyNjE0YWZi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31932603"/>
          <w:placeholder>
            <w:docPart w:val="876264BD2049534F8CE23A3626FE6B36"/>
          </w:placeholder>
        </w:sdtPr>
        <w:sdtContent>
          <w:r w:rsidRPr="00273871">
            <w:rPr>
              <w:color w:val="000000"/>
            </w:rPr>
            <w:t>(DCCEEW, 2023)</w:t>
          </w:r>
        </w:sdtContent>
      </w:sdt>
      <w:r>
        <w:t>. Development under the Plan is unlikely to either introduce or substantially exacerbate any of these threats on the species within the region. This conclusion is based on the:</w:t>
      </w:r>
    </w:p>
    <w:p w14:paraId="553F4AA1" w14:textId="77777777" w:rsidR="008C1AD8" w:rsidRPr="00D90F18" w:rsidRDefault="008C1AD8" w:rsidP="008C1AD8">
      <w:pPr>
        <w:pStyle w:val="Bullet1"/>
      </w:pPr>
      <w:r>
        <w:t>Broad distribution of records across the Study Area which indicates that the species uses a variety of habitats, is highly mobile and preferentially uses habitats outside the Strategic Assessment Area which are unlikely to be affected by development</w:t>
      </w:r>
    </w:p>
    <w:p w14:paraId="781EF6A0" w14:textId="77777777" w:rsidR="008C1AD8" w:rsidRDefault="008C1AD8" w:rsidP="008C1AD8">
      <w:pPr>
        <w:pStyle w:val="Bullet1"/>
      </w:pPr>
      <w:r>
        <w:t>Landscape context of the existing records in the Study Area including a number of records which are surrounded by or within existing urban development and agricultural land, and therefore already exposed to a range of current threats</w:t>
      </w:r>
    </w:p>
    <w:p w14:paraId="56E846CB" w14:textId="77777777" w:rsidR="008C1AD8" w:rsidRDefault="008C1AD8" w:rsidP="008C1AD8">
      <w:pPr>
        <w:pStyle w:val="Bullet1"/>
      </w:pPr>
      <w:r>
        <w:t>Mitigation measures which are a requirement of the existing planning system and will address and minimise the standard indirect impacts associated with urban development</w:t>
      </w:r>
    </w:p>
    <w:p w14:paraId="27F0BE87" w14:textId="77777777" w:rsidR="008C1AD8" w:rsidRPr="003039B6" w:rsidRDefault="008C1AD8" w:rsidP="008C1AD8">
      <w:r w:rsidRPr="003A2AF0">
        <w:t>Refer to</w:t>
      </w:r>
      <w:r>
        <w:t xml:space="preserve"> </w:t>
      </w:r>
      <w:r w:rsidRPr="00F867C6">
        <w:t xml:space="preserve">Section </w:t>
      </w:r>
      <w:r w:rsidRPr="009E63A2">
        <w:t>17.2</w:t>
      </w:r>
      <w:r w:rsidRPr="00F867C6">
        <w:t xml:space="preserve"> of </w:t>
      </w:r>
      <w:r w:rsidRPr="009E63A2">
        <w:t>Chapter 17</w:t>
      </w:r>
      <w:r w:rsidRPr="00F867C6">
        <w:t xml:space="preserve"> for</w:t>
      </w:r>
      <w:r>
        <w:t xml:space="preserve"> a detailed assessment of potential indirect impacts associated with implementation of the Plan more generally.</w:t>
      </w:r>
    </w:p>
    <w:p w14:paraId="59CA0048" w14:textId="77777777" w:rsidR="008C1AD8" w:rsidRPr="0070691B" w:rsidRDefault="008C1AD8" w:rsidP="008C1AD8">
      <w:pPr>
        <w:pStyle w:val="Heading3"/>
      </w:pPr>
      <w:r>
        <w:lastRenderedPageBreak/>
        <w:t>Offsets provided under the Plan</w:t>
      </w:r>
    </w:p>
    <w:p w14:paraId="3579AFAF" w14:textId="77777777" w:rsidR="008C1AD8" w:rsidRDefault="008C1AD8" w:rsidP="008C1AD8">
      <w:r w:rsidRPr="00DB4C57">
        <w:t>The Plan is unlike</w:t>
      </w:r>
      <w:r>
        <w:t>l</w:t>
      </w:r>
      <w:r w:rsidRPr="00DB4C57">
        <w:t xml:space="preserve">y to lead to residual adverse impacts on the Blue-winged Parrot which would require species-specific offsets. </w:t>
      </w:r>
      <w:r w:rsidRPr="005F3672">
        <w:t>However, it is noted that the Plan will deliver a package of offsets which may provide direct benefits for the</w:t>
      </w:r>
      <w:r>
        <w:t xml:space="preserve"> species. The Blue-winged Parrot is known to use grassy woodland or grassland habitats </w:t>
      </w:r>
      <w:sdt>
        <w:sdtPr>
          <w:rPr>
            <w:color w:val="000000"/>
          </w:rPr>
          <w:tag w:val="MENDELEY_CITATION_v3_eyJjaXRhdGlvbklEIjoiTUVOREVMRVlfQ0lUQVRJT05fMjYwNTVhMTktNTUwYS00Y2U3LTlmYjItMjhjYTI3NTQ5MDFm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999111550"/>
          <w:placeholder>
            <w:docPart w:val="876264BD2049534F8CE23A3626FE6B36"/>
          </w:placeholder>
        </w:sdtPr>
        <w:sdtContent>
          <w:r w:rsidRPr="00273871">
            <w:rPr>
              <w:color w:val="000000"/>
            </w:rPr>
            <w:t>(DCCEEW, 2023)</w:t>
          </w:r>
        </w:sdtContent>
      </w:sdt>
      <w:r>
        <w:t>. Offsets delivered under the Plan will include areas of potential habitat within the range of the Blue-winged Parrot associated with the following:</w:t>
      </w:r>
    </w:p>
    <w:p w14:paraId="1855AB23" w14:textId="77777777" w:rsidR="008C1AD8" w:rsidRDefault="008C1AD8" w:rsidP="008C1AD8">
      <w:pPr>
        <w:pStyle w:val="Bullet1"/>
      </w:pPr>
      <w:r>
        <w:t>45 ha of Natural Temperate Grassland</w:t>
      </w:r>
    </w:p>
    <w:p w14:paraId="29931A09" w14:textId="77777777" w:rsidR="008C1AD8" w:rsidRDefault="008C1AD8" w:rsidP="008C1AD8">
      <w:pPr>
        <w:pStyle w:val="Bullet1"/>
      </w:pPr>
      <w:r>
        <w:t>585 ha of known habitat for the Golden Sun Moth</w:t>
      </w:r>
    </w:p>
    <w:p w14:paraId="0B5A8737" w14:textId="77777777" w:rsidR="008C1AD8" w:rsidRDefault="008C1AD8" w:rsidP="008C1AD8">
      <w:pPr>
        <w:pStyle w:val="Bullet1"/>
      </w:pPr>
      <w:r>
        <w:t>375 ha of known habitat for the Striped Legless Lizard</w:t>
      </w:r>
    </w:p>
    <w:p w14:paraId="2B020872" w14:textId="77777777" w:rsidR="008C1AD8" w:rsidRPr="00C136C5" w:rsidRDefault="008C1AD8" w:rsidP="008C1AD8">
      <w:pPr>
        <w:pStyle w:val="Heading3"/>
      </w:pPr>
      <w:r>
        <w:t>Summary of potential impacts and outcomes for the species</w:t>
      </w:r>
    </w:p>
    <w:p w14:paraId="080AD17D" w14:textId="77777777" w:rsidR="008C1AD8" w:rsidRDefault="008C1AD8" w:rsidP="008C1AD8">
      <w:r w:rsidRPr="008D7256">
        <w:t xml:space="preserve">Overall, the </w:t>
      </w:r>
      <w:r>
        <w:t>P</w:t>
      </w:r>
      <w:r w:rsidRPr="008D7256">
        <w:t>lan is unlikely to lead to residual adverse impacts</w:t>
      </w:r>
      <w:r>
        <w:t xml:space="preserve"> for Blue-winged Parrot. The impact assessment presented here concludes that:</w:t>
      </w:r>
    </w:p>
    <w:p w14:paraId="2213543F" w14:textId="77777777" w:rsidR="008C1AD8" w:rsidRDefault="008C1AD8" w:rsidP="008C1AD8">
      <w:pPr>
        <w:pStyle w:val="Bullet1"/>
      </w:pPr>
      <w:r>
        <w:t>Development under the Plan will not directly impact areas which are known to be used by the Blue-Winged Parrot</w:t>
      </w:r>
    </w:p>
    <w:p w14:paraId="5A93B254" w14:textId="77777777" w:rsidR="008C1AD8" w:rsidRDefault="008C1AD8" w:rsidP="008C1AD8">
      <w:pPr>
        <w:pStyle w:val="Bullet1"/>
      </w:pPr>
      <w:r>
        <w:t>Loss of potential foraging habitat within the Growth Areas is unlikely to affect the species given the reduced relative importance of the potential habitat compared with preferred coastal areas, the broad availability of similar habitat values across the landscape and the dispersal capacity of the species</w:t>
      </w:r>
    </w:p>
    <w:p w14:paraId="6F2D1841" w14:textId="77777777" w:rsidR="008C1AD8" w:rsidRDefault="008C1AD8" w:rsidP="008C1AD8">
      <w:pPr>
        <w:pStyle w:val="Bullet1"/>
      </w:pPr>
      <w:r>
        <w:t>Potential indirect impacts to the species are unlikely and any residual indirect impacts will be managed by mitigation measures under the Plan</w:t>
      </w:r>
    </w:p>
    <w:p w14:paraId="30086A5A" w14:textId="77777777" w:rsidR="008C1AD8" w:rsidRDefault="008C1AD8" w:rsidP="008C1AD8">
      <w:pPr>
        <w:pStyle w:val="Bullet1"/>
      </w:pPr>
      <w:r>
        <w:t>The Plan may provide benefits to the species through the protection of grassland habitat including:</w:t>
      </w:r>
    </w:p>
    <w:p w14:paraId="4DE4D862" w14:textId="77777777" w:rsidR="008C1AD8" w:rsidRPr="00F867C6" w:rsidRDefault="008C1AD8" w:rsidP="008C1AD8">
      <w:pPr>
        <w:pStyle w:val="Bullet2"/>
      </w:pPr>
      <w:r w:rsidRPr="00F867C6">
        <w:t xml:space="preserve">The avoidance of </w:t>
      </w:r>
      <w:r w:rsidRPr="009E63A2">
        <w:t>108.6</w:t>
      </w:r>
      <w:r w:rsidRPr="00F867C6">
        <w:t xml:space="preserve"> ha of native and introduced grassland in the NGGA </w:t>
      </w:r>
      <w:r>
        <w:t>C</w:t>
      </w:r>
      <w:r w:rsidRPr="00F867C6">
        <w:t xml:space="preserve">onservation </w:t>
      </w:r>
      <w:r>
        <w:t>Area</w:t>
      </w:r>
    </w:p>
    <w:p w14:paraId="5F4E11B3" w14:textId="77777777" w:rsidR="008C1AD8" w:rsidRDefault="008C1AD8" w:rsidP="008C1AD8">
      <w:pPr>
        <w:pStyle w:val="Bullet2"/>
      </w:pPr>
      <w:r>
        <w:t>The offsetting of strategic areas of native grassland within the range of the species through other commonwealth offset commitments</w:t>
      </w:r>
    </w:p>
    <w:p w14:paraId="5109E1A8" w14:textId="77777777" w:rsidR="008C1AD8" w:rsidRPr="00645381" w:rsidRDefault="008C1AD8" w:rsidP="008C1AD8">
      <w:pPr>
        <w:pStyle w:val="Heading3"/>
      </w:pPr>
      <w:r w:rsidRPr="00645381">
        <w:t>Consistency with recovery plan</w:t>
      </w:r>
    </w:p>
    <w:p w14:paraId="0322DDE0" w14:textId="77777777" w:rsidR="008C1AD8" w:rsidRPr="00645381" w:rsidRDefault="008C1AD8" w:rsidP="008C1AD8">
      <w:r w:rsidRPr="00645381">
        <w:t>There is no adopted or made Recovery Plan for this species.</w:t>
      </w:r>
    </w:p>
    <w:p w14:paraId="6BA686CE" w14:textId="77777777" w:rsidR="008C1AD8" w:rsidRPr="00645381" w:rsidRDefault="008C1AD8" w:rsidP="008C1AD8">
      <w:pPr>
        <w:pStyle w:val="Heading3"/>
      </w:pPr>
      <w:r w:rsidRPr="00645381">
        <w:t>Key threatening processes and consistency with Threat Abatement Plans</w:t>
      </w:r>
    </w:p>
    <w:p w14:paraId="6E8E8206" w14:textId="77777777" w:rsidR="008C1AD8" w:rsidRPr="00645381" w:rsidRDefault="008C1AD8" w:rsidP="008C1AD8">
      <w:r w:rsidRPr="00645381">
        <w:t>Relevant Key Threatening Processes (KTPs) and any of their associated Threat Abatement Plans (TAPs) have been identified i</w:t>
      </w:r>
      <w:r>
        <w:t xml:space="preserve">n </w:t>
      </w:r>
      <w:r>
        <w:fldChar w:fldCharType="begin"/>
      </w:r>
      <w:r>
        <w:instrText xml:space="preserve"> REF _Ref135122588 \h </w:instrText>
      </w:r>
      <w:r>
        <w:fldChar w:fldCharType="separate"/>
      </w:r>
      <w:r w:rsidRPr="00645381">
        <w:t xml:space="preserve">Table </w:t>
      </w:r>
      <w:r>
        <w:rPr>
          <w:noProof/>
        </w:rPr>
        <w:t>19</w:t>
      </w:r>
      <w:r>
        <w:noBreakHyphen/>
      </w:r>
      <w:r>
        <w:rPr>
          <w:noProof/>
        </w:rPr>
        <w:t>6</w:t>
      </w:r>
      <w:r>
        <w:fldChar w:fldCharType="end"/>
      </w:r>
      <w:r>
        <w:t xml:space="preserve"> </w:t>
      </w:r>
      <w:r w:rsidRPr="00645381">
        <w:t>where they relate to:</w:t>
      </w:r>
    </w:p>
    <w:p w14:paraId="6C1F143E" w14:textId="77777777" w:rsidR="008C1AD8" w:rsidRPr="00645381" w:rsidRDefault="008C1AD8" w:rsidP="008C1AD8">
      <w:pPr>
        <w:pStyle w:val="Bullet1"/>
      </w:pPr>
      <w:r w:rsidRPr="00645381">
        <w:t>The potential direct impacts of the Plan, or</w:t>
      </w:r>
    </w:p>
    <w:p w14:paraId="7F58764C" w14:textId="77777777" w:rsidR="008C1AD8" w:rsidRPr="00645381" w:rsidRDefault="008C1AD8" w:rsidP="008C1AD8">
      <w:pPr>
        <w:pStyle w:val="Bullet1"/>
      </w:pPr>
      <w:r w:rsidRPr="00645381">
        <w:t>The relevant indirect impacts</w:t>
      </w:r>
    </w:p>
    <w:p w14:paraId="7FBF3179" w14:textId="77777777" w:rsidR="008C1AD8" w:rsidRPr="00645381" w:rsidRDefault="008C1AD8" w:rsidP="008C1AD8">
      <w:pPr>
        <w:pStyle w:val="Caption"/>
        <w:keepNext/>
      </w:pPr>
      <w:bookmarkStart w:id="85" w:name="_Ref135122588"/>
      <w:bookmarkStart w:id="86" w:name="_Toc135122722"/>
      <w:r w:rsidRPr="00645381">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6</w:t>
      </w:r>
      <w:r>
        <w:fldChar w:fldCharType="end"/>
      </w:r>
      <w:bookmarkEnd w:id="85"/>
      <w:r w:rsidRPr="00645381">
        <w:t>: Relevant Key Threatening Processes and associated Threat Abatement Plans for the Blue-winged Parrot</w:t>
      </w:r>
      <w:bookmarkEnd w:id="86"/>
    </w:p>
    <w:tbl>
      <w:tblPr>
        <w:tblStyle w:val="TableGrid"/>
        <w:tblW w:w="0" w:type="auto"/>
        <w:tblLook w:val="04A0" w:firstRow="1" w:lastRow="0" w:firstColumn="1" w:lastColumn="0" w:noHBand="0" w:noVBand="1"/>
      </w:tblPr>
      <w:tblGrid>
        <w:gridCol w:w="4684"/>
        <w:gridCol w:w="4938"/>
      </w:tblGrid>
      <w:tr w:rsidR="008C1AD8" w:rsidRPr="00645381" w14:paraId="5E110238" w14:textId="77777777" w:rsidTr="00A15226">
        <w:trPr>
          <w:tblHeader/>
        </w:trPr>
        <w:tc>
          <w:tcPr>
            <w:tcW w:w="4684" w:type="dxa"/>
            <w:shd w:val="clear" w:color="auto" w:fill="DBDBDB" w:themeFill="accent3" w:themeFillTint="66"/>
          </w:tcPr>
          <w:p w14:paraId="64D9F680" w14:textId="77777777" w:rsidR="008C1AD8" w:rsidRPr="00645381" w:rsidRDefault="008C1AD8" w:rsidP="00A15226">
            <w:pPr>
              <w:pStyle w:val="Tabletext"/>
              <w:rPr>
                <w:b/>
                <w:bCs/>
              </w:rPr>
            </w:pPr>
            <w:r w:rsidRPr="00645381">
              <w:rPr>
                <w:b/>
                <w:bCs/>
              </w:rPr>
              <w:t>Key threatening process</w:t>
            </w:r>
          </w:p>
        </w:tc>
        <w:tc>
          <w:tcPr>
            <w:tcW w:w="4938" w:type="dxa"/>
            <w:shd w:val="clear" w:color="auto" w:fill="DBDBDB" w:themeFill="accent3" w:themeFillTint="66"/>
          </w:tcPr>
          <w:p w14:paraId="18D27CF8" w14:textId="77777777" w:rsidR="008C1AD8" w:rsidRPr="00645381" w:rsidRDefault="008C1AD8" w:rsidP="00A15226">
            <w:pPr>
              <w:pStyle w:val="Tabletext"/>
              <w:rPr>
                <w:b/>
                <w:bCs/>
              </w:rPr>
            </w:pPr>
            <w:r w:rsidRPr="00645381">
              <w:rPr>
                <w:b/>
                <w:bCs/>
              </w:rPr>
              <w:t>Threat abatement plan</w:t>
            </w:r>
          </w:p>
        </w:tc>
      </w:tr>
      <w:tr w:rsidR="008C1AD8" w:rsidRPr="00645381" w14:paraId="7B64EE29" w14:textId="77777777" w:rsidTr="00A15226">
        <w:tc>
          <w:tcPr>
            <w:tcW w:w="4684" w:type="dxa"/>
            <w:vAlign w:val="center"/>
          </w:tcPr>
          <w:p w14:paraId="4D8F0D2A" w14:textId="77777777" w:rsidR="008C1AD8" w:rsidRPr="00645381" w:rsidRDefault="008C1AD8" w:rsidP="00A15226">
            <w:pPr>
              <w:pStyle w:val="Tabletext"/>
            </w:pPr>
            <w:r w:rsidRPr="00645381">
              <w:t>Fire regimes that cause declines in biodiversity</w:t>
            </w:r>
          </w:p>
        </w:tc>
        <w:tc>
          <w:tcPr>
            <w:tcW w:w="4938" w:type="dxa"/>
          </w:tcPr>
          <w:p w14:paraId="03F8D08A" w14:textId="77777777" w:rsidR="008C1AD8" w:rsidRPr="00645381" w:rsidRDefault="008C1AD8" w:rsidP="00A15226">
            <w:pPr>
              <w:pStyle w:val="Tabletext"/>
              <w:rPr>
                <w:iCs/>
              </w:rPr>
            </w:pPr>
            <w:r w:rsidRPr="00645381">
              <w:t>There is no relevant TAP</w:t>
            </w:r>
          </w:p>
        </w:tc>
      </w:tr>
      <w:tr w:rsidR="008C1AD8" w:rsidRPr="00645381" w14:paraId="77C56A51" w14:textId="77777777" w:rsidTr="00A15226">
        <w:tc>
          <w:tcPr>
            <w:tcW w:w="4684" w:type="dxa"/>
            <w:vAlign w:val="center"/>
          </w:tcPr>
          <w:p w14:paraId="6A11854A" w14:textId="77777777" w:rsidR="008C1AD8" w:rsidRPr="00645381" w:rsidRDefault="008C1AD8" w:rsidP="00A15226">
            <w:pPr>
              <w:pStyle w:val="Tabletext"/>
            </w:pPr>
            <w:r w:rsidRPr="00645381">
              <w:t>Land clearance</w:t>
            </w:r>
          </w:p>
        </w:tc>
        <w:tc>
          <w:tcPr>
            <w:tcW w:w="4938" w:type="dxa"/>
            <w:vAlign w:val="center"/>
          </w:tcPr>
          <w:p w14:paraId="3D336563" w14:textId="77777777" w:rsidR="008C1AD8" w:rsidRPr="00645381" w:rsidRDefault="008C1AD8" w:rsidP="00A15226">
            <w:pPr>
              <w:pStyle w:val="Tabletext"/>
            </w:pPr>
            <w:r w:rsidRPr="00645381">
              <w:t>There is no relevant TAP</w:t>
            </w:r>
          </w:p>
        </w:tc>
      </w:tr>
      <w:tr w:rsidR="008C1AD8" w:rsidRPr="00645381" w14:paraId="7551B951" w14:textId="77777777" w:rsidTr="00A15226">
        <w:tc>
          <w:tcPr>
            <w:tcW w:w="4684" w:type="dxa"/>
            <w:vAlign w:val="center"/>
          </w:tcPr>
          <w:p w14:paraId="6B8CA015" w14:textId="77777777" w:rsidR="008C1AD8" w:rsidRPr="00645381" w:rsidRDefault="008C1AD8" w:rsidP="00A15226">
            <w:pPr>
              <w:pStyle w:val="Tabletext"/>
            </w:pPr>
            <w:r w:rsidRPr="00645381">
              <w:t>Loss of climatic habitat caused by anthropogenic emissions of greenhouse gases</w:t>
            </w:r>
          </w:p>
        </w:tc>
        <w:tc>
          <w:tcPr>
            <w:tcW w:w="4938" w:type="dxa"/>
            <w:vAlign w:val="center"/>
          </w:tcPr>
          <w:p w14:paraId="0CE62CCF" w14:textId="77777777" w:rsidR="008C1AD8" w:rsidRPr="00645381" w:rsidRDefault="008C1AD8" w:rsidP="00A15226">
            <w:pPr>
              <w:pStyle w:val="Tabletext"/>
            </w:pPr>
            <w:r w:rsidRPr="00645381">
              <w:t>There is no relevant TAP</w:t>
            </w:r>
          </w:p>
        </w:tc>
      </w:tr>
      <w:tr w:rsidR="008C1AD8" w:rsidRPr="00645381" w14:paraId="48FF578D" w14:textId="77777777" w:rsidTr="00A15226">
        <w:tc>
          <w:tcPr>
            <w:tcW w:w="4684" w:type="dxa"/>
          </w:tcPr>
          <w:p w14:paraId="5B3F5A80" w14:textId="77777777" w:rsidR="008C1AD8" w:rsidRPr="00645381" w:rsidRDefault="008C1AD8" w:rsidP="00A15226">
            <w:pPr>
              <w:pStyle w:val="Tabletext"/>
            </w:pPr>
            <w:r w:rsidRPr="00645381">
              <w:t>Novel biota and their impact on biodiversity</w:t>
            </w:r>
          </w:p>
        </w:tc>
        <w:tc>
          <w:tcPr>
            <w:tcW w:w="4938" w:type="dxa"/>
          </w:tcPr>
          <w:p w14:paraId="287FC6EE" w14:textId="77777777" w:rsidR="008C1AD8" w:rsidRPr="00645381" w:rsidRDefault="008C1AD8" w:rsidP="00A15226">
            <w:pPr>
              <w:pStyle w:val="Tabletext"/>
            </w:pPr>
            <w:r w:rsidRPr="00645381">
              <w:t>There is no relevant TAP</w:t>
            </w:r>
          </w:p>
        </w:tc>
      </w:tr>
      <w:tr w:rsidR="008C1AD8" w:rsidRPr="00645381" w14:paraId="0C81C6B8" w14:textId="77777777" w:rsidTr="00A15226">
        <w:tc>
          <w:tcPr>
            <w:tcW w:w="4684" w:type="dxa"/>
            <w:vAlign w:val="center"/>
          </w:tcPr>
          <w:p w14:paraId="06CE93D1" w14:textId="77777777" w:rsidR="008C1AD8" w:rsidRPr="00645381" w:rsidRDefault="008C1AD8" w:rsidP="00A15226">
            <w:pPr>
              <w:pStyle w:val="Tabletext"/>
            </w:pPr>
            <w:r w:rsidRPr="00645381">
              <w:t>Predation by feral cats</w:t>
            </w:r>
          </w:p>
        </w:tc>
        <w:tc>
          <w:tcPr>
            <w:tcW w:w="4938" w:type="dxa"/>
          </w:tcPr>
          <w:p w14:paraId="3E09795D" w14:textId="77777777" w:rsidR="008C1AD8" w:rsidRPr="00645381" w:rsidRDefault="008C1AD8" w:rsidP="00A15226">
            <w:pPr>
              <w:pStyle w:val="Tabletext"/>
            </w:pPr>
            <w:r w:rsidRPr="00645381">
              <w:rPr>
                <w:iCs/>
              </w:rPr>
              <w:t xml:space="preserve">Threat abatement plan for predation by feral cats </w:t>
            </w:r>
            <w:sdt>
              <w:sdtPr>
                <w:rPr>
                  <w:iCs/>
                  <w:color w:val="000000"/>
                </w:rPr>
                <w:tag w:val="MENDELEY_CITATION_v3_eyJjaXRhdGlvbklEIjoiTUVOREVMRVlfQ0lUQVRJT05fZDBmM2NlOWQtMjAxMy00MWExLWE0MjYtYzA1Zjg5YjFmNzExIiwicHJvcGVydGllcyI6eyJub3RlSW5kZXgiOjB9LCJpc0VkaXRlZCI6ZmFsc2UsIm1hbnVhbE92ZXJyaWRlIjp7ImNpdGVwcm9jVGV4dCI6IihEb0UsIDIwMTVj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1210250416"/>
                <w:placeholder>
                  <w:docPart w:val="876264BD2049534F8CE23A3626FE6B36"/>
                </w:placeholder>
              </w:sdtPr>
              <w:sdtEndPr>
                <w:rPr>
                  <w:iCs w:val="0"/>
                </w:rPr>
              </w:sdtEndPr>
              <w:sdtContent>
                <w:r w:rsidRPr="00273871">
                  <w:rPr>
                    <w:color w:val="000000"/>
                  </w:rPr>
                  <w:t>(DoE, 2015c)</w:t>
                </w:r>
              </w:sdtContent>
            </w:sdt>
          </w:p>
        </w:tc>
      </w:tr>
      <w:tr w:rsidR="008C1AD8" w:rsidRPr="00645381" w14:paraId="73B4CA9F" w14:textId="77777777" w:rsidTr="00A15226">
        <w:tc>
          <w:tcPr>
            <w:tcW w:w="4684" w:type="dxa"/>
            <w:vAlign w:val="center"/>
          </w:tcPr>
          <w:p w14:paraId="69B143D4" w14:textId="77777777" w:rsidR="008C1AD8" w:rsidRPr="00645381" w:rsidRDefault="008C1AD8" w:rsidP="00A15226">
            <w:pPr>
              <w:pStyle w:val="Tabletext"/>
            </w:pPr>
            <w:r w:rsidRPr="00645381">
              <w:t>Predation by the European red fox</w:t>
            </w:r>
          </w:p>
        </w:tc>
        <w:tc>
          <w:tcPr>
            <w:tcW w:w="4938" w:type="dxa"/>
          </w:tcPr>
          <w:p w14:paraId="508404B1" w14:textId="77777777" w:rsidR="008C1AD8" w:rsidRPr="00645381" w:rsidRDefault="008C1AD8" w:rsidP="00A15226">
            <w:pPr>
              <w:pStyle w:val="Tabletext"/>
            </w:pPr>
            <w:r w:rsidRPr="00645381">
              <w:rPr>
                <w:iCs/>
              </w:rPr>
              <w:t xml:space="preserve">Threat abatement plan for predation by the European red fox </w:t>
            </w:r>
            <w:sdt>
              <w:sdtPr>
                <w:rPr>
                  <w:iCs/>
                  <w:color w:val="000000"/>
                </w:rPr>
                <w:tag w:val="MENDELEY_CITATION_v3_eyJjaXRhdGlvbklEIjoiTUVOREVMRVlfQ0lUQVRJT05fMzNkZDljMTAtMDI2My00YjFjLWEwMmUtNjRlMmE4OGFjYTFiIiwicHJvcGVydGllcyI6eyJub3RlSW5kZXgiOjB9LCJpc0VkaXRlZCI6ZmFsc2UsIm1hbnVhbE92ZXJyaWRlIjp7ImNpdGVwcm9jVGV4dCI6IihERVdIQSwgMjAwOGQ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401331964"/>
                <w:placeholder>
                  <w:docPart w:val="876264BD2049534F8CE23A3626FE6B36"/>
                </w:placeholder>
              </w:sdtPr>
              <w:sdtEndPr>
                <w:rPr>
                  <w:iCs w:val="0"/>
                </w:rPr>
              </w:sdtEndPr>
              <w:sdtContent>
                <w:r w:rsidRPr="00273871">
                  <w:rPr>
                    <w:color w:val="000000"/>
                  </w:rPr>
                  <w:t>(DEWHA, 2008d)</w:t>
                </w:r>
              </w:sdtContent>
            </w:sdt>
          </w:p>
        </w:tc>
      </w:tr>
      <w:tr w:rsidR="008C1AD8" w14:paraId="4544967F" w14:textId="77777777" w:rsidTr="00A15226">
        <w:tc>
          <w:tcPr>
            <w:tcW w:w="4684" w:type="dxa"/>
            <w:vAlign w:val="center"/>
          </w:tcPr>
          <w:p w14:paraId="79CE2B2C" w14:textId="77777777" w:rsidR="008C1AD8" w:rsidRPr="00645381" w:rsidRDefault="008C1AD8" w:rsidP="00A15226">
            <w:pPr>
              <w:pStyle w:val="Tabletext"/>
            </w:pPr>
            <w:r w:rsidRPr="00645381">
              <w:t>Psittacine Circoviral (beak and feather) Disease affecting endangered psittacine species</w:t>
            </w:r>
          </w:p>
        </w:tc>
        <w:tc>
          <w:tcPr>
            <w:tcW w:w="4938" w:type="dxa"/>
          </w:tcPr>
          <w:p w14:paraId="755B2919" w14:textId="77777777" w:rsidR="008C1AD8" w:rsidRPr="008A3EC7" w:rsidRDefault="008C1AD8" w:rsidP="00A15226">
            <w:pPr>
              <w:pStyle w:val="Tabletext"/>
              <w:rPr>
                <w:iCs/>
              </w:rPr>
            </w:pPr>
            <w:r w:rsidRPr="00645381">
              <w:t>There is no relevant TAP</w:t>
            </w:r>
          </w:p>
        </w:tc>
      </w:tr>
    </w:tbl>
    <w:p w14:paraId="734E6E0F" w14:textId="77777777" w:rsidR="008C1AD8" w:rsidRDefault="008C1AD8" w:rsidP="008C1AD8">
      <w:pPr>
        <w:tabs>
          <w:tab w:val="clear" w:pos="4962"/>
        </w:tabs>
        <w:spacing w:before="0" w:after="0" w:line="240" w:lineRule="auto"/>
      </w:pPr>
      <w:r>
        <w:br w:type="page"/>
      </w:r>
    </w:p>
    <w:p w14:paraId="22E1332E" w14:textId="77777777" w:rsidR="008C1AD8" w:rsidRPr="00A979B0" w:rsidRDefault="008C1AD8" w:rsidP="008C1AD8">
      <w:pPr>
        <w:pStyle w:val="Heading2"/>
        <w:numPr>
          <w:ilvl w:val="0"/>
          <w:numId w:val="0"/>
        </w:numPr>
        <w:shd w:val="clear" w:color="auto" w:fill="B4C6E7" w:themeFill="accent1" w:themeFillTint="66"/>
      </w:pPr>
      <w:bookmarkStart w:id="87" w:name="_Toc135122677"/>
      <w:r>
        <w:lastRenderedPageBreak/>
        <w:t>Occur outside the Growth Areas</w:t>
      </w:r>
      <w:bookmarkEnd w:id="87"/>
    </w:p>
    <w:p w14:paraId="34753D9C" w14:textId="77777777" w:rsidR="008C1AD8" w:rsidRDefault="008C1AD8" w:rsidP="008C1AD8">
      <w:pPr>
        <w:pStyle w:val="Heading2"/>
      </w:pPr>
      <w:bookmarkStart w:id="88" w:name="_Toc115945704"/>
      <w:bookmarkStart w:id="89" w:name="_Ref116483041"/>
      <w:bookmarkStart w:id="90" w:name="_Toc135122678"/>
      <w:r>
        <w:t>Combined species assessment</w:t>
      </w:r>
      <w:bookmarkEnd w:id="88"/>
      <w:bookmarkEnd w:id="89"/>
      <w:bookmarkEnd w:id="90"/>
    </w:p>
    <w:p w14:paraId="10C9519B" w14:textId="77777777" w:rsidR="008C1AD8" w:rsidRDefault="008C1AD8" w:rsidP="008C1AD8">
      <w:pPr>
        <w:pStyle w:val="Heading3"/>
      </w:pPr>
      <w:r>
        <w:t>Introduction</w:t>
      </w:r>
    </w:p>
    <w:p w14:paraId="164C692C" w14:textId="77777777" w:rsidR="008C1AD8" w:rsidRDefault="008C1AD8" w:rsidP="008C1AD8">
      <w:r>
        <w:t>This section contains a combined impact assessment for eleven bird species and three fish species.</w:t>
      </w:r>
    </w:p>
    <w:p w14:paraId="0C6B89DD" w14:textId="77777777" w:rsidR="008C1AD8" w:rsidRDefault="008C1AD8" w:rsidP="008C1AD8">
      <w:r>
        <w:t>The eleven bird species:</w:t>
      </w:r>
    </w:p>
    <w:p w14:paraId="1494A4B3" w14:textId="77777777" w:rsidR="008C1AD8" w:rsidRDefault="008C1AD8" w:rsidP="008C1AD8">
      <w:pPr>
        <w:pStyle w:val="Bullet1"/>
      </w:pPr>
      <w:r>
        <w:t>Occur in similar locations, generally use similar habitats in the Study Area, and generally have similar ecological traits with regards to habitat use and threatening processes</w:t>
      </w:r>
    </w:p>
    <w:p w14:paraId="257F3076" w14:textId="77777777" w:rsidR="008C1AD8" w:rsidRDefault="008C1AD8" w:rsidP="008C1AD8">
      <w:pPr>
        <w:pStyle w:val="Bullet1"/>
      </w:pPr>
      <w:r>
        <w:t>Will not be subject to direct impacts:</w:t>
      </w:r>
    </w:p>
    <w:p w14:paraId="1B72D2A5" w14:textId="77777777" w:rsidR="008C1AD8" w:rsidRDefault="008C1AD8" w:rsidP="008C1AD8">
      <w:pPr>
        <w:pStyle w:val="Bullet2"/>
      </w:pPr>
      <w:r>
        <w:t>All species have no records within the Growth Areas or the Strategic Assessment Area</w:t>
      </w:r>
    </w:p>
    <w:p w14:paraId="1F07CB20" w14:textId="77777777" w:rsidR="008C1AD8" w:rsidRDefault="008C1AD8" w:rsidP="008C1AD8">
      <w:pPr>
        <w:pStyle w:val="Bullet2"/>
      </w:pPr>
      <w:r>
        <w:t xml:space="preserve">All species have no mapped habitat in the Growth Areas, and minimal mapped habitat in the wider Strategic Assessment Area </w:t>
      </w:r>
    </w:p>
    <w:p w14:paraId="09085389" w14:textId="77777777" w:rsidR="008C1AD8" w:rsidRDefault="008C1AD8" w:rsidP="008C1AD8">
      <w:pPr>
        <w:pStyle w:val="Bullet1"/>
      </w:pPr>
      <w:r>
        <w:t>Will only have potential for indirect impacts under the Plan. Due to ecological similarities between the species, there is substantial overlap in potential impact pathways for each species</w:t>
      </w:r>
    </w:p>
    <w:p w14:paraId="1F795822" w14:textId="77777777" w:rsidR="008C1AD8" w:rsidRDefault="008C1AD8" w:rsidP="008C1AD8">
      <w:r>
        <w:t>The three fish species:</w:t>
      </w:r>
    </w:p>
    <w:p w14:paraId="0D36CE05" w14:textId="77777777" w:rsidR="008C1AD8" w:rsidRDefault="008C1AD8" w:rsidP="008C1AD8">
      <w:pPr>
        <w:pStyle w:val="Bullet1"/>
      </w:pPr>
      <w:r>
        <w:t>Use similar habitats in the Study Area and subsequently:</w:t>
      </w:r>
    </w:p>
    <w:p w14:paraId="0A8A5C1A" w14:textId="77777777" w:rsidR="008C1AD8" w:rsidRDefault="008C1AD8" w:rsidP="008C1AD8">
      <w:pPr>
        <w:pStyle w:val="Bullet2"/>
      </w:pPr>
      <w:r>
        <w:t>Have similar ecological traits with regards to habitat use and threatening processes</w:t>
      </w:r>
    </w:p>
    <w:p w14:paraId="78FC1374" w14:textId="77777777" w:rsidR="008C1AD8" w:rsidRDefault="008C1AD8" w:rsidP="008C1AD8">
      <w:pPr>
        <w:pStyle w:val="Bullet2"/>
      </w:pPr>
      <w:r>
        <w:t>Occur in similar locations within the Study Area</w:t>
      </w:r>
    </w:p>
    <w:p w14:paraId="79834A50" w14:textId="77777777" w:rsidR="008C1AD8" w:rsidRDefault="008C1AD8" w:rsidP="008C1AD8">
      <w:pPr>
        <w:pStyle w:val="Bullet1"/>
      </w:pPr>
      <w:r>
        <w:t>Have potential indirect impacts under the Plan. Due to ecological similarities between the species, there is substantial overlap in potential impact pathways for each species</w:t>
      </w:r>
    </w:p>
    <w:p w14:paraId="3CC6E4F6" w14:textId="77777777" w:rsidR="008C1AD8" w:rsidRDefault="008C1AD8" w:rsidP="008C1AD8">
      <w:r>
        <w:t>This section is designed to improve clarity and reduce repetition in presenting the assessment results for each of these species. It includes:</w:t>
      </w:r>
    </w:p>
    <w:p w14:paraId="354A7B9F" w14:textId="77777777" w:rsidR="008C1AD8" w:rsidRDefault="008C1AD8" w:rsidP="008C1AD8">
      <w:pPr>
        <w:pStyle w:val="Bullet1"/>
      </w:pPr>
      <w:r>
        <w:t>A brief description of where each species occurs within the Study Area</w:t>
      </w:r>
    </w:p>
    <w:p w14:paraId="05755CD4" w14:textId="77777777" w:rsidR="008C1AD8" w:rsidRDefault="008C1AD8" w:rsidP="008C1AD8">
      <w:pPr>
        <w:pStyle w:val="Bullet1"/>
      </w:pPr>
      <w:r>
        <w:t>How the Plan has potential to indirectly impact each species (noting that direct impacts will not occur)</w:t>
      </w:r>
    </w:p>
    <w:p w14:paraId="0276F13C" w14:textId="77777777" w:rsidR="008C1AD8" w:rsidRDefault="008C1AD8" w:rsidP="008C1AD8">
      <w:pPr>
        <w:pStyle w:val="Bullet1"/>
      </w:pPr>
      <w:r>
        <w:t>The mitigation measures under the Plan to mitigate these impacts</w:t>
      </w:r>
    </w:p>
    <w:p w14:paraId="28113176" w14:textId="77777777" w:rsidR="008C1AD8" w:rsidRDefault="008C1AD8" w:rsidP="008C1AD8">
      <w:pPr>
        <w:pStyle w:val="Bullet1"/>
      </w:pPr>
      <w:r>
        <w:t>An assessment of whether offsets are required to address residual impacts</w:t>
      </w:r>
    </w:p>
    <w:p w14:paraId="36A34B38" w14:textId="77777777" w:rsidR="008C1AD8" w:rsidRPr="00A62FFA" w:rsidRDefault="008C1AD8" w:rsidP="008C1AD8">
      <w:pPr>
        <w:pStyle w:val="Bullet1"/>
      </w:pPr>
      <w:r w:rsidRPr="00A62FFA">
        <w:t>An assessment of approval requirements for migratory species with regards to the Plan</w:t>
      </w:r>
    </w:p>
    <w:p w14:paraId="31897B89" w14:textId="77777777" w:rsidR="008C1AD8" w:rsidRDefault="008C1AD8" w:rsidP="008C1AD8">
      <w:pPr>
        <w:pStyle w:val="Bullet1"/>
      </w:pPr>
      <w:r>
        <w:t>An overall evaluation of the adequacy of the Plan with regards to these species</w:t>
      </w:r>
    </w:p>
    <w:p w14:paraId="02550898" w14:textId="77777777" w:rsidR="008C1AD8" w:rsidRDefault="008C1AD8" w:rsidP="008C1AD8">
      <w:r>
        <w:t>It is also recognised that seven of the eleven bird species are listed as migratory species under the EPBC Act. T</w:t>
      </w:r>
    </w:p>
    <w:p w14:paraId="1337702F" w14:textId="77777777" w:rsidR="008C1AD8" w:rsidRDefault="008C1AD8" w:rsidP="008C1AD8">
      <w:r>
        <w:t xml:space="preserve">More detailed information on each of the species considered here is located in Attachment A </w:t>
      </w:r>
      <w:r w:rsidRPr="00BE0079">
        <w:t>and Attachment B.</w:t>
      </w:r>
      <w:r>
        <w:t xml:space="preserve"> Information in these Attachments includes:</w:t>
      </w:r>
    </w:p>
    <w:p w14:paraId="50D7810F" w14:textId="77777777" w:rsidR="008C1AD8" w:rsidRDefault="008C1AD8" w:rsidP="008C1AD8">
      <w:pPr>
        <w:pStyle w:val="Bullet1"/>
      </w:pPr>
      <w:r>
        <w:t>Species background, including the species’ ecology, distribution, habitat, populations, and threats</w:t>
      </w:r>
    </w:p>
    <w:p w14:paraId="767EFFF3" w14:textId="77777777" w:rsidR="008C1AD8" w:rsidRDefault="008C1AD8" w:rsidP="008C1AD8">
      <w:pPr>
        <w:pStyle w:val="Bullet1"/>
      </w:pPr>
      <w:r>
        <w:t>A detailed description of the species’ occurrence in the Study Area</w:t>
      </w:r>
    </w:p>
    <w:p w14:paraId="012E15E0" w14:textId="77777777" w:rsidR="008C1AD8" w:rsidRDefault="008C1AD8" w:rsidP="008C1AD8">
      <w:pPr>
        <w:pStyle w:val="Bullet1"/>
      </w:pPr>
      <w:r>
        <w:t>Identification and description of each of the relevant potential indirect impacts to each species due to development under the Plan</w:t>
      </w:r>
    </w:p>
    <w:p w14:paraId="6009EAF2" w14:textId="77777777" w:rsidR="008C1AD8" w:rsidRDefault="008C1AD8" w:rsidP="008C1AD8">
      <w:pPr>
        <w:pStyle w:val="Bullet1"/>
      </w:pPr>
      <w:r>
        <w:t>An assessment of consistency of the Plan with the species’ Recovery Plan</w:t>
      </w:r>
    </w:p>
    <w:p w14:paraId="77872512" w14:textId="77777777" w:rsidR="008C1AD8" w:rsidRDefault="008C1AD8" w:rsidP="008C1AD8">
      <w:pPr>
        <w:pStyle w:val="Bullet1"/>
      </w:pPr>
      <w:r>
        <w:t>Identification of relevant Key Threatening Processes and Threat Abatement Plans for each species</w:t>
      </w:r>
    </w:p>
    <w:p w14:paraId="16A62312" w14:textId="77777777" w:rsidR="008C1AD8" w:rsidRDefault="008C1AD8" w:rsidP="008C1AD8">
      <w:r>
        <w:t xml:space="preserve">The package of information for each species addresses the requirements of the terms of reference. </w:t>
      </w:r>
    </w:p>
    <w:p w14:paraId="7E9C22DB" w14:textId="77777777" w:rsidR="008C1AD8" w:rsidRDefault="008C1AD8" w:rsidP="008C1AD8">
      <w:pPr>
        <w:pStyle w:val="Heading3"/>
      </w:pPr>
      <w:r>
        <w:lastRenderedPageBreak/>
        <w:t>Habitat context</w:t>
      </w:r>
    </w:p>
    <w:p w14:paraId="46F22A0A" w14:textId="77777777" w:rsidR="008C1AD8" w:rsidRPr="00467392" w:rsidRDefault="008C1AD8" w:rsidP="008C1AD8">
      <w:pPr>
        <w:keepNext/>
        <w:keepLines/>
      </w:pPr>
      <w:r>
        <w:t xml:space="preserve">This section provides a summary of the locations of the Study Area that are downstream of the Growth Areas. These locations variously provide habitat for the bird and fish species assessed here. </w:t>
      </w:r>
    </w:p>
    <w:p w14:paraId="53438C7C" w14:textId="77777777" w:rsidR="008C1AD8" w:rsidRDefault="008C1AD8" w:rsidP="008C1AD8">
      <w:r>
        <w:t xml:space="preserve">There are four catchments which are hydrologically linked to the Growth Areas (see </w:t>
      </w:r>
      <w:hyperlink r:id="rId40" w:history="1">
        <w:r w:rsidRPr="00466211">
          <w:rPr>
            <w:rStyle w:val="Hyperlink"/>
          </w:rPr>
          <w:t>Map 3-9</w:t>
        </w:r>
      </w:hyperlink>
      <w:r w:rsidRPr="00D40DE4">
        <w:t>).</w:t>
      </w:r>
      <w:r>
        <w:t xml:space="preserve"> These are the Moorabool River catchment, Hovells Creek catchment, Cowies Creek catchment, and the Wharf Road and St Georges drainage system.</w:t>
      </w:r>
      <w:r w:rsidRPr="00467392">
        <w:t xml:space="preserve"> </w:t>
      </w:r>
      <w:r>
        <w:t>R</w:t>
      </w:r>
      <w:r w:rsidRPr="00372B49">
        <w:t xml:space="preserve">efer to </w:t>
      </w:r>
      <w:r w:rsidRPr="009E63A2">
        <w:t xml:space="preserve">Section 3.3.10 of Chapter 3 </w:t>
      </w:r>
      <w:r w:rsidRPr="00D40DE4">
        <w:t>for</w:t>
      </w:r>
      <w:r w:rsidRPr="00372B49">
        <w:t xml:space="preserve"> a more detailed description of each of these waterways.</w:t>
      </w:r>
    </w:p>
    <w:p w14:paraId="61715C7E" w14:textId="77777777" w:rsidR="008C1AD8" w:rsidRDefault="008C1AD8" w:rsidP="008C1AD8">
      <w:r>
        <w:t xml:space="preserve">The Moorabool River catchment occurs </w:t>
      </w:r>
      <w:r w:rsidRPr="00376514">
        <w:t xml:space="preserve">in the south-west of the Strategic Assessment Area. Approximately 39 per cent of the WGGA, and a small proportion of the NGGA (~2 per cent), drains into the Moorabool River </w:t>
      </w:r>
      <w:sdt>
        <w:sdtPr>
          <w:rPr>
            <w:color w:val="000000"/>
          </w:rPr>
          <w:tag w:val="MENDELEY_CITATION_v3_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"/>
          <w:id w:val="-296916878"/>
          <w:placeholder>
            <w:docPart w:val="EA492B379251784A8EF33F6B6775C3A8"/>
          </w:placeholder>
        </w:sdtPr>
        <w:sdtContent>
          <w:r w:rsidRPr="00273871">
            <w:rPr>
              <w:color w:val="000000"/>
            </w:rPr>
            <w:t>(The City of Greater Geelong, 2016)</w:t>
          </w:r>
        </w:sdtContent>
      </w:sdt>
      <w:r w:rsidRPr="00376514">
        <w:t>. The Moorabool River then flows southward, joining the Barwon River at Fyansford. The Barwon River then continues to flow south into the Lake Connewarre Complex</w:t>
      </w:r>
      <w:r>
        <w:t xml:space="preserve"> which is part of the Port Phillip Bay and Bellarine Peninsula Ramsar site</w:t>
      </w:r>
      <w:r w:rsidRPr="00376514">
        <w:t>. This is a large wetland complex which includes multiple wetlands, including Lake Connewarre, Reedy Lake, Hospital Swamp</w:t>
      </w:r>
      <w:r>
        <w:t>,</w:t>
      </w:r>
      <w:r w:rsidRPr="00376514">
        <w:t xml:space="preserve"> and Murtnaghurt Lagoon. The wetland is an estuarine system which supports a diverse range of aquatic vegetation communities and provide</w:t>
      </w:r>
      <w:r>
        <w:t>s</w:t>
      </w:r>
      <w:r w:rsidRPr="00376514">
        <w:t xml:space="preserve"> important feeding and breeding grounds for a wide range of native fish, wetland birds, migratory birds, and threatened species </w:t>
      </w:r>
      <w:sdt>
        <w:sdtPr>
          <w:rPr>
            <w:color w:val="000000"/>
          </w:rPr>
          <w:tag w:val="MENDELEY_CITATION_v3_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"/>
          <w:id w:val="-528407665"/>
          <w:placeholder>
            <w:docPart w:val="EA492B379251784A8EF33F6B6775C3A8"/>
          </w:placeholder>
        </w:sdtPr>
        <w:sdtContent>
          <w:r w:rsidRPr="00273871">
            <w:rPr>
              <w:color w:val="000000"/>
            </w:rPr>
            <w:t>(Corangamite CMA, 2014)</w:t>
          </w:r>
        </w:sdtContent>
      </w:sdt>
      <w:r w:rsidRPr="00376514">
        <w:t>.</w:t>
      </w:r>
      <w:r>
        <w:t xml:space="preserve"> The Lake Connewarre Complex then drains southwards into the ocean at Barwon Heads.</w:t>
      </w:r>
    </w:p>
    <w:p w14:paraId="54F639BF" w14:textId="77777777" w:rsidR="008C1AD8" w:rsidRPr="002858B3" w:rsidRDefault="008C1AD8" w:rsidP="008C1AD8">
      <w:r w:rsidRPr="002858B3">
        <w:t xml:space="preserve">The Hovells Creek catchment occurs in the north-east of the Strategic Assessment Area. Approximately 52 per cent of the NGGA will drain to the Hovells Creek Catchment </w:t>
      </w:r>
      <w:sdt>
        <w:sdtPr>
          <w:rPr>
            <w:color w:val="000000"/>
          </w:rPr>
          <w:tag w:val="MENDELEY_CITATION_v3_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"/>
          <w:id w:val="-1514915447"/>
          <w:placeholder>
            <w:docPart w:val="EA492B379251784A8EF33F6B6775C3A8"/>
          </w:placeholder>
        </w:sdtPr>
        <w:sdtContent>
          <w:r w:rsidRPr="00273871">
            <w:rPr>
              <w:color w:val="000000"/>
            </w:rPr>
            <w:t>(The City of Greater Geelong, 2016)</w:t>
          </w:r>
        </w:sdtContent>
      </w:sdt>
      <w:r w:rsidRPr="002858B3">
        <w:t xml:space="preserve">. Downstream of the NGGA, Hovells Creek flows southward into Limeburners Bay, which then discharges into Corio Bay. Limeburners Bay is </w:t>
      </w:r>
      <w:r>
        <w:t xml:space="preserve">part of the Port Phillip Bay and Bellarine Peninsula Ramsar site. It supports </w:t>
      </w:r>
      <w:r w:rsidRPr="002858B3">
        <w:t xml:space="preserve">a range of aquatic vegetation communities and provides key habitat for birds and amphibians (including migratory and threatened species), in addition to a range of recreational values </w:t>
      </w:r>
      <w:sdt>
        <w:sdtPr>
          <w:rPr>
            <w:color w:val="000000"/>
          </w:rPr>
          <w:tag w:val="MENDELEY_CITATION_v3_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"/>
          <w:id w:val="2008636335"/>
          <w:placeholder>
            <w:docPart w:val="EA492B379251784A8EF33F6B6775C3A8"/>
          </w:placeholder>
        </w:sdtPr>
        <w:sdtContent>
          <w:r w:rsidRPr="00273871">
            <w:rPr>
              <w:color w:val="000000"/>
            </w:rPr>
            <w:t>(Corangamite CMA, 2014)</w:t>
          </w:r>
        </w:sdtContent>
      </w:sdt>
      <w:r w:rsidRPr="002858B3">
        <w:t>.</w:t>
      </w:r>
    </w:p>
    <w:p w14:paraId="0512246A" w14:textId="77777777" w:rsidR="008C1AD8" w:rsidRDefault="008C1AD8" w:rsidP="008C1AD8">
      <w:r w:rsidRPr="003D5B2B">
        <w:t xml:space="preserve">The Cowies Creek catchment occurs in the central part of the Strategic Assessment Area. Approximately 25 per cent of the NGGA and 61 per cent of the WGGA drains to Cowies Creek </w:t>
      </w:r>
      <w:sdt>
        <w:sdtPr>
          <w:rPr>
            <w:color w:val="000000"/>
          </w:rPr>
          <w:tag w:val="MENDELEY_CITATION_v3_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"/>
          <w:id w:val="-818351016"/>
          <w:placeholder>
            <w:docPart w:val="EA492B379251784A8EF33F6B6775C3A8"/>
          </w:placeholder>
        </w:sdtPr>
        <w:sdtContent>
          <w:r w:rsidRPr="00273871">
            <w:rPr>
              <w:color w:val="000000"/>
            </w:rPr>
            <w:t>(The City of Greater Geelong, 2016)</w:t>
          </w:r>
        </w:sdtContent>
      </w:sdt>
      <w:r w:rsidRPr="003D5B2B">
        <w:t xml:space="preserve">. Cowies Creek </w:t>
      </w:r>
      <w:r>
        <w:t>contains freshwater</w:t>
      </w:r>
      <w:r w:rsidRPr="003D5B2B">
        <w:t xml:space="preserve"> </w:t>
      </w:r>
      <w:r>
        <w:t>wetlands that occur in ephemeral online pools</w:t>
      </w:r>
      <w:r w:rsidRPr="003D5B2B">
        <w:t xml:space="preserve"> and drains eastward into Corio Bay.</w:t>
      </w:r>
    </w:p>
    <w:p w14:paraId="240BA9B0" w14:textId="77777777" w:rsidR="008C1AD8" w:rsidRDefault="008C1AD8" w:rsidP="008C1AD8">
      <w:r>
        <w:t xml:space="preserve">The Wharf Road and St Georges drainage system is located in the east of the Strategic Assessment Area. Approximately 21 per cent of the NGGA drains into Corio Bay via this system </w:t>
      </w:r>
      <w:sdt>
        <w:sdtPr>
          <w:rPr>
            <w:color w:val="000000"/>
          </w:rPr>
          <w:tag w:val="MENDELEY_CITATION_v3_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"/>
          <w:id w:val="-62564895"/>
          <w:placeholder>
            <w:docPart w:val="EA492B379251784A8EF33F6B6775C3A8"/>
          </w:placeholder>
        </w:sdtPr>
        <w:sdtContent>
          <w:r w:rsidRPr="00273871">
            <w:rPr>
              <w:color w:val="000000"/>
            </w:rPr>
            <w:t>(The City of Greater Geelong, 2016)</w:t>
          </w:r>
        </w:sdtContent>
      </w:sdt>
      <w:r w:rsidRPr="003D5B2B">
        <w:t>.</w:t>
      </w:r>
      <w:r>
        <w:t xml:space="preserve"> Drainage lines in this system are comprised of lined open drains. Subsequently, this system is heavily modified and is not considered to support wetland, estuarine or riparian habitat.</w:t>
      </w:r>
    </w:p>
    <w:p w14:paraId="6E797ABC" w14:textId="77777777" w:rsidR="008C1AD8" w:rsidRDefault="008C1AD8" w:rsidP="008C1AD8">
      <w:pPr>
        <w:pStyle w:val="Heading3"/>
      </w:pPr>
      <w:r>
        <w:t>Species addressed in the combined assessment</w:t>
      </w:r>
    </w:p>
    <w:p w14:paraId="4566682C" w14:textId="77777777" w:rsidR="008C1AD8" w:rsidRDefault="008C1AD8" w:rsidP="008C1AD8">
      <w:r>
        <w:t>The species considered in this combined assessment, their occurrence in the Study Area, and the relevant indirect impacts are shown in:</w:t>
      </w:r>
    </w:p>
    <w:p w14:paraId="04B72CCA" w14:textId="77777777" w:rsidR="008C1AD8" w:rsidRDefault="008C1AD8" w:rsidP="008C1AD8">
      <w:pPr>
        <w:pStyle w:val="Bullet1"/>
      </w:pPr>
      <w:r>
        <w:fldChar w:fldCharType="begin"/>
      </w:r>
      <w:r>
        <w:instrText xml:space="preserve"> REF _Ref116546489 \h </w:instrText>
      </w:r>
      <w:r>
        <w:fldChar w:fldCharType="separate"/>
      </w:r>
      <w:r>
        <w:t xml:space="preserve">Table </w:t>
      </w:r>
      <w:r>
        <w:rPr>
          <w:noProof/>
        </w:rPr>
        <w:t>19</w:t>
      </w:r>
      <w:r>
        <w:noBreakHyphen/>
      </w:r>
      <w:r>
        <w:rPr>
          <w:noProof/>
        </w:rPr>
        <w:t>7</w:t>
      </w:r>
      <w:r>
        <w:fldChar w:fldCharType="end"/>
      </w:r>
      <w:r>
        <w:t xml:space="preserve"> for birds</w:t>
      </w:r>
    </w:p>
    <w:p w14:paraId="023DFBD5" w14:textId="77777777" w:rsidR="008C1AD8" w:rsidRDefault="008C1AD8" w:rsidP="008C1AD8">
      <w:pPr>
        <w:pStyle w:val="Bullet1"/>
      </w:pPr>
      <w:r>
        <w:fldChar w:fldCharType="begin"/>
      </w:r>
      <w:r>
        <w:instrText xml:space="preserve"> REF _Ref116546534 \h </w:instrText>
      </w:r>
      <w:r>
        <w:fldChar w:fldCharType="separate"/>
      </w:r>
      <w:r>
        <w:t xml:space="preserve">Table </w:t>
      </w:r>
      <w:r>
        <w:rPr>
          <w:noProof/>
        </w:rPr>
        <w:t>19</w:t>
      </w:r>
      <w:r>
        <w:noBreakHyphen/>
      </w:r>
      <w:r>
        <w:rPr>
          <w:noProof/>
        </w:rPr>
        <w:t>8</w:t>
      </w:r>
      <w:r>
        <w:fldChar w:fldCharType="end"/>
      </w:r>
      <w:r>
        <w:t xml:space="preserve"> for fish</w:t>
      </w:r>
    </w:p>
    <w:p w14:paraId="1EF2C192" w14:textId="77777777" w:rsidR="008C1AD8" w:rsidRDefault="008C1AD8" w:rsidP="008C1AD8">
      <w:r>
        <w:t>Indirect impacts were identified as being relevant to the species if:</w:t>
      </w:r>
    </w:p>
    <w:p w14:paraId="61F8B171" w14:textId="77777777" w:rsidR="008C1AD8" w:rsidRPr="001A7DF0" w:rsidRDefault="008C1AD8" w:rsidP="008C1AD8">
      <w:pPr>
        <w:pStyle w:val="Bullet1"/>
      </w:pPr>
      <w:r w:rsidRPr="001A7DF0">
        <w:t>The indirect impact is identified as a threat in a relevant profile, Conservation Advice, or Recovery Plan, and</w:t>
      </w:r>
    </w:p>
    <w:p w14:paraId="1CBC1DC2" w14:textId="77777777" w:rsidR="008C1AD8" w:rsidRPr="001A7DF0" w:rsidRDefault="008C1AD8" w:rsidP="008C1AD8">
      <w:pPr>
        <w:pStyle w:val="Bullet1"/>
      </w:pPr>
      <w:r w:rsidRPr="001A7DF0">
        <w:t>The Plan has the potential to introduce or exacerbate the threat in areas which support records and/or mapped habitat for the species</w:t>
      </w:r>
    </w:p>
    <w:p w14:paraId="77CE6FEB" w14:textId="77777777" w:rsidR="008C1AD8" w:rsidRDefault="008C1AD8" w:rsidP="008C1AD8">
      <w:r>
        <w:t>Refer to Attachment A and Attachment B for further detail regarding the identification of indirect impacts.</w:t>
      </w:r>
    </w:p>
    <w:p w14:paraId="45A87F69" w14:textId="77777777" w:rsidR="008C1AD8" w:rsidRDefault="008C1AD8" w:rsidP="008C1AD8"/>
    <w:p w14:paraId="6C2CAE57" w14:textId="77777777" w:rsidR="008C1AD8" w:rsidRDefault="008C1AD8" w:rsidP="008C1AD8">
      <w:pPr>
        <w:sectPr w:rsidR="008C1AD8" w:rsidSect="00504E94">
          <w:pgSz w:w="11900" w:h="16840"/>
          <w:pgMar w:top="1247" w:right="1134" w:bottom="1247" w:left="1134" w:header="708" w:footer="708" w:gutter="0"/>
          <w:pgNumType w:start="1" w:chapStyle="1"/>
          <w:cols w:space="708"/>
          <w:docGrid w:linePitch="360"/>
        </w:sectPr>
      </w:pPr>
    </w:p>
    <w:p w14:paraId="09293F96" w14:textId="77777777" w:rsidR="008C1AD8" w:rsidRDefault="008C1AD8" w:rsidP="008C1AD8">
      <w:pPr>
        <w:pStyle w:val="Caption"/>
      </w:pPr>
      <w:bookmarkStart w:id="91" w:name="_Ref116546489"/>
      <w:bookmarkStart w:id="92" w:name="_Toc135122723"/>
      <w:r>
        <w:lastRenderedPageBreak/>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7</w:t>
      </w:r>
      <w:r>
        <w:fldChar w:fldCharType="end"/>
      </w:r>
      <w:bookmarkEnd w:id="91"/>
      <w:r>
        <w:t>: The occurrence in the Study Area and relevant indirect impacts under the Plan for each of the bird species considered in the combined assessment</w:t>
      </w:r>
      <w:bookmarkEnd w:id="92"/>
    </w:p>
    <w:tbl>
      <w:tblPr>
        <w:tblStyle w:val="TableGrid"/>
        <w:tblW w:w="4992" w:type="pct"/>
        <w:tblLook w:val="04A0" w:firstRow="1" w:lastRow="0" w:firstColumn="1" w:lastColumn="0" w:noHBand="0" w:noVBand="1"/>
      </w:tblPr>
      <w:tblGrid>
        <w:gridCol w:w="1244"/>
        <w:gridCol w:w="1537"/>
        <w:gridCol w:w="969"/>
        <w:gridCol w:w="6504"/>
        <w:gridCol w:w="1531"/>
        <w:gridCol w:w="2528"/>
      </w:tblGrid>
      <w:tr w:rsidR="008C1AD8" w14:paraId="0254439F" w14:textId="77777777" w:rsidTr="00A15226">
        <w:trPr>
          <w:tblHeader/>
        </w:trPr>
        <w:tc>
          <w:tcPr>
            <w:tcW w:w="443" w:type="pct"/>
            <w:shd w:val="clear" w:color="auto" w:fill="D0CECE" w:themeFill="background2" w:themeFillShade="E6"/>
            <w:vAlign w:val="center"/>
          </w:tcPr>
          <w:p w14:paraId="0E791A43" w14:textId="77777777" w:rsidR="008C1AD8" w:rsidRPr="00D30704" w:rsidRDefault="008C1AD8" w:rsidP="00A15226">
            <w:pPr>
              <w:pStyle w:val="Tabletext"/>
              <w:rPr>
                <w:b/>
                <w:bCs/>
              </w:rPr>
            </w:pPr>
            <w:r w:rsidRPr="00D30704">
              <w:rPr>
                <w:b/>
                <w:bCs/>
              </w:rPr>
              <w:t>Common name</w:t>
            </w:r>
          </w:p>
        </w:tc>
        <w:tc>
          <w:tcPr>
            <w:tcW w:w="545" w:type="pct"/>
            <w:shd w:val="clear" w:color="auto" w:fill="D0CECE" w:themeFill="background2" w:themeFillShade="E6"/>
            <w:vAlign w:val="center"/>
          </w:tcPr>
          <w:p w14:paraId="56F13BBA" w14:textId="77777777" w:rsidR="008C1AD8" w:rsidRPr="00D30704" w:rsidRDefault="008C1AD8" w:rsidP="00A15226">
            <w:pPr>
              <w:pStyle w:val="Tabletext"/>
              <w:rPr>
                <w:b/>
                <w:bCs/>
              </w:rPr>
            </w:pPr>
            <w:r w:rsidRPr="00D30704">
              <w:rPr>
                <w:b/>
                <w:bCs/>
              </w:rPr>
              <w:t>Scientific name</w:t>
            </w:r>
          </w:p>
        </w:tc>
        <w:tc>
          <w:tcPr>
            <w:tcW w:w="297" w:type="pct"/>
            <w:shd w:val="clear" w:color="auto" w:fill="D0CECE" w:themeFill="background2" w:themeFillShade="E6"/>
            <w:vAlign w:val="center"/>
          </w:tcPr>
          <w:p w14:paraId="7F8D4208" w14:textId="77777777" w:rsidR="008C1AD8" w:rsidRPr="00D30704" w:rsidRDefault="008C1AD8" w:rsidP="00A15226">
            <w:pPr>
              <w:pStyle w:val="Tabletext"/>
              <w:rPr>
                <w:b/>
                <w:bCs/>
              </w:rPr>
            </w:pPr>
            <w:r w:rsidRPr="00D30704">
              <w:rPr>
                <w:b/>
                <w:bCs/>
              </w:rPr>
              <w:t>EPBC listing</w:t>
            </w:r>
            <w:r>
              <w:rPr>
                <w:b/>
                <w:bCs/>
              </w:rPr>
              <w:t>^</w:t>
            </w:r>
          </w:p>
        </w:tc>
        <w:tc>
          <w:tcPr>
            <w:tcW w:w="2280" w:type="pct"/>
            <w:shd w:val="clear" w:color="auto" w:fill="D0CECE" w:themeFill="background2" w:themeFillShade="E6"/>
            <w:vAlign w:val="center"/>
          </w:tcPr>
          <w:p w14:paraId="692B2996" w14:textId="77777777" w:rsidR="008C1AD8" w:rsidRPr="00D30704" w:rsidRDefault="008C1AD8" w:rsidP="00A15226">
            <w:pPr>
              <w:pStyle w:val="Tabletext"/>
              <w:rPr>
                <w:b/>
                <w:bCs/>
              </w:rPr>
            </w:pPr>
            <w:r>
              <w:rPr>
                <w:b/>
                <w:bCs/>
              </w:rPr>
              <w:t>Occurrence in the Study Area</w:t>
            </w:r>
          </w:p>
        </w:tc>
        <w:tc>
          <w:tcPr>
            <w:tcW w:w="543" w:type="pct"/>
            <w:shd w:val="clear" w:color="auto" w:fill="D0CECE" w:themeFill="background2" w:themeFillShade="E6"/>
            <w:vAlign w:val="center"/>
          </w:tcPr>
          <w:p w14:paraId="37E742EC" w14:textId="77777777" w:rsidR="008C1AD8" w:rsidRDefault="008C1AD8" w:rsidP="00A15226">
            <w:pPr>
              <w:pStyle w:val="Tabletext"/>
              <w:rPr>
                <w:b/>
                <w:bCs/>
              </w:rPr>
            </w:pPr>
            <w:r>
              <w:rPr>
                <w:b/>
                <w:bCs/>
              </w:rPr>
              <w:t xml:space="preserve">Map </w:t>
            </w:r>
          </w:p>
        </w:tc>
        <w:tc>
          <w:tcPr>
            <w:tcW w:w="891" w:type="pct"/>
            <w:shd w:val="clear" w:color="auto" w:fill="D0CECE" w:themeFill="background2" w:themeFillShade="E6"/>
            <w:vAlign w:val="center"/>
          </w:tcPr>
          <w:p w14:paraId="3DFF32FF" w14:textId="77777777" w:rsidR="008C1AD8" w:rsidRPr="00D30704" w:rsidRDefault="008C1AD8" w:rsidP="00A15226">
            <w:pPr>
              <w:pStyle w:val="Tabletext"/>
              <w:rPr>
                <w:b/>
                <w:bCs/>
              </w:rPr>
            </w:pPr>
            <w:r>
              <w:rPr>
                <w:b/>
                <w:bCs/>
              </w:rPr>
              <w:t>Relevant indirect impacts</w:t>
            </w:r>
          </w:p>
        </w:tc>
      </w:tr>
      <w:tr w:rsidR="008C1AD8" w14:paraId="102C697F" w14:textId="77777777" w:rsidTr="00A15226">
        <w:tc>
          <w:tcPr>
            <w:tcW w:w="443" w:type="pct"/>
            <w:vAlign w:val="center"/>
          </w:tcPr>
          <w:p w14:paraId="75B2DC36" w14:textId="77777777" w:rsidR="008C1AD8" w:rsidRDefault="008C1AD8" w:rsidP="00A15226">
            <w:pPr>
              <w:pStyle w:val="Tabletext"/>
            </w:pPr>
            <w:r>
              <w:t>Australasian Bittern</w:t>
            </w:r>
          </w:p>
        </w:tc>
        <w:tc>
          <w:tcPr>
            <w:tcW w:w="545" w:type="pct"/>
            <w:vAlign w:val="center"/>
          </w:tcPr>
          <w:p w14:paraId="69B6FF53" w14:textId="77777777" w:rsidR="008C1AD8" w:rsidRPr="00D30704" w:rsidRDefault="008C1AD8" w:rsidP="00A15226">
            <w:pPr>
              <w:pStyle w:val="Tabletext"/>
              <w:rPr>
                <w:i/>
                <w:iCs/>
              </w:rPr>
            </w:pPr>
            <w:r w:rsidRPr="00D30704">
              <w:rPr>
                <w:i/>
                <w:iCs/>
              </w:rPr>
              <w:t>Botaurus poiciloptilus</w:t>
            </w:r>
          </w:p>
        </w:tc>
        <w:tc>
          <w:tcPr>
            <w:tcW w:w="297" w:type="pct"/>
            <w:vAlign w:val="center"/>
          </w:tcPr>
          <w:p w14:paraId="2C6DFFBA" w14:textId="77777777" w:rsidR="008C1AD8" w:rsidRDefault="008C1AD8" w:rsidP="00A15226">
            <w:pPr>
              <w:pStyle w:val="Tabletext"/>
            </w:pPr>
            <w:r>
              <w:t>E</w:t>
            </w:r>
          </w:p>
        </w:tc>
        <w:tc>
          <w:tcPr>
            <w:tcW w:w="2280" w:type="pct"/>
            <w:vAlign w:val="center"/>
          </w:tcPr>
          <w:p w14:paraId="12F83D9E" w14:textId="77777777" w:rsidR="008C1AD8" w:rsidRDefault="008C1AD8" w:rsidP="00A15226">
            <w:pPr>
              <w:pStyle w:val="Tabletext"/>
            </w:pPr>
            <w:r>
              <w:t>Records and habitat of the Australasian Bittern occurs along the northern shoreline of Port Phillip Bay, from Limeburners Bay in the west through to the Study Area boundary in the east.</w:t>
            </w:r>
          </w:p>
          <w:p w14:paraId="58608EF8" w14:textId="77777777" w:rsidR="008C1AD8" w:rsidRDefault="008C1AD8" w:rsidP="00A15226">
            <w:pPr>
              <w:pStyle w:val="Tabletext"/>
            </w:pPr>
            <w:r>
              <w:t>Records and habitat also occur at the Lake Connewarre Complex.</w:t>
            </w:r>
          </w:p>
          <w:p w14:paraId="0B599F42" w14:textId="77777777" w:rsidR="008C1AD8" w:rsidRDefault="008C1AD8" w:rsidP="00A15226">
            <w:pPr>
              <w:pStyle w:val="Tabletext"/>
            </w:pPr>
            <w:r>
              <w:t>A small number of records and area of habitat occurs in the Moolap locality at Point Henry.</w:t>
            </w:r>
          </w:p>
          <w:p w14:paraId="083F4E51" w14:textId="77777777" w:rsidR="008C1AD8" w:rsidRDefault="008C1AD8" w:rsidP="00A15226">
            <w:pPr>
              <w:pStyle w:val="Tabletext"/>
            </w:pPr>
            <w:r>
              <w:t>Smaller areas of mapped habitat occur in riparian environments along the Barwon River, the Moorabool River, Hovells Creek, and Thompson Creek. There are a small number of records at Hovells Creek, and no records in other riparian areas.</w:t>
            </w:r>
          </w:p>
          <w:p w14:paraId="7FAC3AC2" w14:textId="77777777" w:rsidR="008C1AD8" w:rsidRDefault="008C1AD8" w:rsidP="00A15226">
            <w:pPr>
              <w:pStyle w:val="Tabletext"/>
            </w:pPr>
            <w:r>
              <w:t>Isolated records occur in Brisbane Ranges National Park in the north-west of the Study Area, and at the north-east boundary of the Study Area.</w:t>
            </w:r>
          </w:p>
        </w:tc>
        <w:tc>
          <w:tcPr>
            <w:tcW w:w="543" w:type="pct"/>
            <w:vAlign w:val="center"/>
          </w:tcPr>
          <w:p w14:paraId="0D5733AB" w14:textId="77777777" w:rsidR="008C1AD8" w:rsidRPr="00983718" w:rsidRDefault="008C1AD8" w:rsidP="00A15226">
            <w:pPr>
              <w:pStyle w:val="Tabletext"/>
            </w:pPr>
            <w:hyperlink r:id="rId41" w:history="1">
              <w:r w:rsidRPr="00466211">
                <w:rPr>
                  <w:rStyle w:val="Hyperlink"/>
                </w:rPr>
                <w:t>Map 19-10</w:t>
              </w:r>
            </w:hyperlink>
          </w:p>
        </w:tc>
        <w:tc>
          <w:tcPr>
            <w:tcW w:w="891" w:type="pct"/>
            <w:vAlign w:val="center"/>
          </w:tcPr>
          <w:p w14:paraId="6565DF17" w14:textId="77777777" w:rsidR="008C1AD8" w:rsidRPr="00983718" w:rsidRDefault="008C1AD8" w:rsidP="00A15226">
            <w:pPr>
              <w:pStyle w:val="Tabletext"/>
            </w:pPr>
            <w:r w:rsidRPr="00983718">
              <w:t>Changes to water flows and quality</w:t>
            </w:r>
          </w:p>
        </w:tc>
      </w:tr>
      <w:tr w:rsidR="008C1AD8" w14:paraId="03B465BD" w14:textId="77777777" w:rsidTr="00A15226">
        <w:tc>
          <w:tcPr>
            <w:tcW w:w="443" w:type="pct"/>
            <w:vAlign w:val="center"/>
          </w:tcPr>
          <w:p w14:paraId="12D7F572" w14:textId="77777777" w:rsidR="008C1AD8" w:rsidRDefault="008C1AD8" w:rsidP="00A15226">
            <w:pPr>
              <w:pStyle w:val="Tabletext"/>
            </w:pPr>
            <w:r>
              <w:t>Australian Fairy Tern</w:t>
            </w:r>
          </w:p>
        </w:tc>
        <w:tc>
          <w:tcPr>
            <w:tcW w:w="545" w:type="pct"/>
            <w:vAlign w:val="center"/>
          </w:tcPr>
          <w:p w14:paraId="01EFD4C2" w14:textId="77777777" w:rsidR="008C1AD8" w:rsidRPr="00D30704" w:rsidRDefault="008C1AD8" w:rsidP="00A15226">
            <w:pPr>
              <w:pStyle w:val="Tabletext"/>
              <w:rPr>
                <w:i/>
                <w:iCs/>
              </w:rPr>
            </w:pPr>
            <w:r w:rsidRPr="00D30704">
              <w:rPr>
                <w:i/>
                <w:iCs/>
              </w:rPr>
              <w:t>Sternula nereis nereis</w:t>
            </w:r>
          </w:p>
        </w:tc>
        <w:tc>
          <w:tcPr>
            <w:tcW w:w="297" w:type="pct"/>
            <w:vAlign w:val="center"/>
          </w:tcPr>
          <w:p w14:paraId="68C1CEBF" w14:textId="77777777" w:rsidR="008C1AD8" w:rsidRDefault="008C1AD8" w:rsidP="00A15226">
            <w:pPr>
              <w:pStyle w:val="Tabletext"/>
            </w:pPr>
            <w:r>
              <w:t>V</w:t>
            </w:r>
          </w:p>
        </w:tc>
        <w:tc>
          <w:tcPr>
            <w:tcW w:w="2280" w:type="pct"/>
            <w:vAlign w:val="center"/>
          </w:tcPr>
          <w:p w14:paraId="6E255F09" w14:textId="77777777" w:rsidR="008C1AD8" w:rsidRDefault="008C1AD8" w:rsidP="00A15226">
            <w:pPr>
              <w:pStyle w:val="Tabletext"/>
            </w:pPr>
            <w:r>
              <w:t>Mapped habitat and a large number of records for the Australian Fairy Tern occur along the northern shoreline of Port Phillip Bay, from Limeburners Bay in the west through to the Study Area boundary in the east.</w:t>
            </w:r>
          </w:p>
          <w:p w14:paraId="2ABBD176" w14:textId="77777777" w:rsidR="008C1AD8" w:rsidRDefault="008C1AD8" w:rsidP="00A15226">
            <w:pPr>
              <w:pStyle w:val="Tabletext"/>
            </w:pPr>
            <w:r>
              <w:t>Multiple records and mapped habitat occur in the Moolap locality.</w:t>
            </w:r>
          </w:p>
          <w:p w14:paraId="025F52A5" w14:textId="77777777" w:rsidR="008C1AD8" w:rsidRDefault="008C1AD8" w:rsidP="00A15226">
            <w:pPr>
              <w:pStyle w:val="Tabletext"/>
            </w:pPr>
            <w:r>
              <w:t>Mapped habitat and a smaller number of records occurs at the Lake Connewarre Complex.</w:t>
            </w:r>
          </w:p>
          <w:p w14:paraId="1DF22EF4" w14:textId="77777777" w:rsidR="008C1AD8" w:rsidRDefault="008C1AD8" w:rsidP="00A15226">
            <w:pPr>
              <w:pStyle w:val="Tabletext"/>
            </w:pPr>
            <w:r>
              <w:t>A smaller area of habitat not associated with records occurs in the estuarine environment of Thompson Creek in the south of the Study Area.</w:t>
            </w:r>
          </w:p>
        </w:tc>
        <w:tc>
          <w:tcPr>
            <w:tcW w:w="543" w:type="pct"/>
            <w:vAlign w:val="center"/>
          </w:tcPr>
          <w:p w14:paraId="6F000428" w14:textId="77777777" w:rsidR="008C1AD8" w:rsidRPr="00983718" w:rsidRDefault="008C1AD8" w:rsidP="00A15226">
            <w:pPr>
              <w:pStyle w:val="Tabletext"/>
            </w:pPr>
            <w:hyperlink r:id="rId42" w:history="1">
              <w:r w:rsidRPr="00466211">
                <w:rPr>
                  <w:rStyle w:val="Hyperlink"/>
                </w:rPr>
                <w:t>Map 19-11</w:t>
              </w:r>
            </w:hyperlink>
          </w:p>
        </w:tc>
        <w:tc>
          <w:tcPr>
            <w:tcW w:w="891" w:type="pct"/>
            <w:vAlign w:val="center"/>
          </w:tcPr>
          <w:p w14:paraId="6EAC683E" w14:textId="77777777" w:rsidR="008C1AD8" w:rsidRDefault="008C1AD8" w:rsidP="00A15226">
            <w:pPr>
              <w:pStyle w:val="Tabletext"/>
            </w:pPr>
            <w:r w:rsidRPr="00983718">
              <w:t>Changes to water flows and quality</w:t>
            </w:r>
          </w:p>
          <w:p w14:paraId="6727FA26" w14:textId="77777777" w:rsidR="008C1AD8" w:rsidRDefault="008C1AD8" w:rsidP="00A15226">
            <w:pPr>
              <w:pStyle w:val="Tabletext"/>
            </w:pPr>
            <w:r w:rsidRPr="00983718">
              <w:t>Disturbance from increased public access to natural areas</w:t>
            </w:r>
          </w:p>
        </w:tc>
      </w:tr>
      <w:tr w:rsidR="008C1AD8" w14:paraId="20BADFBF" w14:textId="77777777" w:rsidTr="00A15226">
        <w:tc>
          <w:tcPr>
            <w:tcW w:w="443" w:type="pct"/>
            <w:vAlign w:val="center"/>
          </w:tcPr>
          <w:p w14:paraId="3AAFC6A6" w14:textId="77777777" w:rsidR="008C1AD8" w:rsidRDefault="008C1AD8" w:rsidP="00A15226">
            <w:pPr>
              <w:pStyle w:val="Tabletext"/>
            </w:pPr>
            <w:r>
              <w:t>Australian Painted Snipe</w:t>
            </w:r>
          </w:p>
        </w:tc>
        <w:tc>
          <w:tcPr>
            <w:tcW w:w="545" w:type="pct"/>
            <w:vAlign w:val="center"/>
          </w:tcPr>
          <w:p w14:paraId="0464909F" w14:textId="77777777" w:rsidR="008C1AD8" w:rsidRPr="00D30704" w:rsidRDefault="008C1AD8" w:rsidP="00A15226">
            <w:pPr>
              <w:pStyle w:val="Tabletext"/>
              <w:rPr>
                <w:i/>
                <w:iCs/>
              </w:rPr>
            </w:pPr>
            <w:r w:rsidRPr="00D30704">
              <w:rPr>
                <w:i/>
                <w:iCs/>
              </w:rPr>
              <w:t>Rostratula australis</w:t>
            </w:r>
          </w:p>
        </w:tc>
        <w:tc>
          <w:tcPr>
            <w:tcW w:w="297" w:type="pct"/>
            <w:vAlign w:val="center"/>
          </w:tcPr>
          <w:p w14:paraId="210CCDB9" w14:textId="77777777" w:rsidR="008C1AD8" w:rsidRDefault="008C1AD8" w:rsidP="00A15226">
            <w:pPr>
              <w:pStyle w:val="Tabletext"/>
            </w:pPr>
            <w:r>
              <w:t>E</w:t>
            </w:r>
          </w:p>
        </w:tc>
        <w:tc>
          <w:tcPr>
            <w:tcW w:w="2280" w:type="pct"/>
            <w:vAlign w:val="center"/>
          </w:tcPr>
          <w:p w14:paraId="033D0143" w14:textId="77777777" w:rsidR="008C1AD8" w:rsidRDefault="008C1AD8" w:rsidP="00A15226">
            <w:pPr>
              <w:pStyle w:val="Tabletext"/>
            </w:pPr>
            <w:r>
              <w:t>A large area of habitat and some records of the species occur at the Lake Connewarre Complex.</w:t>
            </w:r>
          </w:p>
          <w:p w14:paraId="56660CA7" w14:textId="77777777" w:rsidR="008C1AD8" w:rsidRDefault="008C1AD8" w:rsidP="00A15226">
            <w:pPr>
              <w:pStyle w:val="Tabletext"/>
            </w:pPr>
            <w:r>
              <w:t>Some records occur in the north-east of the Study Area in the locality of Little River.</w:t>
            </w:r>
          </w:p>
          <w:p w14:paraId="24004E0B" w14:textId="77777777" w:rsidR="008C1AD8" w:rsidRDefault="008C1AD8" w:rsidP="00A15226">
            <w:pPr>
              <w:pStyle w:val="Tabletext"/>
            </w:pPr>
            <w:r>
              <w:t>An isolated record occurs at Brisbane Ranges National Park in the north-west of the Study Area.</w:t>
            </w:r>
          </w:p>
          <w:p w14:paraId="3ABED1A4" w14:textId="77777777" w:rsidR="008C1AD8" w:rsidRDefault="008C1AD8" w:rsidP="00A15226">
            <w:pPr>
              <w:pStyle w:val="Tabletext"/>
            </w:pPr>
            <w:r>
              <w:t>Otherwise, habitat is mapped largely along riparian habitats, including the Moorabool River, Barwon River, Hovells Creek, Little River, and Thompsons Creek. Some habitat is also mapped along the coastline in the Port Wilson area.</w:t>
            </w:r>
          </w:p>
        </w:tc>
        <w:tc>
          <w:tcPr>
            <w:tcW w:w="543" w:type="pct"/>
            <w:vAlign w:val="center"/>
          </w:tcPr>
          <w:p w14:paraId="457D4BA8" w14:textId="77777777" w:rsidR="008C1AD8" w:rsidRPr="00983718" w:rsidRDefault="008C1AD8" w:rsidP="00A15226">
            <w:pPr>
              <w:pStyle w:val="Tabletext"/>
            </w:pPr>
            <w:hyperlink r:id="rId43" w:history="1">
              <w:r w:rsidRPr="00466211">
                <w:rPr>
                  <w:rStyle w:val="Hyperlink"/>
                </w:rPr>
                <w:t>Map 19-12</w:t>
              </w:r>
            </w:hyperlink>
          </w:p>
        </w:tc>
        <w:tc>
          <w:tcPr>
            <w:tcW w:w="891" w:type="pct"/>
            <w:vAlign w:val="center"/>
          </w:tcPr>
          <w:p w14:paraId="72CC4604" w14:textId="77777777" w:rsidR="008C1AD8" w:rsidRDefault="008C1AD8" w:rsidP="00A15226">
            <w:pPr>
              <w:pStyle w:val="Tabletext"/>
            </w:pPr>
            <w:r w:rsidRPr="00983718">
              <w:t>Changes to water flows and quality</w:t>
            </w:r>
          </w:p>
          <w:p w14:paraId="21A70D6D" w14:textId="77777777" w:rsidR="008C1AD8" w:rsidRDefault="008C1AD8" w:rsidP="00A15226">
            <w:pPr>
              <w:pStyle w:val="Tabletext"/>
            </w:pPr>
            <w:r w:rsidRPr="00983718">
              <w:t>Disturbance from increased public access to natural areas</w:t>
            </w:r>
          </w:p>
        </w:tc>
      </w:tr>
      <w:tr w:rsidR="008C1AD8" w14:paraId="032A9C11" w14:textId="77777777" w:rsidTr="00A15226">
        <w:tc>
          <w:tcPr>
            <w:tcW w:w="443" w:type="pct"/>
            <w:vAlign w:val="center"/>
          </w:tcPr>
          <w:p w14:paraId="3C26715D" w14:textId="77777777" w:rsidR="008C1AD8" w:rsidRDefault="008C1AD8" w:rsidP="00A15226">
            <w:pPr>
              <w:pStyle w:val="Tabletext"/>
            </w:pPr>
            <w:r>
              <w:lastRenderedPageBreak/>
              <w:t>Curlew Sandpiper</w:t>
            </w:r>
          </w:p>
        </w:tc>
        <w:tc>
          <w:tcPr>
            <w:tcW w:w="545" w:type="pct"/>
            <w:vAlign w:val="center"/>
          </w:tcPr>
          <w:p w14:paraId="29D7C17F" w14:textId="77777777" w:rsidR="008C1AD8" w:rsidRPr="00D30704" w:rsidRDefault="008C1AD8" w:rsidP="00A15226">
            <w:pPr>
              <w:pStyle w:val="Tabletext"/>
              <w:rPr>
                <w:i/>
                <w:iCs/>
              </w:rPr>
            </w:pPr>
            <w:r w:rsidRPr="00D30704">
              <w:rPr>
                <w:i/>
                <w:iCs/>
              </w:rPr>
              <w:t>Calidris ferruginea</w:t>
            </w:r>
          </w:p>
        </w:tc>
        <w:tc>
          <w:tcPr>
            <w:tcW w:w="297" w:type="pct"/>
            <w:vAlign w:val="center"/>
          </w:tcPr>
          <w:p w14:paraId="5526EE44" w14:textId="77777777" w:rsidR="008C1AD8" w:rsidRDefault="008C1AD8" w:rsidP="00A15226">
            <w:pPr>
              <w:pStyle w:val="Tabletext"/>
            </w:pPr>
            <w:r>
              <w:t>CE; FPAL; Mig</w:t>
            </w:r>
          </w:p>
        </w:tc>
        <w:tc>
          <w:tcPr>
            <w:tcW w:w="2280" w:type="pct"/>
            <w:vAlign w:val="center"/>
          </w:tcPr>
          <w:p w14:paraId="518F8B55" w14:textId="77777777" w:rsidR="008C1AD8" w:rsidRDefault="008C1AD8" w:rsidP="00A15226">
            <w:pPr>
              <w:pStyle w:val="Tabletext"/>
            </w:pPr>
            <w:r>
              <w:t>Mapped habitat and a large number of records for the Curlew Sandpiper occur along the northern shoreline of Port Phillip Bay, from Limeburners Bay in the west through to the Study Area boundary in the east.</w:t>
            </w:r>
          </w:p>
          <w:p w14:paraId="0AE1138C" w14:textId="77777777" w:rsidR="008C1AD8" w:rsidRDefault="008C1AD8" w:rsidP="00A15226">
            <w:pPr>
              <w:pStyle w:val="Tabletext"/>
            </w:pPr>
            <w:r>
              <w:t>Multiple records and mapped habitat occur in the Moolap locality, and at the Lake Connewarre Complex.</w:t>
            </w:r>
          </w:p>
          <w:p w14:paraId="77B7A943" w14:textId="77777777" w:rsidR="008C1AD8" w:rsidRDefault="008C1AD8" w:rsidP="00A15226">
            <w:pPr>
              <w:pStyle w:val="Tabletext"/>
            </w:pPr>
            <w:r>
              <w:t>A smaller area of habitat not associated with records occurs in the estuarine environment of Thompson Creek in the south of the Study Area.</w:t>
            </w:r>
          </w:p>
        </w:tc>
        <w:tc>
          <w:tcPr>
            <w:tcW w:w="543" w:type="pct"/>
            <w:vAlign w:val="center"/>
          </w:tcPr>
          <w:p w14:paraId="5BE57383" w14:textId="77777777" w:rsidR="008C1AD8" w:rsidRPr="00983718" w:rsidRDefault="008C1AD8" w:rsidP="00A15226">
            <w:pPr>
              <w:pStyle w:val="Tabletext"/>
            </w:pPr>
            <w:hyperlink r:id="rId44" w:history="1">
              <w:r w:rsidRPr="00466211">
                <w:rPr>
                  <w:rStyle w:val="Hyperlink"/>
                </w:rPr>
                <w:t>Map 19-13</w:t>
              </w:r>
            </w:hyperlink>
          </w:p>
        </w:tc>
        <w:tc>
          <w:tcPr>
            <w:tcW w:w="891" w:type="pct"/>
            <w:vAlign w:val="center"/>
          </w:tcPr>
          <w:p w14:paraId="0C8D5251" w14:textId="77777777" w:rsidR="008C1AD8" w:rsidRDefault="008C1AD8" w:rsidP="00A15226">
            <w:pPr>
              <w:pStyle w:val="Tabletext"/>
            </w:pPr>
            <w:r w:rsidRPr="00983718">
              <w:t>Changes to water flows and quality</w:t>
            </w:r>
          </w:p>
          <w:p w14:paraId="249BAC38" w14:textId="77777777" w:rsidR="008C1AD8" w:rsidRDefault="008C1AD8" w:rsidP="00A15226">
            <w:pPr>
              <w:pStyle w:val="Tabletext"/>
            </w:pPr>
            <w:r w:rsidRPr="00983718">
              <w:t>Disturbance from increased public access to natural areas</w:t>
            </w:r>
          </w:p>
        </w:tc>
      </w:tr>
      <w:tr w:rsidR="008C1AD8" w14:paraId="51F6E01D" w14:textId="77777777" w:rsidTr="00A15226">
        <w:tc>
          <w:tcPr>
            <w:tcW w:w="443" w:type="pct"/>
            <w:vAlign w:val="center"/>
          </w:tcPr>
          <w:p w14:paraId="14B1E2BD" w14:textId="77777777" w:rsidR="008C1AD8" w:rsidRDefault="008C1AD8" w:rsidP="00A15226">
            <w:pPr>
              <w:pStyle w:val="Tabletext"/>
            </w:pPr>
            <w:r>
              <w:t>Eastern Curlew</w:t>
            </w:r>
          </w:p>
        </w:tc>
        <w:tc>
          <w:tcPr>
            <w:tcW w:w="545" w:type="pct"/>
            <w:vAlign w:val="center"/>
          </w:tcPr>
          <w:p w14:paraId="075426BC" w14:textId="77777777" w:rsidR="008C1AD8" w:rsidRPr="00D30704" w:rsidRDefault="008C1AD8" w:rsidP="00A15226">
            <w:pPr>
              <w:pStyle w:val="Tabletext"/>
              <w:rPr>
                <w:i/>
                <w:iCs/>
              </w:rPr>
            </w:pPr>
            <w:r w:rsidRPr="00D30704">
              <w:rPr>
                <w:i/>
                <w:iCs/>
              </w:rPr>
              <w:t>Numenius madagascariensis</w:t>
            </w:r>
          </w:p>
        </w:tc>
        <w:tc>
          <w:tcPr>
            <w:tcW w:w="297" w:type="pct"/>
            <w:vAlign w:val="center"/>
          </w:tcPr>
          <w:p w14:paraId="425EBC02" w14:textId="77777777" w:rsidR="008C1AD8" w:rsidRDefault="008C1AD8" w:rsidP="00A15226">
            <w:pPr>
              <w:pStyle w:val="Tabletext"/>
            </w:pPr>
            <w:r>
              <w:t>CE; FPAL; Mig</w:t>
            </w:r>
          </w:p>
        </w:tc>
        <w:tc>
          <w:tcPr>
            <w:tcW w:w="2280" w:type="pct"/>
            <w:vAlign w:val="center"/>
          </w:tcPr>
          <w:p w14:paraId="475F7E08" w14:textId="77777777" w:rsidR="008C1AD8" w:rsidRDefault="008C1AD8" w:rsidP="00A15226">
            <w:pPr>
              <w:pStyle w:val="Tabletext"/>
            </w:pPr>
            <w:r>
              <w:t>Mapped habitat and records for the Eastern Curlew occur along the northern shoreline of Port Phillip Bay, from Limeburners Bay in the west through to the Study Area boundary in the east.</w:t>
            </w:r>
          </w:p>
          <w:p w14:paraId="3572C290" w14:textId="77777777" w:rsidR="008C1AD8" w:rsidRDefault="008C1AD8" w:rsidP="00A15226">
            <w:pPr>
              <w:pStyle w:val="Tabletext"/>
            </w:pPr>
            <w:r>
              <w:t>Records and mapped habitat also occur in the Moolap locality and at the Lake Connewarre Complex.</w:t>
            </w:r>
          </w:p>
          <w:p w14:paraId="0E9ED6FF" w14:textId="77777777" w:rsidR="008C1AD8" w:rsidRDefault="008C1AD8" w:rsidP="00A15226">
            <w:pPr>
              <w:pStyle w:val="Tabletext"/>
            </w:pPr>
            <w:r>
              <w:t>A smaller area of habitat not associated with records occurs in the estuarine environment of Thompson Creek in the south of the Study Area.</w:t>
            </w:r>
          </w:p>
        </w:tc>
        <w:tc>
          <w:tcPr>
            <w:tcW w:w="543" w:type="pct"/>
            <w:vAlign w:val="center"/>
          </w:tcPr>
          <w:p w14:paraId="7EAAAF74" w14:textId="77777777" w:rsidR="008C1AD8" w:rsidRPr="00983718" w:rsidRDefault="008C1AD8" w:rsidP="00A15226">
            <w:pPr>
              <w:pStyle w:val="Tabletext"/>
            </w:pPr>
            <w:hyperlink r:id="rId45" w:history="1">
              <w:r w:rsidRPr="00466211">
                <w:rPr>
                  <w:rStyle w:val="Hyperlink"/>
                </w:rPr>
                <w:t>Map 19-14</w:t>
              </w:r>
            </w:hyperlink>
          </w:p>
        </w:tc>
        <w:tc>
          <w:tcPr>
            <w:tcW w:w="891" w:type="pct"/>
            <w:vAlign w:val="center"/>
          </w:tcPr>
          <w:p w14:paraId="7519E588" w14:textId="77777777" w:rsidR="008C1AD8" w:rsidRDefault="008C1AD8" w:rsidP="00A15226">
            <w:pPr>
              <w:pStyle w:val="Tabletext"/>
            </w:pPr>
            <w:r w:rsidRPr="00983718">
              <w:t>Changes to water flows and quality</w:t>
            </w:r>
          </w:p>
          <w:p w14:paraId="7D877DED" w14:textId="77777777" w:rsidR="008C1AD8" w:rsidRDefault="008C1AD8" w:rsidP="00A15226">
            <w:pPr>
              <w:pStyle w:val="Tabletext"/>
            </w:pPr>
            <w:r w:rsidRPr="00983718">
              <w:t>Disturbance from increased public access to natural areas</w:t>
            </w:r>
          </w:p>
        </w:tc>
      </w:tr>
      <w:tr w:rsidR="008C1AD8" w14:paraId="7F7151CF" w14:textId="77777777" w:rsidTr="00A15226">
        <w:tc>
          <w:tcPr>
            <w:tcW w:w="443" w:type="pct"/>
            <w:vAlign w:val="center"/>
          </w:tcPr>
          <w:p w14:paraId="07008B7C" w14:textId="77777777" w:rsidR="008C1AD8" w:rsidRDefault="008C1AD8" w:rsidP="00A15226">
            <w:pPr>
              <w:pStyle w:val="Tabletext"/>
            </w:pPr>
            <w:r>
              <w:t>Great Knot</w:t>
            </w:r>
          </w:p>
        </w:tc>
        <w:tc>
          <w:tcPr>
            <w:tcW w:w="545" w:type="pct"/>
            <w:vAlign w:val="center"/>
          </w:tcPr>
          <w:p w14:paraId="3AF3CA72" w14:textId="77777777" w:rsidR="008C1AD8" w:rsidRPr="00D30704" w:rsidRDefault="008C1AD8" w:rsidP="00A15226">
            <w:pPr>
              <w:pStyle w:val="Tabletext"/>
              <w:rPr>
                <w:i/>
                <w:iCs/>
              </w:rPr>
            </w:pPr>
            <w:r w:rsidRPr="00D30704">
              <w:rPr>
                <w:i/>
                <w:iCs/>
              </w:rPr>
              <w:t>Calidris tenuirostris</w:t>
            </w:r>
          </w:p>
        </w:tc>
        <w:tc>
          <w:tcPr>
            <w:tcW w:w="297" w:type="pct"/>
            <w:vAlign w:val="center"/>
          </w:tcPr>
          <w:p w14:paraId="35AA4C4F" w14:textId="77777777" w:rsidR="008C1AD8" w:rsidRDefault="008C1AD8" w:rsidP="00A15226">
            <w:pPr>
              <w:pStyle w:val="Tabletext"/>
            </w:pPr>
            <w:r>
              <w:t>CE; FPAL; Mig</w:t>
            </w:r>
          </w:p>
        </w:tc>
        <w:tc>
          <w:tcPr>
            <w:tcW w:w="2280" w:type="pct"/>
            <w:vAlign w:val="center"/>
          </w:tcPr>
          <w:p w14:paraId="613E44D2" w14:textId="77777777" w:rsidR="008C1AD8" w:rsidRDefault="008C1AD8" w:rsidP="00A15226">
            <w:pPr>
              <w:pStyle w:val="Tabletext"/>
            </w:pPr>
            <w:r>
              <w:t>Mapped habitat and records for the Great Knot occur along the northern shoreline of Port Phillip Bay, from Limeburners Bay in the west through to the Study Area boundary in the east.</w:t>
            </w:r>
          </w:p>
          <w:p w14:paraId="2CE30920" w14:textId="77777777" w:rsidR="008C1AD8" w:rsidRDefault="008C1AD8" w:rsidP="00A15226">
            <w:pPr>
              <w:pStyle w:val="Tabletext"/>
            </w:pPr>
            <w:r>
              <w:t>Records and mapped habitat also occur in the Moolap locality and at the Lake Connewarre Complex.</w:t>
            </w:r>
          </w:p>
          <w:p w14:paraId="1CE1EC7D" w14:textId="77777777" w:rsidR="008C1AD8" w:rsidRDefault="008C1AD8" w:rsidP="00A15226">
            <w:pPr>
              <w:pStyle w:val="Tabletext"/>
            </w:pPr>
            <w:r>
              <w:t>Habitat not associated with records occurs in the estuarine environment of Thompson Creek in the south of the Study Area.</w:t>
            </w:r>
          </w:p>
        </w:tc>
        <w:tc>
          <w:tcPr>
            <w:tcW w:w="543" w:type="pct"/>
            <w:vAlign w:val="center"/>
          </w:tcPr>
          <w:p w14:paraId="223A456A" w14:textId="77777777" w:rsidR="008C1AD8" w:rsidRPr="00983718" w:rsidRDefault="008C1AD8" w:rsidP="00A15226">
            <w:pPr>
              <w:pStyle w:val="Tabletext"/>
            </w:pPr>
            <w:hyperlink r:id="rId46" w:history="1">
              <w:r w:rsidRPr="00466211">
                <w:rPr>
                  <w:rStyle w:val="Hyperlink"/>
                </w:rPr>
                <w:t>Map 19-15</w:t>
              </w:r>
            </w:hyperlink>
          </w:p>
        </w:tc>
        <w:tc>
          <w:tcPr>
            <w:tcW w:w="891" w:type="pct"/>
            <w:vAlign w:val="center"/>
          </w:tcPr>
          <w:p w14:paraId="3085AA5B" w14:textId="77777777" w:rsidR="008C1AD8" w:rsidRDefault="008C1AD8" w:rsidP="00A15226">
            <w:pPr>
              <w:pStyle w:val="Tabletext"/>
            </w:pPr>
            <w:r w:rsidRPr="00983718">
              <w:t>Changes to water flows and quality</w:t>
            </w:r>
          </w:p>
          <w:p w14:paraId="12E53D67" w14:textId="77777777" w:rsidR="008C1AD8" w:rsidRDefault="008C1AD8" w:rsidP="00A15226">
            <w:pPr>
              <w:pStyle w:val="Tabletext"/>
            </w:pPr>
            <w:r w:rsidRPr="00983718">
              <w:t>Disturbance from increased public access to natural areas</w:t>
            </w:r>
          </w:p>
        </w:tc>
      </w:tr>
      <w:tr w:rsidR="008C1AD8" w14:paraId="34FB21F9" w14:textId="77777777" w:rsidTr="00A15226">
        <w:tc>
          <w:tcPr>
            <w:tcW w:w="443" w:type="pct"/>
            <w:vAlign w:val="center"/>
          </w:tcPr>
          <w:p w14:paraId="395C77A6" w14:textId="77777777" w:rsidR="008C1AD8" w:rsidRDefault="008C1AD8" w:rsidP="00A15226">
            <w:pPr>
              <w:pStyle w:val="Tabletext"/>
            </w:pPr>
            <w:r>
              <w:t>Greater Sand Plover</w:t>
            </w:r>
          </w:p>
        </w:tc>
        <w:tc>
          <w:tcPr>
            <w:tcW w:w="545" w:type="pct"/>
            <w:vAlign w:val="center"/>
          </w:tcPr>
          <w:p w14:paraId="2B66E21D" w14:textId="77777777" w:rsidR="008C1AD8" w:rsidRPr="00D30704" w:rsidRDefault="008C1AD8" w:rsidP="00A15226">
            <w:pPr>
              <w:pStyle w:val="Tabletext"/>
              <w:rPr>
                <w:i/>
                <w:iCs/>
              </w:rPr>
            </w:pPr>
            <w:r w:rsidRPr="00D30704">
              <w:rPr>
                <w:i/>
                <w:iCs/>
              </w:rPr>
              <w:t>Charadrius leschenaultii</w:t>
            </w:r>
          </w:p>
        </w:tc>
        <w:tc>
          <w:tcPr>
            <w:tcW w:w="297" w:type="pct"/>
            <w:vAlign w:val="center"/>
          </w:tcPr>
          <w:p w14:paraId="24FD3EF7" w14:textId="77777777" w:rsidR="008C1AD8" w:rsidRDefault="008C1AD8" w:rsidP="00A15226">
            <w:pPr>
              <w:pStyle w:val="Tabletext"/>
            </w:pPr>
            <w:r>
              <w:t>V; FPAL; Mig</w:t>
            </w:r>
          </w:p>
        </w:tc>
        <w:tc>
          <w:tcPr>
            <w:tcW w:w="2280" w:type="pct"/>
            <w:vAlign w:val="center"/>
          </w:tcPr>
          <w:p w14:paraId="226547B3" w14:textId="77777777" w:rsidR="008C1AD8" w:rsidRDefault="008C1AD8" w:rsidP="00A15226">
            <w:pPr>
              <w:pStyle w:val="Tabletext"/>
            </w:pPr>
            <w:r>
              <w:t>Two records and mapped habitat for the Greater Sand Plover occurs in the Moolap locality.</w:t>
            </w:r>
          </w:p>
          <w:p w14:paraId="227C59D2" w14:textId="77777777" w:rsidR="008C1AD8" w:rsidRDefault="008C1AD8" w:rsidP="00A15226">
            <w:pPr>
              <w:pStyle w:val="Tabletext"/>
            </w:pPr>
            <w:r>
              <w:t>Otherwise, habitat is mapped along the northern shoreline of Port Phillip Bay, from Limeburners Bay in the west through to the Study Area boundary in the east, and at the Lake Connewarre Complex.</w:t>
            </w:r>
          </w:p>
        </w:tc>
        <w:tc>
          <w:tcPr>
            <w:tcW w:w="543" w:type="pct"/>
            <w:vAlign w:val="center"/>
          </w:tcPr>
          <w:p w14:paraId="178EA52F" w14:textId="77777777" w:rsidR="008C1AD8" w:rsidRPr="00983718" w:rsidRDefault="008C1AD8" w:rsidP="00A15226">
            <w:pPr>
              <w:pStyle w:val="Tabletext"/>
            </w:pPr>
            <w:hyperlink r:id="rId47" w:history="1">
              <w:r w:rsidRPr="00466211">
                <w:rPr>
                  <w:rStyle w:val="Hyperlink"/>
                </w:rPr>
                <w:t>Map 19-16</w:t>
              </w:r>
            </w:hyperlink>
          </w:p>
        </w:tc>
        <w:tc>
          <w:tcPr>
            <w:tcW w:w="891" w:type="pct"/>
            <w:vAlign w:val="center"/>
          </w:tcPr>
          <w:p w14:paraId="5663B206" w14:textId="77777777" w:rsidR="008C1AD8" w:rsidRDefault="008C1AD8" w:rsidP="00A15226">
            <w:pPr>
              <w:pStyle w:val="Tabletext"/>
            </w:pPr>
            <w:r w:rsidRPr="00983718">
              <w:t>Changes to water flows and quality</w:t>
            </w:r>
          </w:p>
          <w:p w14:paraId="49B161A0" w14:textId="77777777" w:rsidR="008C1AD8" w:rsidRDefault="008C1AD8" w:rsidP="00A15226">
            <w:pPr>
              <w:pStyle w:val="Tabletext"/>
            </w:pPr>
            <w:r w:rsidRPr="00983718">
              <w:t>Disturbance from increased public access to natural areas</w:t>
            </w:r>
          </w:p>
        </w:tc>
      </w:tr>
      <w:tr w:rsidR="008C1AD8" w14:paraId="09FEECC9" w14:textId="77777777" w:rsidTr="00A15226">
        <w:tc>
          <w:tcPr>
            <w:tcW w:w="443" w:type="pct"/>
            <w:vAlign w:val="center"/>
          </w:tcPr>
          <w:p w14:paraId="2153280C" w14:textId="77777777" w:rsidR="008C1AD8" w:rsidRDefault="008C1AD8" w:rsidP="00A15226">
            <w:pPr>
              <w:pStyle w:val="Tabletext"/>
            </w:pPr>
            <w:r>
              <w:t>Lesser Sand Plover</w:t>
            </w:r>
          </w:p>
        </w:tc>
        <w:tc>
          <w:tcPr>
            <w:tcW w:w="545" w:type="pct"/>
            <w:vAlign w:val="center"/>
          </w:tcPr>
          <w:p w14:paraId="0E341EFE" w14:textId="77777777" w:rsidR="008C1AD8" w:rsidRPr="00D30704" w:rsidRDefault="008C1AD8" w:rsidP="00A15226">
            <w:pPr>
              <w:pStyle w:val="Tabletext"/>
              <w:rPr>
                <w:i/>
                <w:iCs/>
              </w:rPr>
            </w:pPr>
            <w:r w:rsidRPr="00D30704">
              <w:rPr>
                <w:i/>
                <w:iCs/>
              </w:rPr>
              <w:t>Charadrius mongolus</w:t>
            </w:r>
          </w:p>
        </w:tc>
        <w:tc>
          <w:tcPr>
            <w:tcW w:w="297" w:type="pct"/>
            <w:vAlign w:val="center"/>
          </w:tcPr>
          <w:p w14:paraId="0095A675" w14:textId="77777777" w:rsidR="008C1AD8" w:rsidRDefault="008C1AD8" w:rsidP="00A15226">
            <w:pPr>
              <w:pStyle w:val="Tabletext"/>
            </w:pPr>
            <w:r>
              <w:t>E; Mig</w:t>
            </w:r>
          </w:p>
        </w:tc>
        <w:tc>
          <w:tcPr>
            <w:tcW w:w="2280" w:type="pct"/>
            <w:vAlign w:val="center"/>
          </w:tcPr>
          <w:p w14:paraId="081F821E" w14:textId="77777777" w:rsidR="008C1AD8" w:rsidRDefault="008C1AD8" w:rsidP="00A15226">
            <w:pPr>
              <w:pStyle w:val="Tabletext"/>
            </w:pPr>
            <w:r>
              <w:t>Mapped habitat and one record of the Lesser Sand Plover occurs along the northern shoreline of Port Phillip Bay, from Limeburners Bay in the west through to the Study Area boundary in the east.</w:t>
            </w:r>
          </w:p>
          <w:p w14:paraId="3BCF6170" w14:textId="77777777" w:rsidR="008C1AD8" w:rsidRDefault="008C1AD8" w:rsidP="00A15226">
            <w:pPr>
              <w:pStyle w:val="Tabletext"/>
            </w:pPr>
            <w:r>
              <w:t>Three records and mapped habitat also occur in the Moolap locality.</w:t>
            </w:r>
          </w:p>
          <w:p w14:paraId="1DD9CEEF" w14:textId="77777777" w:rsidR="008C1AD8" w:rsidRDefault="008C1AD8" w:rsidP="00A15226">
            <w:pPr>
              <w:pStyle w:val="Tabletext"/>
            </w:pPr>
            <w:r>
              <w:lastRenderedPageBreak/>
              <w:t>Mapped habitat not associated with records occurs at the Lake Connewarre Complex and in the estuarine environment of Thompson Creek in the south of the Study Area.</w:t>
            </w:r>
          </w:p>
        </w:tc>
        <w:tc>
          <w:tcPr>
            <w:tcW w:w="543" w:type="pct"/>
            <w:vAlign w:val="center"/>
          </w:tcPr>
          <w:p w14:paraId="47E45C66" w14:textId="77777777" w:rsidR="008C1AD8" w:rsidRPr="00983718" w:rsidRDefault="008C1AD8" w:rsidP="00A15226">
            <w:pPr>
              <w:pStyle w:val="Tabletext"/>
            </w:pPr>
            <w:hyperlink r:id="rId48" w:history="1">
              <w:r w:rsidRPr="00466211">
                <w:rPr>
                  <w:rStyle w:val="Hyperlink"/>
                </w:rPr>
                <w:t>Map 19-17</w:t>
              </w:r>
            </w:hyperlink>
          </w:p>
        </w:tc>
        <w:tc>
          <w:tcPr>
            <w:tcW w:w="891" w:type="pct"/>
            <w:vAlign w:val="center"/>
          </w:tcPr>
          <w:p w14:paraId="1EB98A07" w14:textId="77777777" w:rsidR="008C1AD8" w:rsidRDefault="008C1AD8" w:rsidP="00A15226">
            <w:pPr>
              <w:pStyle w:val="Tabletext"/>
            </w:pPr>
            <w:r w:rsidRPr="00983718">
              <w:t>Changes to water flows and quality</w:t>
            </w:r>
          </w:p>
          <w:p w14:paraId="4EF0E145" w14:textId="77777777" w:rsidR="008C1AD8" w:rsidRDefault="008C1AD8" w:rsidP="00A15226">
            <w:pPr>
              <w:pStyle w:val="Tabletext"/>
            </w:pPr>
            <w:r w:rsidRPr="00983718">
              <w:t>Disturbance from increased public access to natural areas</w:t>
            </w:r>
          </w:p>
        </w:tc>
      </w:tr>
      <w:tr w:rsidR="008C1AD8" w14:paraId="70FB3E0B" w14:textId="77777777" w:rsidTr="00A15226">
        <w:tc>
          <w:tcPr>
            <w:tcW w:w="443" w:type="pct"/>
            <w:vAlign w:val="center"/>
          </w:tcPr>
          <w:p w14:paraId="13CE90E5" w14:textId="77777777" w:rsidR="008C1AD8" w:rsidRDefault="008C1AD8" w:rsidP="00A15226">
            <w:pPr>
              <w:pStyle w:val="Tabletext"/>
            </w:pPr>
            <w:r>
              <w:t>Orange-bellied Parrot</w:t>
            </w:r>
          </w:p>
        </w:tc>
        <w:tc>
          <w:tcPr>
            <w:tcW w:w="545" w:type="pct"/>
            <w:vAlign w:val="center"/>
          </w:tcPr>
          <w:p w14:paraId="76996BAB" w14:textId="77777777" w:rsidR="008C1AD8" w:rsidRPr="00D30704" w:rsidRDefault="008C1AD8" w:rsidP="00A15226">
            <w:pPr>
              <w:pStyle w:val="Tabletext"/>
              <w:rPr>
                <w:i/>
                <w:iCs/>
              </w:rPr>
            </w:pPr>
            <w:r>
              <w:rPr>
                <w:i/>
                <w:iCs/>
              </w:rPr>
              <w:t>Neophema chrysogaster</w:t>
            </w:r>
          </w:p>
        </w:tc>
        <w:tc>
          <w:tcPr>
            <w:tcW w:w="297" w:type="pct"/>
            <w:vAlign w:val="center"/>
          </w:tcPr>
          <w:p w14:paraId="76C46E16" w14:textId="77777777" w:rsidR="008C1AD8" w:rsidRDefault="008C1AD8" w:rsidP="00A15226">
            <w:pPr>
              <w:pStyle w:val="Tabletext"/>
            </w:pPr>
            <w:r>
              <w:t>CE</w:t>
            </w:r>
          </w:p>
        </w:tc>
        <w:tc>
          <w:tcPr>
            <w:tcW w:w="2280" w:type="pct"/>
            <w:vAlign w:val="center"/>
          </w:tcPr>
          <w:p w14:paraId="68C042A4" w14:textId="77777777" w:rsidR="008C1AD8" w:rsidRDefault="008C1AD8" w:rsidP="00A15226">
            <w:pPr>
              <w:pStyle w:val="Tabletext"/>
            </w:pPr>
            <w:r>
              <w:t>Mapped habitat and a large number of records for the Orange-bellied Parrot occur along the northern shoreline of Port Phillip Bay, from Limeburners Bay in the west through to the Study Area boundary in the east.</w:t>
            </w:r>
          </w:p>
          <w:p w14:paraId="32C98923" w14:textId="77777777" w:rsidR="008C1AD8" w:rsidRDefault="008C1AD8" w:rsidP="00A15226">
            <w:pPr>
              <w:pStyle w:val="Tabletext"/>
            </w:pPr>
            <w:r>
              <w:t>Multiple records and mapped habitat also occur at the Lake Connewarre Complex.</w:t>
            </w:r>
          </w:p>
          <w:p w14:paraId="789ECB58" w14:textId="77777777" w:rsidR="008C1AD8" w:rsidRDefault="008C1AD8" w:rsidP="00A15226">
            <w:pPr>
              <w:pStyle w:val="Tabletext"/>
            </w:pPr>
            <w:r>
              <w:t>Habitat not associated with records is located at Moolap and at the estuarine environment of Thompson Creek in the south of the Study Area.</w:t>
            </w:r>
          </w:p>
        </w:tc>
        <w:tc>
          <w:tcPr>
            <w:tcW w:w="543" w:type="pct"/>
            <w:vAlign w:val="center"/>
          </w:tcPr>
          <w:p w14:paraId="7EEBE1AE" w14:textId="77777777" w:rsidR="008C1AD8" w:rsidRPr="00983718" w:rsidRDefault="008C1AD8" w:rsidP="00A15226">
            <w:pPr>
              <w:pStyle w:val="Tabletext"/>
            </w:pPr>
            <w:hyperlink r:id="rId49" w:history="1">
              <w:r w:rsidRPr="00466211">
                <w:rPr>
                  <w:rStyle w:val="Hyperlink"/>
                </w:rPr>
                <w:t>Map 19-18</w:t>
              </w:r>
            </w:hyperlink>
          </w:p>
        </w:tc>
        <w:tc>
          <w:tcPr>
            <w:tcW w:w="891" w:type="pct"/>
            <w:vAlign w:val="center"/>
          </w:tcPr>
          <w:p w14:paraId="3A3DD403" w14:textId="77777777" w:rsidR="008C1AD8" w:rsidRPr="00983718" w:rsidRDefault="008C1AD8" w:rsidP="00A15226">
            <w:pPr>
              <w:pStyle w:val="Tabletext"/>
            </w:pPr>
            <w:r w:rsidRPr="00983718">
              <w:t>Changes to water flows and quality</w:t>
            </w:r>
          </w:p>
        </w:tc>
      </w:tr>
      <w:tr w:rsidR="008C1AD8" w14:paraId="13A3DFB9" w14:textId="77777777" w:rsidTr="00A15226">
        <w:tc>
          <w:tcPr>
            <w:tcW w:w="443" w:type="pct"/>
            <w:vAlign w:val="center"/>
          </w:tcPr>
          <w:p w14:paraId="71882CB8" w14:textId="77777777" w:rsidR="008C1AD8" w:rsidRDefault="008C1AD8" w:rsidP="00A15226">
            <w:pPr>
              <w:pStyle w:val="Tabletext"/>
            </w:pPr>
            <w:r>
              <w:t>Red Knot</w:t>
            </w:r>
          </w:p>
        </w:tc>
        <w:tc>
          <w:tcPr>
            <w:tcW w:w="545" w:type="pct"/>
            <w:vAlign w:val="center"/>
          </w:tcPr>
          <w:p w14:paraId="1028914C" w14:textId="77777777" w:rsidR="008C1AD8" w:rsidRPr="00D30704" w:rsidRDefault="008C1AD8" w:rsidP="00A15226">
            <w:pPr>
              <w:pStyle w:val="Tabletext"/>
              <w:rPr>
                <w:i/>
                <w:iCs/>
              </w:rPr>
            </w:pPr>
            <w:r w:rsidRPr="00D30704">
              <w:rPr>
                <w:i/>
                <w:iCs/>
              </w:rPr>
              <w:t>Calidris canutus</w:t>
            </w:r>
          </w:p>
        </w:tc>
        <w:tc>
          <w:tcPr>
            <w:tcW w:w="297" w:type="pct"/>
            <w:vAlign w:val="center"/>
          </w:tcPr>
          <w:p w14:paraId="7F5ACD39" w14:textId="77777777" w:rsidR="008C1AD8" w:rsidRDefault="008C1AD8" w:rsidP="00A15226">
            <w:pPr>
              <w:pStyle w:val="Tabletext"/>
            </w:pPr>
            <w:r>
              <w:t>E; FPAL; Mig</w:t>
            </w:r>
          </w:p>
        </w:tc>
        <w:tc>
          <w:tcPr>
            <w:tcW w:w="2280" w:type="pct"/>
            <w:vAlign w:val="center"/>
          </w:tcPr>
          <w:p w14:paraId="598001E3" w14:textId="77777777" w:rsidR="008C1AD8" w:rsidRDefault="008C1AD8" w:rsidP="00A15226">
            <w:pPr>
              <w:pStyle w:val="Tabletext"/>
            </w:pPr>
            <w:r>
              <w:t>Mapped habitat and records for the Red Knot occur along the northern shoreline of Port Phillip Bay, from Limeburners Bay in the west through to the Study Area boundary in the east.</w:t>
            </w:r>
          </w:p>
          <w:p w14:paraId="1ED536CF" w14:textId="77777777" w:rsidR="008C1AD8" w:rsidRDefault="008C1AD8" w:rsidP="00A15226">
            <w:pPr>
              <w:pStyle w:val="Tabletext"/>
            </w:pPr>
            <w:r>
              <w:t>Records and mapped habitat also occur in the Moolap locality and at the Lake Connewarre Complex.</w:t>
            </w:r>
          </w:p>
          <w:p w14:paraId="74A478C4" w14:textId="77777777" w:rsidR="008C1AD8" w:rsidRDefault="008C1AD8" w:rsidP="00A15226">
            <w:pPr>
              <w:pStyle w:val="Tabletext"/>
            </w:pPr>
            <w:r>
              <w:t>Habitat not associated with records occurs in the estuarine environment of Thompson Creek in the south of the Study Area.</w:t>
            </w:r>
          </w:p>
        </w:tc>
        <w:tc>
          <w:tcPr>
            <w:tcW w:w="543" w:type="pct"/>
            <w:vAlign w:val="center"/>
          </w:tcPr>
          <w:p w14:paraId="64B9E1AD" w14:textId="77777777" w:rsidR="008C1AD8" w:rsidRPr="00D40DE4" w:rsidRDefault="008C1AD8" w:rsidP="00A15226">
            <w:pPr>
              <w:pStyle w:val="Tabletext"/>
            </w:pPr>
            <w:hyperlink r:id="rId50" w:history="1">
              <w:r w:rsidRPr="00466211">
                <w:rPr>
                  <w:rStyle w:val="Hyperlink"/>
                </w:rPr>
                <w:t>Map 19-19</w:t>
              </w:r>
            </w:hyperlink>
          </w:p>
        </w:tc>
        <w:tc>
          <w:tcPr>
            <w:tcW w:w="891" w:type="pct"/>
            <w:vAlign w:val="center"/>
          </w:tcPr>
          <w:p w14:paraId="4A138808" w14:textId="77777777" w:rsidR="008C1AD8" w:rsidRDefault="008C1AD8" w:rsidP="00A15226">
            <w:pPr>
              <w:pStyle w:val="Tabletext"/>
            </w:pPr>
            <w:r w:rsidRPr="00983718">
              <w:t>Changes to water flows and quality</w:t>
            </w:r>
          </w:p>
          <w:p w14:paraId="6A56811B" w14:textId="77777777" w:rsidR="008C1AD8" w:rsidRDefault="008C1AD8" w:rsidP="00A15226">
            <w:pPr>
              <w:pStyle w:val="Tabletext"/>
            </w:pPr>
            <w:r w:rsidRPr="00983718">
              <w:t>Disturbance from increased public access to natural areas</w:t>
            </w:r>
          </w:p>
        </w:tc>
      </w:tr>
      <w:tr w:rsidR="008C1AD8" w14:paraId="0640E983" w14:textId="77777777" w:rsidTr="00A15226">
        <w:tc>
          <w:tcPr>
            <w:tcW w:w="443" w:type="pct"/>
            <w:vAlign w:val="center"/>
          </w:tcPr>
          <w:p w14:paraId="10CA79CD" w14:textId="77777777" w:rsidR="008C1AD8" w:rsidRDefault="008C1AD8" w:rsidP="00A15226">
            <w:pPr>
              <w:pStyle w:val="Tabletext"/>
            </w:pPr>
            <w:r>
              <w:t>Western Alaskan Bar-tailed Godwit</w:t>
            </w:r>
          </w:p>
        </w:tc>
        <w:tc>
          <w:tcPr>
            <w:tcW w:w="545" w:type="pct"/>
            <w:vAlign w:val="center"/>
          </w:tcPr>
          <w:p w14:paraId="42AF6CCA" w14:textId="77777777" w:rsidR="008C1AD8" w:rsidRPr="00D30704" w:rsidRDefault="008C1AD8" w:rsidP="00A15226">
            <w:pPr>
              <w:pStyle w:val="Tabletext"/>
              <w:rPr>
                <w:i/>
                <w:iCs/>
              </w:rPr>
            </w:pPr>
            <w:r w:rsidRPr="00D30704">
              <w:rPr>
                <w:i/>
                <w:iCs/>
              </w:rPr>
              <w:t>Limosa lapponica baueri</w:t>
            </w:r>
          </w:p>
        </w:tc>
        <w:tc>
          <w:tcPr>
            <w:tcW w:w="297" w:type="pct"/>
            <w:vAlign w:val="center"/>
          </w:tcPr>
          <w:p w14:paraId="5EED4784" w14:textId="77777777" w:rsidR="008C1AD8" w:rsidRPr="003D52B9" w:rsidRDefault="008C1AD8" w:rsidP="00A15226">
            <w:pPr>
              <w:pStyle w:val="Tabletext"/>
              <w:rPr>
                <w:i/>
                <w:iCs/>
              </w:rPr>
            </w:pPr>
            <w:r>
              <w:t xml:space="preserve">V; FPAL; Mig (as </w:t>
            </w:r>
            <w:r>
              <w:rPr>
                <w:i/>
                <w:iCs/>
              </w:rPr>
              <w:t>Limosa lapponica)</w:t>
            </w:r>
          </w:p>
        </w:tc>
        <w:tc>
          <w:tcPr>
            <w:tcW w:w="2280" w:type="pct"/>
            <w:vAlign w:val="center"/>
          </w:tcPr>
          <w:p w14:paraId="4FDD6D64" w14:textId="77777777" w:rsidR="008C1AD8" w:rsidRDefault="008C1AD8" w:rsidP="00A15226">
            <w:pPr>
              <w:pStyle w:val="Tabletext"/>
            </w:pPr>
            <w:r>
              <w:t>Mapped habitat and records for the Western Alaskan Bar-tailed Godwit occur along the northern shoreline of Port Phillip Bay, from Limeburners Bay in the west through to the Study Area boundary in the east.</w:t>
            </w:r>
          </w:p>
          <w:p w14:paraId="7CBA7861" w14:textId="77777777" w:rsidR="008C1AD8" w:rsidRDefault="008C1AD8" w:rsidP="00A15226">
            <w:pPr>
              <w:pStyle w:val="Tabletext"/>
            </w:pPr>
            <w:r>
              <w:t>Records and mapped habitat occur in the Moolap locality, and at the Lake Connewarre Complex.</w:t>
            </w:r>
          </w:p>
          <w:p w14:paraId="18A92663" w14:textId="77777777" w:rsidR="008C1AD8" w:rsidRDefault="008C1AD8" w:rsidP="00A15226">
            <w:pPr>
              <w:pStyle w:val="Tabletext"/>
            </w:pPr>
            <w:r>
              <w:t>A smaller area of habitat not associated with records occurs in the estuarine environment of Thompson Creek in the south of the Study Area.</w:t>
            </w:r>
          </w:p>
        </w:tc>
        <w:tc>
          <w:tcPr>
            <w:tcW w:w="543" w:type="pct"/>
            <w:vAlign w:val="center"/>
          </w:tcPr>
          <w:p w14:paraId="2C327543" w14:textId="77777777" w:rsidR="008C1AD8" w:rsidRPr="00983718" w:rsidRDefault="008C1AD8" w:rsidP="00A15226">
            <w:pPr>
              <w:pStyle w:val="Tabletext"/>
            </w:pPr>
            <w:hyperlink r:id="rId51" w:history="1">
              <w:r w:rsidRPr="00466211">
                <w:rPr>
                  <w:rStyle w:val="Hyperlink"/>
                </w:rPr>
                <w:t>Map 19-20</w:t>
              </w:r>
            </w:hyperlink>
          </w:p>
        </w:tc>
        <w:tc>
          <w:tcPr>
            <w:tcW w:w="891" w:type="pct"/>
            <w:vAlign w:val="center"/>
          </w:tcPr>
          <w:p w14:paraId="26C96841" w14:textId="77777777" w:rsidR="008C1AD8" w:rsidRDefault="008C1AD8" w:rsidP="00A15226">
            <w:pPr>
              <w:pStyle w:val="Tabletext"/>
            </w:pPr>
            <w:r w:rsidRPr="00983718">
              <w:t>Changes to water flows and quality</w:t>
            </w:r>
          </w:p>
          <w:p w14:paraId="17B14215" w14:textId="77777777" w:rsidR="008C1AD8" w:rsidRDefault="008C1AD8" w:rsidP="00A15226">
            <w:pPr>
              <w:pStyle w:val="Tabletext"/>
            </w:pPr>
            <w:r w:rsidRPr="00983718">
              <w:t>Disturbance from increased public access to natural areas</w:t>
            </w:r>
          </w:p>
        </w:tc>
      </w:tr>
    </w:tbl>
    <w:p w14:paraId="034AFDD1" w14:textId="77777777" w:rsidR="008C1AD8" w:rsidRDefault="008C1AD8" w:rsidP="008C1AD8">
      <w:pPr>
        <w:pStyle w:val="Tabletext"/>
        <w:rPr>
          <w:sz w:val="16"/>
          <w:szCs w:val="16"/>
        </w:rPr>
      </w:pPr>
      <w:r w:rsidRPr="000441F4">
        <w:rPr>
          <w:sz w:val="16"/>
          <w:szCs w:val="16"/>
        </w:rPr>
        <w:t xml:space="preserve">^ The following abbreviations have been used: V – Vulnerable; E – Endangered; CE – Critically Endangered; FPAL – Finalised Priority Assessment List; Mig </w:t>
      </w:r>
      <w:r>
        <w:rPr>
          <w:sz w:val="16"/>
          <w:szCs w:val="16"/>
        </w:rPr>
        <w:t>–</w:t>
      </w:r>
      <w:r w:rsidRPr="000441F4">
        <w:rPr>
          <w:sz w:val="16"/>
          <w:szCs w:val="16"/>
        </w:rPr>
        <w:t xml:space="preserve"> Migratory</w:t>
      </w:r>
    </w:p>
    <w:p w14:paraId="6EF7E961" w14:textId="77777777" w:rsidR="008C1AD8" w:rsidRPr="000441F4" w:rsidRDefault="008C1AD8" w:rsidP="008C1AD8">
      <w:pPr>
        <w:pStyle w:val="Tabletext"/>
        <w:rPr>
          <w:sz w:val="16"/>
          <w:szCs w:val="16"/>
        </w:rPr>
      </w:pPr>
    </w:p>
    <w:p w14:paraId="37C11FC2" w14:textId="77777777" w:rsidR="008C1AD8" w:rsidRDefault="008C1AD8" w:rsidP="008C1AD8">
      <w:pPr>
        <w:tabs>
          <w:tab w:val="clear" w:pos="4962"/>
        </w:tabs>
        <w:spacing w:before="0" w:after="0" w:line="240" w:lineRule="auto"/>
        <w:rPr>
          <w:b/>
          <w:bCs/>
          <w:sz w:val="16"/>
        </w:rPr>
      </w:pPr>
      <w:bookmarkStart w:id="93" w:name="_Ref115778169"/>
      <w:r>
        <w:br w:type="page"/>
      </w:r>
    </w:p>
    <w:p w14:paraId="06EC2714" w14:textId="77777777" w:rsidR="008C1AD8" w:rsidRDefault="008C1AD8" w:rsidP="008C1AD8">
      <w:pPr>
        <w:pStyle w:val="Caption"/>
      </w:pPr>
      <w:bookmarkStart w:id="94" w:name="_Ref116546534"/>
      <w:bookmarkStart w:id="95" w:name="_Toc135122724"/>
      <w:bookmarkEnd w:id="93"/>
      <w:r>
        <w:lastRenderedPageBreak/>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8</w:t>
      </w:r>
      <w:r>
        <w:fldChar w:fldCharType="end"/>
      </w:r>
      <w:bookmarkEnd w:id="94"/>
      <w:r>
        <w:t>: The occurrence in the Study Area and relevant indirect impacts under the Plan for each of the fish species considered in the combined assessment</w:t>
      </w:r>
      <w:bookmarkEnd w:id="95"/>
    </w:p>
    <w:tbl>
      <w:tblPr>
        <w:tblStyle w:val="TableGrid"/>
        <w:tblW w:w="4992" w:type="pct"/>
        <w:tblLook w:val="04A0" w:firstRow="1" w:lastRow="0" w:firstColumn="1" w:lastColumn="0" w:noHBand="0" w:noVBand="1"/>
      </w:tblPr>
      <w:tblGrid>
        <w:gridCol w:w="1272"/>
        <w:gridCol w:w="1561"/>
        <w:gridCol w:w="848"/>
        <w:gridCol w:w="6521"/>
        <w:gridCol w:w="1560"/>
        <w:gridCol w:w="2551"/>
      </w:tblGrid>
      <w:tr w:rsidR="008C1AD8" w14:paraId="2EADC083" w14:textId="77777777" w:rsidTr="00A15226">
        <w:trPr>
          <w:tblHeader/>
        </w:trPr>
        <w:tc>
          <w:tcPr>
            <w:tcW w:w="444" w:type="pct"/>
            <w:shd w:val="clear" w:color="auto" w:fill="D0CECE" w:themeFill="background2" w:themeFillShade="E6"/>
            <w:vAlign w:val="center"/>
          </w:tcPr>
          <w:p w14:paraId="2CA3D653" w14:textId="77777777" w:rsidR="008C1AD8" w:rsidRPr="00D30704" w:rsidRDefault="008C1AD8" w:rsidP="00A15226">
            <w:pPr>
              <w:pStyle w:val="Tabletext"/>
              <w:rPr>
                <w:b/>
                <w:bCs/>
              </w:rPr>
            </w:pPr>
            <w:r w:rsidRPr="00D30704">
              <w:rPr>
                <w:b/>
                <w:bCs/>
              </w:rPr>
              <w:t>Common name</w:t>
            </w:r>
          </w:p>
        </w:tc>
        <w:tc>
          <w:tcPr>
            <w:tcW w:w="545" w:type="pct"/>
            <w:shd w:val="clear" w:color="auto" w:fill="D0CECE" w:themeFill="background2" w:themeFillShade="E6"/>
            <w:vAlign w:val="center"/>
          </w:tcPr>
          <w:p w14:paraId="24620080" w14:textId="77777777" w:rsidR="008C1AD8" w:rsidRPr="00D30704" w:rsidRDefault="008C1AD8" w:rsidP="00A15226">
            <w:pPr>
              <w:pStyle w:val="Tabletext"/>
              <w:rPr>
                <w:b/>
                <w:bCs/>
              </w:rPr>
            </w:pPr>
            <w:r w:rsidRPr="00D30704">
              <w:rPr>
                <w:b/>
                <w:bCs/>
              </w:rPr>
              <w:t>Scientific name</w:t>
            </w:r>
          </w:p>
        </w:tc>
        <w:tc>
          <w:tcPr>
            <w:tcW w:w="296" w:type="pct"/>
            <w:shd w:val="clear" w:color="auto" w:fill="D0CECE" w:themeFill="background2" w:themeFillShade="E6"/>
            <w:vAlign w:val="center"/>
          </w:tcPr>
          <w:p w14:paraId="5EB9F9E0" w14:textId="77777777" w:rsidR="008C1AD8" w:rsidRPr="00D30704" w:rsidRDefault="008C1AD8" w:rsidP="00A15226">
            <w:pPr>
              <w:pStyle w:val="Tabletext"/>
              <w:rPr>
                <w:b/>
                <w:bCs/>
              </w:rPr>
            </w:pPr>
            <w:r w:rsidRPr="00D30704">
              <w:rPr>
                <w:b/>
                <w:bCs/>
              </w:rPr>
              <w:t>EPBC listing</w:t>
            </w:r>
            <w:r>
              <w:rPr>
                <w:b/>
                <w:bCs/>
              </w:rPr>
              <w:t>^</w:t>
            </w:r>
          </w:p>
        </w:tc>
        <w:tc>
          <w:tcPr>
            <w:tcW w:w="2278" w:type="pct"/>
            <w:shd w:val="clear" w:color="auto" w:fill="D0CECE" w:themeFill="background2" w:themeFillShade="E6"/>
            <w:vAlign w:val="center"/>
          </w:tcPr>
          <w:p w14:paraId="1FB3FC3D" w14:textId="77777777" w:rsidR="008C1AD8" w:rsidRPr="00D30704" w:rsidRDefault="008C1AD8" w:rsidP="00A15226">
            <w:pPr>
              <w:pStyle w:val="Tabletext"/>
              <w:rPr>
                <w:b/>
                <w:bCs/>
              </w:rPr>
            </w:pPr>
            <w:r>
              <w:rPr>
                <w:b/>
                <w:bCs/>
              </w:rPr>
              <w:t>Occurrence in the Study Area</w:t>
            </w:r>
          </w:p>
        </w:tc>
        <w:tc>
          <w:tcPr>
            <w:tcW w:w="545" w:type="pct"/>
            <w:shd w:val="clear" w:color="auto" w:fill="D0CECE" w:themeFill="background2" w:themeFillShade="E6"/>
            <w:vAlign w:val="center"/>
          </w:tcPr>
          <w:p w14:paraId="56E07F49" w14:textId="77777777" w:rsidR="008C1AD8" w:rsidRPr="00D30704" w:rsidRDefault="008C1AD8" w:rsidP="00A15226">
            <w:pPr>
              <w:pStyle w:val="Tabletext"/>
              <w:rPr>
                <w:b/>
                <w:bCs/>
              </w:rPr>
            </w:pPr>
            <w:r>
              <w:rPr>
                <w:b/>
                <w:bCs/>
              </w:rPr>
              <w:t>Map</w:t>
            </w:r>
          </w:p>
        </w:tc>
        <w:tc>
          <w:tcPr>
            <w:tcW w:w="891" w:type="pct"/>
            <w:shd w:val="clear" w:color="auto" w:fill="D0CECE" w:themeFill="background2" w:themeFillShade="E6"/>
            <w:vAlign w:val="center"/>
          </w:tcPr>
          <w:p w14:paraId="7D7FE629" w14:textId="77777777" w:rsidR="008C1AD8" w:rsidRPr="00D30704" w:rsidRDefault="008C1AD8" w:rsidP="00A15226">
            <w:pPr>
              <w:pStyle w:val="Tabletext"/>
              <w:rPr>
                <w:b/>
                <w:bCs/>
              </w:rPr>
            </w:pPr>
            <w:r w:rsidRPr="00D30704">
              <w:rPr>
                <w:b/>
                <w:bCs/>
              </w:rPr>
              <w:t>Relevant</w:t>
            </w:r>
            <w:r>
              <w:rPr>
                <w:b/>
                <w:bCs/>
              </w:rPr>
              <w:t xml:space="preserve"> indirect impacts</w:t>
            </w:r>
          </w:p>
        </w:tc>
      </w:tr>
      <w:tr w:rsidR="008C1AD8" w14:paraId="7CB67757" w14:textId="77777777" w:rsidTr="00A15226">
        <w:tc>
          <w:tcPr>
            <w:tcW w:w="444" w:type="pct"/>
            <w:vAlign w:val="center"/>
          </w:tcPr>
          <w:p w14:paraId="5ABF209A" w14:textId="77777777" w:rsidR="008C1AD8" w:rsidRDefault="008C1AD8" w:rsidP="00A15226">
            <w:pPr>
              <w:pStyle w:val="Tabletext"/>
            </w:pPr>
            <w:r>
              <w:t>Australian Grayling</w:t>
            </w:r>
          </w:p>
        </w:tc>
        <w:tc>
          <w:tcPr>
            <w:tcW w:w="545" w:type="pct"/>
            <w:vAlign w:val="center"/>
          </w:tcPr>
          <w:p w14:paraId="7152AAEE" w14:textId="77777777" w:rsidR="008C1AD8" w:rsidRPr="00D30704" w:rsidRDefault="008C1AD8" w:rsidP="00A15226">
            <w:pPr>
              <w:pStyle w:val="Tabletext"/>
              <w:rPr>
                <w:i/>
                <w:iCs/>
              </w:rPr>
            </w:pPr>
            <w:r>
              <w:rPr>
                <w:i/>
                <w:iCs/>
              </w:rPr>
              <w:t>Prototroctes maraena</w:t>
            </w:r>
          </w:p>
        </w:tc>
        <w:tc>
          <w:tcPr>
            <w:tcW w:w="296" w:type="pct"/>
            <w:vAlign w:val="center"/>
          </w:tcPr>
          <w:p w14:paraId="0B745763" w14:textId="77777777" w:rsidR="008C1AD8" w:rsidRDefault="008C1AD8" w:rsidP="00A15226">
            <w:pPr>
              <w:pStyle w:val="Tabletext"/>
            </w:pPr>
            <w:r>
              <w:t>V</w:t>
            </w:r>
          </w:p>
        </w:tc>
        <w:tc>
          <w:tcPr>
            <w:tcW w:w="2278" w:type="pct"/>
            <w:vAlign w:val="center"/>
          </w:tcPr>
          <w:p w14:paraId="09492C3D" w14:textId="77777777" w:rsidR="008C1AD8" w:rsidRDefault="008C1AD8" w:rsidP="00A15226">
            <w:pPr>
              <w:pStyle w:val="Tabletext"/>
            </w:pPr>
            <w:r>
              <w:t xml:space="preserve">Site surveys indicated the presence of suitable habitat at Cowies Creek for the Australian Grayling </w:t>
            </w:r>
            <w:sdt>
              <w:sdtPr>
                <w:rPr>
                  <w:color w:val="000000"/>
                </w:rPr>
                <w:tag w:val="MENDELEY_CITATION_v3_eyJjaXRhdGlvbklEIjoiTUVOREVMRVlfQ0lUQVRJT05fZjI5NjMzOWUtYzM1OC00MjBjLWI4YzAtMDBhMjBhOWNlZmM3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142387180"/>
                <w:placeholder>
                  <w:docPart w:val="EA492B379251784A8EF33F6B6775C3A8"/>
                </w:placeholder>
              </w:sdtPr>
              <w:sdtContent>
                <w:r w:rsidRPr="00273871">
                  <w:rPr>
                    <w:color w:val="000000"/>
                  </w:rPr>
                  <w:t>(EHP, 2021)</w:t>
                </w:r>
              </w:sdtContent>
            </w:sdt>
            <w:r>
              <w:t>. However, no records of the species occur at Cowies Creek. Potential habitat for the species occurs within the Moorabool River adjacent to the WGGA.</w:t>
            </w:r>
          </w:p>
          <w:p w14:paraId="5732C746" w14:textId="77777777" w:rsidR="008C1AD8" w:rsidRDefault="008C1AD8" w:rsidP="00A15226">
            <w:pPr>
              <w:pStyle w:val="Tabletext"/>
            </w:pPr>
            <w:r>
              <w:t>Records for this species occur where the Moorabool River meets the Barwon River at Fyansford. Habitat is mapped along the Moorabool River and the Barwon River. Some habitat is also mapped within the Lake Connewarre Complex.</w:t>
            </w:r>
          </w:p>
          <w:p w14:paraId="52139B3A" w14:textId="77777777" w:rsidR="008C1AD8" w:rsidRDefault="008C1AD8" w:rsidP="00A15226">
            <w:pPr>
              <w:pStyle w:val="Tabletext"/>
            </w:pPr>
            <w:r>
              <w:t>Habitat is also mapped at Hovells Creek, although no records occur at this location.</w:t>
            </w:r>
          </w:p>
        </w:tc>
        <w:tc>
          <w:tcPr>
            <w:tcW w:w="545" w:type="pct"/>
            <w:vAlign w:val="center"/>
          </w:tcPr>
          <w:p w14:paraId="5536CEE5" w14:textId="77777777" w:rsidR="008C1AD8" w:rsidRPr="00983718" w:rsidRDefault="008C1AD8" w:rsidP="00A15226">
            <w:pPr>
              <w:pStyle w:val="Tabletext"/>
            </w:pPr>
            <w:hyperlink r:id="rId52" w:history="1">
              <w:r w:rsidRPr="00466211">
                <w:rPr>
                  <w:rStyle w:val="Hyperlink"/>
                </w:rPr>
                <w:t>Map 19-21</w:t>
              </w:r>
            </w:hyperlink>
          </w:p>
        </w:tc>
        <w:tc>
          <w:tcPr>
            <w:tcW w:w="891" w:type="pct"/>
            <w:vAlign w:val="center"/>
          </w:tcPr>
          <w:p w14:paraId="32AC0454" w14:textId="77777777" w:rsidR="008C1AD8" w:rsidRDefault="008C1AD8" w:rsidP="00A15226">
            <w:pPr>
              <w:pStyle w:val="Tabletext"/>
            </w:pPr>
            <w:r w:rsidRPr="00983718">
              <w:t>Changes to water flows and quality</w:t>
            </w:r>
          </w:p>
          <w:p w14:paraId="0C2EDBE4" w14:textId="77777777" w:rsidR="008C1AD8" w:rsidRPr="00983718" w:rsidRDefault="008C1AD8" w:rsidP="00A15226">
            <w:pPr>
              <w:pStyle w:val="Tabletext"/>
            </w:pPr>
            <w:r>
              <w:t>Recreational fishing</w:t>
            </w:r>
          </w:p>
        </w:tc>
      </w:tr>
      <w:tr w:rsidR="008C1AD8" w14:paraId="3A19C2D8" w14:textId="77777777" w:rsidTr="00A15226">
        <w:tc>
          <w:tcPr>
            <w:tcW w:w="444" w:type="pct"/>
            <w:vAlign w:val="center"/>
          </w:tcPr>
          <w:p w14:paraId="7F0D49AD" w14:textId="77777777" w:rsidR="008C1AD8" w:rsidRPr="000441F4" w:rsidRDefault="008C1AD8" w:rsidP="00A15226">
            <w:pPr>
              <w:pStyle w:val="Tabletext"/>
            </w:pPr>
            <w:r w:rsidRPr="000441F4">
              <w:t>Eastern Dwarf Galaxias</w:t>
            </w:r>
          </w:p>
        </w:tc>
        <w:tc>
          <w:tcPr>
            <w:tcW w:w="545" w:type="pct"/>
            <w:vAlign w:val="center"/>
          </w:tcPr>
          <w:p w14:paraId="3BD06277" w14:textId="77777777" w:rsidR="008C1AD8" w:rsidRPr="000441F4" w:rsidRDefault="008C1AD8" w:rsidP="00A15226">
            <w:pPr>
              <w:pStyle w:val="Tabletext"/>
              <w:rPr>
                <w:i/>
                <w:iCs/>
              </w:rPr>
            </w:pPr>
            <w:r w:rsidRPr="000441F4">
              <w:rPr>
                <w:i/>
                <w:iCs/>
              </w:rPr>
              <w:t>Galaxiella pusilla*</w:t>
            </w:r>
          </w:p>
        </w:tc>
        <w:tc>
          <w:tcPr>
            <w:tcW w:w="296" w:type="pct"/>
            <w:vAlign w:val="center"/>
          </w:tcPr>
          <w:p w14:paraId="445E495F" w14:textId="77777777" w:rsidR="008C1AD8" w:rsidRDefault="008C1AD8" w:rsidP="00A15226">
            <w:pPr>
              <w:pStyle w:val="Tabletext"/>
            </w:pPr>
            <w:r>
              <w:t>V; FPAL</w:t>
            </w:r>
          </w:p>
        </w:tc>
        <w:tc>
          <w:tcPr>
            <w:tcW w:w="2278" w:type="pct"/>
            <w:vAlign w:val="center"/>
          </w:tcPr>
          <w:p w14:paraId="703188B1" w14:textId="77777777" w:rsidR="008C1AD8" w:rsidRDefault="008C1AD8" w:rsidP="00A15226">
            <w:pPr>
              <w:pStyle w:val="Tabletext"/>
            </w:pPr>
            <w:r>
              <w:t xml:space="preserve">There are no VBA records of the Eastern Dwarf Galaxias within the Study Area. However, the species is known to occur within the upper Barwon River catchment near Barwon Downs, and in the Moorabool River near Batesford </w:t>
            </w:r>
            <w:sdt>
              <w:sdtPr>
                <w:rPr>
                  <w:color w:val="000000"/>
                </w:rPr>
                <w:tag w:val="MENDELEY_CITATION_v3_eyJjaXRhdGlvbklEIjoiTUVOREVMRVlfQ0lUQVRJT05fMzVlNjc1NWYtYzg4Mi00YzRhLWE4ZDUtZDUzMTJmOTVhN2Yz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132468426"/>
                <w:placeholder>
                  <w:docPart w:val="EA492B379251784A8EF33F6B6775C3A8"/>
                </w:placeholder>
              </w:sdtPr>
              <w:sdtContent>
                <w:r w:rsidRPr="00273871">
                  <w:rPr>
                    <w:color w:val="000000"/>
                  </w:rPr>
                  <w:t>(EHP, 2021)</w:t>
                </w:r>
              </w:sdtContent>
            </w:sdt>
            <w:r>
              <w:t>. It is noted that Batesford is within the Study Area and is near the Strategic Assessment Area. It is possible that there are records of the species in this area which have not been entered into the VBA database.</w:t>
            </w:r>
          </w:p>
          <w:p w14:paraId="3755DD92" w14:textId="77777777" w:rsidR="008C1AD8" w:rsidRDefault="008C1AD8" w:rsidP="00A15226">
            <w:pPr>
              <w:pStyle w:val="Tabletext"/>
            </w:pPr>
            <w:r>
              <w:t xml:space="preserve">The Corangamite CMA is proposing to remove in-stream barriers associated with Batesford quarry within the next few years which may allow the Eastern Dwarf Galaxias to access upstream habitat within the Moorabool River </w:t>
            </w:r>
            <w:sdt>
              <w:sdtPr>
                <w:rPr>
                  <w:color w:val="000000"/>
                </w:rPr>
                <w:tag w:val="MENDELEY_CITATION_v3_eyJjaXRhdGlvbklEIjoiTUVOREVMRVlfQ0lUQVRJT05fMDVhMWFjYzEtMGI5Zi00ZmVhLThjYjktMGM0ZjgxZmYwOGY2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433503733"/>
                <w:placeholder>
                  <w:docPart w:val="EA492B379251784A8EF33F6B6775C3A8"/>
                </w:placeholder>
              </w:sdtPr>
              <w:sdtContent>
                <w:r w:rsidRPr="00273871">
                  <w:rPr>
                    <w:color w:val="000000"/>
                  </w:rPr>
                  <w:t>(EHP, 2021)</w:t>
                </w:r>
              </w:sdtContent>
            </w:sdt>
          </w:p>
          <w:p w14:paraId="7421F9D6" w14:textId="77777777" w:rsidR="008C1AD8" w:rsidRDefault="008C1AD8" w:rsidP="00A15226">
            <w:pPr>
              <w:pStyle w:val="Tabletext"/>
            </w:pPr>
            <w:r>
              <w:t xml:space="preserve">Site surveys indicated the presence of suitable habitat at Cowies Creek for the Eastern Dwarf Galaxias </w:t>
            </w:r>
            <w:sdt>
              <w:sdtPr>
                <w:rPr>
                  <w:color w:val="000000"/>
                </w:rPr>
                <w:tag w:val="MENDELEY_CITATION_v3_eyJjaXRhdGlvbklEIjoiTUVOREVMRVlfQ0lUQVRJT05fNDI4NjY1NjAtMGQzYS00ZGYyLWI1ODMtYTAyODA4OTg0M2Y0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619074556"/>
                <w:placeholder>
                  <w:docPart w:val="EA492B379251784A8EF33F6B6775C3A8"/>
                </w:placeholder>
              </w:sdtPr>
              <w:sdtContent>
                <w:r w:rsidRPr="00273871">
                  <w:rPr>
                    <w:color w:val="000000"/>
                  </w:rPr>
                  <w:t>(EHP, 2021)</w:t>
                </w:r>
              </w:sdtContent>
            </w:sdt>
            <w:r>
              <w:t>. Potential habitat for the species occurs within the Moorabool River adjacent to the WGGA.</w:t>
            </w:r>
          </w:p>
          <w:p w14:paraId="567A71BD" w14:textId="77777777" w:rsidR="008C1AD8" w:rsidRDefault="008C1AD8" w:rsidP="00A15226">
            <w:pPr>
              <w:pStyle w:val="Tabletext"/>
            </w:pPr>
            <w:r>
              <w:t>Habitat is mapped along the Moorabool River, the Barwon River and at Hovells Creek. Some habitat is also mapped within the Lake Connewarre Complex.</w:t>
            </w:r>
          </w:p>
        </w:tc>
        <w:tc>
          <w:tcPr>
            <w:tcW w:w="545" w:type="pct"/>
            <w:vAlign w:val="center"/>
          </w:tcPr>
          <w:p w14:paraId="326A4830" w14:textId="77777777" w:rsidR="008C1AD8" w:rsidRPr="00983718" w:rsidRDefault="008C1AD8" w:rsidP="00A15226">
            <w:pPr>
              <w:pStyle w:val="Tabletext"/>
            </w:pPr>
            <w:hyperlink r:id="rId53" w:history="1">
              <w:r w:rsidRPr="00466211">
                <w:rPr>
                  <w:rStyle w:val="Hyperlink"/>
                </w:rPr>
                <w:t>Map 19-22</w:t>
              </w:r>
            </w:hyperlink>
          </w:p>
        </w:tc>
        <w:tc>
          <w:tcPr>
            <w:tcW w:w="891" w:type="pct"/>
            <w:vAlign w:val="center"/>
          </w:tcPr>
          <w:p w14:paraId="32601BD3" w14:textId="77777777" w:rsidR="008C1AD8" w:rsidRDefault="008C1AD8" w:rsidP="00A15226">
            <w:pPr>
              <w:pStyle w:val="Tabletext"/>
            </w:pPr>
            <w:r w:rsidRPr="00983718">
              <w:t>Changes to water flows and quality</w:t>
            </w:r>
          </w:p>
          <w:p w14:paraId="2C1844F2" w14:textId="77777777" w:rsidR="008C1AD8" w:rsidRDefault="008C1AD8" w:rsidP="00A15226">
            <w:pPr>
              <w:pStyle w:val="Tabletext"/>
            </w:pPr>
            <w:r>
              <w:t>Illegal collection</w:t>
            </w:r>
          </w:p>
        </w:tc>
      </w:tr>
      <w:tr w:rsidR="008C1AD8" w14:paraId="2EE49C0F" w14:textId="77777777" w:rsidTr="00A15226">
        <w:tc>
          <w:tcPr>
            <w:tcW w:w="444" w:type="pct"/>
            <w:vAlign w:val="center"/>
          </w:tcPr>
          <w:p w14:paraId="0954A486" w14:textId="77777777" w:rsidR="008C1AD8" w:rsidRDefault="008C1AD8" w:rsidP="00A15226">
            <w:pPr>
              <w:pStyle w:val="Tabletext"/>
            </w:pPr>
            <w:r>
              <w:t>Yarra Pygmy Perch</w:t>
            </w:r>
          </w:p>
        </w:tc>
        <w:tc>
          <w:tcPr>
            <w:tcW w:w="545" w:type="pct"/>
            <w:vAlign w:val="center"/>
          </w:tcPr>
          <w:p w14:paraId="0F386A2C" w14:textId="77777777" w:rsidR="008C1AD8" w:rsidRPr="00D30704" w:rsidRDefault="008C1AD8" w:rsidP="00A15226">
            <w:pPr>
              <w:pStyle w:val="Tabletext"/>
              <w:rPr>
                <w:i/>
                <w:iCs/>
              </w:rPr>
            </w:pPr>
            <w:r>
              <w:rPr>
                <w:i/>
                <w:iCs/>
              </w:rPr>
              <w:t>Nannoperca obscura</w:t>
            </w:r>
          </w:p>
        </w:tc>
        <w:tc>
          <w:tcPr>
            <w:tcW w:w="296" w:type="pct"/>
            <w:vAlign w:val="center"/>
          </w:tcPr>
          <w:p w14:paraId="024DC406" w14:textId="77777777" w:rsidR="008C1AD8" w:rsidRDefault="008C1AD8" w:rsidP="00A15226">
            <w:pPr>
              <w:pStyle w:val="Tabletext"/>
            </w:pPr>
            <w:r>
              <w:t>V; FPAL</w:t>
            </w:r>
          </w:p>
        </w:tc>
        <w:tc>
          <w:tcPr>
            <w:tcW w:w="2278" w:type="pct"/>
            <w:vAlign w:val="center"/>
          </w:tcPr>
          <w:p w14:paraId="7C65C9D5" w14:textId="77777777" w:rsidR="008C1AD8" w:rsidRDefault="008C1AD8" w:rsidP="00A15226">
            <w:pPr>
              <w:pStyle w:val="Tabletext"/>
            </w:pPr>
            <w:r>
              <w:t>VBA records for this species occur in multiple locations along the Moorabool River, along the Barwon River, within Waurn Ponds Creek, within the Lake Connewarre Complex, and along Thompson Creek.</w:t>
            </w:r>
          </w:p>
          <w:p w14:paraId="67FCDE4D" w14:textId="77777777" w:rsidR="008C1AD8" w:rsidRDefault="008C1AD8" w:rsidP="00A15226">
            <w:pPr>
              <w:pStyle w:val="Tabletext"/>
            </w:pPr>
            <w:r>
              <w:t xml:space="preserve">Habitat for the species is mapped along the Moorabool River, Barwon River, Waurn Ponds Creek, Armstrong Creek, and Thompson Creek. Some habitat is </w:t>
            </w:r>
            <w:r>
              <w:lastRenderedPageBreak/>
              <w:t>also mapped within the Lake Connewarre Complex. Potential habitat for the species occurs within the Moorabool River adjacent to the WGGA.</w:t>
            </w:r>
          </w:p>
          <w:p w14:paraId="6AE90C5B" w14:textId="77777777" w:rsidR="008C1AD8" w:rsidRDefault="008C1AD8" w:rsidP="00A15226">
            <w:pPr>
              <w:pStyle w:val="Tabletext"/>
            </w:pPr>
            <w:r>
              <w:t xml:space="preserve">It is reported that there are records of the species immediately adjacent to WGGA in the Moorabool River </w:t>
            </w:r>
            <w:sdt>
              <w:sdtPr>
                <w:rPr>
                  <w:color w:val="000000"/>
                </w:rPr>
                <w:tag w:val="MENDELEY_CITATION_v3_eyJjaXRhdGlvbklEIjoiTUVOREVMRVlfQ0lUQVRJT05fNzE5YzBmZmMtNTQ4ZC00NDQzLTg5YzMtMjc2Y2YyMzc4ZWNk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615023194"/>
                <w:placeholder>
                  <w:docPart w:val="EA492B379251784A8EF33F6B6775C3A8"/>
                </w:placeholder>
              </w:sdtPr>
              <w:sdtContent>
                <w:r w:rsidRPr="00273871">
                  <w:rPr>
                    <w:color w:val="000000"/>
                  </w:rPr>
                  <w:t>(EHP, 2021)</w:t>
                </w:r>
              </w:sdtContent>
            </w:sdt>
            <w:r>
              <w:t>. However, there are no records in this locality on the VBA database. It is possible that there are records of the species in this area which have not been entered into the VBA database.</w:t>
            </w:r>
          </w:p>
        </w:tc>
        <w:tc>
          <w:tcPr>
            <w:tcW w:w="545" w:type="pct"/>
            <w:vAlign w:val="center"/>
          </w:tcPr>
          <w:p w14:paraId="098BFDD7" w14:textId="77777777" w:rsidR="008C1AD8" w:rsidRPr="00983718" w:rsidRDefault="008C1AD8" w:rsidP="00A15226">
            <w:pPr>
              <w:pStyle w:val="Tabletext"/>
            </w:pPr>
            <w:hyperlink r:id="rId54" w:history="1">
              <w:r w:rsidRPr="00466211">
                <w:rPr>
                  <w:rStyle w:val="Hyperlink"/>
                </w:rPr>
                <w:t>Map 19-23</w:t>
              </w:r>
            </w:hyperlink>
          </w:p>
        </w:tc>
        <w:tc>
          <w:tcPr>
            <w:tcW w:w="891" w:type="pct"/>
            <w:vAlign w:val="center"/>
          </w:tcPr>
          <w:p w14:paraId="5A95E178" w14:textId="77777777" w:rsidR="008C1AD8" w:rsidRDefault="008C1AD8" w:rsidP="00A15226">
            <w:pPr>
              <w:pStyle w:val="Tabletext"/>
            </w:pPr>
            <w:r w:rsidRPr="00983718">
              <w:t>Changes to water flows and quality</w:t>
            </w:r>
          </w:p>
          <w:p w14:paraId="42F7938F" w14:textId="77777777" w:rsidR="008C1AD8" w:rsidRDefault="008C1AD8" w:rsidP="00A15226">
            <w:pPr>
              <w:pStyle w:val="Tabletext"/>
            </w:pPr>
            <w:r>
              <w:t>Illegal collection</w:t>
            </w:r>
          </w:p>
        </w:tc>
      </w:tr>
    </w:tbl>
    <w:p w14:paraId="1343AD64" w14:textId="77777777" w:rsidR="008C1AD8" w:rsidRPr="000441F4" w:rsidRDefault="008C1AD8" w:rsidP="008C1AD8">
      <w:pPr>
        <w:pStyle w:val="Tabletext"/>
        <w:rPr>
          <w:sz w:val="16"/>
          <w:szCs w:val="16"/>
        </w:rPr>
      </w:pPr>
      <w:r w:rsidRPr="000441F4">
        <w:rPr>
          <w:sz w:val="16"/>
          <w:szCs w:val="16"/>
        </w:rPr>
        <w:t>^ The following abbreviations have been used: V – Vulnerable; E – Endangered; CE – Critically Endangered; FPAL – Finalised Priority Assessment List; Mig - Migratory</w:t>
      </w:r>
    </w:p>
    <w:p w14:paraId="265F82D0" w14:textId="77777777" w:rsidR="008C1AD8" w:rsidRPr="000441F4" w:rsidRDefault="008C1AD8" w:rsidP="008C1AD8">
      <w:pPr>
        <w:pStyle w:val="Tabletext"/>
        <w:rPr>
          <w:sz w:val="16"/>
          <w:szCs w:val="16"/>
        </w:rPr>
      </w:pPr>
      <w:r w:rsidRPr="000441F4">
        <w:rPr>
          <w:sz w:val="16"/>
          <w:szCs w:val="16"/>
        </w:rPr>
        <w:t xml:space="preserve">*Note that the taxonomy of this species has recently been revised, and </w:t>
      </w:r>
      <w:r w:rsidRPr="000441F4">
        <w:rPr>
          <w:i/>
          <w:iCs/>
          <w:sz w:val="16"/>
          <w:szCs w:val="16"/>
        </w:rPr>
        <w:t xml:space="preserve">G. pusilla </w:t>
      </w:r>
      <w:r w:rsidRPr="000441F4">
        <w:rPr>
          <w:sz w:val="16"/>
          <w:szCs w:val="16"/>
        </w:rPr>
        <w:t xml:space="preserve">has been split into two species – </w:t>
      </w:r>
      <w:r w:rsidRPr="000441F4">
        <w:rPr>
          <w:i/>
          <w:iCs/>
          <w:sz w:val="16"/>
          <w:szCs w:val="16"/>
        </w:rPr>
        <w:t xml:space="preserve">G. pusilla </w:t>
      </w:r>
      <w:r w:rsidRPr="000441F4">
        <w:rPr>
          <w:sz w:val="16"/>
          <w:szCs w:val="16"/>
        </w:rPr>
        <w:t xml:space="preserve">and </w:t>
      </w:r>
      <w:r w:rsidRPr="000441F4">
        <w:rPr>
          <w:i/>
          <w:iCs/>
          <w:sz w:val="16"/>
          <w:szCs w:val="16"/>
        </w:rPr>
        <w:t xml:space="preserve">G. toourtkoourt. </w:t>
      </w:r>
      <w:r w:rsidRPr="000441F4">
        <w:rPr>
          <w:sz w:val="16"/>
          <w:szCs w:val="16"/>
        </w:rPr>
        <w:t xml:space="preserve">The Study Area occurs within the range of </w:t>
      </w:r>
      <w:r w:rsidRPr="000441F4">
        <w:rPr>
          <w:i/>
          <w:iCs/>
          <w:sz w:val="16"/>
          <w:szCs w:val="16"/>
        </w:rPr>
        <w:t xml:space="preserve">G. toourtkoourt. </w:t>
      </w:r>
      <w:r w:rsidRPr="000441F4">
        <w:rPr>
          <w:sz w:val="16"/>
          <w:szCs w:val="16"/>
        </w:rPr>
        <w:t xml:space="preserve">However, the species is referred to as </w:t>
      </w:r>
      <w:r w:rsidRPr="000441F4">
        <w:rPr>
          <w:i/>
          <w:iCs/>
          <w:sz w:val="16"/>
          <w:szCs w:val="16"/>
        </w:rPr>
        <w:t xml:space="preserve">G. pusilla </w:t>
      </w:r>
      <w:r w:rsidRPr="000441F4">
        <w:rPr>
          <w:sz w:val="16"/>
          <w:szCs w:val="16"/>
        </w:rPr>
        <w:t xml:space="preserve">as that is the name which the species is listed as under the EPBC Act. </w:t>
      </w:r>
    </w:p>
    <w:p w14:paraId="392A22DB" w14:textId="77777777" w:rsidR="008C1AD8" w:rsidRDefault="008C1AD8" w:rsidP="008C1AD8"/>
    <w:p w14:paraId="2087F55D" w14:textId="77777777" w:rsidR="008C1AD8" w:rsidRDefault="008C1AD8" w:rsidP="008C1AD8">
      <w:pPr>
        <w:sectPr w:rsidR="008C1AD8" w:rsidSect="00136254">
          <w:footerReference w:type="default" r:id="rId55"/>
          <w:pgSz w:w="16840" w:h="11900" w:orient="landscape"/>
          <w:pgMar w:top="1134" w:right="1247" w:bottom="1134" w:left="1247" w:header="708" w:footer="708" w:gutter="0"/>
          <w:pgNumType w:chapStyle="1"/>
          <w:cols w:space="708"/>
          <w:docGrid w:linePitch="360"/>
        </w:sectPr>
      </w:pPr>
    </w:p>
    <w:p w14:paraId="1ADCC768" w14:textId="77777777" w:rsidR="008C1AD8" w:rsidRDefault="008C1AD8" w:rsidP="008C1AD8">
      <w:pPr>
        <w:pStyle w:val="Heading3"/>
      </w:pPr>
      <w:bookmarkStart w:id="96" w:name="_Ref116309767"/>
      <w:r>
        <w:lastRenderedPageBreak/>
        <w:t>Analysis of impacts</w:t>
      </w:r>
      <w:bookmarkEnd w:id="96"/>
    </w:p>
    <w:p w14:paraId="22DA935C" w14:textId="77777777" w:rsidR="008C1AD8" w:rsidRPr="00176800" w:rsidRDefault="008C1AD8" w:rsidP="008C1AD8">
      <w:r>
        <w:t xml:space="preserve">This section provides an analysis of the potential impacts for the species. It provides a discussion of avoidance and direct </w:t>
      </w:r>
      <w:r w:rsidRPr="00DB1B36">
        <w:t>impacts (noting none will occur), and the relevant indirect impacts and how they will be managed under the Plan.</w:t>
      </w:r>
      <w:r>
        <w:t xml:space="preserve"> </w:t>
      </w:r>
    </w:p>
    <w:p w14:paraId="3653FB34" w14:textId="77777777" w:rsidR="008C1AD8" w:rsidRDefault="008C1AD8" w:rsidP="008C1AD8">
      <w:pPr>
        <w:pStyle w:val="Heading4"/>
      </w:pPr>
      <w:r>
        <w:t>Avoidance and direct impacts</w:t>
      </w:r>
    </w:p>
    <w:p w14:paraId="4ED8B801" w14:textId="77777777" w:rsidR="008C1AD8" w:rsidRDefault="008C1AD8" w:rsidP="008C1AD8">
      <w:pPr>
        <w:pStyle w:val="Heading5"/>
      </w:pPr>
      <w:r>
        <w:t>Bird species</w:t>
      </w:r>
    </w:p>
    <w:p w14:paraId="6B17EE74" w14:textId="77777777" w:rsidR="008C1AD8" w:rsidRDefault="008C1AD8" w:rsidP="008C1AD8">
      <w:r>
        <w:t xml:space="preserve">There are no records or potential habitat for any of the bird species within the Growth Areas and the likelihood of the species relying on the Strategic Assessment Area for any key stages of their life cycles is considered to be very low. There will be no direct impacts to any of the species. </w:t>
      </w:r>
    </w:p>
    <w:p w14:paraId="1023CE28" w14:textId="77777777" w:rsidR="008C1AD8" w:rsidRDefault="008C1AD8" w:rsidP="008C1AD8">
      <w:pPr>
        <w:pStyle w:val="Heading5"/>
      </w:pPr>
      <w:r>
        <w:t>Fish species</w:t>
      </w:r>
    </w:p>
    <w:p w14:paraId="48A88B4E" w14:textId="77777777" w:rsidR="008C1AD8" w:rsidRDefault="008C1AD8" w:rsidP="008C1AD8">
      <w:r w:rsidRPr="00090D11">
        <w:t>Potential habitat for the three fish species is mapped within the Moorabool River within the WGGA and the wider Strategic Assessment Area.</w:t>
      </w:r>
      <w:r>
        <w:t xml:space="preserve"> The Moorabool River corridor within the WGGA will be protected as part of the precinct planning processes for Batesford North, and no direct impacts will occur to habitat for these fish. </w:t>
      </w:r>
    </w:p>
    <w:p w14:paraId="04F500B6" w14:textId="77777777" w:rsidR="008C1AD8" w:rsidRDefault="008C1AD8" w:rsidP="008C1AD8">
      <w:pPr>
        <w:pStyle w:val="Heading4"/>
      </w:pPr>
      <w:r>
        <w:t>Indirect impacts</w:t>
      </w:r>
    </w:p>
    <w:p w14:paraId="462903A2" w14:textId="77777777" w:rsidR="008C1AD8" w:rsidRDefault="008C1AD8" w:rsidP="008C1AD8">
      <w:r>
        <w:t xml:space="preserve">There are two potential indirect impacts associated with development under the Plan which may affect the birds considered in this assessment. These are identified in </w:t>
      </w:r>
      <w:r>
        <w:fldChar w:fldCharType="begin"/>
      </w:r>
      <w:r>
        <w:instrText xml:space="preserve"> REF _Ref116546489 \h </w:instrText>
      </w:r>
      <w:r>
        <w:fldChar w:fldCharType="separate"/>
      </w:r>
      <w:r>
        <w:t xml:space="preserve">Table </w:t>
      </w:r>
      <w:r>
        <w:rPr>
          <w:noProof/>
        </w:rPr>
        <w:t>19</w:t>
      </w:r>
      <w:r>
        <w:noBreakHyphen/>
      </w:r>
      <w:r>
        <w:rPr>
          <w:noProof/>
        </w:rPr>
        <w:t>7</w:t>
      </w:r>
      <w:r>
        <w:fldChar w:fldCharType="end"/>
      </w:r>
      <w:r>
        <w:t xml:space="preserve"> and include:</w:t>
      </w:r>
    </w:p>
    <w:p w14:paraId="2E7D3C90" w14:textId="77777777" w:rsidR="008C1AD8" w:rsidRDefault="008C1AD8" w:rsidP="008C1AD8">
      <w:pPr>
        <w:pStyle w:val="Bullet1"/>
      </w:pPr>
      <w:r w:rsidRPr="00983718">
        <w:t>Changes to water flows and quality</w:t>
      </w:r>
    </w:p>
    <w:p w14:paraId="15892A92" w14:textId="77777777" w:rsidR="008C1AD8" w:rsidRPr="00471747" w:rsidRDefault="008C1AD8" w:rsidP="008C1AD8">
      <w:pPr>
        <w:pStyle w:val="Bullet1"/>
      </w:pPr>
      <w:r w:rsidRPr="00983718">
        <w:t>Disturbance from increased public access to natural areas</w:t>
      </w:r>
    </w:p>
    <w:p w14:paraId="4A32D6BD" w14:textId="77777777" w:rsidR="008C1AD8" w:rsidRDefault="008C1AD8" w:rsidP="008C1AD8">
      <w:pPr>
        <w:tabs>
          <w:tab w:val="clear" w:pos="4962"/>
        </w:tabs>
        <w:spacing w:before="0" w:after="0" w:line="240" w:lineRule="auto"/>
      </w:pPr>
      <w:r>
        <w:t xml:space="preserve">Further, there are two potential indirect impacts associated with development under the Plan which may affect the fish considered in this assessment. These are identified in </w:t>
      </w:r>
      <w:r>
        <w:fldChar w:fldCharType="begin"/>
      </w:r>
      <w:r>
        <w:instrText xml:space="preserve"> REF _Ref116546534 \h </w:instrText>
      </w:r>
      <w:r>
        <w:fldChar w:fldCharType="separate"/>
      </w:r>
      <w:r>
        <w:t xml:space="preserve">Table </w:t>
      </w:r>
      <w:r>
        <w:rPr>
          <w:noProof/>
        </w:rPr>
        <w:t>19</w:t>
      </w:r>
      <w:r>
        <w:noBreakHyphen/>
      </w:r>
      <w:r>
        <w:rPr>
          <w:noProof/>
        </w:rPr>
        <w:t>8</w:t>
      </w:r>
      <w:r>
        <w:fldChar w:fldCharType="end"/>
      </w:r>
      <w:r>
        <w:t xml:space="preserve"> and include:</w:t>
      </w:r>
    </w:p>
    <w:p w14:paraId="1B64F73D" w14:textId="77777777" w:rsidR="008C1AD8" w:rsidRDefault="008C1AD8" w:rsidP="008C1AD8">
      <w:pPr>
        <w:pStyle w:val="Bullet1"/>
      </w:pPr>
      <w:r w:rsidRPr="00983718">
        <w:t>Changes to water flows and quality</w:t>
      </w:r>
    </w:p>
    <w:p w14:paraId="0B6DAC31" w14:textId="77777777" w:rsidR="008C1AD8" w:rsidRDefault="008C1AD8" w:rsidP="008C1AD8">
      <w:pPr>
        <w:pStyle w:val="Bullet1"/>
      </w:pPr>
      <w:r>
        <w:t>Recreational fishing and illegal collection</w:t>
      </w:r>
    </w:p>
    <w:p w14:paraId="09737CCA" w14:textId="77777777" w:rsidR="008C1AD8" w:rsidRPr="00290C2E" w:rsidRDefault="008C1AD8" w:rsidP="008C1AD8">
      <w:r w:rsidRPr="00290C2E">
        <w:t>Each of these is assessed below.</w:t>
      </w:r>
      <w:r>
        <w:t xml:space="preserve"> Note that the assessment of changes to water flows and quality considers indirect impacts to both birds and fish.</w:t>
      </w:r>
    </w:p>
    <w:p w14:paraId="2E871292" w14:textId="77777777" w:rsidR="008C1AD8" w:rsidRDefault="008C1AD8" w:rsidP="008C1AD8">
      <w:pPr>
        <w:pStyle w:val="Heading5"/>
      </w:pPr>
      <w:r>
        <w:t>Changes to water flows and quality</w:t>
      </w:r>
    </w:p>
    <w:p w14:paraId="0EE045EE" w14:textId="77777777" w:rsidR="008C1AD8" w:rsidRDefault="008C1AD8" w:rsidP="008C1AD8">
      <w:pPr>
        <w:pStyle w:val="Heading6"/>
      </w:pPr>
      <w:r>
        <w:t>Mechanism of impact</w:t>
      </w:r>
    </w:p>
    <w:p w14:paraId="4CE77B99" w14:textId="77777777" w:rsidR="008C1AD8" w:rsidRDefault="008C1AD8" w:rsidP="008C1AD8">
      <w:r>
        <w:t xml:space="preserve">The Plan has the potential to impact on water flows and quality in the following ways </w:t>
      </w:r>
      <w:sdt>
        <w:sdtPr>
          <w:rPr>
            <w:color w:val="000000"/>
          </w:rPr>
          <w:tag w:val="MENDELEY_CITATION_v3_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"/>
          <w:id w:val="1888449642"/>
          <w:placeholder>
            <w:docPart w:val="EA492B379251784A8EF33F6B6775C3A8"/>
          </w:placeholder>
        </w:sdtPr>
        <w:sdtContent>
          <w:r w:rsidRPr="00273871">
            <w:rPr>
              <w:color w:val="000000"/>
            </w:rPr>
            <w:t>(US EPA, 2022)</w:t>
          </w:r>
        </w:sdtContent>
      </w:sdt>
      <w:r>
        <w:t>:</w:t>
      </w:r>
    </w:p>
    <w:p w14:paraId="677D8900" w14:textId="77777777" w:rsidR="008C1AD8" w:rsidRDefault="008C1AD8" w:rsidP="008C1AD8">
      <w:pPr>
        <w:pStyle w:val="Bullet1"/>
      </w:pPr>
      <w:r>
        <w:t>Increased impermeable surfaces in developed areas reduces infiltration and increases surface runoff volumes during rain events</w:t>
      </w:r>
    </w:p>
    <w:p w14:paraId="55FDBED5" w14:textId="77777777" w:rsidR="008C1AD8" w:rsidRDefault="008C1AD8" w:rsidP="008C1AD8">
      <w:pPr>
        <w:pStyle w:val="Bullet1"/>
      </w:pPr>
      <w:r>
        <w:t>The speed and efficiency of surface runoff flows to streams can be increased by stormwater drainage infrastructure</w:t>
      </w:r>
    </w:p>
    <w:p w14:paraId="028ED88F" w14:textId="77777777" w:rsidR="008C1AD8" w:rsidRDefault="008C1AD8" w:rsidP="008C1AD8">
      <w:pPr>
        <w:pStyle w:val="Bullet1"/>
      </w:pPr>
      <w:r>
        <w:t>Vegetation removal can reduce evapotranspiration</w:t>
      </w:r>
    </w:p>
    <w:p w14:paraId="3D169DFF" w14:textId="77777777" w:rsidR="008C1AD8" w:rsidRDefault="008C1AD8" w:rsidP="008C1AD8">
      <w:r>
        <w:t xml:space="preserve">Urbanisation can subsequently increase the frequency, magnitude and duration of high flow events, increase the speed of flow and likelihood of flash flooding, and decrease the lag time of flows (meaning that a flow event finishes more quickly). Stream flow characteristics during low flow periods can also be affected </w:t>
      </w:r>
      <w:sdt>
        <w:sdtPr>
          <w:rPr>
            <w:color w:val="000000"/>
          </w:rPr>
          <w:tag w:val="MENDELEY_CITATION_v3_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"/>
          <w:id w:val="-472055174"/>
          <w:placeholder>
            <w:docPart w:val="EA492B379251784A8EF33F6B6775C3A8"/>
          </w:placeholder>
        </w:sdtPr>
        <w:sdtContent>
          <w:r w:rsidRPr="00273871">
            <w:rPr>
              <w:color w:val="000000"/>
            </w:rPr>
            <w:t>(US EPA, 2022)</w:t>
          </w:r>
        </w:sdtContent>
      </w:sdt>
      <w:r>
        <w:t>.</w:t>
      </w:r>
    </w:p>
    <w:p w14:paraId="27B81463" w14:textId="77777777" w:rsidR="008C1AD8" w:rsidRDefault="008C1AD8" w:rsidP="008C1AD8">
      <w:r>
        <w:t xml:space="preserve">Urban development can also impact upon water quality through polluting runoff. Stormwater from urban areas contains a range of pollutants, including sediments, nutrients, organics, and heavy metals </w:t>
      </w:r>
      <w:r>
        <w:rPr>
          <w:rFonts w:eastAsia="Times New Roman"/>
        </w:rPr>
        <w:t>an</w:t>
      </w:r>
      <w:r>
        <w:t xml:space="preserve">d litter </w:t>
      </w:r>
      <w:sdt>
        <w:sdtPr>
          <w:rPr>
            <w:color w:val="000000"/>
          </w:rPr>
          <w:tag w:val="MENDELEY_CITATION_v3_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"/>
          <w:id w:val="-1908374924"/>
          <w:placeholder>
            <w:docPart w:val="EA492B379251784A8EF33F6B6775C3A8"/>
          </w:placeholder>
        </w:sdtPr>
        <w:sdtContent>
          <w:r>
            <w:rPr>
              <w:rFonts w:eastAsia="Times New Roman"/>
            </w:rPr>
            <w:t xml:space="preserve">(Shahzad </w:t>
          </w:r>
          <w:r>
            <w:rPr>
              <w:rFonts w:eastAsia="Times New Roman"/>
              <w:i/>
              <w:iCs/>
            </w:rPr>
            <w:t>et al.</w:t>
          </w:r>
          <w:r>
            <w:rPr>
              <w:rFonts w:eastAsia="Times New Roman"/>
            </w:rPr>
            <w:t>, 2022)</w:t>
          </w:r>
        </w:sdtContent>
      </w:sdt>
      <w:r>
        <w:t>.</w:t>
      </w:r>
    </w:p>
    <w:p w14:paraId="5BF2CECA" w14:textId="77777777" w:rsidR="008C1AD8" w:rsidRDefault="008C1AD8" w:rsidP="008C1AD8">
      <w:pPr>
        <w:pStyle w:val="Heading6"/>
      </w:pPr>
      <w:r>
        <w:lastRenderedPageBreak/>
        <w:t>How impacts can affect threatened birds</w:t>
      </w:r>
    </w:p>
    <w:p w14:paraId="0CF3F766" w14:textId="77777777" w:rsidR="008C1AD8" w:rsidRDefault="008C1AD8" w:rsidP="008C1AD8">
      <w:pPr>
        <w:keepNext/>
        <w:keepLines/>
      </w:pPr>
      <w:r>
        <w:t xml:space="preserve">Changes to water flows can have a range of impacts on threatened birds. For instance, changes to surface water runoff volumes into estuarine environments can affect water body salinity, affecting habitat values </w:t>
      </w:r>
      <w:sdt>
        <w:sdtPr>
          <w:rPr>
            <w:color w:val="000000"/>
          </w:rPr>
          <w:tag w:val="MENDELEY_CITATION_v3_eyJjaXRhdGlvbklEIjoiTUVOREVMRVlfQ0lUQVRJT05fMDhmNGVjOTEtNTMxMi00MmQxLWEwYjAtMDFmODVlOTRjMzA1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256320392"/>
          <w:placeholder>
            <w:docPart w:val="EA492B379251784A8EF33F6B6775C3A8"/>
          </w:placeholder>
        </w:sdtPr>
        <w:sdtContent>
          <w:r w:rsidRPr="00273871">
            <w:rPr>
              <w:color w:val="000000"/>
            </w:rPr>
            <w:t>(DAWE, 2020)</w:t>
          </w:r>
        </w:sdtContent>
      </w:sdt>
      <w:r>
        <w:rPr>
          <w:iCs/>
        </w:rPr>
        <w:t>.</w:t>
      </w:r>
      <w:r>
        <w:t xml:space="preserve"> Increased or decreased discharge volumes can result in habitats either overfilling and becoming inundated or drying up and losing hydrological connections with nearby water bodies </w:t>
      </w:r>
      <w:sdt>
        <w:sdtPr>
          <w:rPr>
            <w:color w:val="000000"/>
          </w:rPr>
          <w:tag w:val="MENDELEY_CITATION_v3_eyJjaXRhdGlvbklEIjoiTUVOREVMRVlfQ0lUQVRJT05fOWJhZjY3NTctYzcwOS00NzViLThiY2UtM2E1Mjk1OTg3NjQ5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122991639"/>
          <w:placeholder>
            <w:docPart w:val="EA492B379251784A8EF33F6B6775C3A8"/>
          </w:placeholder>
        </w:sdtPr>
        <w:sdtContent>
          <w:r w:rsidRPr="00273871">
            <w:rPr>
              <w:color w:val="000000"/>
            </w:rPr>
            <w:t>(DAWE, 2020)</w:t>
          </w:r>
        </w:sdtContent>
      </w:sdt>
      <w:r>
        <w:rPr>
          <w:iCs/>
        </w:rPr>
        <w:t>.</w:t>
      </w:r>
      <w:r>
        <w:t xml:space="preserve"> </w:t>
      </w:r>
      <w:r>
        <w:rPr>
          <w:iCs/>
        </w:rPr>
        <w:t xml:space="preserve">Changed hydrological regimes can also affect the patterns of natural water level fluctuation, which can result in water levels in some areas becoming too deep and developing inappropriate vegetation cover </w:t>
      </w:r>
      <w:sdt>
        <w:sdtPr>
          <w:rPr>
            <w:iCs/>
            <w:color w:val="000000"/>
          </w:rPr>
          <w:tag w:val="MENDELEY_CITATION_v3_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"/>
          <w:id w:val="-1907141793"/>
          <w:placeholder>
            <w:docPart w:val="EA492B379251784A8EF33F6B6775C3A8"/>
          </w:placeholder>
        </w:sdtPr>
        <w:sdtEndPr>
          <w:rPr>
            <w:iCs w:val="0"/>
          </w:rPr>
        </w:sdtEndPr>
        <w:sdtContent>
          <w:r w:rsidRPr="00273871">
            <w:rPr>
              <w:color w:val="000000"/>
            </w:rPr>
            <w:t>(DSEWPaC, 2013)</w:t>
          </w:r>
        </w:sdtContent>
      </w:sdt>
      <w:r>
        <w:rPr>
          <w:iCs/>
        </w:rPr>
        <w:t xml:space="preserve">.  </w:t>
      </w:r>
    </w:p>
    <w:p w14:paraId="0666B9A2" w14:textId="77777777" w:rsidR="008C1AD8" w:rsidRDefault="008C1AD8" w:rsidP="008C1AD8">
      <w:r>
        <w:t xml:space="preserve">Changes to water quality also impact threatened birds. For example, nutrient enrichment of wetlands can cause cyanobacterium blooms which impact upon habitat values and prey availability </w:t>
      </w:r>
      <w:sdt>
        <w:sdtPr>
          <w:rPr>
            <w:color w:val="000000"/>
          </w:rPr>
          <w:tag w:val="MENDELEY_CITATION_v3_eyJjaXRhdGlvbklEIjoiTUVOREVMRVlfQ0lUQVRJT05fY2ZhMjg4ZmEtZjQzZS00ZTJkLTk0Y2YtZmU4ZDk3MDFkODcxIiwicHJvcGVydGllcyI6eyJub3RlSW5kZXgiOjB9LCJpc0VkaXRlZCI6ZmFsc2UsIm1hbnVhbE92ZXJyaWRlIjp7ImNpdGVwcm9jVGV4dCI6IihUU1NDLCAyMDE2Y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93751915"/>
          <w:placeholder>
            <w:docPart w:val="EA492B379251784A8EF33F6B6775C3A8"/>
          </w:placeholder>
        </w:sdtPr>
        <w:sdtContent>
          <w:r w:rsidRPr="00273871">
            <w:rPr>
              <w:color w:val="000000"/>
            </w:rPr>
            <w:t>(TSSC, 2016c)</w:t>
          </w:r>
        </w:sdtContent>
      </w:sdt>
      <w:r>
        <w:t xml:space="preserve">. </w:t>
      </w:r>
    </w:p>
    <w:p w14:paraId="2DEC2A75" w14:textId="77777777" w:rsidR="008C1AD8" w:rsidRDefault="008C1AD8" w:rsidP="008C1AD8">
      <w:pPr>
        <w:pStyle w:val="Heading6"/>
      </w:pPr>
      <w:r>
        <w:t>How impacts can affect threatened fish</w:t>
      </w:r>
    </w:p>
    <w:p w14:paraId="5825A398" w14:textId="77777777" w:rsidR="008C1AD8" w:rsidRDefault="008C1AD8" w:rsidP="008C1AD8">
      <w:r>
        <w:t xml:space="preserve">Changes to water flows can have a range of impacts on threatened fish. For example, inappropriate water velocities can impact spawning and migration triggers </w:t>
      </w:r>
      <w:sdt>
        <w:sdtPr>
          <w:rPr>
            <w:color w:val="000000"/>
          </w:rPr>
          <w:tag w:val="MENDELEY_CITATION_v3_eyJjaXRhdGlvbklEIjoiTUVOREVMRVlfQ0lUQVRJT05fMjdlMTQwMzgtNDU3NC00Mjc1LWE5YjMtNTQwNDdjMjMwYjRi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984070887"/>
          <w:placeholder>
            <w:docPart w:val="EA492B379251784A8EF33F6B6775C3A8"/>
          </w:placeholder>
        </w:sdtPr>
        <w:sdtContent>
          <w:r w:rsidRPr="00273871">
            <w:rPr>
              <w:color w:val="000000"/>
            </w:rPr>
            <w:t>(TSSC, 2021)</w:t>
          </w:r>
        </w:sdtContent>
      </w:sdt>
      <w:r>
        <w:t xml:space="preserve">. Alterations to flooding and drying cycles can also impact habitat connectivity </w:t>
      </w:r>
      <w:sdt>
        <w:sdtPr>
          <w:rPr>
            <w:color w:val="000000"/>
          </w:rPr>
          <w:tag w:val="MENDELEY_CITATION_v3_eyJjaXRhdGlvbklEIjoiTUVOREVMRVlfQ0lUQVRJT05fYjFiNmU5MTQtNjYxMy00YTk2LWIxMGYtZGQ0MjFhMmYyNzNiIiwicHJvcGVydGllcyI6eyJub3RlSW5kZXgiOjB9LCJpc0VkaXRlZCI6ZmFsc2UsIm1hbnVhbE92ZXJyaWRlIjp7ImNpdGVwcm9jVGV4dCI6IihTYWRkbGllciBhbmQgSGFtbWVyLCAyMDEwOyB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Sx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970636865"/>
          <w:placeholder>
            <w:docPart w:val="EA492B379251784A8EF33F6B6775C3A8"/>
          </w:placeholder>
        </w:sdtPr>
        <w:sdtContent>
          <w:r w:rsidRPr="00273871">
            <w:rPr>
              <w:color w:val="000000"/>
            </w:rPr>
            <w:t>(Saddlier and Hammer, 2010; Saddlier, Jackson and Hammer, 2010)</w:t>
          </w:r>
        </w:sdtContent>
      </w:sdt>
      <w:r>
        <w:t>.</w:t>
      </w:r>
    </w:p>
    <w:p w14:paraId="3701D6EF" w14:textId="77777777" w:rsidR="008C1AD8" w:rsidRDefault="008C1AD8" w:rsidP="008C1AD8">
      <w:r>
        <w:t>Changes to water quality can also impact threatened fish. For example,</w:t>
      </w:r>
      <w:r w:rsidRPr="00207476">
        <w:t xml:space="preserve"> </w:t>
      </w:r>
      <w:r>
        <w:t xml:space="preserve">sedimentation can result in siltation of gravel beds, which can affect spawning habitat </w:t>
      </w:r>
      <w:sdt>
        <w:sdtPr>
          <w:rPr>
            <w:color w:val="000000"/>
          </w:rPr>
          <w:tag w:val="MENDELEY_CITATION_v3_eyJjaXRhdGlvbklEIjoiTUVOREVMRVlfQ0lUQVRJT05fYzA5YmY4OTAtNmQ5OS00NzUwLThjYTktZjBhYzU3NmZiODBi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732742134"/>
          <w:placeholder>
            <w:docPart w:val="EA492B379251784A8EF33F6B6775C3A8"/>
          </w:placeholder>
        </w:sdtPr>
        <w:sdtContent>
          <w:r w:rsidRPr="00273871">
            <w:rPr>
              <w:color w:val="000000"/>
            </w:rPr>
            <w:t>(TSSC, 2021)</w:t>
          </w:r>
        </w:sdtContent>
      </w:sdt>
      <w:r>
        <w:t xml:space="preserve">. </w:t>
      </w:r>
    </w:p>
    <w:p w14:paraId="5C9F6B0F" w14:textId="77777777" w:rsidR="008C1AD8" w:rsidRDefault="008C1AD8" w:rsidP="008C1AD8">
      <w:pPr>
        <w:pStyle w:val="Heading6"/>
      </w:pPr>
      <w:r>
        <w:t>General areas at risk from impacts</w:t>
      </w:r>
    </w:p>
    <w:p w14:paraId="6ADB0F4A" w14:textId="77777777" w:rsidR="008C1AD8" w:rsidRDefault="008C1AD8" w:rsidP="008C1AD8">
      <w:r>
        <w:t>The areas which are at risk from impacts to changes in water flows and quality are aquatic environments which are downstream of the Growth Areas. These include the Moorabool River (which flows into the Barwon River and Lake Connewarre Complex), Hovells Creek (which flows into Limeburners Bay), and Cowies Creek.</w:t>
      </w:r>
    </w:p>
    <w:p w14:paraId="70E678D9" w14:textId="77777777" w:rsidR="008C1AD8" w:rsidRDefault="008C1AD8" w:rsidP="008C1AD8">
      <w:pPr>
        <w:pStyle w:val="Heading6"/>
      </w:pPr>
      <w:r>
        <w:t>Areas at risk from impacts associated with bird species</w:t>
      </w:r>
    </w:p>
    <w:p w14:paraId="54B71D7C" w14:textId="77777777" w:rsidR="008C1AD8" w:rsidRDefault="008C1AD8" w:rsidP="008C1AD8">
      <w:r>
        <w:t xml:space="preserve">Of these areas, wetland and estuarine environments (including the Lake Connewarre Complex and Limeburners Bay) are most strongly associated with records and habitat for the eleven bird species assessed here. Riparian environments including the Moorabool River, Barwon River and Hovells Creek are associated with fewer species’ records and smaller areas of habitat. There are no records and minimal habitat mapped for the eleven bird species along Cowies Creek. Refer to </w:t>
      </w:r>
      <w:r>
        <w:fldChar w:fldCharType="begin"/>
      </w:r>
      <w:r>
        <w:instrText xml:space="preserve"> REF _Ref116546489 \h </w:instrText>
      </w:r>
      <w:r>
        <w:fldChar w:fldCharType="separate"/>
      </w:r>
      <w:r>
        <w:t xml:space="preserve">Table </w:t>
      </w:r>
      <w:r>
        <w:rPr>
          <w:noProof/>
        </w:rPr>
        <w:t>19</w:t>
      </w:r>
      <w:r>
        <w:noBreakHyphen/>
      </w:r>
      <w:r>
        <w:rPr>
          <w:noProof/>
        </w:rPr>
        <w:t>7</w:t>
      </w:r>
      <w:r>
        <w:fldChar w:fldCharType="end"/>
      </w:r>
      <w:r>
        <w:t xml:space="preserve"> for a brief description of occurrence of each species in the Study Area. Detailed descriptions of occurrence are available </w:t>
      </w:r>
      <w:r w:rsidRPr="00180ABA">
        <w:t>in Attachment A.</w:t>
      </w:r>
    </w:p>
    <w:p w14:paraId="0FF2F33E" w14:textId="77777777" w:rsidR="008C1AD8" w:rsidRDefault="008C1AD8" w:rsidP="008C1AD8">
      <w:pPr>
        <w:pStyle w:val="Heading6"/>
      </w:pPr>
      <w:r>
        <w:t>Areas at risk from impacts associated with fish species</w:t>
      </w:r>
    </w:p>
    <w:p w14:paraId="766A5927" w14:textId="77777777" w:rsidR="008C1AD8" w:rsidRDefault="008C1AD8" w:rsidP="008C1AD8">
      <w:r>
        <w:t xml:space="preserve">Records of all three fish species occur within the Moorabool catchment. Further, site surveys indicate that suitable habitat is present within the Moorabool River for the Australian Grayling and Eastern Dwarf Galaxias </w:t>
      </w:r>
      <w:sdt>
        <w:sdtPr>
          <w:rPr>
            <w:color w:val="000000"/>
          </w:rPr>
          <w:tag w:val="MENDELEY_CITATION_v3_eyJjaXRhdGlvbklEIjoiTUVOREVMRVlfQ0lUQVRJT05fM2E1NDY1MzItOTFmZS00MzJkLTllZGQtMjBiNTZjYzgxMjc5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312526085"/>
          <w:placeholder>
            <w:docPart w:val="EA492B379251784A8EF33F6B6775C3A8"/>
          </w:placeholder>
        </w:sdtPr>
        <w:sdtContent>
          <w:r w:rsidRPr="00273871">
            <w:rPr>
              <w:color w:val="000000"/>
            </w:rPr>
            <w:t>(EHP, 2021)</w:t>
          </w:r>
        </w:sdtContent>
      </w:sdt>
      <w:r>
        <w:t>, while habitat is mapped along the Moorabool River for the Yarra Pygmy Perch.</w:t>
      </w:r>
      <w:r w:rsidRPr="00773C18">
        <w:t xml:space="preserve"> </w:t>
      </w:r>
      <w:r>
        <w:t>For planning purposes, these species are assumed to be present within the Moorabool River within and adjacent to WGGA and further downstream.</w:t>
      </w:r>
    </w:p>
    <w:p w14:paraId="68EB1FE2" w14:textId="77777777" w:rsidR="008C1AD8" w:rsidRDefault="008C1AD8" w:rsidP="008C1AD8">
      <w:r>
        <w:t xml:space="preserve">Site surveys have indicated the presence of suitable habitat in Cowies Creek for the Australian Grayling and Eastern Dwarf Galaxias </w:t>
      </w:r>
      <w:sdt>
        <w:sdtPr>
          <w:rPr>
            <w:color w:val="000000"/>
          </w:rPr>
          <w:tag w:val="MENDELEY_CITATION_v3_eyJjaXRhdGlvbklEIjoiTUVOREVMRVlfQ0lUQVRJT05fNDFlZWM3NjctOTIzYy00NTQ5LWIwY2YtY2Q5MmQ2MTkxNDk4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412434255"/>
          <w:placeholder>
            <w:docPart w:val="EA492B379251784A8EF33F6B6775C3A8"/>
          </w:placeholder>
        </w:sdtPr>
        <w:sdtContent>
          <w:r w:rsidRPr="00273871">
            <w:rPr>
              <w:color w:val="000000"/>
            </w:rPr>
            <w:t>(EHP, 2021)</w:t>
          </w:r>
        </w:sdtContent>
      </w:sdt>
      <w:r>
        <w:t>. Habitat is also mapped in this creek for the Yarra Pygmy Perch. No records of any of these species occur within Cowies Creek.</w:t>
      </w:r>
    </w:p>
    <w:p w14:paraId="1F32FE8A" w14:textId="77777777" w:rsidR="008C1AD8" w:rsidRDefault="008C1AD8" w:rsidP="008C1AD8">
      <w:r>
        <w:t>Potential habitat for all three fish species is mapped within Hovells Creek. No records of the species occur in this creek.</w:t>
      </w:r>
    </w:p>
    <w:p w14:paraId="025BBB05" w14:textId="77777777" w:rsidR="008C1AD8" w:rsidRDefault="008C1AD8" w:rsidP="008C1AD8">
      <w:pPr>
        <w:pStyle w:val="Heading6"/>
      </w:pPr>
      <w:r>
        <w:t>Mitigation measures to minimise impacts</w:t>
      </w:r>
    </w:p>
    <w:p w14:paraId="14225BDA" w14:textId="77777777" w:rsidR="008C1AD8" w:rsidRDefault="008C1AD8" w:rsidP="008C1AD8">
      <w:r>
        <w:t xml:space="preserve">The Plan includes a specific Commitment </w:t>
      </w:r>
      <w:r w:rsidRPr="004F22E1">
        <w:t>(</w:t>
      </w:r>
      <w:r w:rsidRPr="009E63A2">
        <w:t xml:space="preserve">Commitment </w:t>
      </w:r>
      <w:r>
        <w:t>9</w:t>
      </w:r>
      <w:r w:rsidRPr="004F22E1">
        <w:t>) to</w:t>
      </w:r>
      <w:r w:rsidRPr="000221CA">
        <w:t xml:space="preserve"> minimise the indirect impacts of the development on protected matters associated with waterways, riparian areas and wetlands</w:t>
      </w:r>
      <w:r>
        <w:t>,</w:t>
      </w:r>
      <w:r w:rsidRPr="000221CA">
        <w:t xml:space="preserve"> including</w:t>
      </w:r>
      <w:r>
        <w:t xml:space="preserve"> EPBC listed threatened and migratory birds, and the three fish species. The measures relevant to water flow and quality that will be undertaken to deliver on this Commitment include: </w:t>
      </w:r>
    </w:p>
    <w:p w14:paraId="052A740C" w14:textId="77777777" w:rsidR="008C1AD8" w:rsidRDefault="008C1AD8" w:rsidP="008C1AD8">
      <w:pPr>
        <w:pStyle w:val="Bullet1"/>
      </w:pPr>
      <w:r>
        <w:t>Undertaking relevant technical studies to understand the key risks from development on protected matters associated with Hovells Creek, Cowies Creek and the Moorabool River. These studies will:</w:t>
      </w:r>
    </w:p>
    <w:p w14:paraId="48B29D2B" w14:textId="77777777" w:rsidR="008C1AD8" w:rsidRDefault="008C1AD8" w:rsidP="008C1AD8">
      <w:pPr>
        <w:pStyle w:val="Bullet2"/>
      </w:pPr>
      <w:r>
        <w:t>Address potential risks associated with changes to water quality and hydrology as a result of development within the Growth Areas</w:t>
      </w:r>
    </w:p>
    <w:p w14:paraId="074445EE" w14:textId="77777777" w:rsidR="008C1AD8" w:rsidRDefault="008C1AD8" w:rsidP="008C1AD8">
      <w:pPr>
        <w:pStyle w:val="Bullet2"/>
      </w:pPr>
      <w:r>
        <w:lastRenderedPageBreak/>
        <w:t>Identify appropriate measures, standards or targets to avoid and minimise adverse impacts on protected matters including, as relevant:</w:t>
      </w:r>
    </w:p>
    <w:p w14:paraId="613B5DA0" w14:textId="77777777" w:rsidR="008C1AD8" w:rsidRDefault="008C1AD8" w:rsidP="008C1AD8">
      <w:pPr>
        <w:pStyle w:val="Bullet3"/>
      </w:pPr>
      <w:r>
        <w:t>Water quality parameters</w:t>
      </w:r>
    </w:p>
    <w:p w14:paraId="3D83BCBC" w14:textId="77777777" w:rsidR="008C1AD8" w:rsidRDefault="008C1AD8" w:rsidP="008C1AD8">
      <w:pPr>
        <w:pStyle w:val="Bullet3"/>
      </w:pPr>
      <w:r>
        <w:t>Water retention and flow management requirements</w:t>
      </w:r>
    </w:p>
    <w:p w14:paraId="01EC4A92" w14:textId="77777777" w:rsidR="008C1AD8" w:rsidRDefault="008C1AD8" w:rsidP="008C1AD8">
      <w:pPr>
        <w:pStyle w:val="Bullet3"/>
      </w:pPr>
      <w:r>
        <w:t>Limits on extraction or use</w:t>
      </w:r>
    </w:p>
    <w:p w14:paraId="60F58772" w14:textId="77777777" w:rsidR="008C1AD8" w:rsidRDefault="008C1AD8" w:rsidP="008C1AD8">
      <w:pPr>
        <w:pStyle w:val="Bullet3"/>
      </w:pPr>
      <w:r>
        <w:t xml:space="preserve">Habitat buffer requirements </w:t>
      </w:r>
    </w:p>
    <w:p w14:paraId="465A1A66" w14:textId="77777777" w:rsidR="008C1AD8" w:rsidRDefault="008C1AD8" w:rsidP="008C1AD8">
      <w:pPr>
        <w:pStyle w:val="Bullet3"/>
      </w:pPr>
      <w:r>
        <w:t>Monitoring and reporting</w:t>
      </w:r>
    </w:p>
    <w:p w14:paraId="09B3A0D0" w14:textId="77777777" w:rsidR="008C1AD8" w:rsidRDefault="008C1AD8" w:rsidP="008C1AD8">
      <w:pPr>
        <w:pStyle w:val="Bullet1"/>
      </w:pPr>
      <w:r w:rsidRPr="008E2F0A">
        <w:t>Prepar</w:t>
      </w:r>
      <w:r>
        <w:t>ing</w:t>
      </w:r>
      <w:r w:rsidRPr="008E2F0A">
        <w:t xml:space="preserve"> guidelines based on the results of the relevant technical studies to guide the preparation of PSPs and decisions on planning permits and permit conditions to ensure risks to protected matters in relation to indirect and downstream impacts are adequately managed </w:t>
      </w:r>
    </w:p>
    <w:p w14:paraId="4B2CF24D" w14:textId="77777777" w:rsidR="008C1AD8" w:rsidRDefault="008C1AD8" w:rsidP="008C1AD8">
      <w:pPr>
        <w:pStyle w:val="Bullet1"/>
      </w:pPr>
      <w:r>
        <w:t>Undertaking a planning scheme amendment or other appropriate process to ensure guidelines are considered during preparation of PSPs and in decisions on planning permits and permit conditions</w:t>
      </w:r>
    </w:p>
    <w:p w14:paraId="16584A4B" w14:textId="77777777" w:rsidR="008C1AD8" w:rsidRDefault="008C1AD8" w:rsidP="008C1AD8">
      <w:r>
        <w:t>There are also a range of existing measures within the planning system that address changes to water flows and quality. The Geelong Planning Scheme includes requirements to:</w:t>
      </w:r>
    </w:p>
    <w:p w14:paraId="5426DC50" w14:textId="77777777" w:rsidR="008C1AD8" w:rsidRDefault="008C1AD8" w:rsidP="008C1AD8">
      <w:pPr>
        <w:pStyle w:val="Bullet1"/>
      </w:pPr>
      <w:r>
        <w:t>Ensure land use on floodplains minimises the risk of waterway contamination during flooding (Clause 13.03-1S)</w:t>
      </w:r>
    </w:p>
    <w:p w14:paraId="71DEC453" w14:textId="77777777" w:rsidR="008C1AD8" w:rsidRDefault="008C1AD8" w:rsidP="008C1AD8">
      <w:pPr>
        <w:pStyle w:val="Bullet1"/>
      </w:pPr>
      <w:r>
        <w:t>Prevent inappropriate development in areas prone to erosion (Clause 13.04-1S)</w:t>
      </w:r>
    </w:p>
    <w:p w14:paraId="0A1E8723" w14:textId="77777777" w:rsidR="008C1AD8" w:rsidRDefault="008C1AD8" w:rsidP="008C1AD8">
      <w:pPr>
        <w:pStyle w:val="Bullet1"/>
      </w:pPr>
      <w:r>
        <w:t>R</w:t>
      </w:r>
      <w:r w:rsidRPr="00372B49">
        <w:t>etain natural drai</w:t>
      </w:r>
      <w:r>
        <w:t>nage corridors, minimise runoff volume from developed areas, filter sediment and waste from stormwater prior to discharge, ensure land use and development minimises nutrient contributions to runoff, and implement measures to minimise sediment discharge from construction sites</w:t>
      </w:r>
      <w:r w:rsidRPr="00372B49">
        <w:t xml:space="preserve"> (Clause 14.02-1S)</w:t>
      </w:r>
    </w:p>
    <w:p w14:paraId="5032FB3E" w14:textId="77777777" w:rsidR="008C1AD8" w:rsidRDefault="008C1AD8" w:rsidP="008C1AD8">
      <w:pPr>
        <w:pStyle w:val="Bullet1"/>
      </w:pPr>
      <w:r>
        <w:t>Minimise impacts to water quality through ensuring that land uses which have potential to produce contaminated runoff are appropriately sited and managed (Clause 14.02-2S)</w:t>
      </w:r>
    </w:p>
    <w:p w14:paraId="4EDD55D6" w14:textId="77777777" w:rsidR="008C1AD8" w:rsidRDefault="008C1AD8" w:rsidP="008C1AD8">
      <w:pPr>
        <w:pStyle w:val="Bullet1"/>
      </w:pPr>
      <w:r>
        <w:t>Implement integrated water management to sustainably manage water supply and demand, water resources, wastewater, drainage, and stormwater</w:t>
      </w:r>
      <w:r w:rsidRPr="00372B49">
        <w:t xml:space="preserve"> (Clause 19.03-3S) </w:t>
      </w:r>
    </w:p>
    <w:p w14:paraId="1C32C431" w14:textId="77777777" w:rsidR="008C1AD8" w:rsidRDefault="008C1AD8" w:rsidP="008C1AD8">
      <w:r>
        <w:t xml:space="preserve">The Geelong Planning Scheme also includes a range of requirements to ensure stormwater management meets appropriate </w:t>
      </w:r>
      <w:r w:rsidRPr="00372B49">
        <w:t xml:space="preserve">objectives and standards, including objectives for stormwater quality </w:t>
      </w:r>
      <w:r>
        <w:t>(for example, see Clause 53.18).</w:t>
      </w:r>
    </w:p>
    <w:p w14:paraId="629D5049" w14:textId="77777777" w:rsidR="008C1AD8" w:rsidRDefault="008C1AD8" w:rsidP="008C1AD8">
      <w:r w:rsidRPr="00372B49">
        <w:t>The NWGGA Framework Plan also includes various mitigation-related actions to address water flows and quality, including</w:t>
      </w:r>
      <w:r>
        <w:t xml:space="preserve"> implementation of</w:t>
      </w:r>
      <w:r w:rsidRPr="00372B49">
        <w:t xml:space="preserve"> riparian buffers</w:t>
      </w:r>
      <w:r>
        <w:t>,</w:t>
      </w:r>
      <w:r w:rsidRPr="00372B49">
        <w:t xml:space="preserve"> and the preparation of masterplans for Cowies Creek and Barwon and Moorabool rivers for integrated water management. </w:t>
      </w:r>
    </w:p>
    <w:p w14:paraId="481DDB1C" w14:textId="77777777" w:rsidR="008C1AD8" w:rsidRDefault="008C1AD8" w:rsidP="008C1AD8">
      <w:r w:rsidRPr="009E63A2">
        <w:t>Commitment 7</w:t>
      </w:r>
      <w:r w:rsidRPr="004F22E1">
        <w:t xml:space="preserve"> of</w:t>
      </w:r>
      <w:r>
        <w:t xml:space="preserve"> the Plan ensures that these standard mitigation measures will continue to be implemented over the life of the Plan. Refer to </w:t>
      </w:r>
      <w:r w:rsidRPr="009E63A2">
        <w:t>Section 5.5 of Chapter 5</w:t>
      </w:r>
      <w:r>
        <w:t xml:space="preserve"> for a more detailed description of these existing measures.</w:t>
      </w:r>
    </w:p>
    <w:p w14:paraId="3C6B8BCD" w14:textId="77777777" w:rsidR="008C1AD8" w:rsidRDefault="008C1AD8" w:rsidP="008C1AD8">
      <w:r>
        <w:t xml:space="preserve">Implementation </w:t>
      </w:r>
      <w:r w:rsidRPr="004F22E1">
        <w:t xml:space="preserve">of </w:t>
      </w:r>
      <w:r w:rsidRPr="009E63A2">
        <w:t xml:space="preserve">Commitments 7 and </w:t>
      </w:r>
      <w:r>
        <w:t>9 under the Plan will adequately minimise the risk of adverse impacts associated with changes to water flow and quality.</w:t>
      </w:r>
    </w:p>
    <w:p w14:paraId="04DF0E05" w14:textId="77777777" w:rsidR="008C1AD8" w:rsidRDefault="008C1AD8" w:rsidP="008C1AD8">
      <w:pPr>
        <w:pStyle w:val="Heading5"/>
      </w:pPr>
      <w:r>
        <w:t>Disturbance from increased public access to natural areas</w:t>
      </w:r>
    </w:p>
    <w:p w14:paraId="7C29816C" w14:textId="77777777" w:rsidR="008C1AD8" w:rsidRDefault="008C1AD8" w:rsidP="008C1AD8">
      <w:r>
        <w:t xml:space="preserve">Human disturbance to natural areas can affect threatened migratory birds by interrupting feeding and roosting behaviours, reducing the time available for a species to forage and rest and increasing the time spent by the species engaging in vigilance and anti-predator behaviours. This can affect the species’ capacity to build up energy stores required for migration </w:t>
      </w:r>
      <w:sdt>
        <w:sdtPr>
          <w:rPr>
            <w:color w:val="000000"/>
          </w:rPr>
          <w:tag w:val="MENDELEY_CITATION_v3_eyJjaXRhdGlvbklEIjoiTUVOREVMRVlfQ0lUQVRJT05fODA4MzM3ZWMtMjMyNy00NWI2LWJjZDYtMDY4NGIxZDhmZWMxIiwicHJvcGVydGllcyI6eyJub3RlSW5kZXgiOjB9LCJpc0VkaXRlZCI6ZmFsc2UsIm1hbnVhbE92ZXJyaWRlIjp7ImNpdGVwcm9jVGV4dCI6IihEb0UsIDIwMTVi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828190505"/>
          <w:placeholder>
            <w:docPart w:val="EA492B379251784A8EF33F6B6775C3A8"/>
          </w:placeholder>
        </w:sdtPr>
        <w:sdtContent>
          <w:r w:rsidRPr="00273871">
            <w:rPr>
              <w:color w:val="000000"/>
            </w:rPr>
            <w:t>(DoE, 2015b)</w:t>
          </w:r>
        </w:sdtContent>
      </w:sdt>
      <w:r w:rsidRPr="00A34381">
        <w:t>.</w:t>
      </w:r>
    </w:p>
    <w:p w14:paraId="5F57017F" w14:textId="77777777" w:rsidR="008C1AD8" w:rsidRDefault="008C1AD8" w:rsidP="008C1AD8">
      <w:r>
        <w:t xml:space="preserve">Human disturbance to non-migratory threatened birds can also impact breeding success. For example, disturbance can cause adults to leave the nest, which can result in the overheating or chilling of eggs and death of chicks from exposure. Disturbance can also result in adults abandoning nests. Further, predation of eggs and chicks in exposed nests can also increase during periods of human disturbance </w:t>
      </w:r>
      <w:sdt>
        <w:sdtPr>
          <w:rPr>
            <w:color w:val="000000"/>
          </w:rPr>
          <w:tag w:val="MENDELEY_CITATION_v3_eyJjaXRhdGlvbklEIjoiTUVOREVMRVlfQ0lUQVRJT05fYjljOGIyYzAtYTgzYy00MTIyLWIyMjMtOWM4NDIyOGQzM2I3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295340471"/>
          <w:placeholder>
            <w:docPart w:val="EA492B379251784A8EF33F6B6775C3A8"/>
          </w:placeholder>
        </w:sdtPr>
        <w:sdtContent>
          <w:r w:rsidRPr="00273871">
            <w:rPr>
              <w:color w:val="000000"/>
            </w:rPr>
            <w:t>(DAWE, 2020)</w:t>
          </w:r>
        </w:sdtContent>
      </w:sdt>
      <w:r>
        <w:t>.</w:t>
      </w:r>
    </w:p>
    <w:p w14:paraId="27E14951" w14:textId="77777777" w:rsidR="008C1AD8" w:rsidRDefault="008C1AD8" w:rsidP="008C1AD8">
      <w:r>
        <w:t>The Plan has potential to increase the risk of disturbance from increased public access to natural areas through increasing the population size of the Geelong region. However, it is also recognised that the Geelong region is already substantially developed, with an existing large population size, in addition to a large number of visitors to the region. Therefore, disturbance of natural areas from public access is considered an existing threat in the region. It is unlikely that the Plan would substantially exacerbate this threat beyond its current levels in the region.</w:t>
      </w:r>
    </w:p>
    <w:p w14:paraId="08C67CA6" w14:textId="77777777" w:rsidR="008C1AD8" w:rsidRDefault="008C1AD8" w:rsidP="008C1AD8">
      <w:r>
        <w:lastRenderedPageBreak/>
        <w:t>There are a range of existing measures in place in the wider Geelong region to manage human disturbance to natural areas. These include ongoing management of existing reserves and management of domestic dogs in public areas.</w:t>
      </w:r>
    </w:p>
    <w:p w14:paraId="41A8A613" w14:textId="77777777" w:rsidR="008C1AD8" w:rsidRDefault="008C1AD8" w:rsidP="008C1AD8">
      <w:r>
        <w:t xml:space="preserve">There are a number of reserves within the wider Geelong locality which support records and/or habitat for the eleven threatened birds assessed here. These include Limeburners Lagoon Flora and Fauna Reserve, Lake Connewarre Wildlife Reserve, The Spit Wildlife Reserve, and Breamlea Flora and Fauna Reserve. Each of these reserves is managed by Parks Victoria to protect and enhance flora and fauna values while supporting appropriate community use. Refer to </w:t>
      </w:r>
      <w:r>
        <w:fldChar w:fldCharType="begin"/>
      </w:r>
      <w:r>
        <w:instrText xml:space="preserve"> REF _Ref116546351 \h </w:instrText>
      </w:r>
      <w:r>
        <w:fldChar w:fldCharType="separate"/>
      </w:r>
      <w:r>
        <w:t xml:space="preserve">Table </w:t>
      </w:r>
      <w:r>
        <w:rPr>
          <w:noProof/>
        </w:rPr>
        <w:t>19</w:t>
      </w:r>
      <w:r>
        <w:noBreakHyphen/>
      </w:r>
      <w:r>
        <w:rPr>
          <w:noProof/>
        </w:rPr>
        <w:t>9</w:t>
      </w:r>
      <w:r>
        <w:fldChar w:fldCharType="end"/>
      </w:r>
      <w:r>
        <w:t xml:space="preserve"> for further information on the characteristics of each reserve, existing management measures in place, and threatened bird species supported by each reserve (with regards to the</w:t>
      </w:r>
      <w:r w:rsidRPr="004536E5">
        <w:t xml:space="preserve"> </w:t>
      </w:r>
      <w:r>
        <w:t>eleven bird species assessed here).</w:t>
      </w:r>
    </w:p>
    <w:p w14:paraId="7DF80276" w14:textId="77777777" w:rsidR="008C1AD8" w:rsidRDefault="008C1AD8" w:rsidP="008C1AD8">
      <w:r>
        <w:t xml:space="preserve">In addition to these reserves, there is also a region at Moolap which is managed for conservation purposes under the Moolap Coastal Strategic Framework Plan. Refer to </w:t>
      </w:r>
      <w:r>
        <w:fldChar w:fldCharType="begin"/>
      </w:r>
      <w:r>
        <w:instrText xml:space="preserve"> REF _Ref116546351 \h </w:instrText>
      </w:r>
      <w:r>
        <w:fldChar w:fldCharType="separate"/>
      </w:r>
      <w:r>
        <w:t xml:space="preserve">Table </w:t>
      </w:r>
      <w:r>
        <w:rPr>
          <w:noProof/>
        </w:rPr>
        <w:t>19</w:t>
      </w:r>
      <w:r>
        <w:noBreakHyphen/>
      </w:r>
      <w:r>
        <w:rPr>
          <w:noProof/>
        </w:rPr>
        <w:t>9</w:t>
      </w:r>
      <w:r>
        <w:fldChar w:fldCharType="end"/>
      </w:r>
      <w:r>
        <w:t xml:space="preserve"> for further information.</w:t>
      </w:r>
    </w:p>
    <w:p w14:paraId="2E8367B9" w14:textId="77777777" w:rsidR="008C1AD8" w:rsidRDefault="008C1AD8" w:rsidP="008C1AD8">
      <w:r>
        <w:t xml:space="preserve">Further, there are existing management frameworks to manage the impacts of domestic dogs in coastal environments. State-appointed independent land management authorities are responsible for large areas of coastline around the Bellarine Peninsula. These authorities develop dog orders for these coastal areas. Geelong City Council is then responsible for patrolling and enforcing dog orders. Dog orders include seasonal dog orders to protect endangered wildlife and coastal nesting birds </w:t>
      </w:r>
      <w:sdt>
        <w:sdtPr>
          <w:rPr>
            <w:color w:val="000000"/>
          </w:rPr>
          <w:tag w:val="MENDELEY_CITATION_v3_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"/>
          <w:id w:val="2078550514"/>
          <w:placeholder>
            <w:docPart w:val="EA492B379251784A8EF33F6B6775C3A8"/>
          </w:placeholder>
        </w:sdtPr>
        <w:sdtContent>
          <w:r w:rsidRPr="00273871">
            <w:rPr>
              <w:color w:val="000000"/>
            </w:rPr>
            <w:t>(The City of Greater Geelong, 2022c)</w:t>
          </w:r>
        </w:sdtContent>
      </w:sdt>
      <w:r>
        <w:t xml:space="preserve">. </w:t>
      </w:r>
    </w:p>
    <w:p w14:paraId="022EEB9E" w14:textId="77777777" w:rsidR="008C1AD8" w:rsidRDefault="008C1AD8" w:rsidP="008C1AD8">
      <w:r>
        <w:t>Overall, it is considered that the existing management measures in the wider region will adequately minimise the risk of adverse impacts associated with disturbance from increased public access to natural areas.</w:t>
      </w:r>
    </w:p>
    <w:p w14:paraId="5D11C3D8" w14:textId="77777777" w:rsidR="008C1AD8" w:rsidRDefault="008C1AD8" w:rsidP="008C1AD8">
      <w:pPr>
        <w:pStyle w:val="Heading5"/>
      </w:pPr>
      <w:r>
        <w:t>Recreational fishing and illegal collection</w:t>
      </w:r>
    </w:p>
    <w:p w14:paraId="0D931F33" w14:textId="77777777" w:rsidR="008C1AD8" w:rsidRDefault="008C1AD8" w:rsidP="008C1AD8">
      <w:pPr>
        <w:rPr>
          <w:iCs/>
        </w:rPr>
      </w:pPr>
      <w:r>
        <w:t xml:space="preserve">Recreational fishing poses a threat to the Australian Grayling. While it is protected from targeted fishing, the species is still caught incidentally. As a delicate species with deciduous scales, the Australian Grayling is extremely prone to handling stress </w:t>
      </w:r>
      <w:sdt>
        <w:sdtPr>
          <w:rPr>
            <w:color w:val="000000"/>
          </w:rPr>
          <w:tag w:val="MENDELEY_CITATION_v3_eyJjaXRhdGlvbklEIjoiTUVOREVMRVlfQ0lUQVRJT05fOGYzNTA2YWMtYzAwMi00NzUyLTkwMjktNDNiMDcxNDlmMTU3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27702414"/>
          <w:placeholder>
            <w:docPart w:val="EA492B379251784A8EF33F6B6775C3A8"/>
          </w:placeholder>
        </w:sdtPr>
        <w:sdtContent>
          <w:r w:rsidRPr="00273871">
            <w:rPr>
              <w:color w:val="000000"/>
            </w:rPr>
            <w:t>(TSSC, 2021)</w:t>
          </w:r>
        </w:sdtContent>
      </w:sdt>
      <w:r>
        <w:rPr>
          <w:iCs/>
        </w:rPr>
        <w:t>.</w:t>
      </w:r>
    </w:p>
    <w:p w14:paraId="602096F5" w14:textId="77777777" w:rsidR="008C1AD8" w:rsidRDefault="008C1AD8" w:rsidP="008C1AD8">
      <w:r>
        <w:t xml:space="preserve">Illegal collection poses a threat to the Eastern Dwarf Galaxias and the Yarra Pygmy Perch. Collection has potential to decrease population sizes and impact genetic integrity of wild populations if individuals are released into different populations from where they were collected </w:t>
      </w:r>
      <w:sdt>
        <w:sdtPr>
          <w:rPr>
            <w:color w:val="000000"/>
          </w:rPr>
          <w:tag w:val="MENDELEY_CITATION_v3_eyJjaXRhdGlvbklEIjoiTUVOREVMRVlfQ0lUQVRJT05fZWVkNmVlZWItNzFmZS00ZjMyLTg3MTctYTlkN2M3ZjQ3ZTU4IiwicHJvcGVydGllcyI6eyJub3RlSW5kZXgiOjB9LCJpc0VkaXRlZCI6ZmFsc2UsIm1hbnVhbE92ZXJyaWRlIjp7ImNpdGVwcm9jVGV4dCI6IihTYWRkbGllciBhbmQgSGFtbWVyLCAyMDEwOyBTYWRkbGllciwgSmFja3Nvb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"/>
          <w:id w:val="1024678873"/>
          <w:placeholder>
            <w:docPart w:val="EA492B379251784A8EF33F6B6775C3A8"/>
          </w:placeholder>
        </w:sdtPr>
        <w:sdtContent>
          <w:r w:rsidRPr="00273871">
            <w:rPr>
              <w:color w:val="000000"/>
            </w:rPr>
            <w:t>(Saddlier and Hammer, 2010; Saddlier, Jackson and Hammer, 2010)</w:t>
          </w:r>
        </w:sdtContent>
      </w:sdt>
      <w:r>
        <w:t>.</w:t>
      </w:r>
    </w:p>
    <w:p w14:paraId="5D4C0E04" w14:textId="77777777" w:rsidR="008C1AD8" w:rsidRDefault="008C1AD8" w:rsidP="008C1AD8">
      <w:r>
        <w:t>The Plan has potential to exacerbate these threats through:</w:t>
      </w:r>
    </w:p>
    <w:p w14:paraId="49C2A790" w14:textId="77777777" w:rsidR="008C1AD8" w:rsidRDefault="008C1AD8" w:rsidP="008C1AD8">
      <w:pPr>
        <w:pStyle w:val="Bullet1"/>
      </w:pPr>
      <w:r>
        <w:t>Increasing the accessibility of the Moorabool River within the WGGA through increasing development in proximity to the river</w:t>
      </w:r>
    </w:p>
    <w:p w14:paraId="4BA31FAB" w14:textId="77777777" w:rsidR="008C1AD8" w:rsidRPr="00773C18" w:rsidRDefault="008C1AD8" w:rsidP="008C1AD8">
      <w:pPr>
        <w:pStyle w:val="Bullet1"/>
      </w:pPr>
      <w:r>
        <w:t>Increasing the overall population of the Geelong region, which increases the pressure associated with recreational activities across the landscape. However, it is recognised that the Geelong region already supports a large population, in addition to large numbers of visitors to the area. In the context of the existing level of threat within the landscape, it is considered unlikely that an increased population density under the Plan would substantially exacerbate this threat</w:t>
      </w:r>
    </w:p>
    <w:p w14:paraId="4C02D397" w14:textId="77777777" w:rsidR="008C1AD8" w:rsidRPr="009F74E9" w:rsidRDefault="008C1AD8" w:rsidP="008C1AD8">
      <w:pPr>
        <w:rPr>
          <w:iCs/>
        </w:rPr>
      </w:pPr>
      <w:r>
        <w:t xml:space="preserve">The Plan includes a specific </w:t>
      </w:r>
      <w:r w:rsidRPr="004F22E1">
        <w:t>Commitment (</w:t>
      </w:r>
      <w:r w:rsidRPr="009E63A2">
        <w:t xml:space="preserve">Commitment </w:t>
      </w:r>
      <w:r>
        <w:t>9</w:t>
      </w:r>
      <w:r w:rsidRPr="004F22E1">
        <w:t>) to</w:t>
      </w:r>
      <w:r w:rsidRPr="000221CA">
        <w:t xml:space="preserve"> minimise the indirect impacts of the development on protected matters associated with waterways, riparian areas and wetlands</w:t>
      </w:r>
      <w:r>
        <w:t>,</w:t>
      </w:r>
      <w:r w:rsidRPr="000221CA">
        <w:t xml:space="preserve"> including</w:t>
      </w:r>
      <w:r>
        <w:t xml:space="preserve"> the three fish species assessed here. </w:t>
      </w:r>
    </w:p>
    <w:p w14:paraId="237C13FC" w14:textId="77777777" w:rsidR="008C1AD8" w:rsidRPr="004E3F89" w:rsidRDefault="008C1AD8" w:rsidP="008C1AD8">
      <w:pPr>
        <w:rPr>
          <w:iCs/>
        </w:rPr>
      </w:pPr>
      <w:r>
        <w:rPr>
          <w:iCs/>
        </w:rPr>
        <w:t>Implementation o</w:t>
      </w:r>
      <w:r w:rsidRPr="004F22E1">
        <w:rPr>
          <w:iCs/>
        </w:rPr>
        <w:t xml:space="preserve">f </w:t>
      </w:r>
      <w:r w:rsidRPr="009E63A2">
        <w:rPr>
          <w:iCs/>
        </w:rPr>
        <w:t xml:space="preserve">Commitment </w:t>
      </w:r>
      <w:r>
        <w:rPr>
          <w:iCs/>
        </w:rPr>
        <w:t>9</w:t>
      </w:r>
      <w:r w:rsidRPr="004F22E1">
        <w:rPr>
          <w:iCs/>
        </w:rPr>
        <w:t xml:space="preserve"> will</w:t>
      </w:r>
      <w:r>
        <w:rPr>
          <w:iCs/>
        </w:rPr>
        <w:t xml:space="preserve"> adequately minimise the risk of recreational fishing to this species due to development under the Plan.</w:t>
      </w:r>
    </w:p>
    <w:p w14:paraId="6A177300" w14:textId="77777777" w:rsidR="008C1AD8" w:rsidRDefault="008C1AD8" w:rsidP="008C1AD8"/>
    <w:p w14:paraId="20A3B9A4" w14:textId="77777777" w:rsidR="008C1AD8" w:rsidRDefault="008C1AD8" w:rsidP="008C1AD8"/>
    <w:p w14:paraId="44159EF8" w14:textId="77777777" w:rsidR="008C1AD8" w:rsidRDefault="008C1AD8" w:rsidP="008C1AD8">
      <w:pPr>
        <w:sectPr w:rsidR="008C1AD8" w:rsidSect="00136254">
          <w:footerReference w:type="default" r:id="rId56"/>
          <w:pgSz w:w="11900" w:h="16840"/>
          <w:pgMar w:top="1247" w:right="1134" w:bottom="1247" w:left="1134" w:header="708" w:footer="708" w:gutter="0"/>
          <w:pgNumType w:chapStyle="1"/>
          <w:cols w:space="708"/>
          <w:docGrid w:linePitch="360"/>
        </w:sectPr>
      </w:pPr>
    </w:p>
    <w:p w14:paraId="0C807A7F" w14:textId="77777777" w:rsidR="008C1AD8" w:rsidRPr="006652E3" w:rsidRDefault="008C1AD8" w:rsidP="008C1AD8">
      <w:pPr>
        <w:pStyle w:val="Caption"/>
      </w:pPr>
      <w:bookmarkStart w:id="97" w:name="_Ref116546351"/>
      <w:bookmarkStart w:id="98" w:name="_Toc135122725"/>
      <w:r>
        <w:lastRenderedPageBreak/>
        <w:t xml:space="preserve">Table </w:t>
      </w:r>
      <w:r>
        <w:fldChar w:fldCharType="begin"/>
      </w:r>
      <w:r>
        <w:instrText xml:space="preserve"> STYLEREF 1 \s </w:instrText>
      </w:r>
      <w:r>
        <w:fldChar w:fldCharType="separate"/>
      </w:r>
      <w:r>
        <w:rPr>
          <w:noProof/>
        </w:rPr>
        <w:t>19</w:t>
      </w:r>
      <w:r>
        <w:fldChar w:fldCharType="end"/>
      </w:r>
      <w:r>
        <w:noBreakHyphen/>
      </w:r>
      <w:r>
        <w:fldChar w:fldCharType="begin"/>
      </w:r>
      <w:r>
        <w:instrText xml:space="preserve"> SEQ Table \* ARABIC \s 1 </w:instrText>
      </w:r>
      <w:r>
        <w:fldChar w:fldCharType="separate"/>
      </w:r>
      <w:r>
        <w:rPr>
          <w:noProof/>
        </w:rPr>
        <w:t>9</w:t>
      </w:r>
      <w:r>
        <w:fldChar w:fldCharType="end"/>
      </w:r>
      <w:bookmarkEnd w:id="97"/>
      <w:r>
        <w:t>: Sites within the Geelong region with existing management in place to minimise human disturbance</w:t>
      </w:r>
      <w:bookmarkEnd w:id="98"/>
    </w:p>
    <w:tbl>
      <w:tblPr>
        <w:tblStyle w:val="TableGrid"/>
        <w:tblW w:w="5000" w:type="pct"/>
        <w:tblLook w:val="04A0" w:firstRow="1" w:lastRow="0" w:firstColumn="1" w:lastColumn="0" w:noHBand="0" w:noVBand="1"/>
      </w:tblPr>
      <w:tblGrid>
        <w:gridCol w:w="1270"/>
        <w:gridCol w:w="2979"/>
        <w:gridCol w:w="5668"/>
        <w:gridCol w:w="2515"/>
        <w:gridCol w:w="1904"/>
      </w:tblGrid>
      <w:tr w:rsidR="008C1AD8" w14:paraId="788472B8" w14:textId="77777777" w:rsidTr="00A15226">
        <w:trPr>
          <w:tblHeader/>
        </w:trPr>
        <w:tc>
          <w:tcPr>
            <w:tcW w:w="443" w:type="pct"/>
            <w:shd w:val="clear" w:color="auto" w:fill="D0CECE" w:themeFill="background2" w:themeFillShade="E6"/>
            <w:vAlign w:val="center"/>
          </w:tcPr>
          <w:p w14:paraId="37E80AEA" w14:textId="77777777" w:rsidR="008C1AD8" w:rsidRPr="00A24D0E" w:rsidRDefault="008C1AD8" w:rsidP="00A15226">
            <w:pPr>
              <w:pStyle w:val="Tabletext"/>
              <w:rPr>
                <w:b/>
                <w:bCs/>
              </w:rPr>
            </w:pPr>
            <w:r>
              <w:rPr>
                <w:b/>
                <w:bCs/>
              </w:rPr>
              <w:t>Site</w:t>
            </w:r>
          </w:p>
        </w:tc>
        <w:tc>
          <w:tcPr>
            <w:tcW w:w="1039" w:type="pct"/>
            <w:shd w:val="clear" w:color="auto" w:fill="D0CECE" w:themeFill="background2" w:themeFillShade="E6"/>
            <w:vAlign w:val="center"/>
          </w:tcPr>
          <w:p w14:paraId="5BF7965D" w14:textId="77777777" w:rsidR="008C1AD8" w:rsidRPr="00A24D0E" w:rsidRDefault="008C1AD8" w:rsidP="00A15226">
            <w:pPr>
              <w:pStyle w:val="Tabletext"/>
              <w:rPr>
                <w:b/>
                <w:bCs/>
              </w:rPr>
            </w:pPr>
            <w:r>
              <w:rPr>
                <w:b/>
                <w:bCs/>
              </w:rPr>
              <w:t>Site location and description</w:t>
            </w:r>
          </w:p>
        </w:tc>
        <w:tc>
          <w:tcPr>
            <w:tcW w:w="1977" w:type="pct"/>
            <w:shd w:val="clear" w:color="auto" w:fill="D0CECE" w:themeFill="background2" w:themeFillShade="E6"/>
            <w:vAlign w:val="center"/>
          </w:tcPr>
          <w:p w14:paraId="44504214" w14:textId="77777777" w:rsidR="008C1AD8" w:rsidRPr="00A24D0E" w:rsidRDefault="008C1AD8" w:rsidP="00A15226">
            <w:pPr>
              <w:pStyle w:val="Tabletext"/>
              <w:rPr>
                <w:b/>
                <w:bCs/>
              </w:rPr>
            </w:pPr>
            <w:r w:rsidRPr="00A24D0E">
              <w:rPr>
                <w:b/>
                <w:bCs/>
              </w:rPr>
              <w:t>Existing management</w:t>
            </w:r>
          </w:p>
        </w:tc>
        <w:tc>
          <w:tcPr>
            <w:tcW w:w="877" w:type="pct"/>
            <w:shd w:val="clear" w:color="auto" w:fill="D0CECE" w:themeFill="background2" w:themeFillShade="E6"/>
            <w:vAlign w:val="center"/>
          </w:tcPr>
          <w:p w14:paraId="5603E05E" w14:textId="77777777" w:rsidR="008C1AD8" w:rsidRPr="00A24D0E" w:rsidRDefault="008C1AD8" w:rsidP="00A15226">
            <w:pPr>
              <w:pStyle w:val="Tabletext"/>
              <w:rPr>
                <w:b/>
                <w:bCs/>
              </w:rPr>
            </w:pPr>
            <w:r>
              <w:rPr>
                <w:b/>
                <w:bCs/>
              </w:rPr>
              <w:t>Habitat supported by the reserve</w:t>
            </w:r>
          </w:p>
        </w:tc>
        <w:tc>
          <w:tcPr>
            <w:tcW w:w="664" w:type="pct"/>
            <w:shd w:val="clear" w:color="auto" w:fill="D0CECE" w:themeFill="background2" w:themeFillShade="E6"/>
            <w:vAlign w:val="center"/>
          </w:tcPr>
          <w:p w14:paraId="6DC34D96" w14:textId="77777777" w:rsidR="008C1AD8" w:rsidRDefault="008C1AD8" w:rsidP="00A15226">
            <w:pPr>
              <w:pStyle w:val="Tabletext"/>
              <w:rPr>
                <w:b/>
                <w:bCs/>
              </w:rPr>
            </w:pPr>
            <w:r>
              <w:rPr>
                <w:b/>
                <w:bCs/>
              </w:rPr>
              <w:t>Records (1990 onwards) supported by the reserve</w:t>
            </w:r>
          </w:p>
        </w:tc>
      </w:tr>
      <w:tr w:rsidR="008C1AD8" w14:paraId="0034CC28" w14:textId="77777777" w:rsidTr="00A15226">
        <w:tc>
          <w:tcPr>
            <w:tcW w:w="443" w:type="pct"/>
            <w:vAlign w:val="center"/>
          </w:tcPr>
          <w:p w14:paraId="0C31E705" w14:textId="77777777" w:rsidR="008C1AD8" w:rsidRDefault="008C1AD8" w:rsidP="00A15226">
            <w:pPr>
              <w:pStyle w:val="Tabletext"/>
            </w:pPr>
            <w:r>
              <w:t xml:space="preserve">Limeburners Lagoon Flora and Fauna Reserve </w:t>
            </w:r>
          </w:p>
        </w:tc>
        <w:tc>
          <w:tcPr>
            <w:tcW w:w="1039" w:type="pct"/>
            <w:vAlign w:val="center"/>
          </w:tcPr>
          <w:p w14:paraId="71786D20" w14:textId="77777777" w:rsidR="008C1AD8" w:rsidRDefault="008C1AD8" w:rsidP="00A15226">
            <w:pPr>
              <w:pStyle w:val="Tabletext"/>
            </w:pPr>
            <w:r>
              <w:t>This reserve is located within Limeburners Bay and is part of the Port Phillip Bay (Western Shoreline) and Bellarine Peninsula Ramsar site. It is part of a broad, sandy estuarine inlet, with shallow tidal water. The inlet supports shoreline, sandy spit and seagrass environments.</w:t>
            </w:r>
          </w:p>
        </w:tc>
        <w:tc>
          <w:tcPr>
            <w:tcW w:w="1977" w:type="pct"/>
            <w:vAlign w:val="center"/>
          </w:tcPr>
          <w:p w14:paraId="33FF5B50" w14:textId="77777777" w:rsidR="008C1AD8" w:rsidRDefault="008C1AD8" w:rsidP="00A15226">
            <w:pPr>
              <w:pStyle w:val="Tabletext"/>
            </w:pPr>
            <w:r>
              <w:t xml:space="preserve">This reserve is managed by Parks Victoria. </w:t>
            </w:r>
          </w:p>
          <w:p w14:paraId="665EDB1C" w14:textId="77777777" w:rsidR="008C1AD8" w:rsidRDefault="008C1AD8" w:rsidP="00A15226">
            <w:pPr>
              <w:pStyle w:val="Tabletext"/>
            </w:pPr>
            <w:r>
              <w:t>The following are not permitted: dogs, cats, other pets, horses, bicycles, fires, firearms, and vehicles (excluding management vehicles).</w:t>
            </w:r>
          </w:p>
          <w:sdt>
            <w:sdtPr>
              <w:rPr>
                <w:color w:val="000000"/>
              </w:rPr>
              <w:tag w:val="MENDELEY_CITATION_v3_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"/>
              <w:id w:val="-314565823"/>
              <w:placeholder>
                <w:docPart w:val="EA492B379251784A8EF33F6B6775C3A8"/>
              </w:placeholder>
            </w:sdtPr>
            <w:sdtContent>
              <w:p w14:paraId="6008B336" w14:textId="77777777" w:rsidR="008C1AD8" w:rsidRDefault="008C1AD8" w:rsidP="00A15226">
                <w:pPr>
                  <w:pStyle w:val="Tabletext"/>
                </w:pPr>
                <w:r w:rsidRPr="00273871">
                  <w:rPr>
                    <w:color w:val="000000"/>
                  </w:rPr>
                  <w:t>(Parks Victoria, 2022d)</w:t>
                </w:r>
              </w:p>
            </w:sdtContent>
          </w:sdt>
        </w:tc>
        <w:tc>
          <w:tcPr>
            <w:tcW w:w="877" w:type="pct"/>
            <w:vAlign w:val="center"/>
          </w:tcPr>
          <w:p w14:paraId="48D009FD" w14:textId="77777777" w:rsidR="008C1AD8" w:rsidRDefault="008C1AD8" w:rsidP="00A15226">
            <w:pPr>
              <w:pStyle w:val="Tabletext"/>
            </w:pPr>
            <w:r>
              <w:t>Australasian Bittern; Australian Fairy Tern; Australian Painted Snipe; Curlew Sandpiper; Eastern Curlew; Greater Sand Plover; Lesser Sand Plover; Orange-bellied Parrot; Red Knot; Western Alaskan Bar-tailed Godwit</w:t>
            </w:r>
          </w:p>
        </w:tc>
        <w:tc>
          <w:tcPr>
            <w:tcW w:w="664" w:type="pct"/>
            <w:vAlign w:val="center"/>
          </w:tcPr>
          <w:p w14:paraId="701C13E9" w14:textId="77777777" w:rsidR="008C1AD8" w:rsidRDefault="008C1AD8" w:rsidP="00A15226">
            <w:pPr>
              <w:pStyle w:val="Tabletext"/>
            </w:pPr>
            <w:r>
              <w:t>-</w:t>
            </w:r>
          </w:p>
        </w:tc>
      </w:tr>
      <w:tr w:rsidR="008C1AD8" w14:paraId="319B4695" w14:textId="77777777" w:rsidTr="00A15226">
        <w:tc>
          <w:tcPr>
            <w:tcW w:w="443" w:type="pct"/>
            <w:vAlign w:val="center"/>
          </w:tcPr>
          <w:p w14:paraId="0488CD69" w14:textId="77777777" w:rsidR="008C1AD8" w:rsidRDefault="008C1AD8" w:rsidP="00A15226">
            <w:pPr>
              <w:pStyle w:val="Tabletext"/>
            </w:pPr>
            <w:r>
              <w:t>Lake Connewarre Wildlife Reserve</w:t>
            </w:r>
          </w:p>
        </w:tc>
        <w:tc>
          <w:tcPr>
            <w:tcW w:w="1039" w:type="pct"/>
            <w:vAlign w:val="center"/>
          </w:tcPr>
          <w:p w14:paraId="0F3CF570" w14:textId="77777777" w:rsidR="008C1AD8" w:rsidRDefault="008C1AD8" w:rsidP="00A15226">
            <w:pPr>
              <w:pStyle w:val="Tabletext"/>
            </w:pPr>
            <w:r>
              <w:t>This reserve is located within the Lake Connewarre Complex and is part of the Port Phillip Bay (Western Shoreline) and Bellarine Peninsula Ramsar site. It is a large, shallow estuarine lagoon, and contains a diverse range of wetlands and vegetation including mangroves and saltmarsh communities.</w:t>
            </w:r>
          </w:p>
        </w:tc>
        <w:tc>
          <w:tcPr>
            <w:tcW w:w="1977" w:type="pct"/>
            <w:vAlign w:val="center"/>
          </w:tcPr>
          <w:p w14:paraId="30A085B1" w14:textId="77777777" w:rsidR="008C1AD8" w:rsidRDefault="008C1AD8" w:rsidP="00A15226">
            <w:pPr>
              <w:pStyle w:val="Tabletext"/>
            </w:pPr>
            <w:r>
              <w:t>This reserve is managed by Parks Victoria.</w:t>
            </w:r>
          </w:p>
          <w:p w14:paraId="1935AD35" w14:textId="77777777" w:rsidR="008C1AD8" w:rsidRDefault="008C1AD8" w:rsidP="00A15226">
            <w:pPr>
              <w:pStyle w:val="Tabletext"/>
            </w:pPr>
            <w:r>
              <w:t xml:space="preserve">The reserve is large and has variable restrictions in different areas of the reserve. </w:t>
            </w:r>
          </w:p>
          <w:p w14:paraId="3B429A8A" w14:textId="77777777" w:rsidR="008C1AD8" w:rsidRDefault="008C1AD8" w:rsidP="00A15226">
            <w:pPr>
              <w:pStyle w:val="Tabletext"/>
            </w:pPr>
            <w:r>
              <w:t>Dogs are permitted on a leash in some locations and are prohibited in other areas.</w:t>
            </w:r>
          </w:p>
          <w:p w14:paraId="052F7EE2" w14:textId="77777777" w:rsidR="008C1AD8" w:rsidRDefault="008C1AD8" w:rsidP="00A15226">
            <w:pPr>
              <w:pStyle w:val="Tabletext"/>
            </w:pPr>
            <w:r>
              <w:t>The following are prohibited in some areas, yet permitted in other areas: horses, vehicles (excluding management vehicles), firearms, camping, and generators.</w:t>
            </w:r>
          </w:p>
          <w:p w14:paraId="0A235EB3" w14:textId="77777777" w:rsidR="008C1AD8" w:rsidRDefault="008C1AD8" w:rsidP="00A15226">
            <w:pPr>
              <w:pStyle w:val="Tabletext"/>
            </w:pPr>
            <w:r>
              <w:t>Fires are prohibited and boating zones apply throughout the reserve.</w:t>
            </w:r>
          </w:p>
          <w:sdt>
            <w:sdtPr>
              <w:rPr>
                <w:color w:val="000000"/>
              </w:rPr>
              <w:tag w:val="MENDELEY_CITATION_v3_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"/>
              <w:id w:val="-2139564372"/>
              <w:placeholder>
                <w:docPart w:val="EA492B379251784A8EF33F6B6775C3A8"/>
              </w:placeholder>
            </w:sdtPr>
            <w:sdtContent>
              <w:p w14:paraId="09F4AE28" w14:textId="77777777" w:rsidR="008C1AD8" w:rsidRDefault="008C1AD8" w:rsidP="00A15226">
                <w:pPr>
                  <w:pStyle w:val="Tabletext"/>
                </w:pPr>
                <w:r w:rsidRPr="00273871">
                  <w:rPr>
                    <w:color w:val="000000"/>
                  </w:rPr>
                  <w:t>(Parks Victoria, 2022g, 2022f, 2022i, 2022a, 2022e)</w:t>
                </w:r>
              </w:p>
            </w:sdtContent>
          </w:sdt>
        </w:tc>
        <w:tc>
          <w:tcPr>
            <w:tcW w:w="877" w:type="pct"/>
            <w:vAlign w:val="center"/>
          </w:tcPr>
          <w:p w14:paraId="0AC9DFB2" w14:textId="77777777" w:rsidR="008C1AD8" w:rsidRDefault="008C1AD8" w:rsidP="00A15226">
            <w:pPr>
              <w:pStyle w:val="Tabletext"/>
            </w:pPr>
            <w:r>
              <w:t>Australasian Bittern; Australian Fairy Tern; Australian Painted Snipe; Curlew Sandpiper; Eastern Curlew; Great Knot; Greater Sand Plover; Lesser Sand Plover; Orange-bellied Parrot; Red Knot; Western Alaskan Bar-tailed Godwit</w:t>
            </w:r>
          </w:p>
        </w:tc>
        <w:tc>
          <w:tcPr>
            <w:tcW w:w="664" w:type="pct"/>
            <w:vAlign w:val="center"/>
          </w:tcPr>
          <w:p w14:paraId="7D9754C0" w14:textId="77777777" w:rsidR="008C1AD8" w:rsidRDefault="008C1AD8" w:rsidP="00A15226">
            <w:pPr>
              <w:pStyle w:val="Tabletext"/>
            </w:pPr>
            <w:r>
              <w:t xml:space="preserve">Australasian Bittern; Australian Fairy Tern; Australian Painted Snipe; Curlew Sandpiper; Eastern Curlew; Great Knot; Orange-bellied Parrot; Red Knot; </w:t>
            </w:r>
            <w:r w:rsidRPr="00D3726D">
              <w:t>Western Alaskan Bar-tailed Godwit</w:t>
            </w:r>
          </w:p>
        </w:tc>
      </w:tr>
      <w:tr w:rsidR="008C1AD8" w14:paraId="14BA79B4" w14:textId="77777777" w:rsidTr="00A15226">
        <w:tc>
          <w:tcPr>
            <w:tcW w:w="443" w:type="pct"/>
            <w:vAlign w:val="center"/>
          </w:tcPr>
          <w:p w14:paraId="2CEF8D22" w14:textId="77777777" w:rsidR="008C1AD8" w:rsidRDefault="008C1AD8" w:rsidP="00A15226">
            <w:pPr>
              <w:pStyle w:val="Tabletext"/>
            </w:pPr>
            <w:r>
              <w:t xml:space="preserve">The Spit Wildlife Reserve </w:t>
            </w:r>
          </w:p>
        </w:tc>
        <w:tc>
          <w:tcPr>
            <w:tcW w:w="1039" w:type="pct"/>
            <w:vAlign w:val="center"/>
          </w:tcPr>
          <w:p w14:paraId="7D06245E" w14:textId="77777777" w:rsidR="008C1AD8" w:rsidRDefault="008C1AD8" w:rsidP="00A15226">
            <w:pPr>
              <w:pStyle w:val="Tabletext"/>
            </w:pPr>
            <w:r>
              <w:t>This reserve is located within the Port Wilson area and is part of the Port Phillip Bay (Western Shoreline) and Bellarine Peninsula Ramsar site. It contains sand spits, a lagoon, mudflats and areas of saltmarsh.</w:t>
            </w:r>
          </w:p>
        </w:tc>
        <w:tc>
          <w:tcPr>
            <w:tcW w:w="1977" w:type="pct"/>
            <w:vAlign w:val="center"/>
          </w:tcPr>
          <w:p w14:paraId="6FAE343D" w14:textId="77777777" w:rsidR="008C1AD8" w:rsidRDefault="008C1AD8" w:rsidP="00A15226">
            <w:pPr>
              <w:pStyle w:val="Tabletext"/>
            </w:pPr>
            <w:r>
              <w:t xml:space="preserve">This reserve is managed by Parks Victoria. </w:t>
            </w:r>
          </w:p>
          <w:p w14:paraId="0916FF60" w14:textId="77777777" w:rsidR="008C1AD8" w:rsidRDefault="008C1AD8" w:rsidP="00A15226">
            <w:pPr>
              <w:pStyle w:val="Tabletext"/>
            </w:pPr>
            <w:r>
              <w:t>Public access to this reserve is partially restricted.</w:t>
            </w:r>
          </w:p>
          <w:p w14:paraId="524FB90D" w14:textId="77777777" w:rsidR="008C1AD8" w:rsidRDefault="008C1AD8" w:rsidP="00A15226">
            <w:pPr>
              <w:pStyle w:val="Tabletext"/>
            </w:pPr>
            <w:r>
              <w:t xml:space="preserve">At publicly accessible sites, dogs and vehicles (excluding management vehicles) are prohibited. Boating zones also apply </w:t>
            </w:r>
            <w:sdt>
              <w:sdtPr>
                <w:rPr>
                  <w:color w:val="000000"/>
                </w:rPr>
                <w:tag w:val="MENDELEY_CITATION_v3_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"/>
                <w:id w:val="1320774350"/>
                <w:placeholder>
                  <w:docPart w:val="EA492B379251784A8EF33F6B6775C3A8"/>
                </w:placeholder>
              </w:sdtPr>
              <w:sdtContent>
                <w:r w:rsidRPr="00273871">
                  <w:rPr>
                    <w:color w:val="000000"/>
                  </w:rPr>
                  <w:t>(Parks Victoria, 2022c, 2022j)</w:t>
                </w:r>
              </w:sdtContent>
            </w:sdt>
            <w:r>
              <w:t>.</w:t>
            </w:r>
          </w:p>
          <w:p w14:paraId="577B03E2" w14:textId="77777777" w:rsidR="008C1AD8" w:rsidRDefault="008C1AD8" w:rsidP="00A15226">
            <w:pPr>
              <w:pStyle w:val="Tabletext"/>
            </w:pPr>
            <w:r>
              <w:t xml:space="preserve">Public access to some areas of the reserve is restricted and require a permit from Melbourne Water as the site is adjacent to the Werribee Sewage Farm </w:t>
            </w:r>
            <w:sdt>
              <w:sdtPr>
                <w:rPr>
                  <w:color w:val="000000"/>
                </w:rPr>
                <w:tag w:val="MENDELEY_CITATION_v3_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"/>
                <w:id w:val="-1200554601"/>
                <w:placeholder>
                  <w:docPart w:val="EA492B379251784A8EF33F6B6775C3A8"/>
                </w:placeholder>
              </w:sdtPr>
              <w:sdtContent>
                <w:r w:rsidRPr="00273871">
                  <w:rPr>
                    <w:color w:val="000000"/>
                  </w:rPr>
                  <w:t>(Conservation Volunteers Australia, 2022)</w:t>
                </w:r>
              </w:sdtContent>
            </w:sdt>
            <w:r>
              <w:t>.</w:t>
            </w:r>
          </w:p>
        </w:tc>
        <w:tc>
          <w:tcPr>
            <w:tcW w:w="877" w:type="pct"/>
            <w:vAlign w:val="center"/>
          </w:tcPr>
          <w:p w14:paraId="2550DEFA" w14:textId="77777777" w:rsidR="008C1AD8" w:rsidRDefault="008C1AD8" w:rsidP="00A15226">
            <w:pPr>
              <w:pStyle w:val="Tabletext"/>
            </w:pPr>
            <w:r>
              <w:t>Australasian Bittern; Australian Fairy Tern; Australian Painted Snipe; Curlew Sandpiper; Eastern Curlew; Great Knot; Greater Sand Plover; Lesser Sand Plover; Orange-bellied Parrot; Red Knot; Western Alaskan Bar-tailed Godwit</w:t>
            </w:r>
          </w:p>
        </w:tc>
        <w:tc>
          <w:tcPr>
            <w:tcW w:w="664" w:type="pct"/>
            <w:vAlign w:val="center"/>
          </w:tcPr>
          <w:p w14:paraId="2A86E98C" w14:textId="77777777" w:rsidR="008C1AD8" w:rsidRDefault="008C1AD8" w:rsidP="00A15226">
            <w:pPr>
              <w:pStyle w:val="Tabletext"/>
            </w:pPr>
            <w:r>
              <w:t xml:space="preserve">Australasian Bittern; Australian Fairy Tern; Curlew Sandpiper; Eastern Curlew; Great Knot; Lesser Sand Plover; Orange-bellied Parrot; Red Knot; </w:t>
            </w:r>
            <w:r w:rsidRPr="00D3726D">
              <w:t>Western Alaskan Bar-tailed Godwit</w:t>
            </w:r>
          </w:p>
        </w:tc>
      </w:tr>
      <w:tr w:rsidR="008C1AD8" w14:paraId="1D4A6618" w14:textId="77777777" w:rsidTr="00A15226">
        <w:tc>
          <w:tcPr>
            <w:tcW w:w="443" w:type="pct"/>
            <w:vAlign w:val="center"/>
          </w:tcPr>
          <w:p w14:paraId="50DB99B3" w14:textId="77777777" w:rsidR="008C1AD8" w:rsidRDefault="008C1AD8" w:rsidP="00A15226">
            <w:pPr>
              <w:pStyle w:val="Tabletext"/>
            </w:pPr>
            <w:r>
              <w:lastRenderedPageBreak/>
              <w:t>Breamlea Flora and Fauna Reserve</w:t>
            </w:r>
          </w:p>
        </w:tc>
        <w:tc>
          <w:tcPr>
            <w:tcW w:w="1039" w:type="pct"/>
            <w:vAlign w:val="center"/>
          </w:tcPr>
          <w:p w14:paraId="13A4416B" w14:textId="77777777" w:rsidR="008C1AD8" w:rsidRDefault="008C1AD8" w:rsidP="00A15226">
            <w:pPr>
              <w:pStyle w:val="Tabletext"/>
            </w:pPr>
            <w:r>
              <w:t>This reserve is located in the south of the Study Area associated with Thompson Creek. It supports saltmarshes and coastal dune environments.</w:t>
            </w:r>
          </w:p>
        </w:tc>
        <w:tc>
          <w:tcPr>
            <w:tcW w:w="1977" w:type="pct"/>
            <w:vAlign w:val="center"/>
          </w:tcPr>
          <w:p w14:paraId="1F6E7419" w14:textId="77777777" w:rsidR="008C1AD8" w:rsidRDefault="008C1AD8" w:rsidP="00A15226">
            <w:pPr>
              <w:pStyle w:val="Tabletext"/>
            </w:pPr>
            <w:r>
              <w:t xml:space="preserve">This reserve is managed by Parks Victoria </w:t>
            </w:r>
            <w:sdt>
              <w:sdtPr>
                <w:rPr>
                  <w:color w:val="000000"/>
                </w:rPr>
                <w:tag w:val="MENDELEY_CITATION_v3_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"/>
                <w:id w:val="-1160688850"/>
                <w:placeholder>
                  <w:docPart w:val="EA492B379251784A8EF33F6B6775C3A8"/>
                </w:placeholder>
              </w:sdtPr>
              <w:sdtContent>
                <w:r w:rsidRPr="00273871">
                  <w:rPr>
                    <w:color w:val="000000"/>
                  </w:rPr>
                  <w:t>(Parks Victoria, 2022b)</w:t>
                </w:r>
              </w:sdtContent>
            </w:sdt>
            <w:r>
              <w:t>.</w:t>
            </w:r>
          </w:p>
          <w:p w14:paraId="6B68AED5" w14:textId="77777777" w:rsidR="008C1AD8" w:rsidRDefault="008C1AD8" w:rsidP="00A15226">
            <w:pPr>
              <w:pStyle w:val="Tabletext"/>
            </w:pPr>
            <w:r>
              <w:t xml:space="preserve">Dogs are not permitted within the reserve </w:t>
            </w:r>
            <w:sdt>
              <w:sdtPr>
                <w:rPr>
                  <w:color w:val="000000"/>
                </w:rPr>
                <w:tag w:val="MENDELEY_CITATION_v3_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"/>
                <w:id w:val="1841731320"/>
                <w:placeholder>
                  <w:docPart w:val="EA492B379251784A8EF33F6B6775C3A8"/>
                </w:placeholder>
              </w:sdtPr>
              <w:sdtContent>
                <w:r w:rsidRPr="00273871">
                  <w:rPr>
                    <w:color w:val="000000"/>
                  </w:rPr>
                  <w:t>(The Breamlea Association, 2016)</w:t>
                </w:r>
              </w:sdtContent>
            </w:sdt>
            <w:r>
              <w:t>.</w:t>
            </w:r>
          </w:p>
        </w:tc>
        <w:tc>
          <w:tcPr>
            <w:tcW w:w="877" w:type="pct"/>
            <w:vAlign w:val="center"/>
          </w:tcPr>
          <w:p w14:paraId="2A0813B9" w14:textId="77777777" w:rsidR="008C1AD8" w:rsidRDefault="008C1AD8" w:rsidP="00A15226">
            <w:pPr>
              <w:pStyle w:val="Tabletext"/>
            </w:pPr>
            <w:r>
              <w:t>Australasian Bittern; Australian Fairy Tern; Australian Painted Snipe; Curlew Sandpiper; Eastern Curlew; Greater Sand Plover; Lesser Sand Plover; Orange-bellied Parrot; Red Knot; Western Alaskan Bar-tailed Godwit</w:t>
            </w:r>
          </w:p>
        </w:tc>
        <w:tc>
          <w:tcPr>
            <w:tcW w:w="664" w:type="pct"/>
            <w:vAlign w:val="center"/>
          </w:tcPr>
          <w:p w14:paraId="12E95ABB" w14:textId="77777777" w:rsidR="008C1AD8" w:rsidRDefault="008C1AD8" w:rsidP="00A15226">
            <w:pPr>
              <w:pStyle w:val="Tabletext"/>
            </w:pPr>
            <w:r>
              <w:t>-</w:t>
            </w:r>
          </w:p>
        </w:tc>
      </w:tr>
      <w:tr w:rsidR="008C1AD8" w14:paraId="79CA471F" w14:textId="77777777" w:rsidTr="00A15226">
        <w:tc>
          <w:tcPr>
            <w:tcW w:w="443" w:type="pct"/>
            <w:vAlign w:val="center"/>
          </w:tcPr>
          <w:p w14:paraId="4A3B5600" w14:textId="77777777" w:rsidR="008C1AD8" w:rsidRDefault="008C1AD8" w:rsidP="00A15226">
            <w:pPr>
              <w:pStyle w:val="Tabletext"/>
            </w:pPr>
            <w:r>
              <w:t>‘Wetlands and Former Saltworks Precinct’ within the Moolap Coastal Strategic Framework Plan</w:t>
            </w:r>
          </w:p>
        </w:tc>
        <w:tc>
          <w:tcPr>
            <w:tcW w:w="1039" w:type="pct"/>
            <w:vAlign w:val="center"/>
          </w:tcPr>
          <w:p w14:paraId="615F0914" w14:textId="77777777" w:rsidR="008C1AD8" w:rsidRDefault="008C1AD8" w:rsidP="00A15226">
            <w:pPr>
              <w:pStyle w:val="Tabletext"/>
            </w:pPr>
            <w:r>
              <w:t>The Moolap Coastal Strategic Plan outlines the management objectives and strategies for the Moolap area. The area covered by the Strategic Plan includes the Moolap IBA, in addition to areas of land outside of the IBA.</w:t>
            </w:r>
          </w:p>
          <w:p w14:paraId="15EC1E42" w14:textId="77777777" w:rsidR="008C1AD8" w:rsidRDefault="008C1AD8" w:rsidP="00A15226">
            <w:pPr>
              <w:pStyle w:val="Tabletext"/>
            </w:pPr>
            <w:r>
              <w:t>The majority of the Moolap IBA is located in the ‘Wetlands and Former Saltworks Precinct’ of the Strategic Plan.</w:t>
            </w:r>
          </w:p>
          <w:p w14:paraId="1E518339" w14:textId="77777777" w:rsidR="008C1AD8" w:rsidRDefault="008C1AD8" w:rsidP="00A15226">
            <w:pPr>
              <w:pStyle w:val="Tabletext"/>
            </w:pPr>
            <w:r>
              <w:t>The area includes salt pans separated by bunds (from a former saltworks) which is used as a feeding location by many migratory birds. Seagrass meadows occur in the shallow bay area adjacent to the salt bunds.</w:t>
            </w:r>
          </w:p>
        </w:tc>
        <w:tc>
          <w:tcPr>
            <w:tcW w:w="1977" w:type="pct"/>
            <w:vAlign w:val="center"/>
          </w:tcPr>
          <w:p w14:paraId="3823F2DB" w14:textId="77777777" w:rsidR="008C1AD8" w:rsidRDefault="008C1AD8" w:rsidP="00A15226">
            <w:pPr>
              <w:pStyle w:val="Tabletext"/>
            </w:pPr>
            <w:r>
              <w:t>The overarching goal for the Precinct is that the area be managed and coordinated to prioritise environmental outcomes and to respond to existing values and risks.</w:t>
            </w:r>
          </w:p>
          <w:p w14:paraId="56288A88" w14:textId="77777777" w:rsidR="008C1AD8" w:rsidRDefault="008C1AD8" w:rsidP="00A15226">
            <w:pPr>
              <w:pStyle w:val="Tabletext"/>
            </w:pPr>
            <w:r>
              <w:t>With regards to disturbance management, the Strategic Plan contains a range of strategies, including:</w:t>
            </w:r>
          </w:p>
          <w:p w14:paraId="6C576E7A" w14:textId="77777777" w:rsidR="008C1AD8" w:rsidRDefault="008C1AD8" w:rsidP="00A15226">
            <w:pPr>
              <w:pStyle w:val="Bullet1"/>
            </w:pPr>
            <w:r>
              <w:t>Facilitating while managing public access to enable recreation and passive enjoyment of the area while conserving environmental values</w:t>
            </w:r>
          </w:p>
          <w:p w14:paraId="71362DD0" w14:textId="77777777" w:rsidR="008C1AD8" w:rsidRDefault="008C1AD8" w:rsidP="00A15226">
            <w:pPr>
              <w:pStyle w:val="Bullet1"/>
            </w:pPr>
            <w:r>
              <w:t>Avoiding and managing risks of domestic animals entering conservation areas</w:t>
            </w:r>
          </w:p>
          <w:p w14:paraId="46886931" w14:textId="77777777" w:rsidR="008C1AD8" w:rsidRDefault="008C1AD8" w:rsidP="00A15226">
            <w:pPr>
              <w:pStyle w:val="Bullet1"/>
            </w:pPr>
            <w:r>
              <w:t>Avoiding boating and marine infrastructure where it would impact ecological values</w:t>
            </w:r>
          </w:p>
          <w:sdt>
            <w:sdtPr>
              <w:rPr>
                <w:color w:val="000000"/>
              </w:rPr>
              <w:tag w:val="MENDELEY_CITATION_v3_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"/>
              <w:id w:val="-2048751699"/>
              <w:placeholder>
                <w:docPart w:val="EA492B379251784A8EF33F6B6775C3A8"/>
              </w:placeholder>
            </w:sdtPr>
            <w:sdtContent>
              <w:p w14:paraId="7A38548A" w14:textId="77777777" w:rsidR="008C1AD8" w:rsidRDefault="008C1AD8" w:rsidP="00A15226">
                <w:pPr>
                  <w:pStyle w:val="Tabletext"/>
                </w:pPr>
                <w:r w:rsidRPr="00273871">
                  <w:rPr>
                    <w:color w:val="000000"/>
                  </w:rPr>
                  <w:t>(DELWP, 2019)</w:t>
                </w:r>
              </w:p>
            </w:sdtContent>
          </w:sdt>
        </w:tc>
        <w:tc>
          <w:tcPr>
            <w:tcW w:w="877" w:type="pct"/>
            <w:vAlign w:val="center"/>
          </w:tcPr>
          <w:p w14:paraId="5E1026DF" w14:textId="77777777" w:rsidR="008C1AD8" w:rsidRDefault="008C1AD8" w:rsidP="00A15226">
            <w:pPr>
              <w:pStyle w:val="Tabletext"/>
            </w:pPr>
            <w:r>
              <w:t>Australasian Bittern; Australian Fairy Tern; Australian Painted Snipe; Curlew Sandpiper; Eastern Curlew; Great Knot; Greater Sand Plover; Lesser Sand Plover; Orange-bellied Parrot; Red Knot; Western Alaskan Bar-tailed Godwit</w:t>
            </w:r>
          </w:p>
        </w:tc>
        <w:tc>
          <w:tcPr>
            <w:tcW w:w="664" w:type="pct"/>
            <w:vAlign w:val="center"/>
          </w:tcPr>
          <w:p w14:paraId="2CB012B4" w14:textId="77777777" w:rsidR="008C1AD8" w:rsidRDefault="008C1AD8" w:rsidP="00A15226">
            <w:pPr>
              <w:pStyle w:val="Tabletext"/>
            </w:pPr>
            <w:r>
              <w:t>Australasian Bittern; Australian Fairy Tern; Curlew Sandpiper; Eastern Curlew; Greater Sand Plover; Lesser Sand Plover; Red Knot; Western Alaskan Bar-tailed Godwit</w:t>
            </w:r>
          </w:p>
        </w:tc>
      </w:tr>
    </w:tbl>
    <w:p w14:paraId="60177841" w14:textId="77777777" w:rsidR="008C1AD8" w:rsidRDefault="008C1AD8" w:rsidP="008C1AD8"/>
    <w:p w14:paraId="7F6D4986" w14:textId="77777777" w:rsidR="008C1AD8" w:rsidRDefault="008C1AD8" w:rsidP="008C1AD8">
      <w:pPr>
        <w:sectPr w:rsidR="008C1AD8" w:rsidSect="00A24D0E">
          <w:footerReference w:type="default" r:id="rId57"/>
          <w:pgSz w:w="16840" w:h="11900" w:orient="landscape"/>
          <w:pgMar w:top="1134" w:right="1247" w:bottom="1134" w:left="1247" w:header="708" w:footer="708" w:gutter="0"/>
          <w:pgNumType w:chapStyle="1"/>
          <w:cols w:space="708"/>
          <w:docGrid w:linePitch="360"/>
        </w:sectPr>
      </w:pPr>
    </w:p>
    <w:p w14:paraId="1EAA99CF" w14:textId="77777777" w:rsidR="008C1AD8" w:rsidRDefault="008C1AD8" w:rsidP="008C1AD8">
      <w:pPr>
        <w:pStyle w:val="Heading3"/>
      </w:pPr>
      <w:r>
        <w:lastRenderedPageBreak/>
        <w:t>Offsets</w:t>
      </w:r>
    </w:p>
    <w:p w14:paraId="11DB64E8" w14:textId="77777777" w:rsidR="008C1AD8" w:rsidRDefault="008C1AD8" w:rsidP="008C1AD8">
      <w:r>
        <w:t xml:space="preserve">Offsets are not </w:t>
      </w:r>
      <w:r w:rsidRPr="008476E5">
        <w:t xml:space="preserve">required for the </w:t>
      </w:r>
      <w:r>
        <w:t>eleven</w:t>
      </w:r>
      <w:r w:rsidRPr="008476E5">
        <w:t xml:space="preserve"> bird species considered</w:t>
      </w:r>
      <w:r w:rsidRPr="00290C2E">
        <w:t xml:space="preserve"> here. There</w:t>
      </w:r>
      <w:r>
        <w:t xml:space="preserve"> are no direct impacts to habitat or records of any of these species under the Plan. Further, indirect impacts will be adequately mitigated through the existing planning system and measures under the Plan. </w:t>
      </w:r>
    </w:p>
    <w:p w14:paraId="28BACF6E" w14:textId="77777777" w:rsidR="008C1AD8" w:rsidRDefault="008C1AD8" w:rsidP="008C1AD8">
      <w:r>
        <w:t xml:space="preserve">Offsets are also not </w:t>
      </w:r>
      <w:r w:rsidRPr="008476E5">
        <w:t xml:space="preserve">required for the </w:t>
      </w:r>
      <w:r>
        <w:t>three fish</w:t>
      </w:r>
      <w:r w:rsidRPr="008476E5">
        <w:t xml:space="preserve"> species considered</w:t>
      </w:r>
      <w:r w:rsidRPr="00290C2E">
        <w:t xml:space="preserve"> here. </w:t>
      </w:r>
      <w:r>
        <w:t>There are no direct impacts and indirect impacts will be adequately mitigated through the existing planning system and measures under the Plan.</w:t>
      </w:r>
    </w:p>
    <w:p w14:paraId="21B47CD0" w14:textId="77777777" w:rsidR="008C1AD8" w:rsidRPr="00E0579D" w:rsidRDefault="008C1AD8" w:rsidP="008C1AD8">
      <w:pPr>
        <w:pStyle w:val="Heading3"/>
      </w:pPr>
      <w:r w:rsidRPr="00E0579D">
        <w:t>Analysis of requirements for migratory species</w:t>
      </w:r>
    </w:p>
    <w:p w14:paraId="242506D7" w14:textId="77777777" w:rsidR="008C1AD8" w:rsidRPr="00E0579D" w:rsidRDefault="008C1AD8" w:rsidP="008C1AD8">
      <w:r w:rsidRPr="00E0579D">
        <w:t>Seven of the eleven bird species considered within this assessment are also listed as migratory species. These are:</w:t>
      </w:r>
    </w:p>
    <w:p w14:paraId="3B842053" w14:textId="77777777" w:rsidR="008C1AD8" w:rsidRPr="00E0579D" w:rsidRDefault="008C1AD8" w:rsidP="008C1AD8">
      <w:pPr>
        <w:pStyle w:val="Bullet1"/>
      </w:pPr>
      <w:r w:rsidRPr="00E0579D">
        <w:t>Curlew Sandpiper</w:t>
      </w:r>
    </w:p>
    <w:p w14:paraId="56D8EF29" w14:textId="77777777" w:rsidR="008C1AD8" w:rsidRPr="00E0579D" w:rsidRDefault="008C1AD8" w:rsidP="008C1AD8">
      <w:pPr>
        <w:pStyle w:val="Bullet1"/>
      </w:pPr>
      <w:r w:rsidRPr="00E0579D">
        <w:t>Eastern Curlew</w:t>
      </w:r>
    </w:p>
    <w:p w14:paraId="5B5BDE05" w14:textId="77777777" w:rsidR="008C1AD8" w:rsidRPr="00E0579D" w:rsidRDefault="008C1AD8" w:rsidP="008C1AD8">
      <w:pPr>
        <w:pStyle w:val="Bullet1"/>
      </w:pPr>
      <w:r w:rsidRPr="00E0579D">
        <w:t>Great Knot</w:t>
      </w:r>
    </w:p>
    <w:p w14:paraId="6E6155C2" w14:textId="77777777" w:rsidR="008C1AD8" w:rsidRPr="00E0579D" w:rsidRDefault="008C1AD8" w:rsidP="008C1AD8">
      <w:pPr>
        <w:pStyle w:val="Bullet1"/>
      </w:pPr>
      <w:r w:rsidRPr="00E0579D">
        <w:t>Greater Sand Plover</w:t>
      </w:r>
    </w:p>
    <w:p w14:paraId="2723DB8E" w14:textId="77777777" w:rsidR="008C1AD8" w:rsidRPr="00E0579D" w:rsidRDefault="008C1AD8" w:rsidP="008C1AD8">
      <w:pPr>
        <w:pStyle w:val="Bullet1"/>
      </w:pPr>
      <w:r w:rsidRPr="00E0579D">
        <w:t>Lesser Sand Plover</w:t>
      </w:r>
    </w:p>
    <w:p w14:paraId="25AA959A" w14:textId="77777777" w:rsidR="008C1AD8" w:rsidRPr="00E0579D" w:rsidRDefault="008C1AD8" w:rsidP="008C1AD8">
      <w:pPr>
        <w:pStyle w:val="Bullet1"/>
      </w:pPr>
      <w:r w:rsidRPr="00E0579D">
        <w:t>Red Knot</w:t>
      </w:r>
    </w:p>
    <w:p w14:paraId="1C3A0592" w14:textId="77777777" w:rsidR="008C1AD8" w:rsidRPr="00E0579D" w:rsidRDefault="008C1AD8" w:rsidP="008C1AD8">
      <w:pPr>
        <w:pStyle w:val="Bullet1"/>
      </w:pPr>
      <w:r w:rsidRPr="00E0579D">
        <w:t xml:space="preserve">Western Alaskan Bar-tailed Godwit (as </w:t>
      </w:r>
      <w:r w:rsidRPr="00E0579D">
        <w:rPr>
          <w:i/>
          <w:iCs/>
        </w:rPr>
        <w:t>Limosa lapponica</w:t>
      </w:r>
      <w:r w:rsidRPr="00E0579D">
        <w:t>)</w:t>
      </w:r>
    </w:p>
    <w:p w14:paraId="78F47698" w14:textId="77777777" w:rsidR="008C1AD8" w:rsidRPr="00E0579D" w:rsidRDefault="008C1AD8" w:rsidP="008C1AD8">
      <w:r w:rsidRPr="00E0579D">
        <w:t>Section 146L of the EPBC Act sets out the approval considerations in relation to migratory species. In summary, the outcomes of the Plan must not be inconsistent with any of the international agreements relating to migratory species. Of relevance to migratory birds are:</w:t>
      </w:r>
    </w:p>
    <w:p w14:paraId="5576AD23" w14:textId="77777777" w:rsidR="008C1AD8" w:rsidRPr="00E0579D" w:rsidRDefault="008C1AD8" w:rsidP="008C1AD8">
      <w:pPr>
        <w:pStyle w:val="Bullet1"/>
      </w:pPr>
      <w:r w:rsidRPr="00E0579D">
        <w:t>The Bonn Convention (or the Convention on the Conservation of Migratory Species)</w:t>
      </w:r>
    </w:p>
    <w:p w14:paraId="44DD0496" w14:textId="77777777" w:rsidR="008C1AD8" w:rsidRPr="00E0579D" w:rsidRDefault="008C1AD8" w:rsidP="008C1AD8">
      <w:pPr>
        <w:pStyle w:val="Bullet1"/>
      </w:pPr>
      <w:r w:rsidRPr="00E0579D">
        <w:t>The bilateral agreements for the conservation of migratory birds between the Government of Australia and the Government of Japan (JAMBA), the Government of China (CAMBA), and the Government of the Republic of Korea (ROKAMBA)</w:t>
      </w:r>
    </w:p>
    <w:p w14:paraId="6E05C568" w14:textId="77777777" w:rsidR="008C1AD8" w:rsidRPr="00E0579D" w:rsidRDefault="008C1AD8" w:rsidP="008C1AD8">
      <w:r w:rsidRPr="00E0579D">
        <w:t xml:space="preserve">The </w:t>
      </w:r>
      <w:r w:rsidRPr="00E0579D">
        <w:rPr>
          <w:i/>
        </w:rPr>
        <w:t>Wildlife Conservation Plan For Migratory Shorebirds</w:t>
      </w:r>
      <w:r w:rsidRPr="00E0579D">
        <w:t xml:space="preserve"> </w:t>
      </w:r>
      <w:sdt>
        <w:sdtPr>
          <w:rPr>
            <w:color w:val="000000"/>
          </w:rPr>
          <w:tag w:val="MENDELEY_CITATION_v3_eyJjaXRhdGlvbklEIjoiTUVOREVMRVlfQ0lUQVRJT05fODY4YWUyZDktMzUxZC00YTc2LWFlY2MtZWI4NmE4NDU5MDMx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139001410"/>
          <w:placeholder>
            <w:docPart w:val="EA492B379251784A8EF33F6B6775C3A8"/>
          </w:placeholder>
        </w:sdtPr>
        <w:sdtContent>
          <w:r w:rsidRPr="00273871">
            <w:rPr>
              <w:color w:val="000000"/>
            </w:rPr>
            <w:t>(Commonwealth of Australia, 2015)</w:t>
          </w:r>
        </w:sdtContent>
      </w:sdt>
      <w:r w:rsidRPr="00E0579D">
        <w:t xml:space="preserve"> provides a useful summary of Australia’s commitments under these agreements. The key obligations (of relevance to this assessment) which cut across the various agreements in different forms are for Australia to:</w:t>
      </w:r>
    </w:p>
    <w:p w14:paraId="6E731B98" w14:textId="77777777" w:rsidR="008C1AD8" w:rsidRPr="00E0579D" w:rsidRDefault="008C1AD8" w:rsidP="008C1AD8">
      <w:pPr>
        <w:pStyle w:val="Bullet1"/>
      </w:pPr>
      <w:r w:rsidRPr="00E0579D">
        <w:t>Conserve and where possible restore habitats</w:t>
      </w:r>
    </w:p>
    <w:p w14:paraId="50F676F3" w14:textId="77777777" w:rsidR="008C1AD8" w:rsidRPr="00E0579D" w:rsidRDefault="008C1AD8" w:rsidP="008C1AD8">
      <w:pPr>
        <w:pStyle w:val="Bullet1"/>
      </w:pPr>
      <w:r w:rsidRPr="00E0579D">
        <w:t>Mitigate and manage threats to migratory birds</w:t>
      </w:r>
    </w:p>
    <w:p w14:paraId="1A3E354D" w14:textId="77777777" w:rsidR="008C1AD8" w:rsidRPr="00E0579D" w:rsidRDefault="008C1AD8" w:rsidP="008C1AD8">
      <w:r w:rsidRPr="00E0579D">
        <w:t xml:space="preserve">As outlined in Section </w:t>
      </w:r>
      <w:r>
        <w:fldChar w:fldCharType="begin"/>
      </w:r>
      <w:r>
        <w:instrText xml:space="preserve"> REF _Ref116309767 \n  \* MERGEFORMAT </w:instrText>
      </w:r>
      <w:r>
        <w:fldChar w:fldCharType="separate"/>
      </w:r>
      <w:r>
        <w:t>19.5.4</w:t>
      </w:r>
      <w:r>
        <w:fldChar w:fldCharType="end"/>
      </w:r>
      <w:r w:rsidRPr="00E0579D">
        <w:t xml:space="preserve"> above, the Plan will not result in direct impacts to habitat for any of these migratory species. Further, indirect impacts will be appropriately mitigated through commitments under the Plan, and through existing management measures in the planning system. Overall, the Plan is considered to adequately manage and mitigate threats to migratory birds within the Study Area.</w:t>
      </w:r>
    </w:p>
    <w:p w14:paraId="5F8F8976" w14:textId="77777777" w:rsidR="008C1AD8" w:rsidRPr="00E0579D" w:rsidRDefault="008C1AD8" w:rsidP="008C1AD8">
      <w:r w:rsidRPr="00E0579D">
        <w:t>Further, the Plan will not prevent habitats for migratory birds from being conserved and restored.</w:t>
      </w:r>
    </w:p>
    <w:p w14:paraId="20996071" w14:textId="77777777" w:rsidR="008C1AD8" w:rsidRPr="003D52B9" w:rsidRDefault="008C1AD8" w:rsidP="008C1AD8">
      <w:r w:rsidRPr="00E0579D">
        <w:t>Overall, the Plan is not inconsistent with international agreements relating to migratory species.</w:t>
      </w:r>
    </w:p>
    <w:p w14:paraId="37158A18" w14:textId="77777777" w:rsidR="008C1AD8" w:rsidRDefault="008C1AD8" w:rsidP="008C1AD8">
      <w:pPr>
        <w:pStyle w:val="Heading3"/>
      </w:pPr>
      <w:r>
        <w:t>Evaluation and conclusion</w:t>
      </w:r>
    </w:p>
    <w:p w14:paraId="505F99A7" w14:textId="77777777" w:rsidR="008C1AD8" w:rsidRDefault="008C1AD8" w:rsidP="008C1AD8">
      <w:r>
        <w:t xml:space="preserve">A review of relevant information, including Conservation Advices, Recovery Plans and other key documents, has been completed for </w:t>
      </w:r>
      <w:r w:rsidRPr="008476E5">
        <w:t>each of the</w:t>
      </w:r>
      <w:r w:rsidRPr="004536E5">
        <w:t xml:space="preserve"> </w:t>
      </w:r>
      <w:r>
        <w:t xml:space="preserve">eleven </w:t>
      </w:r>
      <w:r w:rsidRPr="008476E5">
        <w:t xml:space="preserve">bird species </w:t>
      </w:r>
      <w:r>
        <w:t xml:space="preserve">and three fish species </w:t>
      </w:r>
      <w:r w:rsidRPr="008476E5">
        <w:t>considered</w:t>
      </w:r>
      <w:r>
        <w:t xml:space="preserve"> here (see Attachment A and Attachment B). This has helped to identify the key issues that have the potential to negatively influence the long-term viability of each of these species. The issues relevant to</w:t>
      </w:r>
      <w:r>
        <w:rPr>
          <w:iCs/>
        </w:rPr>
        <w:t xml:space="preserve"> implementation of the Plan for</w:t>
      </w:r>
      <w:r>
        <w:t xml:space="preserve"> these species include habitat loss, changes to water flow and quality, disturbance from increased public access to natural areas, and recreational fishing and illegal collection.</w:t>
      </w:r>
    </w:p>
    <w:p w14:paraId="7E967AD3" w14:textId="77777777" w:rsidR="008C1AD8" w:rsidRPr="004E34EC" w:rsidRDefault="008C1AD8" w:rsidP="008C1AD8">
      <w:pPr>
        <w:keepNext/>
        <w:keepLines/>
      </w:pPr>
      <w:r>
        <w:lastRenderedPageBreak/>
        <w:t xml:space="preserve">The impact </w:t>
      </w:r>
      <w:r w:rsidRPr="004E34EC">
        <w:t>assessment presented here has analysed each of these issues and concluded that:</w:t>
      </w:r>
    </w:p>
    <w:p w14:paraId="6DF2E4B7" w14:textId="77777777" w:rsidR="008C1AD8" w:rsidRDefault="008C1AD8" w:rsidP="008C1AD8">
      <w:pPr>
        <w:pStyle w:val="Bullet1"/>
        <w:keepNext/>
        <w:keepLines/>
        <w:ind w:left="357" w:hanging="357"/>
      </w:pPr>
      <w:r w:rsidRPr="004E34EC">
        <w:t>There are no direct impacts to any</w:t>
      </w:r>
      <w:r>
        <w:t xml:space="preserve"> of the bird or fish species under the Plan. Subsequently, habitat loss will not be exacerbated for any of the species due to the Plan</w:t>
      </w:r>
    </w:p>
    <w:p w14:paraId="1A3D2842" w14:textId="77777777" w:rsidR="008C1AD8" w:rsidRDefault="008C1AD8" w:rsidP="008C1AD8">
      <w:pPr>
        <w:pStyle w:val="Bullet1"/>
      </w:pPr>
      <w:r>
        <w:t>The potential indirect impacts are unlikely to be exacerbated under the Plan in a way which has a notable effect on any of the species, as:</w:t>
      </w:r>
    </w:p>
    <w:p w14:paraId="373E357B" w14:textId="77777777" w:rsidR="008C1AD8" w:rsidRDefault="008C1AD8" w:rsidP="008C1AD8">
      <w:pPr>
        <w:pStyle w:val="Bullet2"/>
      </w:pPr>
      <w:r>
        <w:t xml:space="preserve">The Plan includes a suitable </w:t>
      </w:r>
      <w:r w:rsidRPr="004F22E1">
        <w:t>commitment (</w:t>
      </w:r>
      <w:r w:rsidRPr="009E63A2">
        <w:t xml:space="preserve">Commitment </w:t>
      </w:r>
      <w:r>
        <w:t>9</w:t>
      </w:r>
      <w:r w:rsidRPr="004F22E1">
        <w:t>) which</w:t>
      </w:r>
      <w:r>
        <w:t xml:space="preserve"> will minimise the risk of potential indirect impacts associated with changes to water flow and quality. Further, a range of measures already exist within the planning system which will also contribute to minimising this threat</w:t>
      </w:r>
    </w:p>
    <w:p w14:paraId="689690CA" w14:textId="77777777" w:rsidR="008C1AD8" w:rsidRDefault="008C1AD8" w:rsidP="008C1AD8">
      <w:pPr>
        <w:pStyle w:val="Bullet2"/>
      </w:pPr>
      <w:r>
        <w:t>There are suitable existing management frameworks in place in natural areas within the Geelong region which will minimise potential impacts associated with increased disturbance from public access to natural areas</w:t>
      </w:r>
    </w:p>
    <w:p w14:paraId="733D7ECE" w14:textId="77777777" w:rsidR="008C1AD8" w:rsidRPr="000D4EF6" w:rsidRDefault="008C1AD8" w:rsidP="008C1AD8">
      <w:pPr>
        <w:pStyle w:val="Bullet1"/>
      </w:pPr>
      <w:r w:rsidRPr="000D4EF6">
        <w:t>The Plan is not inconsistent with international agreements relating to migratory species</w:t>
      </w:r>
    </w:p>
    <w:p w14:paraId="1936947B" w14:textId="77777777" w:rsidR="008C1AD8" w:rsidRPr="00FD48B1" w:rsidRDefault="008C1AD8" w:rsidP="008C1AD8"/>
    <w:p w14:paraId="5DEAFEE2" w14:textId="77777777" w:rsidR="008C1AD8" w:rsidRDefault="008C1AD8" w:rsidP="008C1AD8">
      <w:pPr>
        <w:tabs>
          <w:tab w:val="clear" w:pos="4962"/>
        </w:tabs>
        <w:spacing w:before="0" w:after="0" w:line="240" w:lineRule="auto"/>
        <w:sectPr w:rsidR="008C1AD8" w:rsidSect="00487F9F">
          <w:footerReference w:type="default" r:id="rId58"/>
          <w:pgSz w:w="11900" w:h="16840"/>
          <w:pgMar w:top="1247" w:right="1134" w:bottom="1247" w:left="1134" w:header="708" w:footer="708" w:gutter="0"/>
          <w:pgNumType w:chapStyle="1"/>
          <w:cols w:space="708"/>
          <w:docGrid w:linePitch="360"/>
        </w:sectPr>
      </w:pPr>
    </w:p>
    <w:p w14:paraId="1B4119E4" w14:textId="77777777" w:rsidR="008C1AD8" w:rsidRDefault="008C1AD8" w:rsidP="008C1AD8">
      <w:pPr>
        <w:pStyle w:val="Heading1"/>
      </w:pPr>
      <w:bookmarkStart w:id="99" w:name="_Toc135122679"/>
      <w:bookmarkStart w:id="100" w:name="_Toc115886049"/>
      <w:r>
        <w:lastRenderedPageBreak/>
        <w:t>Listed threatened flora</w:t>
      </w:r>
      <w:bookmarkEnd w:id="99"/>
    </w:p>
    <w:p w14:paraId="2B8B07FC" w14:textId="77777777" w:rsidR="008C1AD8" w:rsidRDefault="008C1AD8" w:rsidP="008C1AD8">
      <w:r>
        <w:t>This chapter assesses the potential impacts of the Plan on flora species listed as threatened under the EPBC Act.</w:t>
      </w:r>
    </w:p>
    <w:p w14:paraId="0FBE2551" w14:textId="77777777" w:rsidR="008C1AD8" w:rsidRDefault="008C1AD8" w:rsidP="008C1AD8">
      <w:r>
        <w:t xml:space="preserve">The categorisation process identified two threatened flora species which may potentially be impacted by implementation of the Plan. This includes one species known to occur within the Growth Areas, </w:t>
      </w:r>
      <w:r w:rsidRPr="00B10384">
        <w:rPr>
          <w:i/>
          <w:iCs/>
        </w:rPr>
        <w:t xml:space="preserve">Lachnagrostis adamsonii </w:t>
      </w:r>
      <w:r w:rsidRPr="00B10384">
        <w:t xml:space="preserve">(Adamson’s Blown-grass), and one species which occurs outside of the Growth Areas, </w:t>
      </w:r>
      <w:r w:rsidRPr="00B10384">
        <w:rPr>
          <w:i/>
          <w:iCs/>
        </w:rPr>
        <w:t xml:space="preserve">Pimelea spinescens </w:t>
      </w:r>
      <w:r w:rsidRPr="00B10384">
        <w:t xml:space="preserve">subsp. </w:t>
      </w:r>
      <w:r w:rsidRPr="00B10384">
        <w:rPr>
          <w:i/>
          <w:iCs/>
        </w:rPr>
        <w:t>spinescens</w:t>
      </w:r>
      <w:r w:rsidRPr="00B10384">
        <w:t xml:space="preserve"> (Spiny Rice-flower).</w:t>
      </w:r>
      <w:r>
        <w:t xml:space="preserve"> Sections </w:t>
      </w:r>
      <w:r>
        <w:fldChar w:fldCharType="begin"/>
      </w:r>
      <w:r>
        <w:instrText xml:space="preserve"> REF _Ref116459046 \r \h </w:instrText>
      </w:r>
      <w:r>
        <w:fldChar w:fldCharType="separate"/>
      </w:r>
      <w:r>
        <w:t>20.1</w:t>
      </w:r>
      <w:r>
        <w:fldChar w:fldCharType="end"/>
      </w:r>
      <w:r>
        <w:t xml:space="preserve"> and </w:t>
      </w:r>
      <w:r>
        <w:fldChar w:fldCharType="begin"/>
      </w:r>
      <w:r>
        <w:instrText xml:space="preserve"> REF _Ref116459050 \r \h </w:instrText>
      </w:r>
      <w:r>
        <w:fldChar w:fldCharType="separate"/>
      </w:r>
      <w:r>
        <w:t>20.2</w:t>
      </w:r>
      <w:r>
        <w:fldChar w:fldCharType="end"/>
      </w:r>
      <w:r>
        <w:t xml:space="preserve"> assess the potential impacts of the Plan on these species.</w:t>
      </w:r>
    </w:p>
    <w:p w14:paraId="0CAA54F1" w14:textId="77777777" w:rsidR="008C1AD8" w:rsidRDefault="008C1AD8" w:rsidP="008C1AD8">
      <w:r w:rsidRPr="009B2BD1">
        <w:t xml:space="preserve">Refer to </w:t>
      </w:r>
      <w:r w:rsidRPr="009E63A2">
        <w:t>Section 12.3</w:t>
      </w:r>
      <w:r w:rsidRPr="009B2BD1">
        <w:t xml:space="preserve"> of </w:t>
      </w:r>
      <w:r w:rsidRPr="009E63A2">
        <w:t>Chapter 12</w:t>
      </w:r>
      <w:r>
        <w:t xml:space="preserve"> for the method used to identify relevant protected matters. </w:t>
      </w:r>
    </w:p>
    <w:p w14:paraId="7D896415" w14:textId="77777777" w:rsidR="008C1AD8" w:rsidRPr="00A979B0" w:rsidRDefault="008C1AD8" w:rsidP="008C1AD8">
      <w:pPr>
        <w:pStyle w:val="Heading2"/>
        <w:numPr>
          <w:ilvl w:val="0"/>
          <w:numId w:val="0"/>
        </w:numPr>
        <w:shd w:val="clear" w:color="auto" w:fill="B4C6E7" w:themeFill="accent1" w:themeFillTint="66"/>
      </w:pPr>
      <w:bookmarkStart w:id="101" w:name="_Toc135122680"/>
      <w:r>
        <w:t>Known to occur within the Growth Areas</w:t>
      </w:r>
      <w:bookmarkEnd w:id="101"/>
    </w:p>
    <w:p w14:paraId="1AD18539" w14:textId="77777777" w:rsidR="008C1AD8" w:rsidRPr="00297975" w:rsidRDefault="008C1AD8" w:rsidP="008C1AD8">
      <w:pPr>
        <w:pStyle w:val="Heading2"/>
      </w:pPr>
      <w:bookmarkStart w:id="102" w:name="_Ref116459046"/>
      <w:bookmarkStart w:id="103" w:name="_Toc135122681"/>
      <w:r>
        <w:t>A</w:t>
      </w:r>
      <w:r w:rsidRPr="00643B46">
        <w:t xml:space="preserve">damson’s </w:t>
      </w:r>
      <w:r>
        <w:t>B</w:t>
      </w:r>
      <w:r w:rsidRPr="00643B46">
        <w:t>low</w:t>
      </w:r>
      <w:r>
        <w:t>n-g</w:t>
      </w:r>
      <w:r w:rsidRPr="00643B46">
        <w:t>rass</w:t>
      </w:r>
      <w:r>
        <w:t xml:space="preserve"> </w:t>
      </w:r>
      <w:r>
        <w:rPr>
          <w:i/>
          <w:iCs/>
        </w:rPr>
        <w:t>(</w:t>
      </w:r>
      <w:r w:rsidRPr="00A56BAF">
        <w:rPr>
          <w:i/>
          <w:iCs/>
        </w:rPr>
        <w:t>Lachnagrostis adamsonii</w:t>
      </w:r>
      <w:r>
        <w:rPr>
          <w:i/>
          <w:iCs/>
        </w:rPr>
        <w:t>)</w:t>
      </w:r>
      <w:bookmarkEnd w:id="102"/>
      <w:bookmarkEnd w:id="103"/>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8C1AD8" w:rsidRPr="000816D6" w14:paraId="13FC355E" w14:textId="77777777" w:rsidTr="00A15226">
        <w:trPr>
          <w:tblHeader/>
        </w:trPr>
        <w:tc>
          <w:tcPr>
            <w:tcW w:w="9747" w:type="dxa"/>
            <w:shd w:val="clear" w:color="auto" w:fill="D9D9D9" w:themeFill="background1" w:themeFillShade="D9"/>
            <w:vAlign w:val="center"/>
          </w:tcPr>
          <w:p w14:paraId="72F09E77" w14:textId="77777777" w:rsidR="008C1AD8" w:rsidRPr="000816D6" w:rsidRDefault="008C1AD8" w:rsidP="00A15226">
            <w:pPr>
              <w:pStyle w:val="TableHeadingLarge"/>
              <w:rPr>
                <w:rFonts w:ascii="Helvetica" w:hAnsi="Helvetica"/>
              </w:rPr>
            </w:pPr>
            <w:r w:rsidRPr="000816D6">
              <w:rPr>
                <w:rFonts w:ascii="Helvetica" w:hAnsi="Helvetica"/>
              </w:rPr>
              <w:t>SPECIES BACKGROUND</w:t>
            </w:r>
          </w:p>
        </w:tc>
      </w:tr>
    </w:tbl>
    <w:p w14:paraId="4D980D79" w14:textId="77777777" w:rsidR="008C1AD8" w:rsidRPr="000816D6" w:rsidRDefault="008C1AD8" w:rsidP="008C1AD8">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0816D6" w14:paraId="61A6586E" w14:textId="77777777" w:rsidTr="00A15226">
        <w:tc>
          <w:tcPr>
            <w:tcW w:w="1526" w:type="dxa"/>
            <w:vAlign w:val="center"/>
          </w:tcPr>
          <w:p w14:paraId="5D49A8E2"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6DE0BC57" w14:textId="77777777" w:rsidR="008C1AD8" w:rsidRPr="003E1ADD" w:rsidRDefault="008C1AD8" w:rsidP="00A15226">
            <w:pPr>
              <w:pStyle w:val="Tabletext"/>
            </w:pPr>
            <w:r>
              <w:t>Endangered</w:t>
            </w:r>
          </w:p>
        </w:tc>
      </w:tr>
      <w:tr w:rsidR="008C1AD8" w:rsidRPr="000816D6" w14:paraId="128297BE" w14:textId="77777777" w:rsidTr="00A15226">
        <w:tc>
          <w:tcPr>
            <w:tcW w:w="1526" w:type="dxa"/>
            <w:vAlign w:val="center"/>
          </w:tcPr>
          <w:p w14:paraId="459B5358"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72D93992" w14:textId="77777777" w:rsidR="008C1AD8" w:rsidRPr="00D0783A" w:rsidRDefault="008C1AD8" w:rsidP="00A15226">
            <w:pPr>
              <w:pStyle w:val="Tabletext"/>
            </w:pPr>
            <w:r>
              <w:rPr>
                <w:i/>
                <w:iCs/>
              </w:rPr>
              <w:t xml:space="preserve">Lachnagrostis adamsonii </w:t>
            </w:r>
            <w:r>
              <w:t xml:space="preserve">(Adamson’s Blown-grass) is a grass that grows to 70 cm in height. It has open inflorescences that grow up to 25 cm with light green – purple tinged spikelets 3 – 4 mm in length which dry into a pale golden colour </w:t>
            </w:r>
            <w:sdt>
              <w:sdtPr>
                <w:rPr>
                  <w:color w:val="000000"/>
                </w:rPr>
                <w:tag w:val="MENDELEY_CITATION_v3_eyJjaXRhdGlvbklEIjoiTUVOREVMRVlfQ0lUQVRJT05fODM3NWRkMDAtM2NlNS00YzA5LWIxYzctMmQyZjhkNzVmNmQy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489636237"/>
                <w:placeholder>
                  <w:docPart w:val="53263D66753F864BA248D609BD120A46"/>
                </w:placeholder>
              </w:sdtPr>
              <w:sdtContent>
                <w:r w:rsidRPr="00273871">
                  <w:rPr>
                    <w:color w:val="000000"/>
                  </w:rPr>
                  <w:t>(Murphy, 2010)</w:t>
                </w:r>
              </w:sdtContent>
            </w:sdt>
            <w:r>
              <w:t>.</w:t>
            </w:r>
          </w:p>
        </w:tc>
      </w:tr>
      <w:tr w:rsidR="008C1AD8" w:rsidRPr="000816D6" w14:paraId="06010CE7" w14:textId="77777777" w:rsidTr="00A15226">
        <w:tc>
          <w:tcPr>
            <w:tcW w:w="1526" w:type="dxa"/>
            <w:vAlign w:val="center"/>
          </w:tcPr>
          <w:p w14:paraId="370417AF"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330D6F3D" w14:textId="77777777" w:rsidR="008C1AD8" w:rsidRDefault="008C1AD8" w:rsidP="00A15226">
            <w:pPr>
              <w:pStyle w:val="Tabletext"/>
            </w:pPr>
            <w:r>
              <w:t xml:space="preserve">The species flowers from November to December. It produces copious seeds which are dispersed by the wind. Germination occurs during winter and spring. The species appears to have the ability to colonise and expand into surrounding areas if suitable habitat and conditions are present </w:t>
            </w:r>
            <w:sdt>
              <w:sdtPr>
                <w:rPr>
                  <w:color w:val="000000"/>
                </w:rPr>
                <w:tag w:val="MENDELEY_CITATION_v3_eyJjaXRhdGlvbklEIjoiTUVOREVMRVlfQ0lUQVRJT05fZGM1NjFlNzctNzVjMC00OGNiLTlkZjAtOThjZDQyMzg5ODYx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773794433"/>
                <w:placeholder>
                  <w:docPart w:val="53263D66753F864BA248D609BD120A46"/>
                </w:placeholder>
              </w:sdtPr>
              <w:sdtContent>
                <w:r w:rsidRPr="00273871">
                  <w:rPr>
                    <w:color w:val="000000"/>
                  </w:rPr>
                  <w:t>(DCCEEW, 2022)</w:t>
                </w:r>
              </w:sdtContent>
            </w:sdt>
            <w:r>
              <w:t>.</w:t>
            </w:r>
          </w:p>
          <w:p w14:paraId="257148C2" w14:textId="77777777" w:rsidR="008C1AD8" w:rsidRPr="003E1ADD" w:rsidRDefault="008C1AD8" w:rsidP="00A15226">
            <w:pPr>
              <w:pStyle w:val="Tabletext"/>
            </w:pPr>
            <w:r>
              <w:t xml:space="preserve">Variation occurs amongst Adamson’s Blown-grass populations. This is associated with distribution and site characteristics. The size of plants and number of inflorescences can vary due to seasonal conditions. The species is typically a perennial grass although it may behave as an annual at sites where moisture conditions fluctuate throughout the year </w:t>
            </w:r>
            <w:sdt>
              <w:sdtPr>
                <w:rPr>
                  <w:color w:val="000000"/>
                </w:rPr>
                <w:tag w:val="MENDELEY_CITATION_v3_eyJjaXRhdGlvbklEIjoiTUVOREVMRVlfQ0lUQVRJT05fOGIyOWQ0ODMtOTE2MC00N2Q3LWIwN2MtOTA5M2QzNzNkZTFj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2146420220"/>
                <w:placeholder>
                  <w:docPart w:val="53263D66753F864BA248D609BD120A46"/>
                </w:placeholder>
              </w:sdtPr>
              <w:sdtContent>
                <w:r w:rsidRPr="00273871">
                  <w:rPr>
                    <w:color w:val="000000"/>
                  </w:rPr>
                  <w:t>(Murphy, 2010)</w:t>
                </w:r>
              </w:sdtContent>
            </w:sdt>
            <w:r>
              <w:t>.</w:t>
            </w:r>
          </w:p>
        </w:tc>
      </w:tr>
      <w:tr w:rsidR="008C1AD8" w:rsidRPr="000816D6" w14:paraId="17CC4021" w14:textId="77777777" w:rsidTr="00A15226">
        <w:tc>
          <w:tcPr>
            <w:tcW w:w="1526" w:type="dxa"/>
            <w:vAlign w:val="center"/>
          </w:tcPr>
          <w:p w14:paraId="7158A5E6"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70E15A4B" w14:textId="77777777" w:rsidR="008C1AD8" w:rsidRDefault="008C1AD8" w:rsidP="00A15226">
            <w:pPr>
              <w:pStyle w:val="Tabletext"/>
            </w:pPr>
            <w:r>
              <w:t>Adamson’s Blown-grass is endemic to south-western Victoria, occurring across approximately 15,000 km</w:t>
            </w:r>
            <w:r>
              <w:rPr>
                <w:vertAlign w:val="superscript"/>
              </w:rPr>
              <w:t>2</w:t>
            </w:r>
            <w:r>
              <w:t xml:space="preserve">. It is distributed from Clifton Springs near Geelong, to near Coleraine in the Victorian Volcanic Plains and Victorian Midlands IBRA bioregions </w:t>
            </w:r>
            <w:sdt>
              <w:sdtPr>
                <w:rPr>
                  <w:color w:val="000000"/>
                </w:rPr>
                <w:tag w:val="MENDELEY_CITATION_v3_eyJjaXRhdGlvbklEIjoiTUVOREVMRVlfQ0lUQVRJT05fMzc0MDIxOWEtNjAxNi00MzFiLWI2NDEtYzllMTM4NWFjYTc2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099404266"/>
                <w:placeholder>
                  <w:docPart w:val="53263D66753F864BA248D609BD120A46"/>
                </w:placeholder>
              </w:sdtPr>
              <w:sdtContent>
                <w:r w:rsidRPr="00273871">
                  <w:rPr>
                    <w:color w:val="000000"/>
                  </w:rPr>
                  <w:t>(Murphy, 2010)</w:t>
                </w:r>
              </w:sdtContent>
            </w:sdt>
            <w:r>
              <w:t xml:space="preserve">. </w:t>
            </w:r>
          </w:p>
          <w:p w14:paraId="1051E51D" w14:textId="77777777" w:rsidR="008C1AD8" w:rsidRDefault="008C1AD8" w:rsidP="00A15226">
            <w:pPr>
              <w:pStyle w:val="Tabletext"/>
            </w:pPr>
            <w:r>
              <w:t xml:space="preserve">The species occurs along slow moving creeks, depressions and drainage lines that are seasonally inundated or waterlogged. Soils comprise black, cracking clays or duplex soils with poorly permeable subsoils. Sites are usually moderately to highly saline and vary in acidity </w:t>
            </w:r>
            <w:sdt>
              <w:sdtPr>
                <w:rPr>
                  <w:color w:val="000000"/>
                </w:rPr>
                <w:tag w:val="MENDELEY_CITATION_v3_eyJjaXRhdGlvbklEIjoiTUVOREVMRVlfQ0lUQVRJT05fMGM3ZDI3MTktYWQ3NC00MWFkLWIyZDctNmYwMzVhZDhkYzZk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243766550"/>
                <w:placeholder>
                  <w:docPart w:val="53263D66753F864BA248D609BD120A46"/>
                </w:placeholder>
              </w:sdtPr>
              <w:sdtContent>
                <w:r w:rsidRPr="00273871">
                  <w:rPr>
                    <w:color w:val="000000"/>
                  </w:rPr>
                  <w:t>(Murphy, 2010)</w:t>
                </w:r>
              </w:sdtContent>
            </w:sdt>
            <w:r>
              <w:t xml:space="preserve">. The species generally won’t survive in deeper water although it can tolerate some waterlogging </w:t>
            </w:r>
            <w:sdt>
              <w:sdtPr>
                <w:rPr>
                  <w:color w:val="000000"/>
                </w:rPr>
                <w:tag w:val="MENDELEY_CITATION_v3_eyJjaXRhdGlvbklEIjoiTUVOREVMRVlfQ0lUQVRJT05fMzcyYzJlOGQtOTA0ZC00MGMwLWI5NzMtNmVjMDg3MzJkZWE3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240678218"/>
                <w:placeholder>
                  <w:docPart w:val="53263D66753F864BA248D609BD120A46"/>
                </w:placeholder>
              </w:sdtPr>
              <w:sdtContent>
                <w:r w:rsidRPr="00273871">
                  <w:rPr>
                    <w:color w:val="000000"/>
                  </w:rPr>
                  <w:t>(DCCEEW, 2022)</w:t>
                </w:r>
              </w:sdtContent>
            </w:sdt>
            <w:r>
              <w:t xml:space="preserve">. The species appears to favour sites with a level of shelter from the wind which is often provided by other plant species. It is not often found at larger, more exposed saline lakes </w:t>
            </w:r>
            <w:sdt>
              <w:sdtPr>
                <w:rPr>
                  <w:color w:val="000000"/>
                </w:rPr>
                <w:tag w:val="MENDELEY_CITATION_v3_eyJjaXRhdGlvbklEIjoiTUVOREVMRVlfQ0lUQVRJT05fYjJlNDhiYzgtNGQ3YS00Mzc1LTk2ZjUtZWYyZmJlY2M2M2U0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860937390"/>
                <w:placeholder>
                  <w:docPart w:val="53263D66753F864BA248D609BD120A46"/>
                </w:placeholder>
              </w:sdtPr>
              <w:sdtContent>
                <w:r w:rsidRPr="00273871">
                  <w:rPr>
                    <w:color w:val="000000"/>
                  </w:rPr>
                  <w:t>(Murphy, 2010)</w:t>
                </w:r>
              </w:sdtContent>
            </w:sdt>
            <w:r>
              <w:t>.</w:t>
            </w:r>
          </w:p>
          <w:p w14:paraId="30CF325F" w14:textId="77777777" w:rsidR="008C1AD8" w:rsidRPr="00206443" w:rsidRDefault="008C1AD8" w:rsidP="00A15226">
            <w:pPr>
              <w:pStyle w:val="Tabletext"/>
            </w:pPr>
            <w:r>
              <w:t xml:space="preserve">Habitat critical to the survival has not </w:t>
            </w:r>
            <w:r w:rsidRPr="00D46F49">
              <w:t>been defined</w:t>
            </w:r>
            <w:r w:rsidRPr="00D04B81">
              <w:t>.</w:t>
            </w:r>
            <w:r w:rsidRPr="00D46F49">
              <w:t xml:space="preserve"> </w:t>
            </w:r>
            <w:r w:rsidRPr="00D04B81">
              <w:t>The species’ Recovery Plan includes a</w:t>
            </w:r>
            <w:r>
              <w:t xml:space="preserve"> proposed action to determine its definition </w:t>
            </w:r>
            <w:sdt>
              <w:sdtPr>
                <w:rPr>
                  <w:color w:val="000000"/>
                </w:rPr>
                <w:tag w:val="MENDELEY_CITATION_v3_eyJjaXRhdGlvbklEIjoiTUVOREVMRVlfQ0lUQVRJT05fNjJkY2NlMmEtZDAwNy00YmQ5LWE1NDktMjllMTNjMTE0ZWYy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559371015"/>
                <w:placeholder>
                  <w:docPart w:val="53263D66753F864BA248D609BD120A46"/>
                </w:placeholder>
              </w:sdtPr>
              <w:sdtContent>
                <w:r w:rsidRPr="00273871">
                  <w:rPr>
                    <w:color w:val="000000"/>
                  </w:rPr>
                  <w:t>(Murphy, 2010)</w:t>
                </w:r>
              </w:sdtContent>
            </w:sdt>
            <w:r>
              <w:t>.</w:t>
            </w:r>
          </w:p>
        </w:tc>
      </w:tr>
      <w:tr w:rsidR="008C1AD8" w:rsidRPr="000816D6" w14:paraId="22AED79C" w14:textId="77777777" w:rsidTr="00A15226">
        <w:tc>
          <w:tcPr>
            <w:tcW w:w="1526" w:type="dxa"/>
            <w:vAlign w:val="center"/>
          </w:tcPr>
          <w:p w14:paraId="11C4EEC2"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4B0847DE" w14:textId="77777777" w:rsidR="008C1AD8" w:rsidRDefault="008C1AD8" w:rsidP="00A15226">
            <w:pPr>
              <w:pStyle w:val="Tabletext"/>
            </w:pPr>
            <w:r>
              <w:t xml:space="preserve">It is highly likely that many historical populations of the species were lost due to extensive native vegetation loss within the Victorian Volcanic Plains and Victorian Midlands </w:t>
            </w:r>
            <w:sdt>
              <w:sdtPr>
                <w:rPr>
                  <w:color w:val="000000"/>
                </w:rPr>
                <w:tag w:val="MENDELEY_CITATION_v3_eyJjaXRhdGlvbklEIjoiTUVOREVMRVlfQ0lUQVRJT05fMjNkOTY5NWItODk5Yi00MTAzLTgyZjAtNDQ0OGIxNWFkZDll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560250012"/>
                <w:placeholder>
                  <w:docPart w:val="53263D66753F864BA248D609BD120A46"/>
                </w:placeholder>
              </w:sdtPr>
              <w:sdtContent>
                <w:r w:rsidRPr="00273871">
                  <w:rPr>
                    <w:color w:val="000000"/>
                  </w:rPr>
                  <w:t>(Murphy, 2010)</w:t>
                </w:r>
              </w:sdtContent>
            </w:sdt>
            <w:r>
              <w:t>.</w:t>
            </w:r>
          </w:p>
          <w:p w14:paraId="17B9DCC1" w14:textId="77777777" w:rsidR="008C1AD8" w:rsidRPr="00E85911" w:rsidRDefault="008C1AD8" w:rsidP="00A15226">
            <w:pPr>
              <w:pStyle w:val="Tabletext"/>
            </w:pPr>
            <w:r>
              <w:t xml:space="preserve">In the 1990s, extensive surveying identified the species at </w:t>
            </w:r>
            <w:r w:rsidRPr="00D46F49">
              <w:t>68 locations</w:t>
            </w:r>
            <w:r w:rsidRPr="00D04B81">
              <w:t>.</w:t>
            </w:r>
            <w:r w:rsidRPr="00D46F49">
              <w:t xml:space="preserve"> </w:t>
            </w:r>
            <w:r>
              <w:t>However, t</w:t>
            </w:r>
            <w:r w:rsidRPr="00D46F49">
              <w:t>he</w:t>
            </w:r>
            <w:r>
              <w:t xml:space="preserve"> current number of populations is believed to be substantially fewer. The total number of plants is </w:t>
            </w:r>
            <w:r w:rsidRPr="00BE4D91">
              <w:t>unknown</w:t>
            </w:r>
            <w:r w:rsidRPr="00D04B81">
              <w:t xml:space="preserve">. Estimates suggest there are </w:t>
            </w:r>
            <w:r>
              <w:t xml:space="preserve">&lt;50,000 plants. Populations occupy small </w:t>
            </w:r>
            <w:r w:rsidRPr="00BE4D91">
              <w:t>areas</w:t>
            </w:r>
            <w:r w:rsidRPr="00D04B81">
              <w:t xml:space="preserve"> of</w:t>
            </w:r>
            <w:r w:rsidRPr="00BE4D91">
              <w:t xml:space="preserve"> less</w:t>
            </w:r>
            <w:r>
              <w:t xml:space="preserve"> than 1 ha </w:t>
            </w:r>
            <w:sdt>
              <w:sdtPr>
                <w:rPr>
                  <w:color w:val="000000"/>
                </w:rPr>
                <w:tag w:val="MENDELEY_CITATION_v3_eyJjaXRhdGlvbklEIjoiTUVOREVMRVlfQ0lUQVRJT05fMTVjMzdlOGItN2ZjMS00NGY3LTk4OTQtZjIzN2Y3YmVhMTc4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059934058"/>
                <w:placeholder>
                  <w:docPart w:val="53263D66753F864BA248D609BD120A46"/>
                </w:placeholder>
              </w:sdtPr>
              <w:sdtContent>
                <w:r w:rsidRPr="00273871">
                  <w:rPr>
                    <w:color w:val="000000"/>
                  </w:rPr>
                  <w:t>(Murphy, 2010)</w:t>
                </w:r>
              </w:sdtContent>
            </w:sdt>
            <w:r>
              <w:t xml:space="preserve">. The largest populations of the species occur north-west of Cavendish, south of Glenthompson and Wickliffe, and in the Willaura/Maroona area </w:t>
            </w:r>
            <w:sdt>
              <w:sdtPr>
                <w:rPr>
                  <w:color w:val="000000"/>
                </w:rPr>
                <w:tag w:val="MENDELEY_CITATION_v3_eyJjaXRhdGlvbklEIjoiTUVOREVMRVlfQ0lUQVRJT05fMzBiYWU5NWQtZWE3Mi00MGMxLThhMWUtMGQ4ZWQ3MjNkZmM2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802696932"/>
                <w:placeholder>
                  <w:docPart w:val="53263D66753F864BA248D609BD120A46"/>
                </w:placeholder>
              </w:sdtPr>
              <w:sdtContent>
                <w:r w:rsidRPr="00273871">
                  <w:rPr>
                    <w:color w:val="000000"/>
                  </w:rPr>
                  <w:t>(DCCEEW, 2022)</w:t>
                </w:r>
              </w:sdtContent>
            </w:sdt>
            <w:r>
              <w:t>.</w:t>
            </w:r>
          </w:p>
          <w:p w14:paraId="50568811" w14:textId="77777777" w:rsidR="008C1AD8" w:rsidRPr="003E1ADD" w:rsidRDefault="008C1AD8" w:rsidP="00A15226">
            <w:pPr>
              <w:pStyle w:val="Tabletext"/>
            </w:pPr>
            <w:r>
              <w:lastRenderedPageBreak/>
              <w:t xml:space="preserve">The species 2010 Recovery Plan </w:t>
            </w:r>
            <w:sdt>
              <w:sdtPr>
                <w:rPr>
                  <w:color w:val="000000"/>
                </w:rPr>
                <w:tag w:val="MENDELEY_CITATION_v3_eyJjaXRhdGlvbklEIjoiTUVOREVMRVlfQ0lUQVRJT05fYzEzMmRmOTgtOGZiNy00ZTA4LTkxMTYtMGY0YTI4YTA3OWEz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859933599"/>
                <w:placeholder>
                  <w:docPart w:val="53263D66753F864BA248D609BD120A46"/>
                </w:placeholder>
              </w:sdtPr>
              <w:sdtContent>
                <w:r w:rsidRPr="00273871">
                  <w:rPr>
                    <w:color w:val="000000"/>
                  </w:rPr>
                  <w:t>(Murphy, 2010)</w:t>
                </w:r>
              </w:sdtContent>
            </w:sdt>
            <w:r>
              <w:t xml:space="preserve"> identified 16 important populations of the species. One important population occurs within the Strategic Assessment Area located at Warners Road near Cowies Creek. This population consists of up to 500 plants and is considered to be the largest population at the eastern edge of the species range </w:t>
            </w:r>
            <w:sdt>
              <w:sdtPr>
                <w:rPr>
                  <w:color w:val="000000"/>
                </w:rPr>
                <w:tag w:val="MENDELEY_CITATION_v3_eyJjaXRhdGlvbklEIjoiTUVOREVMRVlfQ0lUQVRJT05fNDAyNWZiYzUtNjE5Yi00ZjA4LTkzYjItZDQ5ZDNiNGE0NGQx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87364286"/>
                <w:placeholder>
                  <w:docPart w:val="53263D66753F864BA248D609BD120A46"/>
                </w:placeholder>
              </w:sdtPr>
              <w:sdtContent>
                <w:r w:rsidRPr="00273871">
                  <w:rPr>
                    <w:color w:val="000000"/>
                  </w:rPr>
                  <w:t>(Murphy, 2010)</w:t>
                </w:r>
              </w:sdtContent>
            </w:sdt>
            <w:r>
              <w:t xml:space="preserve">. </w:t>
            </w:r>
            <w:r w:rsidRPr="0067593B">
              <w:t>Site surveys in 2019 and 2020 did not record Adamson’s Blown</w:t>
            </w:r>
            <w:r>
              <w:t>-g</w:t>
            </w:r>
            <w:r w:rsidRPr="0067593B">
              <w:t xml:space="preserve">rass along Cowies Creek. However, the species has been assumed present </w:t>
            </w:r>
            <w:r>
              <w:t xml:space="preserve">in Cowies Creek </w:t>
            </w:r>
            <w:r w:rsidRPr="0067593B">
              <w:t>based on the presence of historical records and suitable habitat</w:t>
            </w:r>
            <w:r>
              <w:t xml:space="preserve"> (this is discussed further below)</w:t>
            </w:r>
            <w:r w:rsidRPr="0067593B">
              <w:t xml:space="preserve"> </w:t>
            </w:r>
            <w:sdt>
              <w:sdtPr>
                <w:rPr>
                  <w:color w:val="000000"/>
                </w:rPr>
                <w:tag w:val="MENDELEY_CITATION_v3_eyJjaXRhdGlvbklEIjoiTUVOREVMRVlfQ0lUQVRJT05fZTkwNjExOTItZTI1ZC00MzViLWI3NTctMjQ5Yzk4ZWI1NjI1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896547143"/>
                <w:placeholder>
                  <w:docPart w:val="53263D66753F864BA248D609BD120A46"/>
                </w:placeholder>
              </w:sdtPr>
              <w:sdtContent>
                <w:r w:rsidRPr="00273871">
                  <w:rPr>
                    <w:color w:val="000000"/>
                  </w:rPr>
                  <w:t>(EHP, 2021)</w:t>
                </w:r>
              </w:sdtContent>
            </w:sdt>
            <w:r w:rsidRPr="0067593B">
              <w:t>.</w:t>
            </w:r>
          </w:p>
        </w:tc>
      </w:tr>
      <w:tr w:rsidR="008C1AD8" w:rsidRPr="002F23FB" w14:paraId="54B94E8A" w14:textId="77777777" w:rsidTr="00A15226">
        <w:tc>
          <w:tcPr>
            <w:tcW w:w="1526" w:type="dxa"/>
            <w:vAlign w:val="center"/>
          </w:tcPr>
          <w:p w14:paraId="28923093" w14:textId="77777777" w:rsidR="008C1AD8" w:rsidRPr="000816D6" w:rsidRDefault="008C1AD8" w:rsidP="00A15226">
            <w:pPr>
              <w:pStyle w:val="Tabletext"/>
              <w:rPr>
                <w:rFonts w:ascii="Helvetica" w:hAnsi="Helvetica"/>
                <w:b/>
                <w:bCs/>
                <w:sz w:val="14"/>
              </w:rPr>
            </w:pPr>
            <w:r>
              <w:rPr>
                <w:rFonts w:ascii="Helvetica" w:hAnsi="Helvetica"/>
                <w:b/>
                <w:bCs/>
                <w:sz w:val="14"/>
              </w:rPr>
              <w:lastRenderedPageBreak/>
              <w:t>THREATS</w:t>
            </w:r>
          </w:p>
        </w:tc>
        <w:tc>
          <w:tcPr>
            <w:tcW w:w="8113" w:type="dxa"/>
            <w:vAlign w:val="center"/>
          </w:tcPr>
          <w:p w14:paraId="0B5E3406" w14:textId="77777777" w:rsidR="008C1AD8" w:rsidRDefault="008C1AD8" w:rsidP="00A15226">
            <w:pPr>
              <w:pStyle w:val="Tabletext"/>
            </w:pPr>
            <w:r>
              <w:t xml:space="preserve">The species’ Recovery Plan has identified the following threats </w:t>
            </w:r>
            <w:sdt>
              <w:sdtPr>
                <w:rPr>
                  <w:color w:val="000000"/>
                </w:rPr>
                <w:tag w:val="MENDELEY_CITATION_v3_eyJjaXRhdGlvbklEIjoiTUVOREVMRVlfQ0lUQVRJT05fNjkzNDE0NTktMTNjMi00NDI0LTk0MTYtYzZlNWNkMmIyMzYz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541010914"/>
                <w:placeholder>
                  <w:docPart w:val="53263D66753F864BA248D609BD120A46"/>
                </w:placeholder>
              </w:sdtPr>
              <w:sdtContent>
                <w:r w:rsidRPr="00273871">
                  <w:rPr>
                    <w:color w:val="000000"/>
                  </w:rPr>
                  <w:t>(Murphy, 2010)</w:t>
                </w:r>
              </w:sdtContent>
            </w:sdt>
            <w:r>
              <w:t>:</w:t>
            </w:r>
          </w:p>
          <w:p w14:paraId="37FE7BA2" w14:textId="77777777" w:rsidR="008C1AD8" w:rsidRDefault="008C1AD8" w:rsidP="00A15226">
            <w:pPr>
              <w:pStyle w:val="Bullet1"/>
            </w:pPr>
            <w:r>
              <w:t>Altered hydrology, due to:</w:t>
            </w:r>
          </w:p>
          <w:p w14:paraId="38D9CB32" w14:textId="77777777" w:rsidR="008C1AD8" w:rsidRDefault="008C1AD8" w:rsidP="00A15226">
            <w:pPr>
              <w:pStyle w:val="Bullet2"/>
            </w:pPr>
            <w:r>
              <w:t>Changes in land use resulting in decreased water availability and soil salinity</w:t>
            </w:r>
          </w:p>
          <w:p w14:paraId="165512BC" w14:textId="77777777" w:rsidR="008C1AD8" w:rsidRDefault="008C1AD8" w:rsidP="00A15226">
            <w:pPr>
              <w:pStyle w:val="Bullet2"/>
            </w:pPr>
            <w:r>
              <w:t>Climate change resulting in increased droughts</w:t>
            </w:r>
          </w:p>
          <w:p w14:paraId="58BC7A68" w14:textId="77777777" w:rsidR="008C1AD8" w:rsidRDefault="008C1AD8" w:rsidP="00A15226">
            <w:pPr>
              <w:pStyle w:val="Bullet1"/>
            </w:pPr>
            <w:r>
              <w:t>Weed invasion / competition</w:t>
            </w:r>
          </w:p>
          <w:p w14:paraId="51B0C5E4" w14:textId="77777777" w:rsidR="008C1AD8" w:rsidRDefault="008C1AD8" w:rsidP="00A15226">
            <w:pPr>
              <w:pStyle w:val="Bullet1"/>
            </w:pPr>
            <w:r>
              <w:t>Disturbance / destruction of plants and habitat, including through:</w:t>
            </w:r>
          </w:p>
          <w:p w14:paraId="05A49B11" w14:textId="77777777" w:rsidR="008C1AD8" w:rsidRDefault="008C1AD8" w:rsidP="00A15226">
            <w:pPr>
              <w:pStyle w:val="Bullet2"/>
            </w:pPr>
            <w:r>
              <w:t>Disturbance of populations during road and utilities management works</w:t>
            </w:r>
          </w:p>
          <w:p w14:paraId="16DD897C" w14:textId="77777777" w:rsidR="008C1AD8" w:rsidRDefault="008C1AD8" w:rsidP="00A15226">
            <w:pPr>
              <w:pStyle w:val="Bullet2"/>
            </w:pPr>
            <w:r>
              <w:t>Disturbance due to agricultural practices (such as cropping and grazing) on private land</w:t>
            </w:r>
          </w:p>
          <w:p w14:paraId="4BF01743" w14:textId="77777777" w:rsidR="008C1AD8" w:rsidRPr="003E1ADD" w:rsidRDefault="008C1AD8" w:rsidP="00A15226">
            <w:pPr>
              <w:pStyle w:val="Bullet1"/>
            </w:pPr>
            <w:r>
              <w:t>Heavy grazing</w:t>
            </w:r>
          </w:p>
        </w:tc>
      </w:tr>
      <w:tr w:rsidR="008C1AD8" w:rsidRPr="002F23FB" w14:paraId="162DA112" w14:textId="77777777" w:rsidTr="00A15226">
        <w:tc>
          <w:tcPr>
            <w:tcW w:w="1526" w:type="dxa"/>
            <w:vAlign w:val="center"/>
          </w:tcPr>
          <w:p w14:paraId="6406DEDE"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76A0E993" w14:textId="77777777" w:rsidR="008C1AD8" w:rsidRPr="00CE2B1C" w:rsidRDefault="008C1AD8" w:rsidP="00A15226">
            <w:pPr>
              <w:pStyle w:val="Tabletext"/>
            </w:pPr>
            <w:r>
              <w:t xml:space="preserve">National Recovery Plan for Adamson’s Blown-grass </w:t>
            </w:r>
            <w:r>
              <w:rPr>
                <w:i/>
                <w:iCs/>
              </w:rPr>
              <w:t>Lachnagrostis adamsonii</w:t>
            </w:r>
            <w:r>
              <w:t xml:space="preserve"> </w:t>
            </w:r>
            <w:sdt>
              <w:sdtPr>
                <w:rPr>
                  <w:color w:val="000000"/>
                </w:rPr>
                <w:tag w:val="MENDELEY_CITATION_v3_eyJjaXRhdGlvbklEIjoiTUVOREVMRVlfQ0lUQVRJT05fZWU1OWM2ZDctZGM0Yy00ZjA5LThkYzQtNzM2OWRlNTA5YTk5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792897289"/>
                <w:placeholder>
                  <w:docPart w:val="53263D66753F864BA248D609BD120A46"/>
                </w:placeholder>
              </w:sdtPr>
              <w:sdtContent>
                <w:r w:rsidRPr="00273871">
                  <w:rPr>
                    <w:color w:val="000000"/>
                  </w:rPr>
                  <w:t>(Murphy, 2010)</w:t>
                </w:r>
              </w:sdtContent>
            </w:sdt>
          </w:p>
        </w:tc>
      </w:tr>
      <w:tr w:rsidR="008C1AD8" w:rsidRPr="000816D6" w14:paraId="6E09DD4A" w14:textId="77777777" w:rsidTr="00A15226">
        <w:tc>
          <w:tcPr>
            <w:tcW w:w="1526" w:type="dxa"/>
            <w:vAlign w:val="center"/>
          </w:tcPr>
          <w:p w14:paraId="6F88DBF8"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706BAE47" w14:textId="77777777" w:rsidR="008C1AD8" w:rsidRPr="00980D4D" w:rsidRDefault="008C1AD8" w:rsidP="00A15226">
            <w:pPr>
              <w:pStyle w:val="Tabletext"/>
            </w:pPr>
            <w:r>
              <w:t>There are no species-specific guidelines for this species.</w:t>
            </w:r>
          </w:p>
        </w:tc>
      </w:tr>
      <w:tr w:rsidR="008C1AD8" w:rsidRPr="000816D6" w14:paraId="4F41C843" w14:textId="77777777" w:rsidTr="00A15226">
        <w:tc>
          <w:tcPr>
            <w:tcW w:w="1526" w:type="dxa"/>
            <w:vAlign w:val="center"/>
          </w:tcPr>
          <w:p w14:paraId="0B7B57B2"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15E00C3A" w14:textId="77777777" w:rsidR="008C1AD8" w:rsidRPr="003E1ADD" w:rsidRDefault="008C1AD8" w:rsidP="00A15226">
            <w:pPr>
              <w:pStyle w:val="Tabletext"/>
            </w:pPr>
            <w:r w:rsidRPr="00DE13B0">
              <w:t>https://www.environment.gov.au/cgi-bin/sprat/public/publicspecies.pl?taxon_id=76211</w:t>
            </w:r>
          </w:p>
        </w:tc>
      </w:tr>
    </w:tbl>
    <w:p w14:paraId="29AC9F36"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57FBA338" w14:textId="77777777" w:rsidTr="00A15226">
        <w:tc>
          <w:tcPr>
            <w:tcW w:w="9622" w:type="dxa"/>
            <w:shd w:val="clear" w:color="auto" w:fill="C9C9C9" w:themeFill="accent3" w:themeFillTint="99"/>
          </w:tcPr>
          <w:p w14:paraId="5E64B188" w14:textId="77777777" w:rsidR="008C1AD8" w:rsidRPr="008F55BC" w:rsidRDefault="008C1AD8" w:rsidP="00A15226">
            <w:pPr>
              <w:pStyle w:val="Tabletext"/>
              <w:rPr>
                <w:b/>
                <w:bCs/>
              </w:rPr>
            </w:pPr>
            <w:r>
              <w:rPr>
                <w:rFonts w:ascii="Helvetica" w:hAnsi="Helvetica"/>
                <w:b/>
                <w:sz w:val="16"/>
                <w:szCs w:val="16"/>
              </w:rPr>
              <w:t>APPROACH TO BASELINE DATA</w:t>
            </w:r>
          </w:p>
        </w:tc>
      </w:tr>
    </w:tbl>
    <w:p w14:paraId="6BB17C00" w14:textId="77777777" w:rsidR="008C1AD8" w:rsidRPr="0007741A" w:rsidRDefault="008C1AD8" w:rsidP="008C1AD8">
      <w:pPr>
        <w:rPr>
          <w:i/>
          <w:iCs/>
          <w:color w:val="4472C4" w:themeColor="accent1"/>
        </w:rPr>
      </w:pPr>
      <w:r w:rsidRPr="0007741A">
        <w:rPr>
          <w:i/>
          <w:iCs/>
          <w:color w:val="4472C4" w:themeColor="accent1"/>
        </w:rPr>
        <w:t>This section provides a summary of the baseline information used in the assessment. It sets out:</w:t>
      </w:r>
    </w:p>
    <w:p w14:paraId="12EEF1FB" w14:textId="77777777" w:rsidR="008C1AD8" w:rsidRPr="0007741A" w:rsidRDefault="008C1AD8" w:rsidP="008C1AD8">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73C5E5E6" w14:textId="77777777" w:rsidR="008C1AD8" w:rsidRDefault="008C1AD8" w:rsidP="008C1AD8">
      <w:pPr>
        <w:pStyle w:val="Bullet1"/>
        <w:rPr>
          <w:i/>
          <w:iCs/>
          <w:color w:val="4472C4" w:themeColor="accent1"/>
        </w:rPr>
      </w:pPr>
      <w:r w:rsidRPr="0007741A">
        <w:rPr>
          <w:i/>
          <w:iCs/>
          <w:color w:val="4472C4" w:themeColor="accent1"/>
        </w:rPr>
        <w:t>An overview of the population mapping for the species</w:t>
      </w:r>
    </w:p>
    <w:p w14:paraId="0A119FD8" w14:textId="77777777" w:rsidR="008C1AD8" w:rsidRPr="00296917" w:rsidRDefault="008C1AD8" w:rsidP="008C1AD8">
      <w:pPr>
        <w:rPr>
          <w:i/>
          <w:color w:val="4472C4" w:themeColor="accent1"/>
        </w:rPr>
      </w:pPr>
      <w:r w:rsidRPr="000816D6">
        <w:rPr>
          <w:i/>
          <w:color w:val="4472C4" w:themeColor="accent1"/>
        </w:rPr>
        <w:t xml:space="preserve">Please refer to </w:t>
      </w:r>
      <w:r w:rsidRPr="009E63A2">
        <w:rPr>
          <w:i/>
          <w:color w:val="4472C4" w:themeColor="accent1"/>
        </w:rPr>
        <w:t>Chapter 13</w:t>
      </w:r>
      <w:r w:rsidRPr="009B2BD1">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980D4D" w14:paraId="7BC9CF42" w14:textId="77777777" w:rsidTr="00A15226">
        <w:tc>
          <w:tcPr>
            <w:tcW w:w="1526" w:type="dxa"/>
            <w:vMerge w:val="restart"/>
            <w:vAlign w:val="center"/>
          </w:tcPr>
          <w:p w14:paraId="612DDB89" w14:textId="77777777" w:rsidR="008C1AD8" w:rsidRDefault="008C1AD8"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374C0E35" w14:textId="77777777" w:rsidR="008C1AD8" w:rsidRDefault="008C1AD8"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8C1AD8" w:rsidRPr="00980D4D" w14:paraId="0ECED0D0" w14:textId="77777777" w:rsidTr="00A15226">
        <w:tc>
          <w:tcPr>
            <w:tcW w:w="1526" w:type="dxa"/>
            <w:vMerge/>
            <w:vAlign w:val="center"/>
          </w:tcPr>
          <w:p w14:paraId="0821062D" w14:textId="77777777" w:rsidR="008C1AD8" w:rsidRDefault="008C1AD8" w:rsidP="00A15226">
            <w:pPr>
              <w:pStyle w:val="Tabletext"/>
              <w:rPr>
                <w:rFonts w:ascii="Helvetica" w:hAnsi="Helvetica"/>
                <w:b/>
                <w:bCs/>
                <w:sz w:val="14"/>
              </w:rPr>
            </w:pPr>
          </w:p>
        </w:tc>
        <w:tc>
          <w:tcPr>
            <w:tcW w:w="8113" w:type="dxa"/>
            <w:vAlign w:val="center"/>
          </w:tcPr>
          <w:p w14:paraId="75F68EBD" w14:textId="77777777" w:rsidR="008C1AD8" w:rsidRPr="001E78FF" w:rsidRDefault="008C1AD8" w:rsidP="00A15226">
            <w:pPr>
              <w:pStyle w:val="Tabletext"/>
            </w:pPr>
            <w:r w:rsidRPr="001E78FF">
              <w:t>Habitat for Adamson’s Blown</w:t>
            </w:r>
            <w:r>
              <w:t>-g</w:t>
            </w:r>
            <w:r w:rsidRPr="001E78FF">
              <w:t>rass within the surveyed areas of the Growth Areas was mapped using the habitat mapping results of the EHP surveys.</w:t>
            </w:r>
            <w:r>
              <w:t xml:space="preserve"> The species was not recorded during targeted surveys though has been assumed present within suitable habitat along Cowies Creek </w:t>
            </w:r>
            <w:sdt>
              <w:sdtPr>
                <w:rPr>
                  <w:color w:val="000000"/>
                </w:rPr>
                <w:tag w:val="MENDELEY_CITATION_v3_eyJjaXRhdGlvbklEIjoiTUVOREVMRVlfQ0lUQVRJT05fZGU1NzhlYWYtMDJkZC00MjFiLWEwMGEtOTNjMTNjYjE2ZWUx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874109906"/>
                <w:placeholder>
                  <w:docPart w:val="53263D66753F864BA248D609BD120A46"/>
                </w:placeholder>
              </w:sdtPr>
              <w:sdtContent>
                <w:r w:rsidRPr="00273871">
                  <w:rPr>
                    <w:color w:val="000000"/>
                  </w:rPr>
                  <w:t>(EHP, 2021)</w:t>
                </w:r>
              </w:sdtContent>
            </w:sdt>
          </w:p>
        </w:tc>
      </w:tr>
      <w:tr w:rsidR="008C1AD8" w:rsidRPr="00980D4D" w14:paraId="6D9ADED3" w14:textId="77777777" w:rsidTr="00A15226">
        <w:tc>
          <w:tcPr>
            <w:tcW w:w="1526" w:type="dxa"/>
            <w:vMerge/>
            <w:vAlign w:val="center"/>
          </w:tcPr>
          <w:p w14:paraId="2F2D8179"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7FCCC47D" w14:textId="77777777" w:rsidR="008C1AD8" w:rsidRDefault="008C1AD8" w:rsidP="00A15226">
            <w:pPr>
              <w:pStyle w:val="Bullet1"/>
              <w:numPr>
                <w:ilvl w:val="0"/>
                <w:numId w:val="0"/>
              </w:numPr>
              <w:ind w:left="360" w:hanging="360"/>
            </w:pPr>
            <w:r w:rsidRPr="0067593B">
              <w:rPr>
                <w:rFonts w:ascii="Helvetica" w:hAnsi="Helvetica"/>
                <w:b/>
                <w:bCs/>
                <w:sz w:val="14"/>
              </w:rPr>
              <w:t>WITHIN THE UNSURVEYED AREAS OF THE GROWTH AREAS</w:t>
            </w:r>
          </w:p>
        </w:tc>
      </w:tr>
      <w:tr w:rsidR="008C1AD8" w:rsidRPr="00980D4D" w14:paraId="6B50AE02" w14:textId="77777777" w:rsidTr="00A15226">
        <w:tc>
          <w:tcPr>
            <w:tcW w:w="1526" w:type="dxa"/>
            <w:vMerge/>
            <w:vAlign w:val="center"/>
          </w:tcPr>
          <w:p w14:paraId="696348C0" w14:textId="77777777" w:rsidR="008C1AD8" w:rsidRPr="000816D6" w:rsidRDefault="008C1AD8" w:rsidP="00A15226">
            <w:pPr>
              <w:pStyle w:val="Tabletext"/>
              <w:rPr>
                <w:rFonts w:ascii="Helvetica" w:hAnsi="Helvetica"/>
                <w:b/>
                <w:bCs/>
                <w:sz w:val="14"/>
              </w:rPr>
            </w:pPr>
          </w:p>
        </w:tc>
        <w:tc>
          <w:tcPr>
            <w:tcW w:w="8113" w:type="dxa"/>
            <w:vAlign w:val="center"/>
          </w:tcPr>
          <w:p w14:paraId="20EAD095" w14:textId="77777777" w:rsidR="008C1AD8" w:rsidRPr="00980D4D" w:rsidRDefault="008C1AD8" w:rsidP="00A15226">
            <w:pPr>
              <w:pStyle w:val="Tabletext"/>
            </w:pPr>
            <w:r>
              <w:t>There is no suitable potential habitat within the unsurveyed areas of the Growth Areas</w:t>
            </w:r>
          </w:p>
        </w:tc>
      </w:tr>
      <w:tr w:rsidR="008C1AD8" w:rsidRPr="00980D4D" w14:paraId="7816D61F" w14:textId="77777777" w:rsidTr="00A15226">
        <w:tc>
          <w:tcPr>
            <w:tcW w:w="1526" w:type="dxa"/>
            <w:vMerge/>
            <w:vAlign w:val="center"/>
          </w:tcPr>
          <w:p w14:paraId="11306051" w14:textId="77777777" w:rsidR="008C1AD8" w:rsidRPr="000816D6"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07EBB1F6" w14:textId="77777777" w:rsidR="008C1AD8" w:rsidRPr="00980D4D" w:rsidRDefault="008C1AD8"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8C1AD8" w:rsidRPr="00980D4D" w14:paraId="3146EBCE" w14:textId="77777777" w:rsidTr="00A15226">
        <w:tc>
          <w:tcPr>
            <w:tcW w:w="1526" w:type="dxa"/>
            <w:vMerge/>
            <w:vAlign w:val="center"/>
          </w:tcPr>
          <w:p w14:paraId="1F216677" w14:textId="77777777" w:rsidR="008C1AD8" w:rsidRPr="000816D6" w:rsidRDefault="008C1AD8" w:rsidP="00A15226">
            <w:pPr>
              <w:pStyle w:val="Tabletext"/>
              <w:rPr>
                <w:rFonts w:ascii="Helvetica" w:hAnsi="Helvetica"/>
                <w:b/>
                <w:bCs/>
                <w:sz w:val="14"/>
              </w:rPr>
            </w:pPr>
          </w:p>
        </w:tc>
        <w:tc>
          <w:tcPr>
            <w:tcW w:w="8113" w:type="dxa"/>
            <w:vAlign w:val="center"/>
          </w:tcPr>
          <w:p w14:paraId="5F6498CD" w14:textId="77777777" w:rsidR="008C1AD8" w:rsidRPr="00980D4D" w:rsidRDefault="008C1AD8" w:rsidP="00A15226">
            <w:pPr>
              <w:pStyle w:val="Tabletext"/>
            </w:pPr>
            <w:r>
              <w:t>Adamson’s Blown-grass habitat was mapped within wetlands and streams associated with existing VBA records</w:t>
            </w:r>
          </w:p>
        </w:tc>
      </w:tr>
      <w:tr w:rsidR="008C1AD8" w:rsidRPr="003E1ADD" w14:paraId="5CCDB9CC" w14:textId="77777777" w:rsidTr="00A15226">
        <w:tc>
          <w:tcPr>
            <w:tcW w:w="1526" w:type="dxa"/>
            <w:vMerge w:val="restart"/>
            <w:vAlign w:val="center"/>
          </w:tcPr>
          <w:p w14:paraId="08D116EE" w14:textId="77777777" w:rsidR="008C1AD8" w:rsidRPr="000816D6" w:rsidRDefault="008C1AD8"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58695AD0" w14:textId="77777777" w:rsidR="008C1AD8" w:rsidRPr="00BB022D" w:rsidRDefault="008C1AD8" w:rsidP="00A15226">
            <w:pPr>
              <w:pStyle w:val="Bullet1"/>
              <w:numPr>
                <w:ilvl w:val="0"/>
                <w:numId w:val="0"/>
              </w:numPr>
              <w:ind w:left="360" w:hanging="360"/>
            </w:pPr>
            <w:r w:rsidRPr="000816D6">
              <w:rPr>
                <w:rFonts w:ascii="Helvetica" w:hAnsi="Helvetica"/>
                <w:b/>
                <w:bCs/>
                <w:sz w:val="14"/>
              </w:rPr>
              <w:t>RECORD SELECTION</w:t>
            </w:r>
          </w:p>
        </w:tc>
      </w:tr>
      <w:tr w:rsidR="008C1AD8" w:rsidRPr="003E1ADD" w14:paraId="44E94F1A" w14:textId="77777777" w:rsidTr="00A15226">
        <w:tc>
          <w:tcPr>
            <w:tcW w:w="1526" w:type="dxa"/>
            <w:vMerge/>
            <w:vAlign w:val="center"/>
          </w:tcPr>
          <w:p w14:paraId="5B5DB7F3" w14:textId="77777777" w:rsidR="008C1AD8" w:rsidRDefault="008C1AD8" w:rsidP="00A15226">
            <w:pPr>
              <w:pStyle w:val="Tabletext"/>
              <w:rPr>
                <w:rFonts w:ascii="Helvetica" w:hAnsi="Helvetica"/>
                <w:b/>
                <w:bCs/>
                <w:sz w:val="14"/>
              </w:rPr>
            </w:pPr>
          </w:p>
        </w:tc>
        <w:tc>
          <w:tcPr>
            <w:tcW w:w="8113" w:type="dxa"/>
            <w:vAlign w:val="center"/>
          </w:tcPr>
          <w:p w14:paraId="3566D43F" w14:textId="77777777" w:rsidR="008C1AD8" w:rsidRPr="00BB022D" w:rsidRDefault="008C1AD8" w:rsidP="00A15226">
            <w:pPr>
              <w:pStyle w:val="Tabletext"/>
            </w:pPr>
            <w:r w:rsidRPr="00D751AB">
              <w:t xml:space="preserve">Species records were compiled from </w:t>
            </w:r>
            <w:r>
              <w:t>the VBA</w:t>
            </w:r>
            <w:r w:rsidRPr="00D751AB">
              <w:t xml:space="preserve"> and surveys undertaken for the project. The </w:t>
            </w:r>
            <w:r>
              <w:t>VBA records were filtered to remove records prior to 1990 for the purpose of the impact assessment</w:t>
            </w:r>
          </w:p>
        </w:tc>
      </w:tr>
      <w:tr w:rsidR="008C1AD8" w:rsidRPr="003E1ADD" w14:paraId="2008A640" w14:textId="77777777" w:rsidTr="00A15226">
        <w:tc>
          <w:tcPr>
            <w:tcW w:w="1526" w:type="dxa"/>
            <w:vMerge/>
            <w:vAlign w:val="center"/>
          </w:tcPr>
          <w:p w14:paraId="458C6698"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3648C05E" w14:textId="77777777" w:rsidR="008C1AD8" w:rsidRPr="00BB022D" w:rsidRDefault="008C1AD8" w:rsidP="00A15226">
            <w:pPr>
              <w:pStyle w:val="Bullet1"/>
              <w:numPr>
                <w:ilvl w:val="0"/>
                <w:numId w:val="0"/>
              </w:numPr>
              <w:ind w:left="360" w:hanging="360"/>
            </w:pPr>
            <w:r>
              <w:rPr>
                <w:rFonts w:ascii="Helvetica" w:hAnsi="Helvetica"/>
                <w:b/>
                <w:bCs/>
                <w:sz w:val="14"/>
              </w:rPr>
              <w:t>RECORD DOWNLOAD DATE</w:t>
            </w:r>
          </w:p>
        </w:tc>
      </w:tr>
      <w:tr w:rsidR="008C1AD8" w:rsidRPr="003E1ADD" w14:paraId="7C9C992E" w14:textId="77777777" w:rsidTr="00A15226">
        <w:tc>
          <w:tcPr>
            <w:tcW w:w="1526" w:type="dxa"/>
            <w:vMerge/>
            <w:vAlign w:val="center"/>
          </w:tcPr>
          <w:p w14:paraId="06DE9F66" w14:textId="77777777" w:rsidR="008C1AD8" w:rsidRDefault="008C1AD8" w:rsidP="00A15226">
            <w:pPr>
              <w:pStyle w:val="Tabletext"/>
              <w:rPr>
                <w:rFonts w:ascii="Helvetica" w:hAnsi="Helvetica"/>
                <w:b/>
                <w:bCs/>
                <w:sz w:val="14"/>
              </w:rPr>
            </w:pPr>
          </w:p>
        </w:tc>
        <w:tc>
          <w:tcPr>
            <w:tcW w:w="8113" w:type="dxa"/>
            <w:vAlign w:val="center"/>
          </w:tcPr>
          <w:p w14:paraId="2595BDBC" w14:textId="77777777" w:rsidR="008C1AD8" w:rsidRPr="00BB022D" w:rsidRDefault="008C1AD8" w:rsidP="00A15226">
            <w:pPr>
              <w:pStyle w:val="Bullet1"/>
              <w:numPr>
                <w:ilvl w:val="0"/>
                <w:numId w:val="0"/>
              </w:numPr>
              <w:ind w:left="360" w:hanging="360"/>
            </w:pPr>
            <w:r>
              <w:t>VBA records for Adamson’s Blown-grass used in this assessment were downloaded in June 2022</w:t>
            </w:r>
          </w:p>
        </w:tc>
      </w:tr>
      <w:tr w:rsidR="008C1AD8" w:rsidRPr="003E1ADD" w14:paraId="659413BE" w14:textId="77777777" w:rsidTr="00A15226">
        <w:tc>
          <w:tcPr>
            <w:tcW w:w="1526" w:type="dxa"/>
            <w:vMerge/>
            <w:vAlign w:val="center"/>
          </w:tcPr>
          <w:p w14:paraId="1EAD6948"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7DACB476" w14:textId="77777777" w:rsidR="008C1AD8" w:rsidRPr="00BB022D" w:rsidRDefault="008C1AD8" w:rsidP="00A15226">
            <w:pPr>
              <w:pStyle w:val="Bullet1"/>
              <w:numPr>
                <w:ilvl w:val="0"/>
                <w:numId w:val="0"/>
              </w:numPr>
              <w:ind w:left="360" w:hanging="360"/>
            </w:pPr>
            <w:r>
              <w:rPr>
                <w:rFonts w:ascii="Helvetica" w:hAnsi="Helvetica"/>
                <w:b/>
                <w:bCs/>
                <w:sz w:val="14"/>
              </w:rPr>
              <w:t>POPULATION DEFINITION</w:t>
            </w:r>
          </w:p>
        </w:tc>
      </w:tr>
      <w:tr w:rsidR="008C1AD8" w:rsidRPr="003E1ADD" w14:paraId="2E7C7CC7" w14:textId="77777777" w:rsidTr="00A15226">
        <w:tc>
          <w:tcPr>
            <w:tcW w:w="1526" w:type="dxa"/>
            <w:vMerge/>
            <w:vAlign w:val="center"/>
          </w:tcPr>
          <w:p w14:paraId="7CC64A0B" w14:textId="77777777" w:rsidR="008C1AD8" w:rsidRDefault="008C1AD8" w:rsidP="00A15226">
            <w:pPr>
              <w:pStyle w:val="Tabletext"/>
              <w:rPr>
                <w:rFonts w:ascii="Helvetica" w:hAnsi="Helvetica"/>
                <w:b/>
                <w:bCs/>
                <w:sz w:val="14"/>
              </w:rPr>
            </w:pPr>
          </w:p>
        </w:tc>
        <w:tc>
          <w:tcPr>
            <w:tcW w:w="8113" w:type="dxa"/>
            <w:vAlign w:val="center"/>
          </w:tcPr>
          <w:p w14:paraId="5E138905" w14:textId="77777777" w:rsidR="008C1AD8" w:rsidRPr="00BB022D" w:rsidRDefault="008C1AD8" w:rsidP="00A15226">
            <w:pPr>
              <w:pStyle w:val="Tabletext"/>
            </w:pPr>
            <w:r>
              <w:t>The historical records of Adamson’s Blown-grass within Cowies Creek are considered to be a single population</w:t>
            </w:r>
          </w:p>
        </w:tc>
      </w:tr>
    </w:tbl>
    <w:p w14:paraId="78CBB0B6"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7ADC4677" w14:textId="77777777" w:rsidTr="00A15226">
        <w:tc>
          <w:tcPr>
            <w:tcW w:w="9622" w:type="dxa"/>
            <w:shd w:val="clear" w:color="auto" w:fill="C9C9C9" w:themeFill="accent3" w:themeFillTint="99"/>
          </w:tcPr>
          <w:p w14:paraId="39472ED4" w14:textId="77777777" w:rsidR="008C1AD8" w:rsidRPr="008F55BC" w:rsidRDefault="008C1AD8"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6F88400F" w14:textId="77777777" w:rsidR="008C1AD8" w:rsidRPr="003B08F2" w:rsidRDefault="008C1AD8" w:rsidP="008C1AD8">
      <w:pPr>
        <w:rPr>
          <w:i/>
          <w:iCs/>
          <w:color w:val="4472C4" w:themeColor="accent1"/>
        </w:rPr>
      </w:pPr>
      <w:r w:rsidRPr="00BB022D">
        <w:rPr>
          <w:i/>
          <w:iCs/>
          <w:color w:val="4472C4" w:themeColor="accent1"/>
        </w:rPr>
        <w:t xml:space="preserve">This section describes the occurrence of the species in the </w:t>
      </w:r>
      <w:r>
        <w:rPr>
          <w:i/>
          <w:iCs/>
          <w:color w:val="4472C4" w:themeColor="accent1"/>
        </w:rPr>
        <w:t>Study Area</w:t>
      </w:r>
      <w:r w:rsidRPr="00BB022D">
        <w:rPr>
          <w:i/>
          <w:iCs/>
          <w:color w:val="4472C4" w:themeColor="accent1"/>
        </w:rPr>
        <w:t xml:space="preserve">. </w:t>
      </w:r>
      <w:r w:rsidRPr="00D04B81">
        <w:rPr>
          <w:i/>
          <w:iCs/>
          <w:color w:val="4472C4" w:themeColor="accent1"/>
        </w:rPr>
        <w:t>It includes reference to a map of records and habitat which can be viewed as a separate file. The</w:t>
      </w:r>
      <w:r w:rsidRPr="00BB022D">
        <w:rPr>
          <w:i/>
          <w:iCs/>
          <w:color w:val="4472C4" w:themeColor="accent1"/>
        </w:rPr>
        <w:t xml:space="preserve"> map provides critical context for the assessment and should be viewed in conjunction with the text presented in this assessment. This section also provides a qualitative description of where records and habitat occur.</w:t>
      </w:r>
    </w:p>
    <w:p w14:paraId="590E70D1" w14:textId="77777777" w:rsidR="008C1AD8" w:rsidRPr="00627E92" w:rsidRDefault="008C1AD8" w:rsidP="008C1AD8">
      <w:pPr>
        <w:rPr>
          <w:b/>
          <w:bCs/>
        </w:rPr>
      </w:pPr>
      <w:r w:rsidRPr="009B2BD1">
        <w:t xml:space="preserve">See </w:t>
      </w:r>
      <w:hyperlink r:id="rId59" w:history="1">
        <w:r w:rsidRPr="00466211">
          <w:rPr>
            <w:rStyle w:val="Hyperlink"/>
          </w:rPr>
          <w:t>Map 20-1</w:t>
        </w:r>
      </w:hyperlink>
      <w:r w:rsidRPr="009B2BD1">
        <w:t xml:space="preserve"> for a map of records and habitat across the Study Area, and </w:t>
      </w:r>
      <w:hyperlink r:id="rId60" w:history="1">
        <w:r w:rsidRPr="00466211">
          <w:rPr>
            <w:rStyle w:val="Hyperlink"/>
          </w:rPr>
          <w:t>Map 20-2</w:t>
        </w:r>
      </w:hyperlink>
      <w:r>
        <w:t xml:space="preserve"> for a map of records and habitat within the Strategic Assessment Area.</w:t>
      </w:r>
    </w:p>
    <w:p w14:paraId="1A0AD506" w14:textId="77777777" w:rsidR="008C1AD8" w:rsidRPr="00973923" w:rsidRDefault="008C1AD8" w:rsidP="008C1AD8">
      <w:pPr>
        <w:pStyle w:val="Heading3"/>
      </w:pPr>
      <w:r>
        <w:t>Occurrence within the Growth Areas and Strategic Assessment Area</w:t>
      </w:r>
    </w:p>
    <w:p w14:paraId="2C9B0B84" w14:textId="77777777" w:rsidR="008C1AD8" w:rsidRDefault="008C1AD8" w:rsidP="008C1AD8">
      <w:r>
        <w:t xml:space="preserve">There </w:t>
      </w:r>
      <w:r w:rsidRPr="009B2BD1">
        <w:t xml:space="preserve">are </w:t>
      </w:r>
      <w:r w:rsidRPr="009E63A2">
        <w:t>nine</w:t>
      </w:r>
      <w:r w:rsidRPr="009B2BD1">
        <w:t xml:space="preserve"> historical</w:t>
      </w:r>
      <w:r>
        <w:t xml:space="preserve"> VBA records of Adamson’s Blown-grass within the Strategic Assessment Area. Two of these records occur within the WGGA adjacent to Cowies Creek within an area that may have been subsequently cropped </w:t>
      </w:r>
      <w:sdt>
        <w:sdtPr>
          <w:rPr>
            <w:color w:val="000000"/>
          </w:rPr>
          <w:tag w:val="MENDELEY_CITATION_v3_eyJjaXRhdGlvbklEIjoiTUVOREVMRVlfQ0lUQVRJT05fMGFhM2Y5MjYtN2I3Yy00YzQ4LTkwY2MtNzFiMDBiNDlkMzAw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077891258"/>
          <w:placeholder>
            <w:docPart w:val="53263D66753F864BA248D609BD120A46"/>
          </w:placeholder>
        </w:sdtPr>
        <w:sdtContent>
          <w:r w:rsidRPr="00273871">
            <w:rPr>
              <w:color w:val="000000"/>
            </w:rPr>
            <w:t>(EHP, 2021)</w:t>
          </w:r>
        </w:sdtContent>
      </w:sdt>
      <w:r>
        <w:t xml:space="preserve">. Both records were recorded in 1995. The remaining records of Adamson’s Blown-grass occur less than 100 m from the WGGA and are associated with Cowies Creek. These records represent the important population identified in the species Recovery Plan at Warners Road near Cowies Creek </w:t>
      </w:r>
      <w:sdt>
        <w:sdtPr>
          <w:rPr>
            <w:color w:val="000000"/>
          </w:rPr>
          <w:tag w:val="MENDELEY_CITATION_v3_eyJjaXRhdGlvbklEIjoiTUVOREVMRVlfQ0lUQVRJT05fZjUzYWY3NGUtMDg0Yy00NDEyLWIzYWEtNDY4MmY2NDhkNjY2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054279669"/>
          <w:placeholder>
            <w:docPart w:val="53263D66753F864BA248D609BD120A46"/>
          </w:placeholder>
        </w:sdtPr>
        <w:sdtContent>
          <w:r w:rsidRPr="00273871">
            <w:rPr>
              <w:color w:val="000000"/>
            </w:rPr>
            <w:t>(Murphy, 2010)</w:t>
          </w:r>
        </w:sdtContent>
      </w:sdt>
      <w:r>
        <w:t xml:space="preserve">. The most recent of these records was made in 2002 and includes 500 individual Adamson’s Blown-grass plants. </w:t>
      </w:r>
    </w:p>
    <w:p w14:paraId="5315939B" w14:textId="77777777" w:rsidR="008C1AD8" w:rsidRDefault="008C1AD8" w:rsidP="008C1AD8">
      <w:r>
        <w:t xml:space="preserve">Targeted surveys were undertaken for the species within suitable habitat in the Growth Areas between November 2019 and December 2020 by EHP </w:t>
      </w:r>
      <w:sdt>
        <w:sdtPr>
          <w:rPr>
            <w:color w:val="000000"/>
          </w:rPr>
          <w:tag w:val="MENDELEY_CITATION_v3_eyJjaXRhdGlvbklEIjoiTUVOREVMRVlfQ0lUQVRJT05fMzNhODM2YzYtOWRhYS00ZjM3LWJkNTgtN2ExZjA0YTQzZGUx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133400207"/>
          <w:placeholder>
            <w:docPart w:val="53263D66753F864BA248D609BD120A46"/>
          </w:placeholder>
        </w:sdtPr>
        <w:sdtContent>
          <w:r w:rsidRPr="00273871">
            <w:rPr>
              <w:color w:val="000000"/>
            </w:rPr>
            <w:t>(EHP, 2021)</w:t>
          </w:r>
        </w:sdtContent>
      </w:sdt>
      <w:r>
        <w:t xml:space="preserve">.The species was not recorded during these field assessments, which occurred at an appropriate time of year when the species is generally known to be flowering and readily </w:t>
      </w:r>
      <w:r w:rsidRPr="00231D02">
        <w:t>detectable. However, EHP (2021) did not identify any reference population to ensure the species was detectable at the time of survey.</w:t>
      </w:r>
    </w:p>
    <w:p w14:paraId="7DCC742D" w14:textId="77777777" w:rsidR="008C1AD8" w:rsidRDefault="008C1AD8" w:rsidP="008C1AD8">
      <w:r>
        <w:t>Based on the results of these surveys and a lack of suitable habitat and historical records, the species is unlikely to occur within the NGGA.</w:t>
      </w:r>
    </w:p>
    <w:p w14:paraId="2791DE81" w14:textId="77777777" w:rsidR="008C1AD8" w:rsidRDefault="008C1AD8" w:rsidP="008C1AD8">
      <w:r>
        <w:t xml:space="preserve">EHP made the following observations of potential habitat in the WGGA </w:t>
      </w:r>
      <w:sdt>
        <w:sdtPr>
          <w:rPr>
            <w:color w:val="000000"/>
          </w:rPr>
          <w:tag w:val="MENDELEY_CITATION_v3_eyJjaXRhdGlvbklEIjoiTUVOREVMRVlfQ0lUQVRJT05fNzQ0MWMxZDYtZjk5Yi00OWM2LTg3NGEtMzA3OTI3YTg5Y2Jh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318877105"/>
          <w:placeholder>
            <w:docPart w:val="53263D66753F864BA248D609BD120A46"/>
          </w:placeholder>
        </w:sdtPr>
        <w:sdtContent>
          <w:r w:rsidRPr="00273871">
            <w:rPr>
              <w:color w:val="000000"/>
            </w:rPr>
            <w:t>(EHP, 2021)</w:t>
          </w:r>
        </w:sdtContent>
      </w:sdt>
      <w:r>
        <w:t>:</w:t>
      </w:r>
    </w:p>
    <w:p w14:paraId="2211D3F5" w14:textId="77777777" w:rsidR="008C1AD8" w:rsidRPr="00231D02" w:rsidRDefault="008C1AD8" w:rsidP="008C1AD8">
      <w:pPr>
        <w:ind w:left="426"/>
        <w:rPr>
          <w:i/>
          <w:iCs/>
        </w:rPr>
      </w:pPr>
      <w:r w:rsidRPr="00231D02">
        <w:rPr>
          <w:i/>
          <w:iCs/>
        </w:rPr>
        <w:t>Potential habitat adjacent to Cowies Creek in the WGGA was highly modified and dominated by exotic grasses, including Toowoomba Canary-grass and Kikuyu Pennisetum clandestinum. The drainage lines contained little native vegetation and were generally comprised of improved and exotic pasture. Further, there was little evidence to indicate that the drainage lines had recently supported standing water, with any areas subject to waterlogging dominated by Toowoomba Canary-grass or Rush Juncus sp.</w:t>
      </w:r>
    </w:p>
    <w:p w14:paraId="20FD105C" w14:textId="77777777" w:rsidR="008C1AD8" w:rsidRPr="00231D02" w:rsidRDefault="008C1AD8" w:rsidP="008C1AD8">
      <w:pPr>
        <w:ind w:left="426"/>
        <w:rPr>
          <w:i/>
          <w:iCs/>
        </w:rPr>
      </w:pPr>
      <w:r w:rsidRPr="00231D02">
        <w:rPr>
          <w:i/>
          <w:iCs/>
        </w:rPr>
        <w:t>Given the known threats to the species that are present within the NWGGA, including a high cover of annual and perennial weeds within or adjacent to areas of potential habitat, ongoing agricultural disturbance (including cropping, grazing and vegetation clearance), as well as altered hydrological regimes (Murphy 2010), it is considered that existing habitat quality for the species is marginal.</w:t>
      </w:r>
    </w:p>
    <w:p w14:paraId="27694F4C" w14:textId="77777777" w:rsidR="008C1AD8" w:rsidRDefault="008C1AD8" w:rsidP="008C1AD8">
      <w:r>
        <w:t xml:space="preserve">Despite this, Adamson’s Blown-grass has been assumed present within Cowies Creek based on historical records and the presence of suitable (albeit marginal) habitat </w:t>
      </w:r>
      <w:sdt>
        <w:sdtPr>
          <w:rPr>
            <w:color w:val="000000"/>
          </w:rPr>
          <w:tag w:val="MENDELEY_CITATION_v3_eyJjaXRhdGlvbklEIjoiTUVOREVMRVlfQ0lUQVRJT05fZjk5N2Y5ZGUtNDM0OC00ODFiLWEzYjMtOWJkODExZTY0MTMy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021930443"/>
          <w:placeholder>
            <w:docPart w:val="53263D66753F864BA248D609BD120A46"/>
          </w:placeholder>
        </w:sdtPr>
        <w:sdtContent>
          <w:r w:rsidRPr="00273871">
            <w:rPr>
              <w:color w:val="000000"/>
            </w:rPr>
            <w:t>(EHP, 2021)</w:t>
          </w:r>
        </w:sdtContent>
      </w:sdt>
      <w:r>
        <w:t>.</w:t>
      </w:r>
    </w:p>
    <w:p w14:paraId="0E13E117" w14:textId="77777777" w:rsidR="008C1AD8" w:rsidRPr="00F85302" w:rsidRDefault="008C1AD8" w:rsidP="008C1AD8">
      <w:pPr>
        <w:pStyle w:val="Heading3"/>
      </w:pPr>
      <w:r>
        <w:t>Occurrence within the broader Study Area</w:t>
      </w:r>
    </w:p>
    <w:p w14:paraId="2BAEF7F6" w14:textId="77777777" w:rsidR="008C1AD8" w:rsidRDefault="008C1AD8" w:rsidP="008C1AD8">
      <w:r>
        <w:t xml:space="preserve">There </w:t>
      </w:r>
      <w:r w:rsidRPr="009B2BD1">
        <w:t xml:space="preserve">is </w:t>
      </w:r>
      <w:r w:rsidRPr="009E63A2">
        <w:t>one</w:t>
      </w:r>
      <w:r>
        <w:t xml:space="preserve"> record of Adamson’s Blown-grass in the broader Study Area. The record occurs near Breamlea approximately 19 km south of the Strategic Assessment Area. It is associated with Thompson’s Creek and was recorded in 2003.</w:t>
      </w:r>
    </w:p>
    <w:p w14:paraId="726B7294" w14:textId="77777777" w:rsidR="008C1AD8" w:rsidRPr="000816D6"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656D6B03" w14:textId="77777777" w:rsidTr="00A15226">
        <w:tc>
          <w:tcPr>
            <w:tcW w:w="9632" w:type="dxa"/>
            <w:shd w:val="clear" w:color="auto" w:fill="D9D9D9" w:themeFill="background1" w:themeFillShade="D9"/>
            <w:vAlign w:val="center"/>
          </w:tcPr>
          <w:p w14:paraId="1F178C48" w14:textId="77777777" w:rsidR="008C1AD8" w:rsidRPr="000816D6" w:rsidRDefault="008C1AD8" w:rsidP="00A15226">
            <w:pPr>
              <w:pStyle w:val="TableHeadingLarge"/>
              <w:keepLines/>
              <w:rPr>
                <w:rFonts w:ascii="Helvetica" w:hAnsi="Helvetica"/>
              </w:rPr>
            </w:pPr>
            <w:r w:rsidRPr="000816D6">
              <w:rPr>
                <w:rFonts w:ascii="Helvetica" w:hAnsi="Helvetica"/>
              </w:rPr>
              <w:lastRenderedPageBreak/>
              <w:t>AVOIDANCE OF IMPACTS</w:t>
            </w:r>
          </w:p>
        </w:tc>
      </w:tr>
    </w:tbl>
    <w:p w14:paraId="31AF4F85" w14:textId="77777777" w:rsidR="008C1AD8" w:rsidRDefault="008C1AD8" w:rsidP="008C1AD8">
      <w:pPr>
        <w:keepNext/>
        <w:keepLines/>
      </w:pPr>
      <w:r w:rsidRPr="000816D6">
        <w:rPr>
          <w:i/>
          <w:color w:val="4472C4" w:themeColor="accent1"/>
        </w:rPr>
        <w:t xml:space="preserve">This section provides an overview of the area of potential habitat that was avoided for the species through the design of </w:t>
      </w:r>
      <w:r>
        <w:rPr>
          <w:i/>
          <w:color w:val="4472C4" w:themeColor="accent1"/>
        </w:rPr>
        <w:t xml:space="preserve">development within the Growth Areas. Avoidance of impacts to biodiversity was a critical part of the process to develop the Plan. </w:t>
      </w:r>
      <w:r w:rsidRPr="000816D6">
        <w:rPr>
          <w:i/>
          <w:color w:val="4472C4" w:themeColor="accent1"/>
        </w:rPr>
        <w:t xml:space="preserve">A detailed explanation of the avoidance process and terminology is provided </w:t>
      </w:r>
      <w:r w:rsidRPr="009B2BD1">
        <w:rPr>
          <w:i/>
          <w:color w:val="4472C4" w:themeColor="accent1"/>
        </w:rPr>
        <w:t xml:space="preserve">in </w:t>
      </w:r>
      <w:r w:rsidRPr="009E63A2">
        <w:rPr>
          <w:i/>
          <w:color w:val="4472C4" w:themeColor="accent1"/>
        </w:rPr>
        <w:t>Chapter 16.</w:t>
      </w:r>
    </w:p>
    <w:p w14:paraId="2D8A7DB4" w14:textId="77777777" w:rsidR="008C1AD8" w:rsidRDefault="008C1AD8" w:rsidP="008C1AD8">
      <w:r>
        <w:t xml:space="preserve">Development under the Plan will avoid impacts to potential habitat for Adamson’s Blown-grass associated with Cowies Creek. Potential habitat will be protected within the Cowies Creek Conservation Area. </w:t>
      </w:r>
    </w:p>
    <w:p w14:paraId="35053ACF" w14:textId="77777777" w:rsidR="008C1AD8" w:rsidRPr="000A1CDB"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3C338A47" w14:textId="77777777" w:rsidTr="00A15226">
        <w:tc>
          <w:tcPr>
            <w:tcW w:w="9632" w:type="dxa"/>
            <w:shd w:val="clear" w:color="auto" w:fill="D9D9D9" w:themeFill="background1" w:themeFillShade="D9"/>
          </w:tcPr>
          <w:p w14:paraId="24ADD791" w14:textId="77777777" w:rsidR="008C1AD8" w:rsidRPr="000816D6" w:rsidRDefault="008C1AD8" w:rsidP="00A15226">
            <w:pPr>
              <w:pStyle w:val="TableHeadingLarge"/>
            </w:pPr>
            <w:r w:rsidRPr="009F398B">
              <w:rPr>
                <w:rFonts w:ascii="Helvetica" w:hAnsi="Helvetica"/>
              </w:rPr>
              <w:t>DIRECT IMPACTS</w:t>
            </w:r>
          </w:p>
        </w:tc>
      </w:tr>
    </w:tbl>
    <w:p w14:paraId="204C8CE7" w14:textId="77777777" w:rsidR="008C1AD8" w:rsidRDefault="008C1AD8" w:rsidP="008C1AD8">
      <w:pPr>
        <w:rPr>
          <w:i/>
          <w:color w:val="4472C4" w:themeColor="accent1"/>
        </w:rPr>
      </w:pPr>
      <w:r w:rsidRPr="000816D6">
        <w:rPr>
          <w:i/>
          <w:color w:val="4472C4" w:themeColor="accent1"/>
        </w:rPr>
        <w:t>This section provides an analysis of any direct impacts</w:t>
      </w:r>
      <w:r>
        <w:rPr>
          <w:i/>
          <w:color w:val="4472C4" w:themeColor="accent1"/>
        </w:rPr>
        <w:t xml:space="preserve">. </w:t>
      </w:r>
      <w:r w:rsidRPr="000816D6">
        <w:rPr>
          <w:i/>
          <w:color w:val="4472C4" w:themeColor="accent1"/>
        </w:rPr>
        <w:t xml:space="preserve">Direct impacts are assessed in relation to known populations, loss of potential habitat, or fragmentation of habitat. </w:t>
      </w:r>
    </w:p>
    <w:p w14:paraId="33C63BDB" w14:textId="77777777" w:rsidR="008C1AD8" w:rsidRDefault="008C1AD8" w:rsidP="008C1AD8">
      <w:r>
        <w:t xml:space="preserve">Implementation of the Plan will not lead to direct impacts or fragmentation of potential habitat for Adamson’s Blown-grass. </w:t>
      </w:r>
    </w:p>
    <w:p w14:paraId="56F31467" w14:textId="77777777" w:rsidR="008C1AD8" w:rsidRPr="006934FA"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4F4A7DB5" w14:textId="77777777" w:rsidTr="00A15226">
        <w:trPr>
          <w:cantSplit/>
        </w:trPr>
        <w:tc>
          <w:tcPr>
            <w:tcW w:w="9632" w:type="dxa"/>
            <w:shd w:val="clear" w:color="auto" w:fill="D9D9D9" w:themeFill="background1" w:themeFillShade="D9"/>
            <w:vAlign w:val="center"/>
          </w:tcPr>
          <w:p w14:paraId="46629713" w14:textId="77777777" w:rsidR="008C1AD8" w:rsidRPr="000816D6" w:rsidRDefault="008C1AD8" w:rsidP="00A15226">
            <w:pPr>
              <w:pStyle w:val="TableHeadingLarge"/>
            </w:pPr>
            <w:r w:rsidRPr="000816D6">
              <w:rPr>
                <w:rFonts w:ascii="Helvetica" w:hAnsi="Helvetica"/>
              </w:rPr>
              <w:t>POTENTIAL INDIRECT IMPACTS AND MITIGATION</w:t>
            </w:r>
          </w:p>
        </w:tc>
      </w:tr>
    </w:tbl>
    <w:p w14:paraId="77C55F5E" w14:textId="77777777" w:rsidR="008C1AD8" w:rsidRPr="0004013F" w:rsidRDefault="008C1AD8" w:rsidP="008C1AD8">
      <w:pPr>
        <w:rPr>
          <w:i/>
          <w:color w:val="4472C4" w:themeColor="accent1"/>
        </w:rPr>
      </w:pPr>
      <w:r w:rsidRPr="0004013F">
        <w:rPr>
          <w:i/>
          <w:color w:val="4472C4" w:themeColor="accent1"/>
        </w:rPr>
        <w:t>This section identifies the relevant potential indirect impacts to the species that may occur as a result of development under the Plan. Indirect impacts were identified as being relevant to the species if:</w:t>
      </w:r>
    </w:p>
    <w:p w14:paraId="69E89873" w14:textId="77777777" w:rsidR="008C1AD8" w:rsidRPr="0004013F" w:rsidRDefault="008C1AD8" w:rsidP="008C1AD8">
      <w:pPr>
        <w:pStyle w:val="Bullet1"/>
        <w:rPr>
          <w:i/>
          <w:color w:val="4472C4" w:themeColor="accent1"/>
        </w:rPr>
      </w:pPr>
      <w:r w:rsidRPr="0004013F">
        <w:rPr>
          <w:i/>
          <w:color w:val="4472C4" w:themeColor="accent1"/>
        </w:rPr>
        <w:t xml:space="preserve">The indirect impact is identified as a threat in a relevant profile, conservation advice, or recovery plan, </w:t>
      </w:r>
      <w:r w:rsidRPr="0004013F">
        <w:rPr>
          <w:i/>
          <w:iCs/>
          <w:color w:val="4472C4" w:themeColor="accent1"/>
        </w:rPr>
        <w:t>and</w:t>
      </w:r>
    </w:p>
    <w:p w14:paraId="1B2D64FF" w14:textId="77777777" w:rsidR="008C1AD8" w:rsidRPr="0004013F" w:rsidRDefault="008C1AD8" w:rsidP="008C1AD8">
      <w:pPr>
        <w:pStyle w:val="Bullet1"/>
        <w:rPr>
          <w:i/>
          <w:color w:val="4472C4" w:themeColor="accent1"/>
        </w:rPr>
      </w:pPr>
      <w:r w:rsidRPr="0004013F">
        <w:rPr>
          <w:i/>
          <w:color w:val="4472C4" w:themeColor="accent1"/>
        </w:rPr>
        <w:t xml:space="preserve">The Plan has the potential to </w:t>
      </w:r>
      <w:r>
        <w:rPr>
          <w:i/>
          <w:color w:val="4472C4" w:themeColor="accent1"/>
        </w:rPr>
        <w:t xml:space="preserve">introduce or </w:t>
      </w:r>
      <w:r w:rsidRPr="0004013F">
        <w:rPr>
          <w:i/>
          <w:color w:val="4472C4" w:themeColor="accent1"/>
        </w:rPr>
        <w:t>exacerbate the threat</w:t>
      </w:r>
    </w:p>
    <w:p w14:paraId="37884FB9" w14:textId="77777777" w:rsidR="008C1AD8" w:rsidRPr="0004013F" w:rsidRDefault="008C1AD8" w:rsidP="008C1AD8">
      <w:pPr>
        <w:rPr>
          <w:i/>
          <w:color w:val="4472C4" w:themeColor="accent1"/>
        </w:rPr>
      </w:pPr>
      <w:r w:rsidRPr="0004013F">
        <w:rPr>
          <w:i/>
          <w:color w:val="4472C4" w:themeColor="accent1"/>
        </w:rPr>
        <w:t xml:space="preserve">It discusses each relevant potential indirect impact in detail and outlines how the Plan addresses it. </w:t>
      </w:r>
    </w:p>
    <w:p w14:paraId="036731D2" w14:textId="77777777" w:rsidR="008C1AD8" w:rsidRPr="00C6364C" w:rsidRDefault="008C1AD8" w:rsidP="008C1AD8">
      <w:pPr>
        <w:rPr>
          <w:i/>
          <w:color w:val="4472C4" w:themeColor="accent1"/>
        </w:rPr>
      </w:pPr>
      <w:r w:rsidRPr="009B2BD1">
        <w:rPr>
          <w:i/>
          <w:color w:val="4472C4" w:themeColor="accent1"/>
        </w:rPr>
        <w:t xml:space="preserve">Please refer to </w:t>
      </w:r>
      <w:r w:rsidRPr="009E63A2">
        <w:rPr>
          <w:i/>
          <w:color w:val="4472C4" w:themeColor="accent1"/>
        </w:rPr>
        <w:t>Chapter 17</w:t>
      </w:r>
      <w:r w:rsidRPr="009B2BD1">
        <w:rPr>
          <w:i/>
          <w:color w:val="4472C4" w:themeColor="accent1"/>
        </w:rPr>
        <w:t xml:space="preserve"> for a detailed discussion and analysis of indirect impacts and mitigation measures included in the Plan. It is critical to read </w:t>
      </w:r>
      <w:r w:rsidRPr="009E63A2">
        <w:rPr>
          <w:i/>
          <w:color w:val="4472C4" w:themeColor="accent1"/>
        </w:rPr>
        <w:t>Chapter 17</w:t>
      </w:r>
      <w:r w:rsidRPr="009B2BD1">
        <w:rPr>
          <w:i/>
          <w:color w:val="4472C4" w:themeColor="accent1"/>
        </w:rPr>
        <w:t xml:space="preserve"> in order</w:t>
      </w:r>
      <w:r w:rsidRPr="0004013F">
        <w:rPr>
          <w:i/>
          <w:color w:val="4472C4" w:themeColor="accent1"/>
        </w:rPr>
        <w:t xml:space="preserve"> to understand the conclusions reached in this section.</w:t>
      </w:r>
    </w:p>
    <w:p w14:paraId="28EEEEF3" w14:textId="77777777" w:rsidR="008C1AD8" w:rsidRDefault="008C1AD8" w:rsidP="008C1AD8">
      <w:pPr>
        <w:pStyle w:val="Heading3"/>
      </w:pPr>
      <w:r w:rsidRPr="00FB680C">
        <w:t>R</w:t>
      </w:r>
      <w:r>
        <w:t>elevant potential indirect impacts</w:t>
      </w:r>
    </w:p>
    <w:p w14:paraId="7151B9D0" w14:textId="77777777" w:rsidR="008C1AD8" w:rsidRDefault="008C1AD8" w:rsidP="008C1AD8">
      <w:r w:rsidRPr="00164CAA">
        <w:t>The Recovery Plan for Adamson’s</w:t>
      </w:r>
      <w:r>
        <w:t xml:space="preserve"> Blown-grass </w:t>
      </w:r>
      <w:r w:rsidRPr="002B70F0">
        <w:t>identifies a range of threats to the species</w:t>
      </w:r>
      <w:r>
        <w:t xml:space="preserve"> </w:t>
      </w:r>
      <w:sdt>
        <w:sdtPr>
          <w:rPr>
            <w:color w:val="000000"/>
          </w:rPr>
          <w:tag w:val="MENDELEY_CITATION_v3_eyJjaXRhdGlvbklEIjoiTUVOREVMRVlfQ0lUQVRJT05fMjVmMTRjOTMtZWFlYS00ZmM1LTk5OGUtNThjMTljMTA4ZGNk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711107558"/>
          <w:placeholder>
            <w:docPart w:val="53263D66753F864BA248D609BD120A46"/>
          </w:placeholder>
        </w:sdtPr>
        <w:sdtContent>
          <w:r w:rsidRPr="00273871">
            <w:rPr>
              <w:color w:val="000000"/>
            </w:rPr>
            <w:t>(Murphy, 2010)</w:t>
          </w:r>
        </w:sdtContent>
      </w:sdt>
      <w:r>
        <w:t>.</w:t>
      </w:r>
      <w:r w:rsidRPr="00596D38">
        <w:t xml:space="preserve"> </w:t>
      </w:r>
      <w:r>
        <w:t>The following threats are potentially relevant to implementation of the Plan and are discussed further below:</w:t>
      </w:r>
    </w:p>
    <w:p w14:paraId="67526316" w14:textId="77777777" w:rsidR="008C1AD8" w:rsidRDefault="008C1AD8" w:rsidP="008C1AD8">
      <w:pPr>
        <w:pStyle w:val="Bullet1"/>
      </w:pPr>
      <w:r>
        <w:t>Altered hydrological conditions affecting water flows and salinity levels</w:t>
      </w:r>
    </w:p>
    <w:p w14:paraId="5EB02CDD" w14:textId="77777777" w:rsidR="008C1AD8" w:rsidRDefault="008C1AD8" w:rsidP="008C1AD8">
      <w:pPr>
        <w:pStyle w:val="Bullet1"/>
      </w:pPr>
      <w:r>
        <w:t>Weed invasion</w:t>
      </w:r>
    </w:p>
    <w:p w14:paraId="27B60D60" w14:textId="77777777" w:rsidR="008C1AD8" w:rsidRDefault="008C1AD8" w:rsidP="008C1AD8">
      <w:r>
        <w:t>The species is potentially vulnerable to indirect impacts associated with these threats at the following locations:</w:t>
      </w:r>
    </w:p>
    <w:p w14:paraId="0E2BF5B8" w14:textId="77777777" w:rsidR="008C1AD8" w:rsidRDefault="008C1AD8" w:rsidP="008C1AD8">
      <w:pPr>
        <w:pStyle w:val="Bullet1"/>
      </w:pPr>
      <w:r>
        <w:t>Along Cowies Creek in the WGGA where marginal potential habitat has been identified</w:t>
      </w:r>
    </w:p>
    <w:p w14:paraId="477E3F27" w14:textId="77777777" w:rsidR="008C1AD8" w:rsidRDefault="008C1AD8" w:rsidP="008C1AD8">
      <w:pPr>
        <w:pStyle w:val="Bullet1"/>
      </w:pPr>
      <w:r>
        <w:t>Along Cowies Creek upstream of the WGGA where an important population of the species has previously been recorded</w:t>
      </w:r>
    </w:p>
    <w:p w14:paraId="5149948F" w14:textId="77777777" w:rsidR="008C1AD8" w:rsidRDefault="008C1AD8" w:rsidP="008C1AD8">
      <w:r w:rsidRPr="00A134DD">
        <w:t xml:space="preserve">There are a number of additional threats to the species identified in the Recovery Plan. However, potential indirect impacts associated with these threats are considered unlikely </w:t>
      </w:r>
      <w:r>
        <w:t>as a result of development under the Plan</w:t>
      </w:r>
      <w:r w:rsidRPr="00A134DD">
        <w:t>. Refer</w:t>
      </w:r>
      <w:r>
        <w:t xml:space="preserve"> </w:t>
      </w:r>
      <w:r w:rsidRPr="00FA0123">
        <w:t xml:space="preserve">to </w:t>
      </w:r>
      <w:r w:rsidRPr="009E63A2">
        <w:t>Section 17.2 of Chapter 17</w:t>
      </w:r>
      <w:r>
        <w:t xml:space="preserve"> for a detailed assessment of potential indirect impacts associated with the implementation of the Plan.</w:t>
      </w:r>
      <w:r w:rsidRPr="00CC2A00" w:rsidDel="00727335">
        <w:rPr>
          <w:highlight w:val="yellow"/>
        </w:rPr>
        <w:t xml:space="preserve"> </w:t>
      </w:r>
    </w:p>
    <w:p w14:paraId="0ED5002D" w14:textId="77777777" w:rsidR="008C1AD8" w:rsidRDefault="008C1AD8" w:rsidP="008C1AD8">
      <w:r>
        <w:t xml:space="preserve">Climate change is also identified as a threat to the species. The potential impacts of climate change and relevant mitigation measures under the Plan are outlined </w:t>
      </w:r>
      <w:r w:rsidRPr="00FF77DD">
        <w:t xml:space="preserve">in </w:t>
      </w:r>
      <w:r w:rsidRPr="009E63A2">
        <w:t xml:space="preserve">Section 29.5 </w:t>
      </w:r>
      <w:r w:rsidRPr="00FF77DD">
        <w:t xml:space="preserve">of </w:t>
      </w:r>
      <w:r w:rsidRPr="009E63A2">
        <w:t>Chapter 29.</w:t>
      </w:r>
    </w:p>
    <w:p w14:paraId="1C748A1A" w14:textId="77777777" w:rsidR="008C1AD8" w:rsidRDefault="008C1AD8" w:rsidP="008C1AD8">
      <w:pPr>
        <w:pStyle w:val="Heading4"/>
      </w:pPr>
      <w:r>
        <w:t>Altered hydrology</w:t>
      </w:r>
    </w:p>
    <w:p w14:paraId="3DE2D36C" w14:textId="77777777" w:rsidR="008C1AD8" w:rsidRDefault="008C1AD8" w:rsidP="008C1AD8">
      <w:r>
        <w:t xml:space="preserve">The species has been impacted by changes in water availability in recent years. Altered hydrology impacts Adamson’s Blown-grass by changing the salinity of and reducing the level of water in habitat. Adamson’s Blown-grass favours saline environments and tends to be out-competed by other species in freshwater environments. Further, periods of drought pose a threat to the species, as populations may not be able to migrate to suitable habitat </w:t>
      </w:r>
      <w:sdt>
        <w:sdtPr>
          <w:rPr>
            <w:color w:val="000000"/>
          </w:rPr>
          <w:tag w:val="MENDELEY_CITATION_v3_eyJjaXRhdGlvbklEIjoiTUVOREVMRVlfQ0lUQVRJT05fNWQ0OTgyOWYtMzA2Ni00NWMxLWJkYWYtM2VmMGIxNzllOGEw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022317499"/>
          <w:placeholder>
            <w:docPart w:val="53263D66753F864BA248D609BD120A46"/>
          </w:placeholder>
        </w:sdtPr>
        <w:sdtContent>
          <w:r w:rsidRPr="00273871">
            <w:rPr>
              <w:color w:val="000000"/>
            </w:rPr>
            <w:t>(Murphy, 2010)</w:t>
          </w:r>
        </w:sdtContent>
      </w:sdt>
      <w:r>
        <w:t>.</w:t>
      </w:r>
    </w:p>
    <w:p w14:paraId="41D5B71E" w14:textId="77777777" w:rsidR="008C1AD8" w:rsidRDefault="008C1AD8" w:rsidP="008C1AD8">
      <w:pPr>
        <w:keepNext/>
        <w:keepLines/>
      </w:pPr>
      <w:r>
        <w:lastRenderedPageBreak/>
        <w:t>Indirect impacts to Adamson’s Blown-grass associated with changes to the hydrological conditions may occur as a result of:</w:t>
      </w:r>
    </w:p>
    <w:p w14:paraId="3EDECE6B" w14:textId="77777777" w:rsidR="008C1AD8" w:rsidRDefault="008C1AD8" w:rsidP="008C1AD8">
      <w:pPr>
        <w:pStyle w:val="Bullet1"/>
      </w:pPr>
      <w:r>
        <w:t>An increase in hard surfaces due to urban development in the areas of the WGGA and NGGA that are hydrologically linked to Cowies Creek, leading to an increased volume of water entering downstream waterways that might support the species</w:t>
      </w:r>
    </w:p>
    <w:p w14:paraId="04A1B485" w14:textId="77777777" w:rsidR="008C1AD8" w:rsidRDefault="008C1AD8" w:rsidP="008C1AD8">
      <w:pPr>
        <w:pStyle w:val="Bullet1"/>
      </w:pPr>
      <w:r>
        <w:t xml:space="preserve">Revegetation or </w:t>
      </w:r>
      <w:r w:rsidRPr="00280548">
        <w:t>restoration</w:t>
      </w:r>
      <w:r>
        <w:t xml:space="preserve"> works along Cowies Creek within the WGGA which has the potential to alter salinity levels</w:t>
      </w:r>
    </w:p>
    <w:p w14:paraId="4A96F708" w14:textId="77777777" w:rsidR="008C1AD8" w:rsidRDefault="008C1AD8" w:rsidP="008C1AD8">
      <w:pPr>
        <w:keepNext/>
      </w:pPr>
      <w:r>
        <w:t>The Plan includes two key commitments to address the potential indirect impacts of development on hydrology including:</w:t>
      </w:r>
    </w:p>
    <w:p w14:paraId="1C8FC7E6" w14:textId="77777777" w:rsidR="008C1AD8" w:rsidRDefault="008C1AD8" w:rsidP="008C1AD8">
      <w:pPr>
        <w:pStyle w:val="Bullet1"/>
      </w:pPr>
      <w:r w:rsidRPr="007C38FE">
        <w:t>A commitment (</w:t>
      </w:r>
      <w:r w:rsidRPr="009E63A2">
        <w:t xml:space="preserve">Commitment </w:t>
      </w:r>
      <w:r>
        <w:t>9</w:t>
      </w:r>
      <w:r w:rsidRPr="007C38FE">
        <w:t>) to minimise the indirect impacts of the development on protected matters associated</w:t>
      </w:r>
      <w:r w:rsidRPr="000221CA">
        <w:t xml:space="preserve"> with waterways, riparian areas and wetlands</w:t>
      </w:r>
      <w:r>
        <w:t>,</w:t>
      </w:r>
      <w:r w:rsidRPr="000221CA">
        <w:t xml:space="preserve"> including</w:t>
      </w:r>
      <w:r>
        <w:t xml:space="preserve"> Adamson’s Blown-grass. The measures that will be undertaken to deliver on this Commitment include: </w:t>
      </w:r>
    </w:p>
    <w:p w14:paraId="52F47BCD" w14:textId="77777777" w:rsidR="008C1AD8" w:rsidRDefault="008C1AD8" w:rsidP="008C1AD8">
      <w:pPr>
        <w:pStyle w:val="Bullet2"/>
      </w:pPr>
      <w:r>
        <w:t>Undertaking relevant technical studies to understand the key risks from development on protected matters associated with Hovells Creek, Cowies Creek and the Moorabool River. These studies will:</w:t>
      </w:r>
    </w:p>
    <w:p w14:paraId="083E38A0" w14:textId="77777777" w:rsidR="008C1AD8" w:rsidRDefault="008C1AD8" w:rsidP="008C1AD8">
      <w:pPr>
        <w:pStyle w:val="Bullet3"/>
      </w:pPr>
      <w:r>
        <w:t>Address potential risks associated with changes to water quality and hydrology as a result of development within the Growth Areas</w:t>
      </w:r>
    </w:p>
    <w:p w14:paraId="560EFABC" w14:textId="77777777" w:rsidR="008C1AD8" w:rsidRDefault="008C1AD8" w:rsidP="008C1AD8">
      <w:pPr>
        <w:pStyle w:val="Bullet3"/>
      </w:pPr>
      <w:r>
        <w:t>Identify appropriate measures, standards or targets to avoid and minimise adverse impacts on protected matters including, as relevant: water quality parameters, water retention and flow management requirements, limits on extraction or use, habitat buffer requirements and monitoring and reporting</w:t>
      </w:r>
    </w:p>
    <w:p w14:paraId="17B5E95F" w14:textId="77777777" w:rsidR="008C1AD8" w:rsidRDefault="008C1AD8" w:rsidP="008C1AD8">
      <w:pPr>
        <w:pStyle w:val="Bullet2"/>
      </w:pPr>
      <w:r w:rsidRPr="008E2F0A">
        <w:t>Prepar</w:t>
      </w:r>
      <w:r>
        <w:t>ing</w:t>
      </w:r>
      <w:r w:rsidRPr="008E2F0A">
        <w:t xml:space="preserve"> guidelines based on the results of the relevant technical studies to guide the preparation of PSPs and decisions on planning permits and permit conditions to ensure risks to protected matters in relation to indirect and downstream impacts are adequately managed </w:t>
      </w:r>
    </w:p>
    <w:p w14:paraId="38C6AAA4" w14:textId="77777777" w:rsidR="008C1AD8" w:rsidRDefault="008C1AD8" w:rsidP="008C1AD8">
      <w:pPr>
        <w:pStyle w:val="Bullet2"/>
      </w:pPr>
      <w:r>
        <w:t>Undertaking a planning scheme amendment or other appropriate process to ensure guidelines are considered during preparation of PSPs and in decisions on planning permits and permit conditions</w:t>
      </w:r>
    </w:p>
    <w:p w14:paraId="388D3A35" w14:textId="77777777" w:rsidR="008C1AD8" w:rsidRDefault="008C1AD8" w:rsidP="008C1AD8">
      <w:pPr>
        <w:pStyle w:val="Bullet1"/>
      </w:pPr>
      <w:r>
        <w:t xml:space="preserve">A </w:t>
      </w:r>
      <w:r w:rsidRPr="007C38FE">
        <w:t>commitment (</w:t>
      </w:r>
      <w:r w:rsidRPr="009E63A2">
        <w:t xml:space="preserve">Commitment </w:t>
      </w:r>
      <w:r>
        <w:t>6</w:t>
      </w:r>
      <w:r w:rsidRPr="007C38FE">
        <w:t>)</w:t>
      </w:r>
      <w:r>
        <w:t xml:space="preserve"> to prepare and implement a Conservation Management Plan for the protection and ongoing management of the Growling Grass Frog population and areas of potential habitat for Adamson’s Blown-grass within the Cowies Creek Conservation Area. One of the measures that will be undertaken to deliver on this Commitment includes a requirement to present the following information in the Conservation Management Plan specifically relating to Adamson’s Blown-grass:</w:t>
      </w:r>
    </w:p>
    <w:p w14:paraId="1CFEDAEC" w14:textId="77777777" w:rsidR="008C1AD8" w:rsidRDefault="008C1AD8" w:rsidP="008C1AD8">
      <w:pPr>
        <w:pStyle w:val="Bullet2"/>
      </w:pPr>
      <w:r>
        <w:t>The location of potential habitat for Adamson’s Blown-grass</w:t>
      </w:r>
    </w:p>
    <w:p w14:paraId="78215723" w14:textId="77777777" w:rsidR="008C1AD8" w:rsidRDefault="008C1AD8" w:rsidP="008C1AD8">
      <w:pPr>
        <w:pStyle w:val="Bullet2"/>
      </w:pPr>
      <w:r>
        <w:t>Management actions and arrangements to maintain suitability of the area for Adamson’s Blown-grass, including the use of appropriate indigenous species for revegetation</w:t>
      </w:r>
    </w:p>
    <w:p w14:paraId="3218DDE4" w14:textId="77777777" w:rsidR="008C1AD8" w:rsidRDefault="008C1AD8" w:rsidP="008C1AD8">
      <w:r>
        <w:t>There are also a range of existing measures within the planning system that address changes to water flows. The Geelong Planning Scheme includes requirements to:</w:t>
      </w:r>
    </w:p>
    <w:p w14:paraId="7F05372F" w14:textId="77777777" w:rsidR="008C1AD8" w:rsidRDefault="008C1AD8" w:rsidP="008C1AD8">
      <w:pPr>
        <w:pStyle w:val="Bullet1"/>
      </w:pPr>
      <w:r>
        <w:t>R</w:t>
      </w:r>
      <w:r w:rsidRPr="00372B49">
        <w:t>etain natural drai</w:t>
      </w:r>
      <w:r>
        <w:t>nage corridors, minimise runoff volume from developed areas, filter sediment and waste from stormwater prior to discharge, ensure land use and development minimises nutrient contributions to runoff, and implement measures to minimise sediment discharge from construction sites</w:t>
      </w:r>
      <w:r w:rsidRPr="00372B49">
        <w:t xml:space="preserve"> (Clause 14.02-1S)</w:t>
      </w:r>
    </w:p>
    <w:p w14:paraId="06231198" w14:textId="77777777" w:rsidR="008C1AD8" w:rsidRDefault="008C1AD8" w:rsidP="008C1AD8">
      <w:pPr>
        <w:pStyle w:val="Bullet1"/>
      </w:pPr>
      <w:r>
        <w:t>Implement integrated water management to sustainably manage water supply and demand, water resources, wastewater, drainage, and stormwater</w:t>
      </w:r>
      <w:r w:rsidRPr="00372B49">
        <w:t xml:space="preserve"> (Clause 19.03-3S) </w:t>
      </w:r>
    </w:p>
    <w:p w14:paraId="0A66AFF1" w14:textId="77777777" w:rsidR="008C1AD8" w:rsidRDefault="008C1AD8" w:rsidP="008C1AD8">
      <w:r>
        <w:t xml:space="preserve">The Geelong Planning Scheme also includes a range of requirements to ensure stormwater management meets appropriate </w:t>
      </w:r>
      <w:r w:rsidRPr="00372B49">
        <w:t xml:space="preserve">objectives and standards, including objectives for stormwater quality </w:t>
      </w:r>
      <w:r>
        <w:t>(for example, see Clause 53.18).</w:t>
      </w:r>
    </w:p>
    <w:p w14:paraId="20785B1D" w14:textId="77777777" w:rsidR="008C1AD8" w:rsidRDefault="008C1AD8" w:rsidP="008C1AD8">
      <w:r w:rsidRPr="00372B49">
        <w:t>The NWGGA Framework Plan also includes various mitigation-related actions to address water flows and quality, including</w:t>
      </w:r>
      <w:r>
        <w:t xml:space="preserve"> implementation of</w:t>
      </w:r>
      <w:r w:rsidRPr="00372B49">
        <w:t xml:space="preserve"> riparian buffers</w:t>
      </w:r>
      <w:r>
        <w:t>,</w:t>
      </w:r>
      <w:r w:rsidRPr="00372B49">
        <w:t xml:space="preserve"> and the preparation of masterplans for Cowies Creek and </w:t>
      </w:r>
      <w:r>
        <w:t xml:space="preserve">the </w:t>
      </w:r>
      <w:r w:rsidRPr="00372B49">
        <w:t xml:space="preserve">Barwon and Moorabool rivers for integrated water management. </w:t>
      </w:r>
    </w:p>
    <w:p w14:paraId="444C219B" w14:textId="77777777" w:rsidR="008C1AD8" w:rsidRDefault="008C1AD8" w:rsidP="008C1AD8">
      <w:r w:rsidRPr="009E63A2">
        <w:t>Commitment 7</w:t>
      </w:r>
      <w:r w:rsidRPr="007C38FE">
        <w:t xml:space="preserve"> of the</w:t>
      </w:r>
      <w:r>
        <w:t xml:space="preserve"> Plan ensures that these standard mitigation measures will continue to be implemented over the life of the Plan. Refer to </w:t>
      </w:r>
      <w:r w:rsidRPr="009E63A2">
        <w:t>Section 5.5 of Chapter 5</w:t>
      </w:r>
      <w:r>
        <w:t xml:space="preserve"> for a more detailed description of these existing measures.</w:t>
      </w:r>
    </w:p>
    <w:p w14:paraId="37B20862" w14:textId="77777777" w:rsidR="008C1AD8" w:rsidRDefault="008C1AD8" w:rsidP="008C1AD8">
      <w:r>
        <w:t xml:space="preserve">Implementation of </w:t>
      </w:r>
      <w:r w:rsidRPr="009E63A2">
        <w:t xml:space="preserve">Commitments, </w:t>
      </w:r>
      <w:r>
        <w:t>6</w:t>
      </w:r>
      <w:r w:rsidRPr="009E63A2">
        <w:t xml:space="preserve">, 7 and </w:t>
      </w:r>
      <w:r>
        <w:t>9</w:t>
      </w:r>
      <w:r w:rsidRPr="007C38FE">
        <w:t xml:space="preserve"> under</w:t>
      </w:r>
      <w:r>
        <w:t xml:space="preserve"> the Plan will adequately minimise the risk of adverse impacts associated with changes to hydrology on Adamson’s Blown-grass.</w:t>
      </w:r>
    </w:p>
    <w:p w14:paraId="43F85F9C" w14:textId="77777777" w:rsidR="008C1AD8" w:rsidRDefault="008C1AD8" w:rsidP="008C1AD8">
      <w:pPr>
        <w:pStyle w:val="Heading4"/>
        <w:rPr>
          <w:rStyle w:val="Heading4Char"/>
          <w:b/>
          <w:i/>
          <w:iCs/>
          <w:smallCaps/>
        </w:rPr>
      </w:pPr>
      <w:r w:rsidRPr="00727335">
        <w:lastRenderedPageBreak/>
        <w:t>Spre</w:t>
      </w:r>
      <w:r w:rsidRPr="00727335">
        <w:rPr>
          <w:rStyle w:val="Heading4Char"/>
          <w:b/>
          <w:i/>
          <w:iCs/>
          <w:smallCaps/>
        </w:rPr>
        <w:t>ad of weeds</w:t>
      </w:r>
    </w:p>
    <w:p w14:paraId="2A78AC81" w14:textId="77777777" w:rsidR="008C1AD8" w:rsidRPr="00636D99" w:rsidRDefault="008C1AD8" w:rsidP="008C1AD8">
      <w:r>
        <w:t xml:space="preserve">In areas across its distribution, Adamson’s Blown-grass has been found to co-occur with a number of exotic species </w:t>
      </w:r>
      <w:sdt>
        <w:sdtPr>
          <w:rPr>
            <w:color w:val="000000"/>
          </w:rPr>
          <w:tag w:val="MENDELEY_CITATION_v3_eyJjaXRhdGlvbklEIjoiTUVOREVMRVlfQ0lUQVRJT05fNDc0YWExZjgtODFmMy00YmVhLTk5MWYtNGEwYTkyNWRkOTdi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861537400"/>
          <w:placeholder>
            <w:docPart w:val="53263D66753F864BA248D609BD120A46"/>
          </w:placeholder>
        </w:sdtPr>
        <w:sdtContent>
          <w:r w:rsidRPr="00273871">
            <w:rPr>
              <w:color w:val="000000"/>
            </w:rPr>
            <w:t>(Murphy, 2010)</w:t>
          </w:r>
        </w:sdtContent>
      </w:sdt>
      <w:r>
        <w:t xml:space="preserve">. Salt-tolerant species pose more of a threat than less salt tolerant species as they may out-compete Adamson’s Blown-grass in conditions with increasing salinity. Tall-wheat grass is of particular concern, as it is highly competitive, and invasion of this species is likely to result in the extinction of Adamson’s Blown-grass at some sites </w:t>
      </w:r>
      <w:sdt>
        <w:sdtPr>
          <w:rPr>
            <w:color w:val="000000"/>
          </w:rPr>
          <w:tag w:val="MENDELEY_CITATION_v3_eyJjaXRhdGlvbklEIjoiTUVOREVMRVlfQ0lUQVRJT05fM2NlZmQ0Y2UtYmYxYy00ODJmLThmMjEtZWM2NmIyY2FmNDhi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734193367"/>
          <w:placeholder>
            <w:docPart w:val="53263D66753F864BA248D609BD120A46"/>
          </w:placeholder>
        </w:sdtPr>
        <w:sdtContent>
          <w:r w:rsidRPr="00273871">
            <w:rPr>
              <w:color w:val="000000"/>
            </w:rPr>
            <w:t>(Murphy, 2010)</w:t>
          </w:r>
        </w:sdtContent>
      </w:sdt>
      <w:r>
        <w:t>.</w:t>
      </w:r>
    </w:p>
    <w:p w14:paraId="727E999E" w14:textId="77777777" w:rsidR="008C1AD8" w:rsidRDefault="008C1AD8" w:rsidP="008C1AD8">
      <w:sdt>
        <w:sdtPr>
          <w:rPr>
            <w:color w:val="000000"/>
          </w:rPr>
          <w:tag w:val="MENDELEY_CITATION_v3_eyJjaXRhdGlvbklEIjoiTUVOREVMRVlfQ0lUQVRJT05fZWZmNDUyNTctNWY3Mi00YjIyLTk5NjEtYjM2OGZiOGU2NmIw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081027272"/>
          <w:placeholder>
            <w:docPart w:val="53263D66753F864BA248D609BD120A46"/>
          </w:placeholder>
        </w:sdtPr>
        <w:sdtContent>
          <w:r w:rsidRPr="00273871">
            <w:rPr>
              <w:color w:val="000000"/>
            </w:rPr>
            <w:t>(EHP, 2021)</w:t>
          </w:r>
        </w:sdtContent>
      </w:sdt>
      <w:r>
        <w:t xml:space="preserve"> noted the existing degradation of potential habitat areas during their surveys, including the presence of high levels of exotic species. Development activities under the Plan are unlikely to influence the spread of weeds in a way that would noticeably impacts Adamson’s Blown-grass along Cowies Creek for the following reasons:</w:t>
      </w:r>
    </w:p>
    <w:p w14:paraId="7DD82A8C" w14:textId="77777777" w:rsidR="008C1AD8" w:rsidRDefault="008C1AD8" w:rsidP="008C1AD8">
      <w:pPr>
        <w:pStyle w:val="Bullet1"/>
      </w:pPr>
      <w:r>
        <w:t>Potential Adamson’s Blown-grass habitat within Cowies Creek will be subject to management to improve the condition of the corridor</w:t>
      </w:r>
      <w:r w:rsidRPr="005D5450">
        <w:t xml:space="preserve">. </w:t>
      </w:r>
      <w:r>
        <w:t>This will include the removal of weeds</w:t>
      </w:r>
    </w:p>
    <w:p w14:paraId="68E52921" w14:textId="77777777" w:rsidR="008C1AD8" w:rsidRDefault="008C1AD8" w:rsidP="008C1AD8">
      <w:pPr>
        <w:pStyle w:val="Bullet1"/>
      </w:pPr>
      <w:r w:rsidRPr="005D5450">
        <w:t xml:space="preserve">A conservation interface will be established between urban development and Cowies Creek to mitigate potential edge effects, including weeds. This will be delivered </w:t>
      </w:r>
      <w:r w:rsidRPr="007C38FE">
        <w:t xml:space="preserve">through </w:t>
      </w:r>
      <w:r w:rsidRPr="009E63A2">
        <w:t xml:space="preserve">Commitment </w:t>
      </w:r>
      <w:r>
        <w:t>8</w:t>
      </w:r>
      <w:r w:rsidRPr="007C38FE">
        <w:t>,</w:t>
      </w:r>
      <w:r w:rsidRPr="005D5450">
        <w:t xml:space="preserve"> which requires a list of actions to be implemented as part of development to mitigate the indirect impacts of development </w:t>
      </w:r>
      <w:r>
        <w:t>i</w:t>
      </w:r>
      <w:r w:rsidRPr="005D5450">
        <w:t>n the Cowies Creek Co</w:t>
      </w:r>
      <w:r>
        <w:t xml:space="preserve">nservation Area </w:t>
      </w:r>
    </w:p>
    <w:p w14:paraId="3A67C2F6" w14:textId="77777777" w:rsidR="008C1AD8" w:rsidRDefault="008C1AD8" w:rsidP="008C1AD8">
      <w:pPr>
        <w:pStyle w:val="Bullet1"/>
      </w:pPr>
      <w:r>
        <w:t>Standard weed management protocols will be a relevant requirement of development through the existing planning system</w:t>
      </w:r>
    </w:p>
    <w:p w14:paraId="39AF2764" w14:textId="77777777" w:rsidR="008C1AD8" w:rsidRDefault="008C1AD8" w:rsidP="008C1AD8">
      <w:r>
        <w:t xml:space="preserve">Refer </w:t>
      </w:r>
      <w:r w:rsidRPr="00291639">
        <w:t xml:space="preserve">to </w:t>
      </w:r>
      <w:r w:rsidRPr="009E63A2">
        <w:t>Section 17.2.3 of Chapter 17</w:t>
      </w:r>
      <w:r w:rsidRPr="00FA0123">
        <w:t xml:space="preserve"> for</w:t>
      </w:r>
      <w:r>
        <w:t xml:space="preserve"> a detailed assessment of potential indirect impacts associated with the spread of weeds under the Plan.</w:t>
      </w:r>
    </w:p>
    <w:p w14:paraId="0F8700DF"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2FAC8F13" w14:textId="77777777" w:rsidTr="00A15226">
        <w:tc>
          <w:tcPr>
            <w:tcW w:w="9622" w:type="dxa"/>
            <w:shd w:val="clear" w:color="auto" w:fill="C9C9C9" w:themeFill="accent3" w:themeFillTint="99"/>
          </w:tcPr>
          <w:p w14:paraId="493920CF" w14:textId="77777777" w:rsidR="008C1AD8" w:rsidRPr="008F55BC" w:rsidRDefault="008C1AD8" w:rsidP="00A15226">
            <w:pPr>
              <w:pStyle w:val="Tabletext"/>
              <w:rPr>
                <w:b/>
                <w:bCs/>
              </w:rPr>
            </w:pPr>
            <w:r w:rsidRPr="00AE4F91">
              <w:rPr>
                <w:rFonts w:ascii="Helvetica" w:hAnsi="Helvetica"/>
                <w:b/>
                <w:sz w:val="16"/>
                <w:szCs w:val="16"/>
              </w:rPr>
              <w:t xml:space="preserve">OFFSETS </w:t>
            </w:r>
            <w:r>
              <w:rPr>
                <w:rFonts w:ascii="Helvetica" w:hAnsi="Helvetica"/>
                <w:b/>
                <w:sz w:val="16"/>
                <w:szCs w:val="16"/>
              </w:rPr>
              <w:t xml:space="preserve">TO COMPENSATE </w:t>
            </w:r>
            <w:r w:rsidRPr="00AE4F91">
              <w:rPr>
                <w:rFonts w:ascii="Helvetica" w:hAnsi="Helvetica"/>
                <w:b/>
                <w:sz w:val="16"/>
                <w:szCs w:val="16"/>
              </w:rPr>
              <w:t xml:space="preserve">FOR RESIDUAL </w:t>
            </w:r>
            <w:r>
              <w:rPr>
                <w:rFonts w:ascii="Helvetica" w:hAnsi="Helvetica"/>
                <w:b/>
                <w:sz w:val="16"/>
                <w:szCs w:val="16"/>
              </w:rPr>
              <w:t xml:space="preserve">ADVERSE </w:t>
            </w:r>
            <w:r w:rsidRPr="00AE4F91">
              <w:rPr>
                <w:rFonts w:ascii="Helvetica" w:hAnsi="Helvetica"/>
                <w:b/>
                <w:sz w:val="16"/>
                <w:szCs w:val="16"/>
              </w:rPr>
              <w:t>IMPACTS</w:t>
            </w:r>
          </w:p>
        </w:tc>
      </w:tr>
    </w:tbl>
    <w:p w14:paraId="09F998A2" w14:textId="77777777" w:rsidR="008C1AD8" w:rsidRPr="000816D6" w:rsidRDefault="008C1AD8" w:rsidP="008C1AD8">
      <w:pPr>
        <w:rPr>
          <w:i/>
          <w:color w:val="4472C4" w:themeColor="accent1"/>
        </w:rPr>
      </w:pPr>
      <w:r>
        <w:rPr>
          <w:i/>
          <w:color w:val="4472C4" w:themeColor="accent1"/>
        </w:rPr>
        <w:t>T</w:t>
      </w:r>
      <w:r w:rsidRPr="00972D8D">
        <w:rPr>
          <w:i/>
          <w:color w:val="4472C4" w:themeColor="accent1"/>
        </w:rPr>
        <w:t>his section identifies any offsets needed to address residual adverse impacts to listed threatened species</w:t>
      </w:r>
    </w:p>
    <w:p w14:paraId="47613254" w14:textId="77777777" w:rsidR="008C1AD8" w:rsidRDefault="008C1AD8" w:rsidP="008C1AD8">
      <w:r>
        <w:t>Implementation of the Plan will not lead to direct impacts or fragmentation of the species. As a result, the Plan does not provide specific offsets for the species.</w:t>
      </w:r>
    </w:p>
    <w:p w14:paraId="76D4922F" w14:textId="77777777" w:rsidR="008C1AD8" w:rsidRPr="0099014F"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15A0D752" w14:textId="77777777" w:rsidTr="00A15226">
        <w:tc>
          <w:tcPr>
            <w:tcW w:w="9622" w:type="dxa"/>
            <w:shd w:val="clear" w:color="auto" w:fill="C9C9C9" w:themeFill="accent3" w:themeFillTint="99"/>
          </w:tcPr>
          <w:p w14:paraId="53F914D3" w14:textId="77777777" w:rsidR="008C1AD8" w:rsidRPr="008F55BC" w:rsidRDefault="008C1AD8" w:rsidP="00A15226">
            <w:pPr>
              <w:pStyle w:val="Tabletext"/>
              <w:rPr>
                <w:b/>
                <w:bCs/>
              </w:rPr>
            </w:pPr>
            <w:r w:rsidRPr="008E2D83">
              <w:rPr>
                <w:rFonts w:ascii="Helvetica" w:hAnsi="Helvetica"/>
                <w:b/>
                <w:sz w:val="16"/>
                <w:szCs w:val="16"/>
              </w:rPr>
              <w:t>LIKELY EFFECTS OF IMPLEMENTATION OF THE PLAN ON THE LONG-TERM VIABILITY OF THE SPECIES</w:t>
            </w:r>
          </w:p>
        </w:tc>
      </w:tr>
    </w:tbl>
    <w:p w14:paraId="56711125" w14:textId="77777777" w:rsidR="008C1AD8" w:rsidRPr="000816D6" w:rsidRDefault="008C1AD8" w:rsidP="008C1AD8">
      <w:pPr>
        <w:rPr>
          <w:i/>
          <w:color w:val="4472C4" w:themeColor="accent1"/>
        </w:rPr>
      </w:pPr>
      <w:r w:rsidRPr="000816D6">
        <w:rPr>
          <w:i/>
          <w:color w:val="4472C4" w:themeColor="accent1"/>
        </w:rPr>
        <w:t>This section considers the likely effects of implementation of the Plan on the long-term viability of the species. The assessment of viability has regard for the guidance in the Conservation Advice</w:t>
      </w:r>
      <w:r>
        <w:rPr>
          <w:i/>
          <w:color w:val="4472C4" w:themeColor="accent1"/>
        </w:rPr>
        <w:t xml:space="preserve"> (if applicable)</w:t>
      </w:r>
      <w:r w:rsidRPr="000816D6">
        <w:rPr>
          <w:i/>
          <w:color w:val="4472C4" w:themeColor="accent1"/>
        </w:rPr>
        <w:t xml:space="preserve"> and</w:t>
      </w:r>
      <w:r>
        <w:rPr>
          <w:i/>
          <w:color w:val="4472C4" w:themeColor="accent1"/>
        </w:rPr>
        <w:t xml:space="preserve"> </w:t>
      </w:r>
      <w:r w:rsidRPr="000816D6">
        <w:rPr>
          <w:i/>
          <w:color w:val="4472C4" w:themeColor="accent1"/>
        </w:rPr>
        <w:t>the Recovery Plan</w:t>
      </w:r>
      <w:r>
        <w:rPr>
          <w:i/>
          <w:color w:val="4472C4" w:themeColor="accent1"/>
        </w:rPr>
        <w:t xml:space="preserve"> (if applicable)</w:t>
      </w:r>
      <w:r w:rsidRPr="000816D6">
        <w:rPr>
          <w:i/>
          <w:color w:val="4472C4" w:themeColor="accent1"/>
        </w:rPr>
        <w:t xml:space="preserve">, and draws on the analysis of avoidance, </w:t>
      </w:r>
      <w:r>
        <w:rPr>
          <w:i/>
          <w:color w:val="4472C4" w:themeColor="accent1"/>
        </w:rPr>
        <w:t>impacts and offsets presented above</w:t>
      </w:r>
      <w:r w:rsidRPr="000816D6">
        <w:rPr>
          <w:i/>
          <w:color w:val="4472C4" w:themeColor="accent1"/>
        </w:rPr>
        <w:t xml:space="preserve">. </w:t>
      </w:r>
    </w:p>
    <w:p w14:paraId="4AABA6A9" w14:textId="77777777" w:rsidR="008C1AD8" w:rsidRPr="00C6364C" w:rsidRDefault="008C1AD8" w:rsidP="008C1AD8">
      <w:pPr>
        <w:rPr>
          <w:i/>
          <w:color w:val="4472C4" w:themeColor="accent1"/>
        </w:rPr>
      </w:pPr>
      <w:r w:rsidRPr="000816D6">
        <w:rPr>
          <w:i/>
          <w:color w:val="4472C4" w:themeColor="accent1"/>
        </w:rPr>
        <w:t xml:space="preserve">Where applicable, this section also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w:t>
      </w:r>
      <w:r w:rsidRPr="00291639">
        <w:rPr>
          <w:i/>
          <w:color w:val="4472C4" w:themeColor="accent1"/>
        </w:rPr>
        <w:t xml:space="preserve">in </w:t>
      </w:r>
      <w:r w:rsidRPr="009E63A2">
        <w:rPr>
          <w:i/>
          <w:color w:val="4472C4" w:themeColor="accent1"/>
        </w:rPr>
        <w:t>Section 17.3 of Chapter 17.</w:t>
      </w:r>
    </w:p>
    <w:p w14:paraId="362582A7" w14:textId="77777777" w:rsidR="008C1AD8" w:rsidRDefault="008C1AD8" w:rsidP="008C1AD8">
      <w:pPr>
        <w:pStyle w:val="Heading3"/>
      </w:pPr>
      <w:r w:rsidRPr="000816D6">
        <w:t>I</w:t>
      </w:r>
      <w:r>
        <w:t>mplications for the species long-term viability and summary of outcomes</w:t>
      </w:r>
    </w:p>
    <w:p w14:paraId="581211AA" w14:textId="77777777" w:rsidR="008C1AD8" w:rsidRDefault="008C1AD8" w:rsidP="008C1AD8">
      <w:r>
        <w:t>Adamson’s Blown-grass has not been recorded in recent years within the Growth Areas, despite targeted surveys. Marginal potential habitat exists within Cowies Creek in the WGGA, and an important population of the species has previously been recorded nearby the WGGA, upstream along Cowies Creek. This area is towards the edge of the species range, which increases its conservation significance.</w:t>
      </w:r>
    </w:p>
    <w:p w14:paraId="483C8E29" w14:textId="77777777" w:rsidR="008C1AD8" w:rsidRDefault="008C1AD8" w:rsidP="008C1AD8">
      <w:r>
        <w:t xml:space="preserve">Development under the Plan will not impact the species directly. The assessment presented here analysed the potential for the species to be impacted indirectly as a result of potential changes in hydrology and the spread of weeds. It was concluded that the range of commitments and measures under the Plan are expected to adequately protect the species from these </w:t>
      </w:r>
      <w:r w:rsidRPr="003D40B9">
        <w:t>potential impacts if it is present.</w:t>
      </w:r>
      <w:r>
        <w:t xml:space="preserve"> </w:t>
      </w:r>
    </w:p>
    <w:p w14:paraId="562687D8" w14:textId="77777777" w:rsidR="008C1AD8" w:rsidRDefault="008C1AD8" w:rsidP="008C1AD8">
      <w:r>
        <w:t xml:space="preserve">In this way, development under the Plan is unlikely to adversely influence the long-term viability of Adamson’s Blown-grass. The Plan aims to positively contribute to the species in the region by protecting and managing potential habitat within the Cowies Creek Conservation Area where the species has previously been recorded, in order to maintain the suitability of habitat for the long term. </w:t>
      </w:r>
    </w:p>
    <w:p w14:paraId="1F365837" w14:textId="77777777" w:rsidR="008C1AD8" w:rsidRPr="000816D6" w:rsidRDefault="008C1AD8" w:rsidP="008C1AD8">
      <w:pPr>
        <w:pStyle w:val="Heading3"/>
      </w:pPr>
      <w:r w:rsidRPr="000816D6">
        <w:lastRenderedPageBreak/>
        <w:t>C</w:t>
      </w:r>
      <w:r>
        <w:t>onsistency with recovery plan</w:t>
      </w:r>
    </w:p>
    <w:p w14:paraId="02E2FB4B" w14:textId="77777777" w:rsidR="008C1AD8" w:rsidRPr="00DB68B8" w:rsidRDefault="008C1AD8" w:rsidP="008C1AD8">
      <w:r w:rsidRPr="00DB68B8">
        <w:t>In accordance with Section 146K of the EPBC Act, this section considers whether the implementation of the Plan is not inconsistent with the species’ Recovery Plan. It considers two questions:</w:t>
      </w:r>
    </w:p>
    <w:p w14:paraId="58CF2065" w14:textId="77777777" w:rsidR="008C1AD8" w:rsidRPr="00DB68B8" w:rsidRDefault="008C1AD8" w:rsidP="008C1AD8">
      <w:pPr>
        <w:pStyle w:val="Bullet1"/>
      </w:pPr>
      <w:r w:rsidRPr="00DB68B8">
        <w:t xml:space="preserve">Does the Plan </w:t>
      </w:r>
      <w:r>
        <w:t>p</w:t>
      </w:r>
      <w:r w:rsidRPr="00DB68B8">
        <w:t>revent achievement of the objectives of the Recovery Plan?</w:t>
      </w:r>
    </w:p>
    <w:p w14:paraId="1D1AACB8" w14:textId="77777777" w:rsidR="008C1AD8" w:rsidRPr="00DB68B8" w:rsidRDefault="008C1AD8" w:rsidP="008C1AD8">
      <w:pPr>
        <w:pStyle w:val="Bullet1"/>
      </w:pPr>
      <w:r w:rsidRPr="00DB68B8">
        <w:t>Does the Plan prevent implementation of the Recovery Plan actions?</w:t>
      </w:r>
    </w:p>
    <w:p w14:paraId="2360DA26" w14:textId="77777777" w:rsidR="008C1AD8" w:rsidRDefault="008C1AD8" w:rsidP="008C1AD8">
      <w:r w:rsidRPr="00DB68B8">
        <w:t>These questions are discussed below.</w:t>
      </w:r>
    </w:p>
    <w:p w14:paraId="559DAC56" w14:textId="77777777" w:rsidR="008C1AD8" w:rsidRPr="002B70F0" w:rsidRDefault="008C1AD8" w:rsidP="008C1AD8">
      <w:pPr>
        <w:pStyle w:val="Heading4"/>
      </w:pPr>
      <w:r w:rsidRPr="002B70F0">
        <w:t xml:space="preserve">Does the Plan </w:t>
      </w:r>
      <w:r>
        <w:t>p</w:t>
      </w:r>
      <w:r w:rsidRPr="002B70F0">
        <w:t>revent achievement of the objectives of the Recovery Plan?</w:t>
      </w:r>
    </w:p>
    <w:p w14:paraId="1CE9327D" w14:textId="77777777" w:rsidR="008C1AD8" w:rsidRDefault="008C1AD8" w:rsidP="008C1AD8">
      <w:r w:rsidRPr="00DB68B8">
        <w:t>The overall objective of the Recovery Plan is to</w:t>
      </w:r>
      <w:r>
        <w:t xml:space="preserve"> minimise the probability of extinction of </w:t>
      </w:r>
      <w:r w:rsidRPr="0092105C">
        <w:rPr>
          <w:i/>
          <w:iCs/>
        </w:rPr>
        <w:t>Lachnagrostis adamsonii</w:t>
      </w:r>
      <w:r>
        <w:t xml:space="preserve"> in the wild and to increase the probability of populations becoming self-sustaining in the long term. This overall objective is associated with a series of specific objectives </w:t>
      </w:r>
      <w:sdt>
        <w:sdtPr>
          <w:rPr>
            <w:color w:val="000000"/>
          </w:rPr>
          <w:tag w:val="MENDELEY_CITATION_v3_eyJjaXRhdGlvbklEIjoiTUVOREVMRVlfQ0lUQVRJT05fM2Q0ZjdiMzUtMjUzOS00ZDIyLThiOGMtMWQ1MDcxYmM1ZDU4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384645889"/>
          <w:placeholder>
            <w:docPart w:val="53263D66753F864BA248D609BD120A46"/>
          </w:placeholder>
        </w:sdtPr>
        <w:sdtContent>
          <w:r w:rsidRPr="00273871">
            <w:rPr>
              <w:color w:val="000000"/>
            </w:rPr>
            <w:t>(Murphy, 2010)</w:t>
          </w:r>
        </w:sdtContent>
      </w:sdt>
      <w:r>
        <w:t>:</w:t>
      </w:r>
    </w:p>
    <w:p w14:paraId="3942B7AF" w14:textId="77777777" w:rsidR="008C1AD8" w:rsidRDefault="008C1AD8" w:rsidP="008C1AD8">
      <w:pPr>
        <w:pStyle w:val="Bullet1"/>
        <w:numPr>
          <w:ilvl w:val="0"/>
          <w:numId w:val="41"/>
        </w:numPr>
      </w:pPr>
      <w:r>
        <w:t>Determine taxonomy, distribution, abundance and population structure</w:t>
      </w:r>
    </w:p>
    <w:p w14:paraId="4F8D78FC" w14:textId="77777777" w:rsidR="008C1AD8" w:rsidRDefault="008C1AD8" w:rsidP="008C1AD8">
      <w:pPr>
        <w:pStyle w:val="Bullet1"/>
        <w:numPr>
          <w:ilvl w:val="0"/>
          <w:numId w:val="41"/>
        </w:numPr>
      </w:pPr>
      <w:r>
        <w:t>Determine habitat requirements</w:t>
      </w:r>
    </w:p>
    <w:p w14:paraId="01672F2C" w14:textId="77777777" w:rsidR="008C1AD8" w:rsidRDefault="008C1AD8" w:rsidP="008C1AD8">
      <w:pPr>
        <w:pStyle w:val="Bullet1"/>
        <w:numPr>
          <w:ilvl w:val="0"/>
          <w:numId w:val="41"/>
        </w:numPr>
      </w:pPr>
      <w:r>
        <w:t>Ensure that all populations and their habitat are protected and managed</w:t>
      </w:r>
    </w:p>
    <w:p w14:paraId="6E89535E" w14:textId="77777777" w:rsidR="008C1AD8" w:rsidRDefault="008C1AD8" w:rsidP="008C1AD8">
      <w:pPr>
        <w:pStyle w:val="Bullet1"/>
        <w:numPr>
          <w:ilvl w:val="0"/>
          <w:numId w:val="41"/>
        </w:numPr>
      </w:pPr>
      <w:r>
        <w:t>Identify and manage threats to populations</w:t>
      </w:r>
    </w:p>
    <w:p w14:paraId="255039AF" w14:textId="77777777" w:rsidR="008C1AD8" w:rsidRDefault="008C1AD8" w:rsidP="008C1AD8">
      <w:pPr>
        <w:pStyle w:val="Bullet1"/>
        <w:numPr>
          <w:ilvl w:val="0"/>
          <w:numId w:val="41"/>
        </w:numPr>
      </w:pPr>
      <w:r>
        <w:t>Identify key biological functions</w:t>
      </w:r>
    </w:p>
    <w:p w14:paraId="11C1A93F" w14:textId="77777777" w:rsidR="008C1AD8" w:rsidRDefault="008C1AD8" w:rsidP="008C1AD8">
      <w:pPr>
        <w:pStyle w:val="Bullet1"/>
        <w:numPr>
          <w:ilvl w:val="0"/>
          <w:numId w:val="41"/>
        </w:numPr>
      </w:pPr>
      <w:r>
        <w:t>Determine growth rates and viability of populations</w:t>
      </w:r>
    </w:p>
    <w:p w14:paraId="4D8691FB" w14:textId="77777777" w:rsidR="008C1AD8" w:rsidRDefault="008C1AD8" w:rsidP="008C1AD8">
      <w:pPr>
        <w:pStyle w:val="Bullet1"/>
        <w:numPr>
          <w:ilvl w:val="0"/>
          <w:numId w:val="41"/>
        </w:numPr>
      </w:pPr>
      <w:r>
        <w:t>Establish a seed bank</w:t>
      </w:r>
    </w:p>
    <w:p w14:paraId="3E9B1796" w14:textId="77777777" w:rsidR="008C1AD8" w:rsidRDefault="008C1AD8" w:rsidP="008C1AD8">
      <w:pPr>
        <w:pStyle w:val="Bullet1"/>
        <w:numPr>
          <w:ilvl w:val="0"/>
          <w:numId w:val="41"/>
        </w:numPr>
      </w:pPr>
      <w:r>
        <w:t>Build community and government support for conservation</w:t>
      </w:r>
    </w:p>
    <w:p w14:paraId="5EE4A151" w14:textId="77777777" w:rsidR="008C1AD8" w:rsidRDefault="008C1AD8" w:rsidP="008C1AD8">
      <w:r>
        <w:t>The outcome under the Plan for Adamson’s Blown-grass will not prevent of any of the objectives of the Recovery Plan being achieved.</w:t>
      </w:r>
    </w:p>
    <w:p w14:paraId="040D99BD" w14:textId="77777777" w:rsidR="008C1AD8" w:rsidRPr="004351EF" w:rsidRDefault="008C1AD8" w:rsidP="008C1AD8">
      <w:pPr>
        <w:pStyle w:val="Heading4"/>
      </w:pPr>
      <w:r w:rsidRPr="004351EF">
        <w:t>Does the Plan prevent implementation of the Recovery Plan actions?</w:t>
      </w:r>
    </w:p>
    <w:p w14:paraId="18CF9E10" w14:textId="77777777" w:rsidR="008C1AD8" w:rsidRPr="002B70F0" w:rsidRDefault="008C1AD8" w:rsidP="008C1AD8">
      <w:r w:rsidRPr="002B70F0">
        <w:t xml:space="preserve">The Recovery Plan identifies a set of </w:t>
      </w:r>
      <w:r>
        <w:t>actions</w:t>
      </w:r>
      <w:r w:rsidRPr="002B70F0">
        <w:t xml:space="preserve"> in order to deliver on the objectives. </w:t>
      </w:r>
      <w:r>
        <w:t xml:space="preserve">Each action is associated with performance criteria </w:t>
      </w:r>
      <w:sdt>
        <w:sdtPr>
          <w:rPr>
            <w:color w:val="000000"/>
          </w:rPr>
          <w:tag w:val="MENDELEY_CITATION_v3_eyJjaXRhdGlvbklEIjoiTUVOREVMRVlfQ0lUQVRJT05fMGY0ZWNiNWItMTVlMy00MzBjLTkyY2YtYTJjZTNhZWVjNjAy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424739597"/>
          <w:placeholder>
            <w:docPart w:val="53263D66753F864BA248D609BD120A46"/>
          </w:placeholder>
        </w:sdtPr>
        <w:sdtContent>
          <w:r w:rsidRPr="00273871">
            <w:rPr>
              <w:color w:val="000000"/>
            </w:rPr>
            <w:t>(Murphy, 2010)</w:t>
          </w:r>
        </w:sdtContent>
      </w:sdt>
      <w:r>
        <w:t xml:space="preserve">. </w:t>
      </w:r>
      <w:r w:rsidRPr="002B70F0">
        <w:t xml:space="preserve">The Plan will not prevent </w:t>
      </w:r>
      <w:r>
        <w:t>the implementation of any of these actions, nor will it prevent the achievement of any of the performance criteria.</w:t>
      </w:r>
    </w:p>
    <w:p w14:paraId="6FEF7A57" w14:textId="77777777" w:rsidR="008C1AD8" w:rsidRPr="00FA3E89" w:rsidRDefault="008C1AD8" w:rsidP="008C1AD8">
      <w:r w:rsidRPr="00FA3E89">
        <w:t xml:space="preserve">Implementation of the Plan will contribute to achieving the objectives of the Recovery Plan identified above. The protection and management of the Cowies Creek </w:t>
      </w:r>
      <w:r>
        <w:t>Conservation Area</w:t>
      </w:r>
      <w:r w:rsidRPr="00FA3E89">
        <w:t xml:space="preserve"> will contribute to Objective 3 of the Recovery Plan by retaining and conserving </w:t>
      </w:r>
      <w:r w:rsidRPr="009E63A2">
        <w:t>4.9</w:t>
      </w:r>
      <w:r w:rsidRPr="00FA3E89">
        <w:t xml:space="preserve"> ha of potential Adamson’s Blown</w:t>
      </w:r>
      <w:r>
        <w:t>-g</w:t>
      </w:r>
      <w:r w:rsidRPr="00FA3E89">
        <w:t>rass habitat. Further, commitments and measures under the plan will contribute to Objective 4 through managing threats related to the spread of weeds and potential changes to hydrology.</w:t>
      </w:r>
    </w:p>
    <w:p w14:paraId="51355417" w14:textId="77777777" w:rsidR="008C1AD8" w:rsidRPr="000816D6" w:rsidRDefault="008C1AD8" w:rsidP="008C1AD8">
      <w:pPr>
        <w:pStyle w:val="Heading3"/>
      </w:pPr>
      <w:r w:rsidRPr="000816D6">
        <w:t>K</w:t>
      </w:r>
      <w:r>
        <w:t>ey threatening processes and consistency with Threat Abatement Plans</w:t>
      </w:r>
    </w:p>
    <w:p w14:paraId="05E7D332" w14:textId="77777777" w:rsidR="008C1AD8" w:rsidRDefault="008C1AD8" w:rsidP="008C1AD8">
      <w:r>
        <w:t xml:space="preserve">Relevant Key Threatening Processes (KTPs) and any of their associated Threat Abatement Plans (TAPs) have been identified in </w:t>
      </w:r>
      <w:r>
        <w:fldChar w:fldCharType="begin"/>
      </w:r>
      <w:r>
        <w:instrText xml:space="preserve"> REF _Ref106866636 \h </w:instrText>
      </w:r>
      <w:r>
        <w:fldChar w:fldCharType="separate"/>
      </w:r>
      <w:r>
        <w:t xml:space="preserve">Table </w:t>
      </w:r>
      <w:r>
        <w:rPr>
          <w:noProof/>
        </w:rPr>
        <w:t>20</w:t>
      </w:r>
      <w:r>
        <w:noBreakHyphen/>
      </w:r>
      <w:r>
        <w:rPr>
          <w:noProof/>
        </w:rPr>
        <w:t>1</w:t>
      </w:r>
      <w:r>
        <w:fldChar w:fldCharType="end"/>
      </w:r>
      <w:r>
        <w:t xml:space="preserve"> where they relate to:</w:t>
      </w:r>
    </w:p>
    <w:p w14:paraId="299DDAAA" w14:textId="77777777" w:rsidR="008C1AD8" w:rsidRDefault="008C1AD8" w:rsidP="008C1AD8">
      <w:pPr>
        <w:pStyle w:val="Bullet1"/>
      </w:pPr>
      <w:r>
        <w:t>The potential direct impacts of the Plan, or</w:t>
      </w:r>
    </w:p>
    <w:p w14:paraId="27DA79C3" w14:textId="77777777" w:rsidR="008C1AD8" w:rsidRDefault="008C1AD8" w:rsidP="008C1AD8">
      <w:pPr>
        <w:pStyle w:val="Bullet1"/>
      </w:pPr>
      <w:r>
        <w:t>The relevant indirect impacts</w:t>
      </w:r>
    </w:p>
    <w:p w14:paraId="037DE4B1" w14:textId="77777777" w:rsidR="008C1AD8" w:rsidRDefault="008C1AD8" w:rsidP="008C1AD8">
      <w:pPr>
        <w:pStyle w:val="Caption"/>
        <w:keepNext/>
      </w:pPr>
      <w:bookmarkStart w:id="104" w:name="_Ref106866636"/>
      <w:bookmarkStart w:id="105" w:name="_Toc135122726"/>
      <w:r>
        <w:t xml:space="preserve">Table </w:t>
      </w:r>
      <w:r>
        <w:fldChar w:fldCharType="begin"/>
      </w:r>
      <w:r>
        <w:instrText xml:space="preserve"> STYLEREF 1 \s </w:instrText>
      </w:r>
      <w:r>
        <w:fldChar w:fldCharType="separate"/>
      </w:r>
      <w:r>
        <w:rPr>
          <w:noProof/>
        </w:rPr>
        <w:t>20</w:t>
      </w:r>
      <w:r>
        <w:fldChar w:fldCharType="end"/>
      </w:r>
      <w:r>
        <w:noBreakHyphen/>
      </w:r>
      <w:r>
        <w:fldChar w:fldCharType="begin"/>
      </w:r>
      <w:r>
        <w:instrText xml:space="preserve"> SEQ Table \* ARABIC \s 1 </w:instrText>
      </w:r>
      <w:r>
        <w:fldChar w:fldCharType="separate"/>
      </w:r>
      <w:r>
        <w:rPr>
          <w:noProof/>
        </w:rPr>
        <w:t>1</w:t>
      </w:r>
      <w:r>
        <w:fldChar w:fldCharType="end"/>
      </w:r>
      <w:bookmarkEnd w:id="104"/>
      <w:r>
        <w:t xml:space="preserve">: </w:t>
      </w:r>
      <w:r w:rsidRPr="005F676F">
        <w:t xml:space="preserve">Relevant Key Threatening Processes and associated Threat Abatement Plans for </w:t>
      </w:r>
      <w:r>
        <w:t>Adamson’s Blown-grass</w:t>
      </w:r>
      <w:bookmarkEnd w:id="105"/>
    </w:p>
    <w:tbl>
      <w:tblPr>
        <w:tblStyle w:val="TableGrid"/>
        <w:tblW w:w="0" w:type="auto"/>
        <w:tblLook w:val="04A0" w:firstRow="1" w:lastRow="0" w:firstColumn="1" w:lastColumn="0" w:noHBand="0" w:noVBand="1"/>
      </w:tblPr>
      <w:tblGrid>
        <w:gridCol w:w="4811"/>
        <w:gridCol w:w="4811"/>
      </w:tblGrid>
      <w:tr w:rsidR="008C1AD8" w14:paraId="55D7034E" w14:textId="77777777" w:rsidTr="00A15226">
        <w:trPr>
          <w:tblHeader/>
        </w:trPr>
        <w:tc>
          <w:tcPr>
            <w:tcW w:w="4811" w:type="dxa"/>
            <w:shd w:val="clear" w:color="auto" w:fill="DBDBDB" w:themeFill="accent3" w:themeFillTint="66"/>
          </w:tcPr>
          <w:p w14:paraId="0FBB0C48" w14:textId="77777777" w:rsidR="008C1AD8" w:rsidRPr="00FF1996" w:rsidRDefault="008C1AD8" w:rsidP="00A15226">
            <w:pPr>
              <w:pStyle w:val="Tabletext"/>
              <w:rPr>
                <w:b/>
                <w:bCs/>
              </w:rPr>
            </w:pPr>
            <w:r w:rsidRPr="00FF1996">
              <w:rPr>
                <w:b/>
                <w:bCs/>
              </w:rPr>
              <w:t>Key threatening process</w:t>
            </w:r>
          </w:p>
        </w:tc>
        <w:tc>
          <w:tcPr>
            <w:tcW w:w="4811" w:type="dxa"/>
            <w:shd w:val="clear" w:color="auto" w:fill="DBDBDB" w:themeFill="accent3" w:themeFillTint="66"/>
          </w:tcPr>
          <w:p w14:paraId="15D2DF8E" w14:textId="77777777" w:rsidR="008C1AD8" w:rsidRPr="00FF1996" w:rsidRDefault="008C1AD8" w:rsidP="00A15226">
            <w:pPr>
              <w:pStyle w:val="Tabletext"/>
              <w:rPr>
                <w:b/>
                <w:bCs/>
              </w:rPr>
            </w:pPr>
            <w:r w:rsidRPr="00FF1996">
              <w:rPr>
                <w:b/>
                <w:bCs/>
              </w:rPr>
              <w:t>Threat abatement plan</w:t>
            </w:r>
          </w:p>
        </w:tc>
      </w:tr>
      <w:tr w:rsidR="008C1AD8" w14:paraId="07EAA01C" w14:textId="77777777" w:rsidTr="00A15226">
        <w:tc>
          <w:tcPr>
            <w:tcW w:w="4811" w:type="dxa"/>
          </w:tcPr>
          <w:p w14:paraId="34A6B46F" w14:textId="77777777" w:rsidR="008C1AD8" w:rsidRDefault="008C1AD8" w:rsidP="00A15226">
            <w:pPr>
              <w:pStyle w:val="Tabletext"/>
            </w:pPr>
            <w:r>
              <w:t>Land clearance</w:t>
            </w:r>
          </w:p>
        </w:tc>
        <w:tc>
          <w:tcPr>
            <w:tcW w:w="4811" w:type="dxa"/>
          </w:tcPr>
          <w:p w14:paraId="7A64CBC8" w14:textId="77777777" w:rsidR="008C1AD8" w:rsidRDefault="008C1AD8" w:rsidP="00A15226">
            <w:pPr>
              <w:pStyle w:val="Tabletext"/>
            </w:pPr>
            <w:r>
              <w:t>There is no relevant TAP</w:t>
            </w:r>
          </w:p>
        </w:tc>
      </w:tr>
      <w:tr w:rsidR="008C1AD8" w14:paraId="223B629F" w14:textId="77777777" w:rsidTr="00A15226">
        <w:tc>
          <w:tcPr>
            <w:tcW w:w="4811" w:type="dxa"/>
          </w:tcPr>
          <w:p w14:paraId="4F0D0D97" w14:textId="77777777" w:rsidR="008C1AD8" w:rsidRPr="003919C8" w:rsidRDefault="008C1AD8" w:rsidP="00A15226">
            <w:pPr>
              <w:pStyle w:val="Tabletext"/>
            </w:pPr>
            <w:r>
              <w:t>L</w:t>
            </w:r>
            <w:r>
              <w:rPr>
                <w:shd w:val="clear" w:color="auto" w:fill="FFFFFF"/>
              </w:rPr>
              <w:t>oss of climatic habitat caused by anthropogenic emissions of greenhouse gases</w:t>
            </w:r>
          </w:p>
        </w:tc>
        <w:tc>
          <w:tcPr>
            <w:tcW w:w="4811" w:type="dxa"/>
          </w:tcPr>
          <w:p w14:paraId="42CF3545" w14:textId="77777777" w:rsidR="008C1AD8" w:rsidRDefault="008C1AD8" w:rsidP="00A15226">
            <w:pPr>
              <w:pStyle w:val="Tabletext"/>
            </w:pPr>
            <w:r>
              <w:t>There is no relevant TAP</w:t>
            </w:r>
          </w:p>
        </w:tc>
      </w:tr>
      <w:tr w:rsidR="008C1AD8" w14:paraId="13BBCBC5" w14:textId="77777777" w:rsidTr="00A15226">
        <w:tc>
          <w:tcPr>
            <w:tcW w:w="4811" w:type="dxa"/>
          </w:tcPr>
          <w:p w14:paraId="5B433D56" w14:textId="77777777" w:rsidR="008C1AD8" w:rsidRDefault="008C1AD8" w:rsidP="00A15226">
            <w:pPr>
              <w:pStyle w:val="Tabletext"/>
            </w:pPr>
            <w:r w:rsidRPr="003919C8">
              <w:t>Loss and degradation of native plant and animal habitat by invasion of escaped garden plants</w:t>
            </w:r>
          </w:p>
        </w:tc>
        <w:tc>
          <w:tcPr>
            <w:tcW w:w="4811" w:type="dxa"/>
          </w:tcPr>
          <w:p w14:paraId="3D94E256" w14:textId="77777777" w:rsidR="008C1AD8" w:rsidRDefault="008C1AD8" w:rsidP="00A15226">
            <w:pPr>
              <w:pStyle w:val="Tabletext"/>
            </w:pPr>
            <w:r>
              <w:t>There is no relevant TAP</w:t>
            </w:r>
          </w:p>
        </w:tc>
      </w:tr>
      <w:tr w:rsidR="008C1AD8" w14:paraId="492C8864" w14:textId="77777777" w:rsidTr="00A15226">
        <w:tc>
          <w:tcPr>
            <w:tcW w:w="4811" w:type="dxa"/>
          </w:tcPr>
          <w:p w14:paraId="268505D5" w14:textId="77777777" w:rsidR="008C1AD8" w:rsidRDefault="008C1AD8" w:rsidP="00A15226">
            <w:pPr>
              <w:pStyle w:val="Tabletext"/>
            </w:pPr>
            <w:r w:rsidRPr="003919C8">
              <w:t>Novel biota and their impact on biodiversity</w:t>
            </w:r>
          </w:p>
        </w:tc>
        <w:tc>
          <w:tcPr>
            <w:tcW w:w="4811" w:type="dxa"/>
          </w:tcPr>
          <w:p w14:paraId="583D77DF" w14:textId="77777777" w:rsidR="008C1AD8" w:rsidRDefault="008C1AD8" w:rsidP="00A15226">
            <w:pPr>
              <w:pStyle w:val="Tabletext"/>
            </w:pPr>
            <w:r>
              <w:t>There is no relevant TAP</w:t>
            </w:r>
          </w:p>
        </w:tc>
      </w:tr>
    </w:tbl>
    <w:p w14:paraId="4C795120" w14:textId="77777777" w:rsidR="008C1AD8" w:rsidRPr="00A979B0" w:rsidRDefault="008C1AD8" w:rsidP="008C1AD8">
      <w:pPr>
        <w:pStyle w:val="Heading2"/>
        <w:numPr>
          <w:ilvl w:val="0"/>
          <w:numId w:val="0"/>
        </w:numPr>
        <w:shd w:val="clear" w:color="auto" w:fill="B4C6E7" w:themeFill="accent1" w:themeFillTint="66"/>
      </w:pPr>
      <w:bookmarkStart w:id="106" w:name="_Toc135122682"/>
      <w:bookmarkStart w:id="107" w:name="_Toc115951111"/>
      <w:r>
        <w:lastRenderedPageBreak/>
        <w:t>Occur outside the Growth Areas</w:t>
      </w:r>
      <w:bookmarkEnd w:id="106"/>
    </w:p>
    <w:p w14:paraId="652A0892" w14:textId="77777777" w:rsidR="008C1AD8" w:rsidRPr="00297975" w:rsidRDefault="008C1AD8" w:rsidP="008C1AD8">
      <w:pPr>
        <w:pStyle w:val="Heading2"/>
      </w:pPr>
      <w:bookmarkStart w:id="108" w:name="_Ref116459050"/>
      <w:bookmarkStart w:id="109" w:name="_Toc135122683"/>
      <w:r>
        <w:t>S</w:t>
      </w:r>
      <w:r w:rsidRPr="00643B46">
        <w:t xml:space="preserve">piny </w:t>
      </w:r>
      <w:r>
        <w:t>R</w:t>
      </w:r>
      <w:r w:rsidRPr="00643B46">
        <w:t>ice</w:t>
      </w:r>
      <w:r>
        <w:t>-f</w:t>
      </w:r>
      <w:r w:rsidRPr="00643B46">
        <w:t>lower</w:t>
      </w:r>
      <w:r>
        <w:t xml:space="preserve"> </w:t>
      </w:r>
      <w:r>
        <w:rPr>
          <w:i/>
          <w:iCs/>
        </w:rPr>
        <w:t>(</w:t>
      </w:r>
      <w:r w:rsidRPr="00A56BAF">
        <w:rPr>
          <w:i/>
          <w:iCs/>
        </w:rPr>
        <w:t>Pimelea spinescens</w:t>
      </w:r>
      <w:r w:rsidRPr="00643B46">
        <w:t xml:space="preserve"> subsp. </w:t>
      </w:r>
      <w:r w:rsidRPr="00A56BAF">
        <w:rPr>
          <w:i/>
          <w:iCs/>
        </w:rPr>
        <w:t>spinescens</w:t>
      </w:r>
      <w:r>
        <w:rPr>
          <w:i/>
          <w:iCs/>
        </w:rPr>
        <w:t>)</w:t>
      </w:r>
      <w:bookmarkEnd w:id="107"/>
      <w:bookmarkEnd w:id="108"/>
      <w:bookmarkEnd w:id="109"/>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8C1AD8" w:rsidRPr="000816D6" w14:paraId="10F94DBE" w14:textId="77777777" w:rsidTr="00A15226">
        <w:trPr>
          <w:tblHeader/>
        </w:trPr>
        <w:tc>
          <w:tcPr>
            <w:tcW w:w="9747" w:type="dxa"/>
            <w:shd w:val="clear" w:color="auto" w:fill="D9D9D9" w:themeFill="background1" w:themeFillShade="D9"/>
            <w:vAlign w:val="center"/>
          </w:tcPr>
          <w:p w14:paraId="1897C1FA" w14:textId="77777777" w:rsidR="008C1AD8" w:rsidRPr="000816D6" w:rsidRDefault="008C1AD8" w:rsidP="00A15226">
            <w:pPr>
              <w:pStyle w:val="TableHeadingLarge"/>
              <w:rPr>
                <w:rFonts w:ascii="Helvetica" w:hAnsi="Helvetica"/>
              </w:rPr>
            </w:pPr>
            <w:r w:rsidRPr="000816D6">
              <w:rPr>
                <w:rFonts w:ascii="Helvetica" w:hAnsi="Helvetica"/>
              </w:rPr>
              <w:t>SPECIES BACKGROUND</w:t>
            </w:r>
          </w:p>
        </w:tc>
      </w:tr>
    </w:tbl>
    <w:p w14:paraId="47283529" w14:textId="77777777" w:rsidR="008C1AD8" w:rsidRPr="000816D6" w:rsidRDefault="008C1AD8" w:rsidP="008C1AD8">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0816D6" w14:paraId="310F717B" w14:textId="77777777" w:rsidTr="00A15226">
        <w:tc>
          <w:tcPr>
            <w:tcW w:w="1526" w:type="dxa"/>
            <w:vAlign w:val="center"/>
          </w:tcPr>
          <w:p w14:paraId="6C8C3624"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5A05F185" w14:textId="77777777" w:rsidR="008C1AD8" w:rsidRPr="003E1ADD" w:rsidRDefault="008C1AD8" w:rsidP="00A15226">
            <w:pPr>
              <w:pStyle w:val="Tabletext"/>
            </w:pPr>
            <w:r>
              <w:t>Critically Endangered</w:t>
            </w:r>
          </w:p>
        </w:tc>
      </w:tr>
      <w:tr w:rsidR="008C1AD8" w:rsidRPr="000816D6" w14:paraId="34A79207" w14:textId="77777777" w:rsidTr="00A15226">
        <w:tc>
          <w:tcPr>
            <w:tcW w:w="1526" w:type="dxa"/>
            <w:vAlign w:val="center"/>
          </w:tcPr>
          <w:p w14:paraId="38814052"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518D4BF3" w14:textId="77777777" w:rsidR="008C1AD8" w:rsidRPr="00016E06" w:rsidRDefault="008C1AD8" w:rsidP="00A15226">
            <w:pPr>
              <w:pStyle w:val="Tabletext"/>
            </w:pPr>
            <w:r>
              <w:rPr>
                <w:i/>
                <w:iCs/>
              </w:rPr>
              <w:t xml:space="preserve">Pimelea spinescens </w:t>
            </w:r>
            <w:r>
              <w:t xml:space="preserve">subsp. </w:t>
            </w:r>
            <w:r>
              <w:rPr>
                <w:i/>
                <w:iCs/>
              </w:rPr>
              <w:t xml:space="preserve">spinescens </w:t>
            </w:r>
            <w:r>
              <w:t xml:space="preserve">(Spiny Rice-flower) is a small spreading shrub which grows to approximately 50 cm. The species has narrow green leaves, and pale yellow flowers </w:t>
            </w:r>
            <w:sdt>
              <w:sdtPr>
                <w:rPr>
                  <w:color w:val="000000"/>
                </w:rPr>
                <w:tag w:val="MENDELEY_CITATION_v3_eyJjaXRhdGlvbklEIjoiTUVOREVMRVlfQ0lUQVRJT05fNDIzMDQ3N2MtNmQ3NS00ZjY3LTg1NGYtNGRhZGVkMzFhNmYz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2085092827"/>
                <w:placeholder>
                  <w:docPart w:val="53263D66753F864BA248D609BD120A46"/>
                </w:placeholder>
              </w:sdtPr>
              <w:sdtContent>
                <w:r w:rsidRPr="00273871">
                  <w:rPr>
                    <w:color w:val="000000"/>
                  </w:rPr>
                  <w:t>(TSSC, 2016b)</w:t>
                </w:r>
              </w:sdtContent>
            </w:sdt>
            <w:r>
              <w:t>.</w:t>
            </w:r>
          </w:p>
        </w:tc>
      </w:tr>
      <w:tr w:rsidR="008C1AD8" w:rsidRPr="000816D6" w14:paraId="0CB4FECE" w14:textId="77777777" w:rsidTr="00A15226">
        <w:tc>
          <w:tcPr>
            <w:tcW w:w="1526" w:type="dxa"/>
            <w:vAlign w:val="center"/>
          </w:tcPr>
          <w:p w14:paraId="1B99EDD6"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7B45F5AB" w14:textId="77777777" w:rsidR="008C1AD8" w:rsidRDefault="008C1AD8" w:rsidP="00A15226">
            <w:pPr>
              <w:pStyle w:val="Tabletext"/>
            </w:pPr>
            <w:r>
              <w:t xml:space="preserve">Spiny Rice-flower is slow growing and may live up to 100 years </w:t>
            </w:r>
            <w:sdt>
              <w:sdtPr>
                <w:rPr>
                  <w:color w:val="000000"/>
                </w:rPr>
                <w:tag w:val="MENDELEY_CITATION_v3_eyJjaXRhdGlvbklEIjoiTUVOREVMRVlfQ0lUQVRJT05fZDNmMDlhMDgtNmYzYy00ODI2LThjNjMtN2M2Mjk1ZTNiNzZi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1506855995"/>
                <w:placeholder>
                  <w:docPart w:val="53263D66753F864BA248D609BD120A46"/>
                </w:placeholder>
              </w:sdtPr>
              <w:sdtContent>
                <w:r w:rsidRPr="00273871">
                  <w:rPr>
                    <w:color w:val="000000"/>
                  </w:rPr>
                  <w:t>(TSSC, 2016b)</w:t>
                </w:r>
              </w:sdtContent>
            </w:sdt>
            <w:r>
              <w:t>.</w:t>
            </w:r>
          </w:p>
          <w:p w14:paraId="45EE9389" w14:textId="77777777" w:rsidR="008C1AD8" w:rsidRPr="009F1DDD" w:rsidRDefault="008C1AD8" w:rsidP="00A15226">
            <w:pPr>
              <w:pStyle w:val="Tabletext"/>
            </w:pPr>
            <w:r>
              <w:t xml:space="preserve">Plants </w:t>
            </w:r>
            <w:r w:rsidRPr="00AE7CB0">
              <w:t xml:space="preserve">are </w:t>
            </w:r>
            <w:r>
              <w:t xml:space="preserve">generally either female or male. However, hermaphrodites have also been observed </w:t>
            </w:r>
            <w:sdt>
              <w:sdtPr>
                <w:rPr>
                  <w:color w:val="000000"/>
                </w:rPr>
                <w:tag w:val="MENDELEY_CITATION_v3_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"/>
                <w:id w:val="1356927905"/>
                <w:placeholder>
                  <w:docPart w:val="53263D66753F864BA248D609BD120A46"/>
                </w:placeholder>
              </w:sdtPr>
              <w:sdtContent>
                <w:r w:rsidRPr="00273871">
                  <w:rPr>
                    <w:color w:val="000000"/>
                  </w:rPr>
                  <w:t>(SWIFFT, 2022b)</w:t>
                </w:r>
              </w:sdtContent>
            </w:sdt>
            <w:r>
              <w:t xml:space="preserve">. Germination may be partly regulated by rainfall, with autumn drought and high rainfall both seeming to prevent germination. The species is fire tolerant and mature plants will resprout after fire </w:t>
            </w:r>
            <w:sdt>
              <w:sdtPr>
                <w:rPr>
                  <w:color w:val="000000"/>
                </w:rPr>
                <w:tag w:val="MENDELEY_CITATION_v3_eyJjaXRhdGlvbklEIjoiTUVOREVMRVlfQ0lUQVRJT05fM2U4ZTYwODgtMGYxZi00Yjc4LThkNTAtOGE1NzViOTk4OWFm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298349550"/>
                <w:placeholder>
                  <w:docPart w:val="53263D66753F864BA248D609BD120A46"/>
                </w:placeholder>
              </w:sdtPr>
              <w:sdtContent>
                <w:r w:rsidRPr="00273871">
                  <w:rPr>
                    <w:color w:val="000000"/>
                  </w:rPr>
                  <w:t>(TSSC, 2016b)</w:t>
                </w:r>
              </w:sdtContent>
            </w:sdt>
            <w:r>
              <w:t xml:space="preserve">. </w:t>
            </w:r>
          </w:p>
          <w:p w14:paraId="6C9ED6B1" w14:textId="77777777" w:rsidR="008C1AD8" w:rsidRDefault="008C1AD8" w:rsidP="00A15226">
            <w:pPr>
              <w:pStyle w:val="Tabletext"/>
            </w:pPr>
            <w:r>
              <w:t xml:space="preserve">The species flowers between April and August. Germination occurs from July to November. Pollination is carried out by insects </w:t>
            </w:r>
            <w:sdt>
              <w:sdtPr>
                <w:rPr>
                  <w:color w:val="000000"/>
                </w:rPr>
                <w:tag w:val="MENDELEY_CITATION_v3_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"/>
                <w:id w:val="-1501418439"/>
                <w:placeholder>
                  <w:docPart w:val="53263D66753F864BA248D609BD120A46"/>
                </w:placeholder>
              </w:sdtPr>
              <w:sdtContent>
                <w:r w:rsidRPr="00273871">
                  <w:rPr>
                    <w:color w:val="000000"/>
                  </w:rPr>
                  <w:t>(DEWHA, 2009a)</w:t>
                </w:r>
              </w:sdtContent>
            </w:sdt>
            <w:r>
              <w:t xml:space="preserve">. Dispersal distances are small, and most seed results from outcrossing (the transfer of genetic material between genetically diverse individuals) via pollinators. Self-pollination has also been observed </w:t>
            </w:r>
            <w:sdt>
              <w:sdtPr>
                <w:rPr>
                  <w:color w:val="000000"/>
                </w:rPr>
                <w:tag w:val="MENDELEY_CITATION_v3_eyJjaXRhdGlvbklEIjoiTUVOREVMRVlfQ0lUQVRJT05fYjhlN2ExNjgtOTc4YS00YTkzLThhNDItZmQwZGM4NDgxZTI5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1447972976"/>
                <w:placeholder>
                  <w:docPart w:val="53263D66753F864BA248D609BD120A46"/>
                </w:placeholder>
              </w:sdtPr>
              <w:sdtContent>
                <w:r w:rsidRPr="00273871">
                  <w:rPr>
                    <w:color w:val="000000"/>
                  </w:rPr>
                  <w:t>(TSSC, 2016b)</w:t>
                </w:r>
              </w:sdtContent>
            </w:sdt>
            <w:r>
              <w:t>.</w:t>
            </w:r>
          </w:p>
          <w:p w14:paraId="249F4208" w14:textId="77777777" w:rsidR="008C1AD8" w:rsidRPr="003E1ADD" w:rsidRDefault="008C1AD8" w:rsidP="00A15226">
            <w:pPr>
              <w:pStyle w:val="Tabletext"/>
            </w:pPr>
            <w:r>
              <w:t xml:space="preserve">Plants from populations in the north of their distribution have a different growth form from the southern populations. Northern populations are larger and generally more robust, likely due to increased rainfall and competition with other plants in southern Victoria </w:t>
            </w:r>
            <w:sdt>
              <w:sdtPr>
                <w:rPr>
                  <w:color w:val="000000"/>
                </w:rPr>
                <w:tag w:val="MENDELEY_CITATION_v3_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"/>
                <w:id w:val="1703825692"/>
                <w:placeholder>
                  <w:docPart w:val="53263D66753F864BA248D609BD120A46"/>
                </w:placeholder>
              </w:sdtPr>
              <w:sdtContent>
                <w:r w:rsidRPr="00273871">
                  <w:rPr>
                    <w:color w:val="000000"/>
                  </w:rPr>
                  <w:t>(DEWHA, 2009a)</w:t>
                </w:r>
              </w:sdtContent>
            </w:sdt>
            <w:r>
              <w:t>.</w:t>
            </w:r>
          </w:p>
        </w:tc>
      </w:tr>
      <w:tr w:rsidR="008C1AD8" w:rsidRPr="000816D6" w14:paraId="2C61C3BF" w14:textId="77777777" w:rsidTr="00A15226">
        <w:tc>
          <w:tcPr>
            <w:tcW w:w="1526" w:type="dxa"/>
            <w:vAlign w:val="center"/>
          </w:tcPr>
          <w:p w14:paraId="169FECC5"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104B036E" w14:textId="77777777" w:rsidR="008C1AD8" w:rsidRDefault="008C1AD8" w:rsidP="00A15226">
            <w:pPr>
              <w:pStyle w:val="Tabletext"/>
            </w:pPr>
            <w:r>
              <w:t xml:space="preserve">The Spiny Rice-flower is endemic to Victoria. It occurs predominantly in the Victorian Volcanic Plain, with a small number of populations occurring in the Victorian Midlands and Riverina IBRA Bioregions </w:t>
            </w:r>
            <w:sdt>
              <w:sdtPr>
                <w:rPr>
                  <w:color w:val="000000"/>
                </w:rPr>
                <w:tag w:val="MENDELEY_CITATION_v3_eyJjaXRhdGlvbklEIjoiTUVOREVMRVlfQ0lUQVRJT05fNjk5ZmQ1ZWUtNDA4NC00ODY4LWE0NTEtNmU5ZDJjZjI5ZmY5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1296792224"/>
                <w:placeholder>
                  <w:docPart w:val="53263D66753F864BA248D609BD120A46"/>
                </w:placeholder>
              </w:sdtPr>
              <w:sdtContent>
                <w:r w:rsidRPr="00273871">
                  <w:rPr>
                    <w:color w:val="000000"/>
                  </w:rPr>
                  <w:t>(TSSC, 2016b)</w:t>
                </w:r>
              </w:sdtContent>
            </w:sdt>
            <w:r>
              <w:t xml:space="preserve">. The Growth Areas are towards the south-eastern extent of the species distribution </w:t>
            </w:r>
            <w:sdt>
              <w:sdtPr>
                <w:rPr>
                  <w:color w:val="000000"/>
                </w:rPr>
                <w:tag w:val="MENDELEY_CITATION_v3_eyJjaXRhdGlvbklEIjoiTUVOREVMRVlfQ0lUQVRJT05fM2Q0OGVkN2QtOTkyZC00YjJmLTk1NDAtNDc4OGRmYzJlMDgy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229054200"/>
                <w:placeholder>
                  <w:docPart w:val="53263D66753F864BA248D609BD120A46"/>
                </w:placeholder>
              </w:sdtPr>
              <w:sdtContent>
                <w:r w:rsidRPr="00273871">
                  <w:rPr>
                    <w:color w:val="000000"/>
                  </w:rPr>
                  <w:t>(DCCEEW, 2022)</w:t>
                </w:r>
              </w:sdtContent>
            </w:sdt>
            <w:r>
              <w:t>.</w:t>
            </w:r>
          </w:p>
          <w:p w14:paraId="28CF5FD7" w14:textId="77777777" w:rsidR="008C1AD8" w:rsidRDefault="008C1AD8" w:rsidP="00A15226">
            <w:pPr>
              <w:pStyle w:val="Tabletext"/>
            </w:pPr>
            <w:r>
              <w:t xml:space="preserve">The species habitat comprises grasslands including native temperate grasslands, grassy woodlands and open shrublands </w:t>
            </w:r>
            <w:sdt>
              <w:sdtPr>
                <w:rPr>
                  <w:color w:val="000000"/>
                </w:rPr>
                <w:tag w:val="MENDELEY_CITATION_v3_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"/>
                <w:id w:val="-1601866604"/>
                <w:placeholder>
                  <w:docPart w:val="53263D66753F864BA248D609BD120A46"/>
                </w:placeholder>
              </w:sdtPr>
              <w:sdtContent>
                <w:r w:rsidRPr="00273871">
                  <w:rPr>
                    <w:color w:val="000000"/>
                  </w:rPr>
                  <w:t>(DEWHA, 2009b)</w:t>
                </w:r>
              </w:sdtContent>
            </w:sdt>
            <w:r>
              <w:t xml:space="preserve"> in areas that have received low levels of disturbance </w:t>
            </w:r>
            <w:sdt>
              <w:sdtPr>
                <w:rPr>
                  <w:color w:val="000000"/>
                </w:rPr>
                <w:tag w:val="MENDELEY_CITATION_v3_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"/>
                <w:id w:val="1516963403"/>
                <w:placeholder>
                  <w:docPart w:val="53263D66753F864BA248D609BD120A46"/>
                </w:placeholder>
              </w:sdtPr>
              <w:sdtContent>
                <w:r w:rsidRPr="00273871">
                  <w:rPr>
                    <w:color w:val="000000"/>
                  </w:rPr>
                  <w:t>(SWIFFT, 2022b)</w:t>
                </w:r>
              </w:sdtContent>
            </w:sdt>
            <w:r>
              <w:t xml:space="preserve">. It usually develops on clay soils. The species is mostly found in the following ecological communities, ‘Natural Temperate Grassland of the Victorian Volcanic Plain’ and ‘Natural Grasslands of the Murray Valley Plains’. It has also been reported in association with yellow gum-grey box grassy woodland in the Goldfields and </w:t>
            </w:r>
            <w:r>
              <w:rPr>
                <w:i/>
                <w:iCs/>
              </w:rPr>
              <w:t xml:space="preserve">Allocasuarina luehmannii </w:t>
            </w:r>
            <w:r>
              <w:t xml:space="preserve">open grassy woodland in the Wimmera </w:t>
            </w:r>
            <w:sdt>
              <w:sdtPr>
                <w:rPr>
                  <w:color w:val="000000"/>
                </w:rPr>
                <w:tag w:val="MENDELEY_CITATION_v3_eyJjaXRhdGlvbklEIjoiTUVOREVMRVlfQ0lUQVRJT05fNzRkZTAxZWUtYzdjMy00YWFlLWE0MTMtNTc0MDZhZGQ5ZWYw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658076538"/>
                <w:placeholder>
                  <w:docPart w:val="53263D66753F864BA248D609BD120A46"/>
                </w:placeholder>
              </w:sdtPr>
              <w:sdtContent>
                <w:r w:rsidRPr="00273871">
                  <w:rPr>
                    <w:color w:val="000000"/>
                  </w:rPr>
                  <w:t>(TSSC, 2016b)</w:t>
                </w:r>
              </w:sdtContent>
            </w:sdt>
            <w:r>
              <w:t xml:space="preserve">. Topography is mostly flat, but populations may occur on slight rises or in slight depressions </w:t>
            </w:r>
            <w:sdt>
              <w:sdtPr>
                <w:rPr>
                  <w:color w:val="000000"/>
                </w:rPr>
                <w:tag w:val="MENDELEY_CITATION_v3_eyJjaXRhdGlvbklEIjoiTUVOREVMRVlfQ0lUQVRJT05fYmI5YjUzMzctN2ZkNy00YjkzLWE1MzUtY2U4MDVhOTNiZWUy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1938785645"/>
                <w:placeholder>
                  <w:docPart w:val="53263D66753F864BA248D609BD120A46"/>
                </w:placeholder>
              </w:sdtPr>
              <w:sdtContent>
                <w:r w:rsidRPr="00273871">
                  <w:rPr>
                    <w:color w:val="000000"/>
                  </w:rPr>
                  <w:t>(TSSC, 2016b)</w:t>
                </w:r>
              </w:sdtContent>
            </w:sdt>
            <w:r>
              <w:t>.</w:t>
            </w:r>
          </w:p>
          <w:p w14:paraId="369C7C85" w14:textId="77777777" w:rsidR="008C1AD8" w:rsidRPr="00193BC0" w:rsidRDefault="008C1AD8" w:rsidP="00A15226">
            <w:pPr>
              <w:pStyle w:val="Tabletext"/>
            </w:pPr>
            <w:r>
              <w:t xml:space="preserve">The species habitat varies slightly across its range. Southern populations are associated with heavy grey-black clay loams with Kangaroo Grass, Wallaby-grass and Spear-grass. Northern populations occur on red clay complexes with Spear-grass, and Wallaby-grass </w:t>
            </w:r>
            <w:sdt>
              <w:sdtPr>
                <w:rPr>
                  <w:color w:val="000000"/>
                </w:rPr>
                <w:tag w:val="MENDELEY_CITATION_v3_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"/>
                <w:id w:val="1501847952"/>
                <w:placeholder>
                  <w:docPart w:val="53263D66753F864BA248D609BD120A46"/>
                </w:placeholder>
              </w:sdtPr>
              <w:sdtContent>
                <w:r w:rsidRPr="00273871">
                  <w:rPr>
                    <w:color w:val="000000"/>
                  </w:rPr>
                  <w:t>(TSSC, 2003; DEWHA, 2009b)</w:t>
                </w:r>
              </w:sdtContent>
            </w:sdt>
            <w:r>
              <w:t xml:space="preserve">. </w:t>
            </w:r>
          </w:p>
        </w:tc>
      </w:tr>
      <w:tr w:rsidR="008C1AD8" w:rsidRPr="000816D6" w14:paraId="65F65D8B" w14:textId="77777777" w:rsidTr="00A15226">
        <w:tc>
          <w:tcPr>
            <w:tcW w:w="1526" w:type="dxa"/>
            <w:vAlign w:val="center"/>
          </w:tcPr>
          <w:p w14:paraId="3D9F5087"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23E1123A" w14:textId="77777777" w:rsidR="008C1AD8" w:rsidRDefault="008C1AD8" w:rsidP="00A15226">
            <w:pPr>
              <w:pStyle w:val="Tabletext"/>
            </w:pPr>
            <w:r>
              <w:t xml:space="preserve">Populations are now substantially fragmented and depleted due to land clearing </w:t>
            </w:r>
            <w:sdt>
              <w:sdtPr>
                <w:rPr>
                  <w:color w:val="000000"/>
                </w:rPr>
                <w:tag w:val="MENDELEY_CITATION_v3_eyJjaXRhdGlvbklEIjoiTUVOREVMRVlfQ0lUQVRJT05fMmU0NzU3OTctMTAwYy00ODk2LWE4NTEtM2I5ZjBlMDhhMzRl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2009597643"/>
                <w:placeholder>
                  <w:docPart w:val="53263D66753F864BA248D609BD120A46"/>
                </w:placeholder>
              </w:sdtPr>
              <w:sdtContent>
                <w:r w:rsidRPr="00273871">
                  <w:rPr>
                    <w:color w:val="000000"/>
                  </w:rPr>
                  <w:t>(TSSC, 2016b)</w:t>
                </w:r>
              </w:sdtContent>
            </w:sdt>
            <w:r>
              <w:t xml:space="preserve">. Populations are often geographically isolated, and gene flow between populations is restricted </w:t>
            </w:r>
            <w:sdt>
              <w:sdtPr>
                <w:rPr>
                  <w:color w:val="000000"/>
                </w:rPr>
                <w:tag w:val="MENDELEY_CITATION_v3_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"/>
                <w:id w:val="1703052210"/>
                <w:placeholder>
                  <w:docPart w:val="53263D66753F864BA248D609BD120A46"/>
                </w:placeholder>
              </w:sdtPr>
              <w:sdtContent>
                <w:r w:rsidRPr="00273871">
                  <w:rPr>
                    <w:color w:val="000000"/>
                  </w:rPr>
                  <w:t>(DEWHA, 2009a)</w:t>
                </w:r>
              </w:sdtContent>
            </w:sdt>
            <w:r>
              <w:t>.</w:t>
            </w:r>
          </w:p>
          <w:p w14:paraId="0C8503FB" w14:textId="77777777" w:rsidR="008C1AD8" w:rsidRPr="003E1ADD" w:rsidRDefault="008C1AD8" w:rsidP="00A15226">
            <w:pPr>
              <w:pStyle w:val="Tabletext"/>
            </w:pPr>
            <w:r>
              <w:t xml:space="preserve">As of 2008, the population size was estimated to be between 30,000 – 50,000 plants in 120 populations </w:t>
            </w:r>
            <w:sdt>
              <w:sdtPr>
                <w:rPr>
                  <w:color w:val="000000"/>
                </w:rPr>
                <w:tag w:val="MENDELEY_CITATION_v3_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"/>
                <w:id w:val="-1595779847"/>
                <w:placeholder>
                  <w:docPart w:val="53263D66753F864BA248D609BD120A46"/>
                </w:placeholder>
              </w:sdtPr>
              <w:sdtContent>
                <w:r w:rsidRPr="00273871">
                  <w:rPr>
                    <w:color w:val="000000"/>
                  </w:rPr>
                  <w:t>(DSE, 2008)</w:t>
                </w:r>
              </w:sdtContent>
            </w:sdt>
            <w:r>
              <w:t xml:space="preserve">. The 2016 Conservation Advice notes that based on the state-wide database, there may be 88,000 plants occurring in 208 – 275 sites. The Conservation Advice notes that the record database for the Spiny Rice-flower includes multiple old and imprecise records, so this population estimate may be over-estimating the occurrence of the species. Populations are typically small (with many containing less than 100 plants), and often occur in small remnant patches of habitat less than 1 ha in size </w:t>
            </w:r>
            <w:sdt>
              <w:sdtPr>
                <w:rPr>
                  <w:color w:val="000000"/>
                </w:rPr>
                <w:tag w:val="MENDELEY_CITATION_v3_eyJjaXRhdGlvbklEIjoiTUVOREVMRVlfQ0lUQVRJT05fNjM1MGRiYzktY2IyMS00ZmU3LWI5OTAtNDY2ZDBlNTBlOTRm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450371866"/>
                <w:placeholder>
                  <w:docPart w:val="53263D66753F864BA248D609BD120A46"/>
                </w:placeholder>
              </w:sdtPr>
              <w:sdtContent>
                <w:r w:rsidRPr="00273871">
                  <w:rPr>
                    <w:color w:val="000000"/>
                  </w:rPr>
                  <w:t>(TSSC, 2016b)</w:t>
                </w:r>
              </w:sdtContent>
            </w:sdt>
            <w:r>
              <w:t>.</w:t>
            </w:r>
          </w:p>
        </w:tc>
      </w:tr>
      <w:tr w:rsidR="008C1AD8" w:rsidRPr="002F23FB" w14:paraId="13457827" w14:textId="77777777" w:rsidTr="00A15226">
        <w:tc>
          <w:tcPr>
            <w:tcW w:w="1526" w:type="dxa"/>
            <w:vAlign w:val="center"/>
          </w:tcPr>
          <w:p w14:paraId="376F8187" w14:textId="77777777" w:rsidR="008C1AD8" w:rsidRPr="000816D6" w:rsidRDefault="008C1AD8" w:rsidP="00A15226">
            <w:pPr>
              <w:pStyle w:val="Tabletext"/>
              <w:rPr>
                <w:rFonts w:ascii="Helvetica" w:hAnsi="Helvetica"/>
                <w:b/>
                <w:bCs/>
                <w:sz w:val="14"/>
              </w:rPr>
            </w:pPr>
            <w:r>
              <w:rPr>
                <w:rFonts w:ascii="Helvetica" w:hAnsi="Helvetica"/>
                <w:b/>
                <w:bCs/>
                <w:sz w:val="14"/>
              </w:rPr>
              <w:t>THREATS</w:t>
            </w:r>
          </w:p>
        </w:tc>
        <w:tc>
          <w:tcPr>
            <w:tcW w:w="8113" w:type="dxa"/>
            <w:vAlign w:val="center"/>
          </w:tcPr>
          <w:p w14:paraId="4BC8DE53" w14:textId="77777777" w:rsidR="008C1AD8" w:rsidRDefault="008C1AD8" w:rsidP="00A15226">
            <w:pPr>
              <w:pStyle w:val="Tabletext"/>
              <w:keepNext/>
            </w:pPr>
            <w:r>
              <w:t xml:space="preserve">The species’ Conservation Advice </w:t>
            </w:r>
            <w:sdt>
              <w:sdtPr>
                <w:rPr>
                  <w:color w:val="000000"/>
                </w:rPr>
                <w:tag w:val="MENDELEY_CITATION_v3_eyJjaXRhdGlvbklEIjoiTUVOREVMRVlfQ0lUQVRJT05fNGY2OTUyMTAtYTJjYy00ZDE1LTgwNDktY2JkZjEzOTVlODM3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623691354"/>
                <w:placeholder>
                  <w:docPart w:val="53263D66753F864BA248D609BD120A46"/>
                </w:placeholder>
              </w:sdtPr>
              <w:sdtContent>
                <w:r w:rsidRPr="00273871">
                  <w:rPr>
                    <w:color w:val="000000"/>
                  </w:rPr>
                  <w:t>(TSSC, 2016b)</w:t>
                </w:r>
              </w:sdtContent>
            </w:sdt>
            <w:r>
              <w:t xml:space="preserve">, Recovery Plan </w:t>
            </w:r>
            <w:sdt>
              <w:sdtPr>
                <w:rPr>
                  <w:color w:val="000000"/>
                </w:rPr>
                <w:tag w:val="MENDELEY_CITATION_v3_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"/>
                <w:id w:val="-181590906"/>
                <w:placeholder>
                  <w:docPart w:val="53263D66753F864BA248D609BD120A46"/>
                </w:placeholder>
              </w:sdtPr>
              <w:sdtContent>
                <w:r>
                  <w:rPr>
                    <w:rFonts w:eastAsia="Times New Roman"/>
                  </w:rPr>
                  <w:t>(Carter &amp; Walsh, 2006)</w:t>
                </w:r>
              </w:sdtContent>
            </w:sdt>
            <w:r>
              <w:rPr>
                <w:i/>
                <w:iCs/>
              </w:rPr>
              <w:t xml:space="preserve"> </w:t>
            </w:r>
            <w:r>
              <w:t xml:space="preserve">and Significant Impact Guidelines </w:t>
            </w:r>
            <w:sdt>
              <w:sdtPr>
                <w:rPr>
                  <w:color w:val="000000"/>
                </w:rPr>
                <w:tag w:val="MENDELEY_CITATION_v3_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"/>
                <w:id w:val="-1290654657"/>
                <w:placeholder>
                  <w:docPart w:val="53263D66753F864BA248D609BD120A46"/>
                </w:placeholder>
              </w:sdtPr>
              <w:sdtContent>
                <w:r w:rsidRPr="00273871">
                  <w:rPr>
                    <w:color w:val="000000"/>
                  </w:rPr>
                  <w:t>(DEWHA, 2009b)</w:t>
                </w:r>
              </w:sdtContent>
            </w:sdt>
            <w:r>
              <w:t xml:space="preserve"> have identified the following threats:</w:t>
            </w:r>
          </w:p>
          <w:p w14:paraId="7405FE86" w14:textId="77777777" w:rsidR="008C1AD8" w:rsidRDefault="008C1AD8" w:rsidP="00A15226">
            <w:pPr>
              <w:pStyle w:val="Bullet1"/>
            </w:pPr>
            <w:r>
              <w:t>Habitat loss and fragmentation due to:</w:t>
            </w:r>
          </w:p>
          <w:p w14:paraId="25025BDC" w14:textId="77777777" w:rsidR="008C1AD8" w:rsidRDefault="008C1AD8" w:rsidP="00A15226">
            <w:pPr>
              <w:pStyle w:val="Bullet2"/>
            </w:pPr>
            <w:r>
              <w:lastRenderedPageBreak/>
              <w:t>Pasture improvement and agricultural intensification</w:t>
            </w:r>
          </w:p>
          <w:p w14:paraId="668AC017" w14:textId="77777777" w:rsidR="008C1AD8" w:rsidRDefault="008C1AD8" w:rsidP="00A15226">
            <w:pPr>
              <w:pStyle w:val="Bullet2"/>
            </w:pPr>
            <w:r>
              <w:t>Road and rail maintenance</w:t>
            </w:r>
          </w:p>
          <w:p w14:paraId="73F822E5" w14:textId="77777777" w:rsidR="008C1AD8" w:rsidRDefault="008C1AD8" w:rsidP="00A15226">
            <w:pPr>
              <w:pStyle w:val="Bullet2"/>
            </w:pPr>
            <w:r>
              <w:t>Changing land use from farming to industrial and residential land uses</w:t>
            </w:r>
          </w:p>
          <w:p w14:paraId="115FA4A7" w14:textId="77777777" w:rsidR="008C1AD8" w:rsidRDefault="008C1AD8" w:rsidP="00A15226">
            <w:pPr>
              <w:pStyle w:val="Bullet1"/>
            </w:pPr>
            <w:r>
              <w:t>Inappropriate fire regimes</w:t>
            </w:r>
          </w:p>
          <w:p w14:paraId="1D3C5F14" w14:textId="77777777" w:rsidR="008C1AD8" w:rsidRDefault="008C1AD8" w:rsidP="00A15226">
            <w:pPr>
              <w:pStyle w:val="Bullet1"/>
            </w:pPr>
            <w:r>
              <w:t>Weed invasion</w:t>
            </w:r>
          </w:p>
          <w:p w14:paraId="301855E3" w14:textId="77777777" w:rsidR="008C1AD8" w:rsidRDefault="008C1AD8" w:rsidP="00A15226">
            <w:pPr>
              <w:pStyle w:val="Bullet1"/>
            </w:pPr>
            <w:r>
              <w:t>Grazing by feral herbivores and livestock</w:t>
            </w:r>
          </w:p>
          <w:p w14:paraId="30A3B437" w14:textId="77777777" w:rsidR="008C1AD8" w:rsidRPr="003E1ADD" w:rsidRDefault="008C1AD8" w:rsidP="00A15226">
            <w:pPr>
              <w:pStyle w:val="Bullet1"/>
            </w:pPr>
            <w:r>
              <w:t>Small and declining populations with limited gene flow</w:t>
            </w:r>
          </w:p>
        </w:tc>
      </w:tr>
      <w:tr w:rsidR="008C1AD8" w:rsidRPr="002F23FB" w14:paraId="1F57F830" w14:textId="77777777" w:rsidTr="00A15226">
        <w:tc>
          <w:tcPr>
            <w:tcW w:w="1526" w:type="dxa"/>
            <w:vAlign w:val="center"/>
          </w:tcPr>
          <w:p w14:paraId="6B1F1F4C" w14:textId="77777777" w:rsidR="008C1AD8" w:rsidRPr="000816D6" w:rsidRDefault="008C1AD8" w:rsidP="00A15226">
            <w:pPr>
              <w:pStyle w:val="Tabletext"/>
              <w:rPr>
                <w:rFonts w:ascii="Helvetica" w:hAnsi="Helvetica"/>
                <w:b/>
                <w:bCs/>
                <w:sz w:val="14"/>
              </w:rPr>
            </w:pPr>
            <w:r w:rsidRPr="000816D6">
              <w:rPr>
                <w:rFonts w:ascii="Helvetica" w:hAnsi="Helvetica"/>
                <w:b/>
                <w:bCs/>
                <w:sz w:val="14"/>
              </w:rPr>
              <w:lastRenderedPageBreak/>
              <w:t>RELEVANT PLANS AND POLICIES</w:t>
            </w:r>
          </w:p>
        </w:tc>
        <w:tc>
          <w:tcPr>
            <w:tcW w:w="8113" w:type="dxa"/>
            <w:vAlign w:val="center"/>
          </w:tcPr>
          <w:p w14:paraId="24008A1E" w14:textId="77777777" w:rsidR="008C1AD8" w:rsidRDefault="008C1AD8" w:rsidP="00A15226">
            <w:pPr>
              <w:pStyle w:val="Tabletext"/>
            </w:pPr>
            <w:r w:rsidRPr="00F2303D">
              <w:t xml:space="preserve">Conservation Advice </w:t>
            </w:r>
            <w:r w:rsidRPr="00F2303D">
              <w:rPr>
                <w:i/>
                <w:iCs/>
              </w:rPr>
              <w:t>Pimelea spinescens</w:t>
            </w:r>
            <w:r w:rsidRPr="00F2303D">
              <w:t xml:space="preserve"> subsp. </w:t>
            </w:r>
            <w:r w:rsidRPr="00F2303D">
              <w:rPr>
                <w:i/>
                <w:iCs/>
              </w:rPr>
              <w:t>spinescens</w:t>
            </w:r>
            <w:r w:rsidRPr="00F2303D">
              <w:t xml:space="preserve"> Spiny Rice-</w:t>
            </w:r>
            <w:r>
              <w:t>f</w:t>
            </w:r>
            <w:r w:rsidRPr="00F2303D">
              <w:t>lower</w:t>
            </w:r>
            <w:r>
              <w:t xml:space="preserve"> </w:t>
            </w:r>
            <w:sdt>
              <w:sdtPr>
                <w:rPr>
                  <w:color w:val="000000"/>
                </w:rPr>
                <w:tag w:val="MENDELEY_CITATION_v3_eyJjaXRhdGlvbklEIjoiTUVOREVMRVlfQ0lUQVRJT05fZWI3NzZlNDgtZjAxYi00ZGM1LWEzYWMtNGZiMGY5NWFlOWRh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1003007629"/>
                <w:placeholder>
                  <w:docPart w:val="53263D66753F864BA248D609BD120A46"/>
                </w:placeholder>
              </w:sdtPr>
              <w:sdtContent>
                <w:r w:rsidRPr="00273871">
                  <w:rPr>
                    <w:color w:val="000000"/>
                  </w:rPr>
                  <w:t>(TSSC, 2016b)</w:t>
                </w:r>
              </w:sdtContent>
            </w:sdt>
          </w:p>
          <w:p w14:paraId="43BF5CC4" w14:textId="77777777" w:rsidR="008C1AD8" w:rsidRDefault="008C1AD8" w:rsidP="00A15226">
            <w:pPr>
              <w:pStyle w:val="Tabletext"/>
              <w:rPr>
                <w:i/>
                <w:iCs/>
              </w:rPr>
            </w:pPr>
            <w:r>
              <w:t xml:space="preserve">National Recovery Plan for the Spiny Rice-flower </w:t>
            </w:r>
            <w:r>
              <w:rPr>
                <w:i/>
                <w:iCs/>
              </w:rPr>
              <w:t xml:space="preserve">Pimelea spinescens </w:t>
            </w:r>
            <w:r>
              <w:t xml:space="preserve">subsp. </w:t>
            </w:r>
            <w:r>
              <w:rPr>
                <w:i/>
                <w:iCs/>
              </w:rPr>
              <w:t xml:space="preserve">spinescens </w:t>
            </w:r>
            <w:sdt>
              <w:sdtPr>
                <w:rPr>
                  <w:iCs/>
                  <w:color w:val="000000"/>
                </w:rPr>
                <w:tag w:val="MENDELEY_CITATION_v3_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"/>
                <w:id w:val="243773210"/>
                <w:placeholder>
                  <w:docPart w:val="53263D66753F864BA248D609BD120A46"/>
                </w:placeholder>
              </w:sdtPr>
              <w:sdtEndPr>
                <w:rPr>
                  <w:iCs w:val="0"/>
                </w:rPr>
              </w:sdtEndPr>
              <w:sdtContent>
                <w:r>
                  <w:rPr>
                    <w:rFonts w:eastAsia="Times New Roman"/>
                  </w:rPr>
                  <w:t>(Carter &amp; Walsh, 2006)</w:t>
                </w:r>
              </w:sdtContent>
            </w:sdt>
          </w:p>
          <w:p w14:paraId="1F56AA11" w14:textId="77777777" w:rsidR="008C1AD8" w:rsidRDefault="008C1AD8" w:rsidP="00A15226">
            <w:pPr>
              <w:pStyle w:val="Tabletext"/>
            </w:pPr>
            <w:r>
              <w:t xml:space="preserve">Commonwealth Listing Advice on </w:t>
            </w:r>
            <w:r>
              <w:rPr>
                <w:i/>
                <w:iCs/>
              </w:rPr>
              <w:t xml:space="preserve">Pimelea spinescens </w:t>
            </w:r>
            <w:r>
              <w:t xml:space="preserve">subsp. </w:t>
            </w:r>
            <w:r>
              <w:rPr>
                <w:i/>
                <w:iCs/>
              </w:rPr>
              <w:t xml:space="preserve">spinescens </w:t>
            </w:r>
            <w:r>
              <w:t xml:space="preserve">(Plains Rice-flower, Spiny Rice-flower, Prickly Pimelea) </w:t>
            </w:r>
            <w:sdt>
              <w:sdtPr>
                <w:rPr>
                  <w:color w:val="000000"/>
                </w:rPr>
                <w:tag w:val="MENDELEY_CITATION_v3_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"/>
                <w:id w:val="-162170790"/>
                <w:placeholder>
                  <w:docPart w:val="53263D66753F864BA248D609BD120A46"/>
                </w:placeholder>
              </w:sdtPr>
              <w:sdtContent>
                <w:r w:rsidRPr="00273871">
                  <w:rPr>
                    <w:color w:val="000000"/>
                  </w:rPr>
                  <w:t>(TSSC, 2003)</w:t>
                </w:r>
              </w:sdtContent>
            </w:sdt>
          </w:p>
          <w:p w14:paraId="5AC70000" w14:textId="77777777" w:rsidR="008C1AD8" w:rsidRPr="00900078" w:rsidRDefault="008C1AD8" w:rsidP="00A15226">
            <w:pPr>
              <w:pStyle w:val="Tabletext"/>
              <w:rPr>
                <w:iCs/>
              </w:rPr>
            </w:pPr>
            <w:r>
              <w:rPr>
                <w:iCs/>
              </w:rPr>
              <w:t xml:space="preserve">Threat abatement plan for competition and land degradation by rabbits </w:t>
            </w:r>
            <w:sdt>
              <w:sdtPr>
                <w:rPr>
                  <w:iCs/>
                  <w:color w:val="000000"/>
                </w:rPr>
                <w:tag w:val="MENDELEY_CITATION_v3_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"/>
                <w:id w:val="-1481300797"/>
                <w:placeholder>
                  <w:docPart w:val="53263D66753F864BA248D609BD120A46"/>
                </w:placeholder>
              </w:sdtPr>
              <w:sdtEndPr>
                <w:rPr>
                  <w:iCs w:val="0"/>
                </w:rPr>
              </w:sdtEndPr>
              <w:sdtContent>
                <w:r w:rsidRPr="00273871">
                  <w:rPr>
                    <w:color w:val="000000"/>
                  </w:rPr>
                  <w:t>(DoEE, 2016c)</w:t>
                </w:r>
              </w:sdtContent>
            </w:sdt>
          </w:p>
        </w:tc>
      </w:tr>
      <w:tr w:rsidR="008C1AD8" w:rsidRPr="000816D6" w14:paraId="6D0456EB" w14:textId="77777777" w:rsidTr="00A15226">
        <w:tc>
          <w:tcPr>
            <w:tcW w:w="1526" w:type="dxa"/>
            <w:vAlign w:val="center"/>
          </w:tcPr>
          <w:p w14:paraId="0CD90A67"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7D70D766" w14:textId="77777777" w:rsidR="008C1AD8" w:rsidRPr="00980D4D" w:rsidRDefault="008C1AD8" w:rsidP="00A15226">
            <w:pPr>
              <w:pStyle w:val="Tabletext"/>
            </w:pPr>
            <w:r w:rsidRPr="00A52F68">
              <w:t>EPBC Act Policy Statement 3.11 - Significant Impact Guidelines for the Critically Endangered Spiny Rice-flower (</w:t>
            </w:r>
            <w:r w:rsidRPr="00CE00F3">
              <w:rPr>
                <w:i/>
                <w:iCs/>
              </w:rPr>
              <w:t>Pimelea spinescens</w:t>
            </w:r>
            <w:r w:rsidRPr="00A52F68">
              <w:t xml:space="preserve"> subsp. </w:t>
            </w:r>
            <w:r w:rsidRPr="00CE00F3">
              <w:rPr>
                <w:i/>
                <w:iCs/>
              </w:rPr>
              <w:t>spinescens</w:t>
            </w:r>
            <w:r w:rsidRPr="00A52F68">
              <w:t>)</w:t>
            </w:r>
            <w:r>
              <w:t xml:space="preserve"> </w:t>
            </w:r>
            <w:sdt>
              <w:sdtPr>
                <w:rPr>
                  <w:color w:val="000000"/>
                </w:rPr>
                <w:tag w:val="MENDELEY_CITATION_v3_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"/>
                <w:id w:val="-1581061233"/>
                <w:placeholder>
                  <w:docPart w:val="53263D66753F864BA248D609BD120A46"/>
                </w:placeholder>
              </w:sdtPr>
              <w:sdtContent>
                <w:r w:rsidRPr="00273871">
                  <w:rPr>
                    <w:color w:val="000000"/>
                  </w:rPr>
                  <w:t>(DEWHA, 2009b)</w:t>
                </w:r>
              </w:sdtContent>
            </w:sdt>
          </w:p>
        </w:tc>
      </w:tr>
      <w:tr w:rsidR="008C1AD8" w:rsidRPr="000816D6" w14:paraId="4336468F" w14:textId="77777777" w:rsidTr="00A15226">
        <w:tc>
          <w:tcPr>
            <w:tcW w:w="1526" w:type="dxa"/>
            <w:vAlign w:val="center"/>
          </w:tcPr>
          <w:p w14:paraId="5A8760BE"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16973E1B" w14:textId="77777777" w:rsidR="008C1AD8" w:rsidRPr="003E1ADD" w:rsidRDefault="008C1AD8" w:rsidP="00A15226">
            <w:pPr>
              <w:pStyle w:val="Tabletext"/>
            </w:pPr>
            <w:r w:rsidRPr="00A52F68">
              <w:t>http://www.environment.gov.au/cgi-bin/sprat/public/publicspecies.pl?taxon_id=21980</w:t>
            </w:r>
          </w:p>
        </w:tc>
      </w:tr>
    </w:tbl>
    <w:p w14:paraId="143DB0FF"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4B99F179" w14:textId="77777777" w:rsidTr="00A15226">
        <w:tc>
          <w:tcPr>
            <w:tcW w:w="9622" w:type="dxa"/>
            <w:shd w:val="clear" w:color="auto" w:fill="C9C9C9" w:themeFill="accent3" w:themeFillTint="99"/>
          </w:tcPr>
          <w:p w14:paraId="1DBBE055" w14:textId="77777777" w:rsidR="008C1AD8" w:rsidRPr="008F55BC" w:rsidRDefault="008C1AD8" w:rsidP="00A15226">
            <w:pPr>
              <w:pStyle w:val="Tabletext"/>
              <w:rPr>
                <w:b/>
                <w:bCs/>
              </w:rPr>
            </w:pPr>
            <w:r>
              <w:rPr>
                <w:rFonts w:ascii="Helvetica" w:hAnsi="Helvetica"/>
                <w:b/>
                <w:sz w:val="16"/>
                <w:szCs w:val="16"/>
              </w:rPr>
              <w:t>APPROACH TO BASELINE DATA</w:t>
            </w:r>
          </w:p>
        </w:tc>
      </w:tr>
    </w:tbl>
    <w:p w14:paraId="6BD18B91" w14:textId="77777777" w:rsidR="008C1AD8" w:rsidRPr="0007741A" w:rsidRDefault="008C1AD8" w:rsidP="008C1AD8">
      <w:pPr>
        <w:rPr>
          <w:i/>
          <w:iCs/>
          <w:color w:val="4472C4" w:themeColor="accent1"/>
        </w:rPr>
      </w:pPr>
      <w:r w:rsidRPr="0007741A">
        <w:rPr>
          <w:i/>
          <w:iCs/>
          <w:color w:val="4472C4" w:themeColor="accent1"/>
        </w:rPr>
        <w:t>This section provides a summary of the baseline information used in the assessment. It sets out:</w:t>
      </w:r>
    </w:p>
    <w:p w14:paraId="60E426FF" w14:textId="77777777" w:rsidR="008C1AD8" w:rsidRPr="0007741A" w:rsidRDefault="008C1AD8" w:rsidP="008C1AD8">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2BB8DF14" w14:textId="77777777" w:rsidR="008C1AD8" w:rsidRDefault="008C1AD8" w:rsidP="008C1AD8">
      <w:pPr>
        <w:pStyle w:val="Bullet1"/>
        <w:rPr>
          <w:i/>
          <w:iCs/>
          <w:color w:val="4472C4" w:themeColor="accent1"/>
        </w:rPr>
      </w:pPr>
      <w:r w:rsidRPr="0007741A">
        <w:rPr>
          <w:i/>
          <w:iCs/>
          <w:color w:val="4472C4" w:themeColor="accent1"/>
        </w:rPr>
        <w:t>An overview of the population mapping for the species</w:t>
      </w:r>
    </w:p>
    <w:p w14:paraId="6E52BEF4" w14:textId="77777777" w:rsidR="008C1AD8" w:rsidRPr="00296917" w:rsidRDefault="008C1AD8" w:rsidP="008C1AD8">
      <w:pPr>
        <w:rPr>
          <w:i/>
          <w:color w:val="4472C4" w:themeColor="accent1"/>
        </w:rPr>
      </w:pPr>
      <w:r w:rsidRPr="000816D6">
        <w:rPr>
          <w:i/>
          <w:color w:val="4472C4" w:themeColor="accent1"/>
        </w:rPr>
        <w:t>Please refer t</w:t>
      </w:r>
      <w:r w:rsidRPr="00291639">
        <w:rPr>
          <w:i/>
          <w:color w:val="4472C4" w:themeColor="accent1"/>
        </w:rPr>
        <w:t xml:space="preserve">o </w:t>
      </w:r>
      <w:r w:rsidRPr="009E63A2">
        <w:rPr>
          <w:i/>
          <w:color w:val="4472C4" w:themeColor="accent1"/>
        </w:rPr>
        <w:t>Chapter 13</w:t>
      </w:r>
      <w:r w:rsidRPr="00291639">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980D4D" w14:paraId="650EA132" w14:textId="77777777" w:rsidTr="00A15226">
        <w:tc>
          <w:tcPr>
            <w:tcW w:w="1526" w:type="dxa"/>
            <w:vMerge w:val="restart"/>
            <w:vAlign w:val="center"/>
          </w:tcPr>
          <w:p w14:paraId="77749BC9" w14:textId="77777777" w:rsidR="008C1AD8" w:rsidRDefault="008C1AD8"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4F8965AE" w14:textId="77777777" w:rsidR="008C1AD8" w:rsidRDefault="008C1AD8" w:rsidP="00A15226">
            <w:pPr>
              <w:pStyle w:val="Bullet1"/>
              <w:numPr>
                <w:ilvl w:val="0"/>
                <w:numId w:val="0"/>
              </w:numPr>
              <w:ind w:left="360" w:hanging="360"/>
            </w:pPr>
            <w:r w:rsidRPr="000F219F">
              <w:rPr>
                <w:rFonts w:ascii="Helvetica" w:hAnsi="Helvetica"/>
                <w:b/>
                <w:bCs/>
                <w:sz w:val="14"/>
              </w:rPr>
              <w:t>WITHIN THE SURVEYED AREAS OF THE GROWTH AREAS</w:t>
            </w:r>
          </w:p>
        </w:tc>
      </w:tr>
      <w:tr w:rsidR="008C1AD8" w:rsidRPr="00980D4D" w14:paraId="262CA272" w14:textId="77777777" w:rsidTr="00A15226">
        <w:tc>
          <w:tcPr>
            <w:tcW w:w="1526" w:type="dxa"/>
            <w:vMerge/>
            <w:vAlign w:val="center"/>
          </w:tcPr>
          <w:p w14:paraId="7D4AE4F6" w14:textId="77777777" w:rsidR="008C1AD8" w:rsidRDefault="008C1AD8" w:rsidP="00A15226">
            <w:pPr>
              <w:pStyle w:val="Tabletext"/>
              <w:rPr>
                <w:rFonts w:ascii="Helvetica" w:hAnsi="Helvetica"/>
                <w:b/>
                <w:bCs/>
                <w:sz w:val="14"/>
              </w:rPr>
            </w:pPr>
          </w:p>
        </w:tc>
        <w:tc>
          <w:tcPr>
            <w:tcW w:w="8113" w:type="dxa"/>
            <w:vAlign w:val="center"/>
          </w:tcPr>
          <w:p w14:paraId="3D3E9D7D" w14:textId="77777777" w:rsidR="008C1AD8" w:rsidRDefault="008C1AD8" w:rsidP="00A15226">
            <w:pPr>
              <w:pStyle w:val="Tabletext"/>
            </w:pPr>
            <w:r w:rsidRPr="008062B3">
              <w:t>There are no areas of habitat mapped within the Growth Areas based on the results of ecological surveys, which concluded that the Growth Areas are unlikely to support habitat for the Spiny Rice-flower</w:t>
            </w:r>
            <w:r>
              <w:t xml:space="preserve"> </w:t>
            </w:r>
            <w:sdt>
              <w:sdtPr>
                <w:rPr>
                  <w:color w:val="000000"/>
                </w:rPr>
                <w:tag w:val="MENDELEY_CITATION_v3_eyJjaXRhdGlvbklEIjoiTUVOREVMRVlfQ0lUQVRJT05fMGVjZTBhYTMtY2I2My00MDU3LWFmODYtNjlmYWRlODljY2Y3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469430829"/>
                <w:placeholder>
                  <w:docPart w:val="53263D66753F864BA248D609BD120A46"/>
                </w:placeholder>
              </w:sdtPr>
              <w:sdtContent>
                <w:r w:rsidRPr="00273871">
                  <w:rPr>
                    <w:color w:val="000000"/>
                  </w:rPr>
                  <w:t>(EHP, 2021)</w:t>
                </w:r>
              </w:sdtContent>
            </w:sdt>
          </w:p>
        </w:tc>
      </w:tr>
      <w:tr w:rsidR="008C1AD8" w:rsidRPr="00980D4D" w14:paraId="181FDE35" w14:textId="77777777" w:rsidTr="00A15226">
        <w:tc>
          <w:tcPr>
            <w:tcW w:w="1526" w:type="dxa"/>
            <w:vMerge/>
            <w:vAlign w:val="center"/>
          </w:tcPr>
          <w:p w14:paraId="1960C7AF"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30D93701" w14:textId="77777777" w:rsidR="008C1AD8" w:rsidRDefault="008C1AD8" w:rsidP="00A15226">
            <w:pPr>
              <w:pStyle w:val="Bullet1"/>
              <w:numPr>
                <w:ilvl w:val="0"/>
                <w:numId w:val="0"/>
              </w:numPr>
              <w:ind w:left="360" w:hanging="360"/>
            </w:pPr>
            <w:r w:rsidRPr="000F219F">
              <w:rPr>
                <w:rFonts w:ascii="Helvetica" w:hAnsi="Helvetica"/>
                <w:b/>
                <w:bCs/>
                <w:sz w:val="14"/>
              </w:rPr>
              <w:t>WITHIN THE UNSURVEYED AREAS OF THE GROWTH AREAS</w:t>
            </w:r>
          </w:p>
        </w:tc>
      </w:tr>
      <w:tr w:rsidR="008C1AD8" w:rsidRPr="00980D4D" w14:paraId="4A8C8525" w14:textId="77777777" w:rsidTr="00A15226">
        <w:tc>
          <w:tcPr>
            <w:tcW w:w="1526" w:type="dxa"/>
            <w:vMerge/>
            <w:vAlign w:val="center"/>
          </w:tcPr>
          <w:p w14:paraId="199C5D9D" w14:textId="77777777" w:rsidR="008C1AD8" w:rsidRPr="000816D6" w:rsidRDefault="008C1AD8" w:rsidP="00A15226">
            <w:pPr>
              <w:pStyle w:val="Tabletext"/>
              <w:rPr>
                <w:rFonts w:ascii="Helvetica" w:hAnsi="Helvetica"/>
                <w:b/>
                <w:bCs/>
                <w:sz w:val="14"/>
              </w:rPr>
            </w:pPr>
          </w:p>
        </w:tc>
        <w:tc>
          <w:tcPr>
            <w:tcW w:w="8113" w:type="dxa"/>
            <w:vAlign w:val="center"/>
          </w:tcPr>
          <w:p w14:paraId="1EC01905" w14:textId="77777777" w:rsidR="008C1AD8" w:rsidRPr="00980D4D" w:rsidRDefault="008C1AD8" w:rsidP="00A15226">
            <w:pPr>
              <w:pStyle w:val="Tabletext"/>
            </w:pPr>
            <w:r w:rsidRPr="008062B3">
              <w:t>There are no areas of habitat mapped within the unsurveyed areas of the Growth Areas based on observations from ecological surveys, which concluded that the unsurveyed areas are likely to support ecological</w:t>
            </w:r>
            <w:r>
              <w:t xml:space="preserve"> values consistent with those already confirmed within the surveyed areas of the Growth Areas </w:t>
            </w:r>
            <w:sdt>
              <w:sdtPr>
                <w:rPr>
                  <w:color w:val="000000"/>
                </w:rPr>
                <w:tag w:val="MENDELEY_CITATION_v3_eyJjaXRhdGlvbklEIjoiTUVOREVMRVlfQ0lUQVRJT05fZGQ1OWM0MmItODNhMC00NzRlLWE3MjctOTQ4NDNmZTYxNTB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919369556"/>
                <w:placeholder>
                  <w:docPart w:val="53263D66753F864BA248D609BD120A46"/>
                </w:placeholder>
              </w:sdtPr>
              <w:sdtContent>
                <w:r w:rsidRPr="00273871">
                  <w:rPr>
                    <w:color w:val="000000"/>
                  </w:rPr>
                  <w:t>(EHP, 2021)</w:t>
                </w:r>
              </w:sdtContent>
            </w:sdt>
          </w:p>
        </w:tc>
      </w:tr>
      <w:tr w:rsidR="008C1AD8" w:rsidRPr="00980D4D" w14:paraId="64B2548C" w14:textId="77777777" w:rsidTr="00A15226">
        <w:tc>
          <w:tcPr>
            <w:tcW w:w="1526" w:type="dxa"/>
            <w:vMerge/>
            <w:vAlign w:val="center"/>
          </w:tcPr>
          <w:p w14:paraId="0BDCBC5A" w14:textId="77777777" w:rsidR="008C1AD8" w:rsidRPr="000816D6" w:rsidRDefault="008C1AD8" w:rsidP="00A15226">
            <w:pPr>
              <w:pStyle w:val="Bullet1"/>
              <w:numPr>
                <w:ilvl w:val="0"/>
                <w:numId w:val="0"/>
              </w:numPr>
              <w:ind w:left="360" w:hanging="360"/>
              <w:rPr>
                <w:rFonts w:ascii="Helvetica" w:hAnsi="Helvetica"/>
                <w:b/>
                <w:bCs/>
                <w:sz w:val="14"/>
              </w:rPr>
            </w:pPr>
          </w:p>
        </w:tc>
        <w:tc>
          <w:tcPr>
            <w:tcW w:w="8113" w:type="dxa"/>
            <w:shd w:val="clear" w:color="auto" w:fill="B4C6E7" w:themeFill="accent1" w:themeFillTint="66"/>
            <w:vAlign w:val="center"/>
          </w:tcPr>
          <w:p w14:paraId="2E328F5B" w14:textId="77777777" w:rsidR="008C1AD8" w:rsidRPr="000F219F" w:rsidRDefault="008C1AD8" w:rsidP="00A15226">
            <w:pPr>
              <w:pStyle w:val="Bullet1"/>
              <w:numPr>
                <w:ilvl w:val="0"/>
                <w:numId w:val="0"/>
              </w:numPr>
              <w:ind w:left="360" w:hanging="360"/>
              <w:rPr>
                <w:rFonts w:ascii="Helvetica" w:hAnsi="Helvetica"/>
                <w:b/>
                <w:bCs/>
                <w:sz w:val="14"/>
              </w:rPr>
            </w:pPr>
            <w:r w:rsidRPr="000816D6">
              <w:rPr>
                <w:rFonts w:ascii="Helvetica" w:hAnsi="Helvetica"/>
                <w:b/>
                <w:bCs/>
                <w:sz w:val="14"/>
              </w:rPr>
              <w:t xml:space="preserve">OUTSIDE THE </w:t>
            </w:r>
            <w:r>
              <w:rPr>
                <w:rFonts w:ascii="Helvetica" w:hAnsi="Helvetica"/>
                <w:b/>
                <w:bCs/>
                <w:sz w:val="14"/>
              </w:rPr>
              <w:t>GROWTH AREAS</w:t>
            </w:r>
          </w:p>
        </w:tc>
      </w:tr>
      <w:tr w:rsidR="008C1AD8" w:rsidRPr="00980D4D" w14:paraId="03D8C116" w14:textId="77777777" w:rsidTr="00A15226">
        <w:tc>
          <w:tcPr>
            <w:tcW w:w="1526" w:type="dxa"/>
            <w:vMerge/>
            <w:vAlign w:val="center"/>
          </w:tcPr>
          <w:p w14:paraId="28626B6F" w14:textId="77777777" w:rsidR="008C1AD8" w:rsidRPr="000816D6" w:rsidRDefault="008C1AD8" w:rsidP="00A15226">
            <w:pPr>
              <w:pStyle w:val="Tabletext"/>
              <w:rPr>
                <w:rFonts w:ascii="Helvetica" w:hAnsi="Helvetica"/>
                <w:b/>
                <w:bCs/>
                <w:sz w:val="14"/>
              </w:rPr>
            </w:pPr>
          </w:p>
        </w:tc>
        <w:tc>
          <w:tcPr>
            <w:tcW w:w="8113" w:type="dxa"/>
            <w:vAlign w:val="center"/>
          </w:tcPr>
          <w:p w14:paraId="62C03C5E" w14:textId="77777777" w:rsidR="008C1AD8" w:rsidRPr="00980D4D" w:rsidRDefault="008C1AD8" w:rsidP="00A15226">
            <w:pPr>
              <w:pStyle w:val="Tabletext"/>
            </w:pPr>
            <w:r>
              <w:t xml:space="preserve">Habitat mapping across the broader Strategic Assessment Area and Study Area was based on the Spiny Rice-flower HIM prepared by DELWP </w:t>
            </w:r>
            <w:sdt>
              <w:sdtPr>
                <w:rPr>
                  <w:color w:val="000000"/>
                </w:rPr>
                <w:tag w:val="MENDELEY_CITATION_v3_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"/>
                <w:id w:val="421303014"/>
                <w:placeholder>
                  <w:docPart w:val="53263D66753F864BA248D609BD120A46"/>
                </w:placeholder>
              </w:sdtPr>
              <w:sdtContent>
                <w:r w:rsidRPr="00273871">
                  <w:rPr>
                    <w:color w:val="000000"/>
                  </w:rPr>
                  <w:t>(DELWP, 2017d)</w:t>
                </w:r>
              </w:sdtContent>
            </w:sdt>
          </w:p>
        </w:tc>
      </w:tr>
      <w:tr w:rsidR="008C1AD8" w:rsidRPr="003E1ADD" w14:paraId="6A12DD54" w14:textId="77777777" w:rsidTr="00A15226">
        <w:tc>
          <w:tcPr>
            <w:tcW w:w="1526" w:type="dxa"/>
            <w:vMerge w:val="restart"/>
            <w:vAlign w:val="center"/>
          </w:tcPr>
          <w:p w14:paraId="2D7421CA" w14:textId="77777777" w:rsidR="008C1AD8" w:rsidRPr="000816D6" w:rsidRDefault="008C1AD8"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5B411015" w14:textId="77777777" w:rsidR="008C1AD8" w:rsidRPr="00BB022D" w:rsidRDefault="008C1AD8" w:rsidP="00A15226">
            <w:pPr>
              <w:pStyle w:val="Bullet1"/>
              <w:numPr>
                <w:ilvl w:val="0"/>
                <w:numId w:val="0"/>
              </w:numPr>
              <w:ind w:left="360" w:hanging="360"/>
            </w:pPr>
            <w:r w:rsidRPr="000816D6">
              <w:rPr>
                <w:rFonts w:ascii="Helvetica" w:hAnsi="Helvetica"/>
                <w:b/>
                <w:bCs/>
                <w:sz w:val="14"/>
              </w:rPr>
              <w:t>RECORD SELECTION</w:t>
            </w:r>
          </w:p>
        </w:tc>
      </w:tr>
      <w:tr w:rsidR="008C1AD8" w:rsidRPr="003E1ADD" w14:paraId="1CAEFE75" w14:textId="77777777" w:rsidTr="00A15226">
        <w:tc>
          <w:tcPr>
            <w:tcW w:w="1526" w:type="dxa"/>
            <w:vMerge/>
            <w:vAlign w:val="center"/>
          </w:tcPr>
          <w:p w14:paraId="70C1C856" w14:textId="77777777" w:rsidR="008C1AD8" w:rsidRDefault="008C1AD8" w:rsidP="00A15226">
            <w:pPr>
              <w:pStyle w:val="Tabletext"/>
              <w:rPr>
                <w:rFonts w:ascii="Helvetica" w:hAnsi="Helvetica"/>
                <w:b/>
                <w:bCs/>
                <w:sz w:val="14"/>
              </w:rPr>
            </w:pPr>
          </w:p>
        </w:tc>
        <w:tc>
          <w:tcPr>
            <w:tcW w:w="8113" w:type="dxa"/>
            <w:vAlign w:val="center"/>
          </w:tcPr>
          <w:p w14:paraId="552F8FDD" w14:textId="77777777" w:rsidR="008C1AD8" w:rsidRPr="00BB022D" w:rsidRDefault="008C1AD8" w:rsidP="00A15226">
            <w:pPr>
              <w:pStyle w:val="Tabletext"/>
            </w:pPr>
            <w:r w:rsidRPr="00D751AB">
              <w:t xml:space="preserve">Species records were </w:t>
            </w:r>
            <w:r>
              <w:t>downloaded</w:t>
            </w:r>
            <w:r w:rsidRPr="00D751AB">
              <w:t xml:space="preserve"> from </w:t>
            </w:r>
            <w:r>
              <w:t xml:space="preserve">the VBA. </w:t>
            </w:r>
            <w:r w:rsidRPr="00D751AB">
              <w:t xml:space="preserve">The </w:t>
            </w:r>
            <w:r>
              <w:t>VBA records were filtered to remove records prior to 1990 for the purpose of the impact assessment</w:t>
            </w:r>
          </w:p>
        </w:tc>
      </w:tr>
      <w:tr w:rsidR="008C1AD8" w:rsidRPr="003E1ADD" w14:paraId="2B91A78B" w14:textId="77777777" w:rsidTr="00A15226">
        <w:tc>
          <w:tcPr>
            <w:tcW w:w="1526" w:type="dxa"/>
            <w:vMerge/>
            <w:vAlign w:val="center"/>
          </w:tcPr>
          <w:p w14:paraId="00649AEF"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2E9880CB" w14:textId="77777777" w:rsidR="008C1AD8" w:rsidRPr="00BB022D" w:rsidRDefault="008C1AD8" w:rsidP="00A15226">
            <w:pPr>
              <w:pStyle w:val="Tabletext"/>
            </w:pPr>
            <w:r>
              <w:rPr>
                <w:rFonts w:ascii="Helvetica" w:hAnsi="Helvetica"/>
                <w:b/>
                <w:bCs/>
                <w:sz w:val="14"/>
              </w:rPr>
              <w:t>RECORD DOWNLOAD DATE</w:t>
            </w:r>
          </w:p>
        </w:tc>
      </w:tr>
      <w:tr w:rsidR="008C1AD8" w:rsidRPr="003E1ADD" w14:paraId="7F4B1139" w14:textId="77777777" w:rsidTr="00A15226">
        <w:tc>
          <w:tcPr>
            <w:tcW w:w="1526" w:type="dxa"/>
            <w:vMerge/>
            <w:vAlign w:val="center"/>
          </w:tcPr>
          <w:p w14:paraId="0DD53F6A" w14:textId="77777777" w:rsidR="008C1AD8" w:rsidRDefault="008C1AD8" w:rsidP="00A15226">
            <w:pPr>
              <w:pStyle w:val="Tabletext"/>
              <w:rPr>
                <w:rFonts w:ascii="Helvetica" w:hAnsi="Helvetica"/>
                <w:b/>
                <w:bCs/>
                <w:sz w:val="14"/>
              </w:rPr>
            </w:pPr>
          </w:p>
        </w:tc>
        <w:tc>
          <w:tcPr>
            <w:tcW w:w="8113" w:type="dxa"/>
            <w:vAlign w:val="center"/>
          </w:tcPr>
          <w:p w14:paraId="48EE76A9" w14:textId="77777777" w:rsidR="008C1AD8" w:rsidRPr="00BB022D" w:rsidRDefault="008C1AD8" w:rsidP="00A15226">
            <w:pPr>
              <w:pStyle w:val="Tabletext"/>
            </w:pPr>
            <w:r>
              <w:t>VBA records for Spiny Rice-flower used in this assessment were downloaded in June 2022</w:t>
            </w:r>
          </w:p>
        </w:tc>
      </w:tr>
      <w:tr w:rsidR="008C1AD8" w:rsidRPr="003E1ADD" w14:paraId="0DB86412" w14:textId="77777777" w:rsidTr="00A15226">
        <w:tc>
          <w:tcPr>
            <w:tcW w:w="1526" w:type="dxa"/>
            <w:vMerge/>
            <w:vAlign w:val="center"/>
          </w:tcPr>
          <w:p w14:paraId="7DE0C41F"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32D0C23D" w14:textId="77777777" w:rsidR="008C1AD8" w:rsidRPr="00BB022D" w:rsidRDefault="008C1AD8" w:rsidP="00A15226">
            <w:pPr>
              <w:pStyle w:val="Tabletext"/>
            </w:pPr>
            <w:r>
              <w:rPr>
                <w:rFonts w:ascii="Helvetica" w:hAnsi="Helvetica"/>
                <w:b/>
                <w:bCs/>
                <w:sz w:val="14"/>
              </w:rPr>
              <w:t>DEFINITIONS OF POPULATIONS</w:t>
            </w:r>
          </w:p>
        </w:tc>
      </w:tr>
      <w:tr w:rsidR="008C1AD8" w:rsidRPr="003E1ADD" w14:paraId="333C3DBE" w14:textId="77777777" w:rsidTr="00A15226">
        <w:tc>
          <w:tcPr>
            <w:tcW w:w="1526" w:type="dxa"/>
            <w:vMerge/>
            <w:vAlign w:val="center"/>
          </w:tcPr>
          <w:p w14:paraId="75E3CC12" w14:textId="77777777" w:rsidR="008C1AD8" w:rsidRDefault="008C1AD8" w:rsidP="00A15226">
            <w:pPr>
              <w:pStyle w:val="Tabletext"/>
              <w:rPr>
                <w:rFonts w:ascii="Helvetica" w:hAnsi="Helvetica"/>
                <w:b/>
                <w:bCs/>
                <w:sz w:val="14"/>
              </w:rPr>
            </w:pPr>
          </w:p>
        </w:tc>
        <w:tc>
          <w:tcPr>
            <w:tcW w:w="8113" w:type="dxa"/>
            <w:vAlign w:val="center"/>
          </w:tcPr>
          <w:p w14:paraId="3F18BDF5" w14:textId="77777777" w:rsidR="008C1AD8" w:rsidRPr="00BB022D" w:rsidRDefault="008C1AD8" w:rsidP="00A15226">
            <w:pPr>
              <w:pStyle w:val="Tabletext"/>
            </w:pPr>
            <w:r>
              <w:t>Population mapping was not undertaken for Spiny Rice-flower records</w:t>
            </w:r>
          </w:p>
        </w:tc>
      </w:tr>
    </w:tbl>
    <w:p w14:paraId="29195E6B"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5C13675D" w14:textId="77777777" w:rsidTr="00A15226">
        <w:tc>
          <w:tcPr>
            <w:tcW w:w="9622" w:type="dxa"/>
            <w:shd w:val="clear" w:color="auto" w:fill="C9C9C9" w:themeFill="accent3" w:themeFillTint="99"/>
          </w:tcPr>
          <w:p w14:paraId="4D47F1C8" w14:textId="77777777" w:rsidR="008C1AD8" w:rsidRPr="008F55BC" w:rsidRDefault="008C1AD8" w:rsidP="00A15226">
            <w:pPr>
              <w:pStyle w:val="Tabletext"/>
              <w:keepN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6F712F3A" w14:textId="77777777" w:rsidR="008C1AD8" w:rsidRPr="003B08F2" w:rsidRDefault="008C1AD8" w:rsidP="008C1AD8">
      <w:pPr>
        <w:rPr>
          <w:i/>
          <w:iCs/>
          <w:color w:val="4472C4" w:themeColor="accent1"/>
        </w:rPr>
      </w:pPr>
      <w:r w:rsidRPr="00BB022D">
        <w:rPr>
          <w:i/>
          <w:iCs/>
          <w:color w:val="4472C4" w:themeColor="accent1"/>
        </w:rPr>
        <w:t xml:space="preserve">This section describes the occurrence of the species in the </w:t>
      </w:r>
      <w:r>
        <w:rPr>
          <w:i/>
          <w:iCs/>
          <w:color w:val="4472C4" w:themeColor="accent1"/>
        </w:rPr>
        <w:t>Study Area</w:t>
      </w:r>
      <w:r w:rsidRPr="00125A8C">
        <w:rPr>
          <w:i/>
          <w:iCs/>
          <w:color w:val="4472C4" w:themeColor="accent1"/>
        </w:rPr>
        <w:t>. It includes reference to a map of records and habitat which can be viewed as a separate file. The map provides critical context for the assessment</w:t>
      </w:r>
      <w:r w:rsidRPr="00BB022D">
        <w:rPr>
          <w:i/>
          <w:iCs/>
          <w:color w:val="4472C4" w:themeColor="accent1"/>
        </w:rPr>
        <w:t xml:space="preserve"> and should be viewed in conjunction with the text presented in this assessment. This section also provides a qualitative description of where records and habitat occur.</w:t>
      </w:r>
    </w:p>
    <w:p w14:paraId="642DB91B" w14:textId="77777777" w:rsidR="008C1AD8" w:rsidRPr="006623EE" w:rsidRDefault="008C1AD8" w:rsidP="008C1AD8">
      <w:pPr>
        <w:rPr>
          <w:b/>
          <w:bCs/>
        </w:rPr>
      </w:pPr>
      <w:r w:rsidRPr="006623EE">
        <w:t xml:space="preserve">See </w:t>
      </w:r>
      <w:hyperlink r:id="rId61" w:history="1">
        <w:r w:rsidRPr="00466211">
          <w:rPr>
            <w:rStyle w:val="Hyperlink"/>
          </w:rPr>
          <w:t>Map 20-3</w:t>
        </w:r>
      </w:hyperlink>
      <w:r w:rsidRPr="00291639">
        <w:t xml:space="preserve"> for</w:t>
      </w:r>
      <w:r w:rsidRPr="006623EE">
        <w:t xml:space="preserve"> a map of records and habitat across the Study Area</w:t>
      </w:r>
      <w:r>
        <w:rPr>
          <w:b/>
          <w:bCs/>
        </w:rPr>
        <w:t>.</w:t>
      </w:r>
    </w:p>
    <w:p w14:paraId="4923365F" w14:textId="77777777" w:rsidR="008C1AD8" w:rsidRDefault="008C1AD8" w:rsidP="008C1AD8">
      <w:pPr>
        <w:pStyle w:val="Heading3"/>
      </w:pPr>
      <w:r>
        <w:t xml:space="preserve">Species </w:t>
      </w:r>
      <w:r w:rsidRPr="00C7406F">
        <w:t>Records</w:t>
      </w:r>
    </w:p>
    <w:p w14:paraId="66E9B420" w14:textId="77777777" w:rsidR="008C1AD8" w:rsidRDefault="008C1AD8" w:rsidP="008C1AD8">
      <w:r>
        <w:t>Targeted surveys were undertaken for Spiny Rice-flower between November 2019 and December 2022. The species was not recorded within the surveyed areas of the Growth Areas and there are no historical records for the species within the Growth Areas.</w:t>
      </w:r>
    </w:p>
    <w:p w14:paraId="2EB012C2" w14:textId="77777777" w:rsidR="008C1AD8" w:rsidRDefault="008C1AD8" w:rsidP="008C1AD8">
      <w:r w:rsidRPr="008A2C8A">
        <w:t xml:space="preserve">There </w:t>
      </w:r>
      <w:r w:rsidRPr="00291639">
        <w:t xml:space="preserve">is </w:t>
      </w:r>
      <w:r w:rsidRPr="009E63A2">
        <w:t>one</w:t>
      </w:r>
      <w:r w:rsidRPr="008A2C8A">
        <w:t xml:space="preserve"> existing</w:t>
      </w:r>
      <w:r>
        <w:t xml:space="preserve"> VBA record of Spiny Rice-flower from 2010 in the Strategic Assessment Area, which occurs near Heales Road, approximately 1.3 km east of the NGGA. This appears to be a single plant associated with the Geelong Ring Road Employment Precinct. The property in which the record is located does not appear to have been developed. However, it is in the middle of an industrial area, and it is unknown whether the individual is extant.</w:t>
      </w:r>
    </w:p>
    <w:p w14:paraId="33CC5BDE" w14:textId="77777777" w:rsidR="008C1AD8" w:rsidRDefault="008C1AD8" w:rsidP="008C1AD8">
      <w:r>
        <w:t xml:space="preserve">There </w:t>
      </w:r>
      <w:r w:rsidRPr="00291639">
        <w:t xml:space="preserve">are </w:t>
      </w:r>
      <w:r w:rsidRPr="009E63A2">
        <w:t>64</w:t>
      </w:r>
      <w:r>
        <w:t>8</w:t>
      </w:r>
      <w:r w:rsidRPr="00291639">
        <w:t xml:space="preserve"> VBA</w:t>
      </w:r>
      <w:r>
        <w:t xml:space="preserve"> records of Spiny Rice-flower within the Broader Study Area. The majority of these records occur in three broad areas, including:</w:t>
      </w:r>
    </w:p>
    <w:p w14:paraId="41ED20C0" w14:textId="77777777" w:rsidR="008C1AD8" w:rsidRPr="006623EE" w:rsidRDefault="008C1AD8" w:rsidP="008C1AD8">
      <w:pPr>
        <w:pStyle w:val="Bullet1"/>
      </w:pPr>
      <w:r w:rsidRPr="006623EE">
        <w:t>Approximately 1</w:t>
      </w:r>
      <w:r>
        <w:t>2</w:t>
      </w:r>
      <w:r w:rsidRPr="006623EE">
        <w:t xml:space="preserve"> km west of the </w:t>
      </w:r>
      <w:r>
        <w:t>Growth Areas</w:t>
      </w:r>
      <w:r w:rsidRPr="006623EE">
        <w:t xml:space="preserve"> near Bannockburn</w:t>
      </w:r>
    </w:p>
    <w:p w14:paraId="410E3C11" w14:textId="77777777" w:rsidR="008C1AD8" w:rsidRDefault="008C1AD8" w:rsidP="008C1AD8">
      <w:pPr>
        <w:pStyle w:val="Bullet1"/>
      </w:pPr>
      <w:r>
        <w:t>Between Lara and the north-eastern boundary of the Study Area, where a number of populations have been recorded along roadsides. The nearest of these populations is approximately 6.3 km from the Growth Areas</w:t>
      </w:r>
    </w:p>
    <w:p w14:paraId="5A233B9B" w14:textId="77777777" w:rsidR="008C1AD8" w:rsidRDefault="008C1AD8" w:rsidP="008C1AD8">
      <w:pPr>
        <w:pStyle w:val="Bullet1"/>
      </w:pPr>
      <w:r>
        <w:t>At Lake Borrie Spit, at the Western Treatment Plant, over 18 km east of the NGGA</w:t>
      </w:r>
    </w:p>
    <w:p w14:paraId="14B28493" w14:textId="77777777" w:rsidR="008C1AD8" w:rsidRDefault="008C1AD8" w:rsidP="008C1AD8">
      <w:pPr>
        <w:pStyle w:val="Heading3"/>
      </w:pPr>
      <w:r w:rsidRPr="00C7406F">
        <w:t>Potential habitat</w:t>
      </w:r>
    </w:p>
    <w:p w14:paraId="1F94B806" w14:textId="77777777" w:rsidR="008C1AD8" w:rsidRDefault="008C1AD8" w:rsidP="008C1AD8">
      <w:r>
        <w:t xml:space="preserve">Prior to surveys, the species was considered to have the potential to occur within patches of native vegetation and areas supporting embedded rock within the Growth Areas </w:t>
      </w:r>
      <w:sdt>
        <w:sdtPr>
          <w:rPr>
            <w:color w:val="000000"/>
          </w:rPr>
          <w:tag w:val="MENDELEY_CITATION_v3_eyJjaXRhdGlvbklEIjoiTUVOREVMRVlfQ0lUQVRJT05fZTk5OWUzNjAtNGNhZC00Y2NiLTg4MDQtYmU5Njg1MDY5Y2Zm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54213438"/>
          <w:placeholder>
            <w:docPart w:val="53263D66753F864BA248D609BD120A46"/>
          </w:placeholder>
        </w:sdtPr>
        <w:sdtContent>
          <w:r w:rsidRPr="00273871">
            <w:rPr>
              <w:color w:val="000000"/>
            </w:rPr>
            <w:t>(EHP, 2021)</w:t>
          </w:r>
        </w:sdtContent>
      </w:sdt>
      <w:r>
        <w:t xml:space="preserve">. However, systematic targeted searches within the surveyed areas did not detect the species. Site conditions across the two Growth Areas were found to exhibit few of the preferred habitat attributes of the species. EHP noted that within the NGGA and parts of the WGGA, biomass levels were high, with Chilean Needle-grass and Toowoomba Canary-grass particularly dominant outside patches of native vegetation resulting in little inter- tussock space being available for Spiny Rice-flower to co-exist. They found that most habitats within the WGGA were comprised of improved pasture, combined with agricultural land use, ongoing disturbance (grazing, slashing), high biomass, no recent evidence of fire and little to no inter- tussock space </w:t>
      </w:r>
      <w:sdt>
        <w:sdtPr>
          <w:rPr>
            <w:color w:val="000000"/>
          </w:rPr>
          <w:tag w:val="MENDELEY_CITATION_v3_eyJjaXRhdGlvbklEIjoiTUVOREVMRVlfQ0lUQVRJT05fNjFlOThmOWYtNjY0Mi00ZDg0LWI5OTYtNzM4ZGUxZmVhNzh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830137209"/>
          <w:placeholder>
            <w:docPart w:val="53263D66753F864BA248D609BD120A46"/>
          </w:placeholder>
        </w:sdtPr>
        <w:sdtContent>
          <w:r w:rsidRPr="00273871">
            <w:rPr>
              <w:color w:val="000000"/>
            </w:rPr>
            <w:t>(EHP, 2021)</w:t>
          </w:r>
        </w:sdtContent>
      </w:sdt>
      <w:r>
        <w:t>.</w:t>
      </w:r>
    </w:p>
    <w:p w14:paraId="27646FA2" w14:textId="77777777" w:rsidR="008C1AD8" w:rsidRDefault="008C1AD8" w:rsidP="008C1AD8">
      <w:r>
        <w:t xml:space="preserve">It is reasonable to assume that the likelihood of suitable habitat occurring within the unsurveyed areas of the Growth Areas is also low, consistent with the types of values observed in the surveyed areas and in the context of more modified or disturbed environments associated with </w:t>
      </w:r>
      <w:r w:rsidRPr="00963683">
        <w:t>rural residential landholdings</w:t>
      </w:r>
      <w:r>
        <w:t>.</w:t>
      </w:r>
    </w:p>
    <w:p w14:paraId="531B6F32" w14:textId="77777777" w:rsidR="008C1AD8" w:rsidRPr="00F8380F" w:rsidRDefault="008C1AD8" w:rsidP="008C1AD8">
      <w:r>
        <w:t>Altogether, there is a low likelihood that the Growth Areas supports a population of the species.</w:t>
      </w:r>
    </w:p>
    <w:p w14:paraId="5E85A6BB" w14:textId="77777777" w:rsidR="008C1AD8" w:rsidRDefault="008C1AD8" w:rsidP="008C1AD8">
      <w:r>
        <w:t xml:space="preserve">In the Strategic Assessment Area and Study Area more broadly, the DELWP HIM for Spiny Rice-flower has been used to provide a high-level indication of potential habitat. This approach has </w:t>
      </w:r>
      <w:r w:rsidRPr="00D3624D">
        <w:t xml:space="preserve">mapped </w:t>
      </w:r>
      <w:r w:rsidRPr="00397B57">
        <w:t>32</w:t>
      </w:r>
      <w:r>
        <w:t>,</w:t>
      </w:r>
      <w:r w:rsidRPr="00397B57">
        <w:t>136.6</w:t>
      </w:r>
      <w:r w:rsidRPr="009E63A2">
        <w:t xml:space="preserve"> ha</w:t>
      </w:r>
      <w:r>
        <w:t xml:space="preserve"> of potential habitat for the Spiny Rice-flower across this broader area.</w:t>
      </w:r>
    </w:p>
    <w:p w14:paraId="485A3E68" w14:textId="77777777" w:rsidR="008C1AD8" w:rsidRPr="000816D6"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5E377F0F" w14:textId="77777777" w:rsidTr="00A15226">
        <w:tc>
          <w:tcPr>
            <w:tcW w:w="9632" w:type="dxa"/>
            <w:shd w:val="clear" w:color="auto" w:fill="D9D9D9" w:themeFill="background1" w:themeFillShade="D9"/>
            <w:vAlign w:val="center"/>
          </w:tcPr>
          <w:p w14:paraId="4918F9E4" w14:textId="77777777" w:rsidR="008C1AD8" w:rsidRPr="000816D6" w:rsidRDefault="008C1AD8" w:rsidP="00A15226">
            <w:pPr>
              <w:pStyle w:val="TableHeadingLarge"/>
              <w:rPr>
                <w:rFonts w:ascii="Helvetica" w:hAnsi="Helvetica"/>
              </w:rPr>
            </w:pPr>
            <w:r w:rsidRPr="000816D6">
              <w:rPr>
                <w:rFonts w:ascii="Helvetica" w:hAnsi="Helvetica"/>
              </w:rPr>
              <w:t>AVOIDANCE OF IMPACTS</w:t>
            </w:r>
            <w:r>
              <w:rPr>
                <w:rFonts w:ascii="Helvetica" w:hAnsi="Helvetica"/>
              </w:rPr>
              <w:t xml:space="preserve"> </w:t>
            </w:r>
          </w:p>
        </w:tc>
      </w:tr>
    </w:tbl>
    <w:p w14:paraId="12125D7C" w14:textId="77777777" w:rsidR="008C1AD8" w:rsidRDefault="008C1AD8" w:rsidP="008C1AD8">
      <w:r w:rsidRPr="000816D6">
        <w:rPr>
          <w:i/>
          <w:color w:val="4472C4" w:themeColor="accent1"/>
        </w:rPr>
        <w:t xml:space="preserve">This section provides an overview of the area of potential habitat that was avoided for the species through the design of </w:t>
      </w:r>
      <w:r>
        <w:rPr>
          <w:i/>
          <w:color w:val="4472C4" w:themeColor="accent1"/>
        </w:rPr>
        <w:t xml:space="preserve">development within the Growth Areas. Avoidance of impacts to biodiversity was a critical part of the process to develop the Plan. </w:t>
      </w:r>
      <w:r w:rsidRPr="000816D6">
        <w:rPr>
          <w:i/>
          <w:color w:val="4472C4" w:themeColor="accent1"/>
        </w:rPr>
        <w:t xml:space="preserve">A detailed explanation of the avoidance process and terminology is provided in </w:t>
      </w:r>
      <w:r w:rsidRPr="009E63A2">
        <w:rPr>
          <w:i/>
          <w:color w:val="4472C4" w:themeColor="accent1"/>
        </w:rPr>
        <w:t>Chapter 16.</w:t>
      </w:r>
    </w:p>
    <w:p w14:paraId="65991B43" w14:textId="77777777" w:rsidR="008C1AD8" w:rsidRDefault="008C1AD8" w:rsidP="008C1AD8">
      <w:r>
        <w:t>Spiny Rice-flower has a low likelihood of occurrence within the Growth Areas. Specific avoidance for the species associated with development within the Growth Areas is therefore not relevant.</w:t>
      </w:r>
    </w:p>
    <w:p w14:paraId="3DB7C28A" w14:textId="77777777" w:rsidR="008C1AD8" w:rsidRDefault="008C1AD8" w:rsidP="008C1AD8">
      <w:r>
        <w:lastRenderedPageBreak/>
        <w:t>There is some potential for the species to occur within the external infrastructure footprints within the Strategic Assessment Area, outside of the Growth Areas; noting that existing land use and development within the Strategic Assessment Area reduces the likelihood of an unknown population occurring within these corridors.</w:t>
      </w:r>
    </w:p>
    <w:p w14:paraId="4DAF02DF" w14:textId="77777777" w:rsidR="008C1AD8" w:rsidRDefault="008C1AD8" w:rsidP="008C1AD8">
      <w:r>
        <w:t>To address this potential, the Commitments and Measures under the Plan require targeted surveys within suitable habitat along these corridors prior to development. Any population of the Spiny Rice-flower recorded during these surveys would be important to the species. The Plan requires the following avoidance measures to be undertaken should the species be detected:</w:t>
      </w:r>
    </w:p>
    <w:p w14:paraId="4E0DFD94" w14:textId="77777777" w:rsidR="008C1AD8" w:rsidRDefault="008C1AD8" w:rsidP="008C1AD8">
      <w:pPr>
        <w:ind w:left="426"/>
        <w:rPr>
          <w:i/>
          <w:iCs/>
        </w:rPr>
      </w:pPr>
      <w:r w:rsidRPr="006B64A3">
        <w:rPr>
          <w:i/>
          <w:iCs/>
        </w:rPr>
        <w:t xml:space="preserve">Should a population of the Spiny Rice-flower be recorded within the </w:t>
      </w:r>
      <w:r>
        <w:rPr>
          <w:i/>
          <w:iCs/>
        </w:rPr>
        <w:t>e</w:t>
      </w:r>
      <w:r w:rsidRPr="006B64A3">
        <w:rPr>
          <w:i/>
          <w:iCs/>
        </w:rPr>
        <w:t xml:space="preserve">xternal </w:t>
      </w:r>
      <w:r>
        <w:rPr>
          <w:i/>
          <w:iCs/>
        </w:rPr>
        <w:t>i</w:t>
      </w:r>
      <w:r w:rsidRPr="006B64A3">
        <w:rPr>
          <w:i/>
          <w:iCs/>
        </w:rPr>
        <w:t xml:space="preserve">nfrastructure </w:t>
      </w:r>
      <w:r>
        <w:rPr>
          <w:i/>
          <w:iCs/>
        </w:rPr>
        <w:t>footprints</w:t>
      </w:r>
      <w:r w:rsidRPr="006B64A3">
        <w:rPr>
          <w:i/>
          <w:iCs/>
        </w:rPr>
        <w:t xml:space="preserve">, </w:t>
      </w:r>
      <w:r w:rsidRPr="00397B57">
        <w:rPr>
          <w:i/>
          <w:iCs/>
        </w:rPr>
        <w:t>any confirmed population or part of the population must be avoided and will be protected, maintained and managed to ensure the persistence of that population in the long-term</w:t>
      </w:r>
    </w:p>
    <w:p w14:paraId="09C5E512" w14:textId="77777777" w:rsidR="008C1AD8" w:rsidRPr="005A0CF9"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592A3269" w14:textId="77777777" w:rsidTr="00A15226">
        <w:tc>
          <w:tcPr>
            <w:tcW w:w="9632" w:type="dxa"/>
            <w:shd w:val="clear" w:color="auto" w:fill="D9D9D9" w:themeFill="background1" w:themeFillShade="D9"/>
          </w:tcPr>
          <w:p w14:paraId="07F18FE6" w14:textId="77777777" w:rsidR="008C1AD8" w:rsidRPr="000816D6" w:rsidRDefault="008C1AD8" w:rsidP="00A15226">
            <w:pPr>
              <w:pStyle w:val="TableHeadingLarge"/>
            </w:pPr>
            <w:r w:rsidRPr="000C4CC8">
              <w:rPr>
                <w:rFonts w:ascii="Helvetica" w:hAnsi="Helvetica"/>
              </w:rPr>
              <w:t xml:space="preserve">DIRECT IMPACTS </w:t>
            </w:r>
          </w:p>
        </w:tc>
      </w:tr>
    </w:tbl>
    <w:p w14:paraId="42DCC767" w14:textId="77777777" w:rsidR="008C1AD8" w:rsidRDefault="008C1AD8" w:rsidP="008C1AD8">
      <w:pPr>
        <w:rPr>
          <w:i/>
          <w:color w:val="4472C4" w:themeColor="accent1"/>
        </w:rPr>
      </w:pPr>
      <w:r w:rsidRPr="000816D6">
        <w:rPr>
          <w:i/>
          <w:color w:val="4472C4" w:themeColor="accent1"/>
        </w:rPr>
        <w:t>This section provides an analysis of any direct impacts</w:t>
      </w:r>
      <w:r>
        <w:rPr>
          <w:i/>
          <w:color w:val="4472C4" w:themeColor="accent1"/>
        </w:rPr>
        <w:t xml:space="preserve">. </w:t>
      </w:r>
      <w:r w:rsidRPr="000816D6">
        <w:rPr>
          <w:i/>
          <w:color w:val="4472C4" w:themeColor="accent1"/>
        </w:rPr>
        <w:t xml:space="preserve">Direct impacts are assessed in relation to known populations, loss of potential habitat, or fragmentation of habitat. </w:t>
      </w:r>
    </w:p>
    <w:p w14:paraId="2ADA8B6B" w14:textId="77777777" w:rsidR="008C1AD8" w:rsidRDefault="008C1AD8" w:rsidP="008C1AD8">
      <w:r>
        <w:t xml:space="preserve">Development under the Plan is unlikely to directly impact the </w:t>
      </w:r>
      <w:r w:rsidRPr="00F75A68">
        <w:t>Spiny Rice-flower</w:t>
      </w:r>
      <w:r>
        <w:t>.</w:t>
      </w:r>
    </w:p>
    <w:p w14:paraId="1D2348E9" w14:textId="77777777" w:rsidR="008C1AD8" w:rsidRPr="00F75A68"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357EB8F7" w14:textId="77777777" w:rsidTr="00A15226">
        <w:trPr>
          <w:cantSplit/>
        </w:trPr>
        <w:tc>
          <w:tcPr>
            <w:tcW w:w="9632" w:type="dxa"/>
            <w:shd w:val="clear" w:color="auto" w:fill="D9D9D9" w:themeFill="background1" w:themeFillShade="D9"/>
            <w:vAlign w:val="center"/>
          </w:tcPr>
          <w:p w14:paraId="6DB0DF98" w14:textId="77777777" w:rsidR="008C1AD8" w:rsidRPr="000816D6" w:rsidRDefault="008C1AD8" w:rsidP="00A15226">
            <w:pPr>
              <w:pStyle w:val="TableHeadingLarge"/>
            </w:pPr>
            <w:r w:rsidRPr="000816D6">
              <w:rPr>
                <w:rFonts w:ascii="Helvetica" w:hAnsi="Helvetica"/>
              </w:rPr>
              <w:t>POTENTIAL INDIRECT IMPACTS AND MITIGATION</w:t>
            </w:r>
          </w:p>
        </w:tc>
      </w:tr>
    </w:tbl>
    <w:p w14:paraId="598AA10A" w14:textId="77777777" w:rsidR="008C1AD8" w:rsidRPr="0004013F" w:rsidRDefault="008C1AD8" w:rsidP="008C1AD8">
      <w:pPr>
        <w:rPr>
          <w:i/>
          <w:color w:val="4472C4" w:themeColor="accent1"/>
        </w:rPr>
      </w:pPr>
      <w:r w:rsidRPr="0004013F">
        <w:rPr>
          <w:i/>
          <w:color w:val="4472C4" w:themeColor="accent1"/>
        </w:rPr>
        <w:t>This section identifies the relevant potential indirect impacts to the species that may occur as a result of development under the Plan. Indirect impacts were identified as being relevant to the species if:</w:t>
      </w:r>
    </w:p>
    <w:p w14:paraId="3650D726" w14:textId="77777777" w:rsidR="008C1AD8" w:rsidRPr="0004013F" w:rsidRDefault="008C1AD8" w:rsidP="008C1AD8">
      <w:pPr>
        <w:pStyle w:val="Bullet1"/>
        <w:rPr>
          <w:i/>
          <w:color w:val="4472C4" w:themeColor="accent1"/>
        </w:rPr>
      </w:pPr>
      <w:r w:rsidRPr="0004013F">
        <w:rPr>
          <w:i/>
          <w:color w:val="4472C4" w:themeColor="accent1"/>
        </w:rPr>
        <w:t xml:space="preserve">The indirect impact is identified as a threat in a relevant profile, conservation advice, or recovery plan, </w:t>
      </w:r>
      <w:r w:rsidRPr="0004013F">
        <w:rPr>
          <w:i/>
          <w:iCs/>
          <w:color w:val="4472C4" w:themeColor="accent1"/>
        </w:rPr>
        <w:t>and</w:t>
      </w:r>
    </w:p>
    <w:p w14:paraId="565A9077" w14:textId="77777777" w:rsidR="008C1AD8" w:rsidRPr="0004013F" w:rsidRDefault="008C1AD8" w:rsidP="008C1AD8">
      <w:pPr>
        <w:pStyle w:val="Bullet1"/>
        <w:rPr>
          <w:i/>
          <w:color w:val="4472C4" w:themeColor="accent1"/>
        </w:rPr>
      </w:pPr>
      <w:r w:rsidRPr="0004013F">
        <w:rPr>
          <w:i/>
          <w:color w:val="4472C4" w:themeColor="accent1"/>
        </w:rPr>
        <w:t xml:space="preserve">The Plan has the potential to </w:t>
      </w:r>
      <w:r>
        <w:rPr>
          <w:i/>
          <w:color w:val="4472C4" w:themeColor="accent1"/>
        </w:rPr>
        <w:t xml:space="preserve">introduce or </w:t>
      </w:r>
      <w:r w:rsidRPr="0004013F">
        <w:rPr>
          <w:i/>
          <w:color w:val="4472C4" w:themeColor="accent1"/>
        </w:rPr>
        <w:t>exacerbate the threat</w:t>
      </w:r>
    </w:p>
    <w:p w14:paraId="6B64FFE4" w14:textId="77777777" w:rsidR="008C1AD8" w:rsidRPr="0004013F" w:rsidRDefault="008C1AD8" w:rsidP="008C1AD8">
      <w:pPr>
        <w:rPr>
          <w:i/>
          <w:color w:val="4472C4" w:themeColor="accent1"/>
        </w:rPr>
      </w:pPr>
      <w:r w:rsidRPr="0004013F">
        <w:rPr>
          <w:i/>
          <w:color w:val="4472C4" w:themeColor="accent1"/>
        </w:rPr>
        <w:t xml:space="preserve">It discusses each relevant potential indirect impact in detail and outlines how the Plan addresses it. </w:t>
      </w:r>
    </w:p>
    <w:p w14:paraId="1CB9C5CA" w14:textId="77777777" w:rsidR="008C1AD8" w:rsidRPr="00C6364C" w:rsidRDefault="008C1AD8" w:rsidP="008C1AD8">
      <w:pPr>
        <w:rPr>
          <w:i/>
          <w:color w:val="4472C4" w:themeColor="accent1"/>
        </w:rPr>
      </w:pPr>
      <w:r w:rsidRPr="0004013F">
        <w:rPr>
          <w:i/>
          <w:color w:val="4472C4" w:themeColor="accent1"/>
        </w:rPr>
        <w:t xml:space="preserve">Please refer </w:t>
      </w:r>
      <w:r w:rsidRPr="00291639">
        <w:rPr>
          <w:i/>
          <w:color w:val="4472C4" w:themeColor="accent1"/>
        </w:rPr>
        <w:t xml:space="preserve">to </w:t>
      </w:r>
      <w:r w:rsidRPr="009E63A2">
        <w:rPr>
          <w:i/>
          <w:color w:val="4472C4" w:themeColor="accent1"/>
        </w:rPr>
        <w:t>Chapter 17</w:t>
      </w:r>
      <w:r w:rsidRPr="00291639">
        <w:rPr>
          <w:i/>
          <w:color w:val="4472C4" w:themeColor="accent1"/>
        </w:rPr>
        <w:t xml:space="preserve"> for a detailed discussion and analysis of indirect impacts and mitigation measures included in the Plan. It is critical to read </w:t>
      </w:r>
      <w:r w:rsidRPr="009E63A2">
        <w:rPr>
          <w:i/>
          <w:color w:val="4472C4" w:themeColor="accent1"/>
        </w:rPr>
        <w:t>Chapter 17</w:t>
      </w:r>
      <w:r w:rsidRPr="00291639">
        <w:rPr>
          <w:i/>
          <w:color w:val="4472C4" w:themeColor="accent1"/>
        </w:rPr>
        <w:t xml:space="preserve"> in</w:t>
      </w:r>
      <w:r w:rsidRPr="0004013F">
        <w:rPr>
          <w:i/>
          <w:color w:val="4472C4" w:themeColor="accent1"/>
        </w:rPr>
        <w:t xml:space="preserve"> order to understand the conclusions reached in this section.</w:t>
      </w:r>
    </w:p>
    <w:p w14:paraId="1DE5A8E2" w14:textId="77777777" w:rsidR="008C1AD8" w:rsidRDefault="008C1AD8" w:rsidP="008C1AD8">
      <w:pPr>
        <w:pStyle w:val="Heading3"/>
      </w:pPr>
      <w:r w:rsidRPr="00FB680C">
        <w:t>R</w:t>
      </w:r>
      <w:r>
        <w:t>elevant potential indirect impacts</w:t>
      </w:r>
    </w:p>
    <w:p w14:paraId="0E8C990E" w14:textId="77777777" w:rsidR="008C1AD8" w:rsidRDefault="008C1AD8" w:rsidP="008C1AD8">
      <w:r>
        <w:t xml:space="preserve">The Conservation Advice </w:t>
      </w:r>
      <w:sdt>
        <w:sdtPr>
          <w:rPr>
            <w:color w:val="000000"/>
          </w:rPr>
          <w:tag w:val="MENDELEY_CITATION_v3_eyJjaXRhdGlvbklEIjoiTUVOREVMRVlfQ0lUQVRJT05fYjI2YWE4NzItZjc4My00YzdhLWFhNjAtZmM5YmVlNmQyNjU2IiwicHJvcGVydGllcyI6eyJub3RlSW5kZXgiOjB9LCJpc0VkaXRlZCI6ZmFsc2UsIm1hbnVhbE92ZXJyaWRlIjp7ImNpdGVwcm9jVGV4dCI6IihUU1NDLCAyMDE2Y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376623307"/>
          <w:placeholder>
            <w:docPart w:val="53263D66753F864BA248D609BD120A46"/>
          </w:placeholder>
        </w:sdtPr>
        <w:sdtContent>
          <w:r w:rsidRPr="00273871">
            <w:rPr>
              <w:color w:val="000000"/>
            </w:rPr>
            <w:t>(TSSC, 2016b)</w:t>
          </w:r>
        </w:sdtContent>
      </w:sdt>
      <w:r>
        <w:t xml:space="preserve">, Recovery Plan </w:t>
      </w:r>
      <w:sdt>
        <w:sdtPr>
          <w:rPr>
            <w:color w:val="000000"/>
          </w:rPr>
          <w:tag w:val="MENDELEY_CITATION_v3_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"/>
          <w:id w:val="-1992549430"/>
          <w:placeholder>
            <w:docPart w:val="53263D66753F864BA248D609BD120A46"/>
          </w:placeholder>
        </w:sdtPr>
        <w:sdtContent>
          <w:r w:rsidRPr="00273871">
            <w:rPr>
              <w:rFonts w:eastAsia="Times New Roman"/>
              <w:color w:val="000000"/>
            </w:rPr>
            <w:t>(Carter and Walsh, 2006)</w:t>
          </w:r>
        </w:sdtContent>
      </w:sdt>
      <w:r>
        <w:rPr>
          <w:i/>
          <w:iCs/>
        </w:rPr>
        <w:t xml:space="preserve"> </w:t>
      </w:r>
      <w:r>
        <w:t xml:space="preserve">and Significant Impact Guidelines </w:t>
      </w:r>
      <w:sdt>
        <w:sdtPr>
          <w:rPr>
            <w:color w:val="000000"/>
          </w:rPr>
          <w:tag w:val="MENDELEY_CITATION_v3_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"/>
          <w:id w:val="129753489"/>
          <w:placeholder>
            <w:docPart w:val="53263D66753F864BA248D609BD120A46"/>
          </w:placeholder>
        </w:sdtPr>
        <w:sdtContent>
          <w:r w:rsidRPr="00273871">
            <w:rPr>
              <w:color w:val="000000"/>
            </w:rPr>
            <w:t>(DEWHA, 2009b)</w:t>
          </w:r>
        </w:sdtContent>
      </w:sdt>
      <w:r>
        <w:t xml:space="preserve"> </w:t>
      </w:r>
      <w:r w:rsidRPr="00914130">
        <w:t>for the</w:t>
      </w:r>
      <w:r>
        <w:t xml:space="preserve"> Spiny Rice-flower </w:t>
      </w:r>
      <w:r w:rsidRPr="002B70F0">
        <w:t>identif</w:t>
      </w:r>
      <w:r>
        <w:t>y</w:t>
      </w:r>
      <w:r w:rsidRPr="002B70F0">
        <w:t xml:space="preserve"> a range of threats to the species</w:t>
      </w:r>
      <w:r>
        <w:t>. Development under the Plan is unlikely to either introduce or exacerbate any of these threats on populations of Spiny Rice-flower that are known to occur within the region. This conclusion is based on the:</w:t>
      </w:r>
    </w:p>
    <w:p w14:paraId="42D87558" w14:textId="77777777" w:rsidR="008C1AD8" w:rsidRPr="00D90F18" w:rsidRDefault="008C1AD8" w:rsidP="008C1AD8">
      <w:pPr>
        <w:pStyle w:val="Bullet1"/>
      </w:pPr>
      <w:r>
        <w:t>Distance of the majority of known populations from the Growth Areas, which are a</w:t>
      </w:r>
      <w:r w:rsidRPr="006623EE">
        <w:t>pproximately 1</w:t>
      </w:r>
      <w:r>
        <w:t>2</w:t>
      </w:r>
      <w:r w:rsidRPr="006623EE">
        <w:t xml:space="preserve"> km west near Bannockburn</w:t>
      </w:r>
      <w:r>
        <w:t>, approximately 6.3 km north-east past Lara, and approximately 18 km east at the Western Treatment Plant</w:t>
      </w:r>
    </w:p>
    <w:p w14:paraId="051A80D9" w14:textId="77777777" w:rsidR="008C1AD8" w:rsidRDefault="008C1AD8" w:rsidP="008C1AD8">
      <w:pPr>
        <w:pStyle w:val="Bullet1"/>
      </w:pPr>
      <w:r>
        <w:t>Landscape context of these populations, which are surrounded by existing urban development, roads and/or extensive agricultural land</w:t>
      </w:r>
    </w:p>
    <w:p w14:paraId="64CDAA12" w14:textId="77777777" w:rsidR="008C1AD8" w:rsidRDefault="008C1AD8" w:rsidP="008C1AD8">
      <w:pPr>
        <w:pStyle w:val="Bullet1"/>
      </w:pPr>
      <w:r>
        <w:t>Mitigation measures which are a requirement of the existing planning system and will address and minimise the standard indirect impacts associated with urban development in the Growth Areas</w:t>
      </w:r>
    </w:p>
    <w:p w14:paraId="410258F1" w14:textId="77777777" w:rsidR="008C1AD8" w:rsidRPr="003039B6" w:rsidRDefault="008C1AD8" w:rsidP="008C1AD8">
      <w:r w:rsidRPr="003A2AF0">
        <w:t xml:space="preserve">Refer </w:t>
      </w:r>
      <w:r w:rsidRPr="00291639">
        <w:t xml:space="preserve">to </w:t>
      </w:r>
      <w:r w:rsidRPr="009E63A2">
        <w:t xml:space="preserve">Section 17.2 </w:t>
      </w:r>
      <w:r w:rsidRPr="00291639">
        <w:t xml:space="preserve">of </w:t>
      </w:r>
      <w:r w:rsidRPr="009E63A2">
        <w:t>Chapter 17</w:t>
      </w:r>
      <w:r w:rsidRPr="00291639">
        <w:t xml:space="preserve"> for</w:t>
      </w:r>
      <w:r>
        <w:t xml:space="preserve"> a detailed assessment of potential indirect impacts associated with implementation of the Plan more generally.</w:t>
      </w:r>
      <w:r w:rsidRPr="00CC2A00" w:rsidDel="00727335">
        <w:rPr>
          <w:highlight w:val="yellow"/>
        </w:rPr>
        <w:t xml:space="preserve"> </w:t>
      </w:r>
    </w:p>
    <w:p w14:paraId="121AFEAE" w14:textId="77777777" w:rsidR="008C1AD8" w:rsidRDefault="008C1AD8" w:rsidP="008C1AD8">
      <w:r>
        <w:t xml:space="preserve">Should any additional populations of the species be recorded within the external infrastructure footprints, the Plan includes a measure to develop a Spiny Rice-flower management plan to ensure appropriate roadside management of the retained populations. This plan will address potential indirect impacts associated with the spread of weeds, fire regimes and inappropriate road maintenance </w:t>
      </w:r>
      <w:r w:rsidRPr="00E50C2F">
        <w:t>works such as slashing, grazing, clearing, herbicide application, and soil disturbance from vehicle traffic</w:t>
      </w:r>
      <w:r>
        <w:t>.</w:t>
      </w:r>
    </w:p>
    <w:p w14:paraId="30A9069E"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5BF5F1EB" w14:textId="77777777" w:rsidTr="00A15226">
        <w:tc>
          <w:tcPr>
            <w:tcW w:w="9622" w:type="dxa"/>
            <w:shd w:val="clear" w:color="auto" w:fill="C9C9C9" w:themeFill="accent3" w:themeFillTint="99"/>
          </w:tcPr>
          <w:p w14:paraId="5F6FB815" w14:textId="77777777" w:rsidR="008C1AD8" w:rsidRPr="008F55BC" w:rsidRDefault="008C1AD8" w:rsidP="00A15226">
            <w:pPr>
              <w:pStyle w:val="Tabletext"/>
              <w:rPr>
                <w:b/>
                <w:bCs/>
              </w:rPr>
            </w:pPr>
            <w:r w:rsidRPr="00AE4F91">
              <w:rPr>
                <w:rFonts w:ascii="Helvetica" w:hAnsi="Helvetica"/>
                <w:b/>
                <w:sz w:val="16"/>
                <w:szCs w:val="16"/>
              </w:rPr>
              <w:t xml:space="preserve">OFFSETS </w:t>
            </w:r>
            <w:r>
              <w:rPr>
                <w:rFonts w:ascii="Helvetica" w:hAnsi="Helvetica"/>
                <w:b/>
                <w:sz w:val="16"/>
                <w:szCs w:val="16"/>
              </w:rPr>
              <w:t xml:space="preserve">TO COMPENSATE </w:t>
            </w:r>
            <w:r w:rsidRPr="00AE4F91">
              <w:rPr>
                <w:rFonts w:ascii="Helvetica" w:hAnsi="Helvetica"/>
                <w:b/>
                <w:sz w:val="16"/>
                <w:szCs w:val="16"/>
              </w:rPr>
              <w:t xml:space="preserve">FOR RESIDUAL </w:t>
            </w:r>
            <w:r>
              <w:rPr>
                <w:rFonts w:ascii="Helvetica" w:hAnsi="Helvetica"/>
                <w:b/>
                <w:sz w:val="16"/>
                <w:szCs w:val="16"/>
              </w:rPr>
              <w:t xml:space="preserve">ADVERSE </w:t>
            </w:r>
            <w:r w:rsidRPr="00AE4F91">
              <w:rPr>
                <w:rFonts w:ascii="Helvetica" w:hAnsi="Helvetica"/>
                <w:b/>
                <w:sz w:val="16"/>
                <w:szCs w:val="16"/>
              </w:rPr>
              <w:t>IMPACTS</w:t>
            </w:r>
          </w:p>
        </w:tc>
      </w:tr>
    </w:tbl>
    <w:p w14:paraId="054E9A9E" w14:textId="77777777" w:rsidR="008C1AD8" w:rsidRPr="000816D6" w:rsidRDefault="008C1AD8" w:rsidP="008C1AD8">
      <w:pPr>
        <w:rPr>
          <w:i/>
          <w:color w:val="4472C4" w:themeColor="accent1"/>
        </w:rPr>
      </w:pPr>
      <w:r>
        <w:rPr>
          <w:i/>
          <w:color w:val="4472C4" w:themeColor="accent1"/>
        </w:rPr>
        <w:t>T</w:t>
      </w:r>
      <w:r w:rsidRPr="00972D8D">
        <w:rPr>
          <w:i/>
          <w:color w:val="4472C4" w:themeColor="accent1"/>
        </w:rPr>
        <w:t>his section identifies any offsets needed to address residual adverse impacts to listed threatened species</w:t>
      </w:r>
    </w:p>
    <w:p w14:paraId="338E557F" w14:textId="77777777" w:rsidR="008C1AD8" w:rsidRDefault="008C1AD8" w:rsidP="008C1AD8">
      <w:r>
        <w:t>Residual adverse impacts to the Spiny Rice-flower are unlikely. As a result, the Plan provides no commitment to the delivery of any species-specific offsets.</w:t>
      </w:r>
    </w:p>
    <w:p w14:paraId="7672C884"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4AC2D112" w14:textId="77777777" w:rsidTr="00A15226">
        <w:tc>
          <w:tcPr>
            <w:tcW w:w="9622" w:type="dxa"/>
            <w:shd w:val="clear" w:color="auto" w:fill="C9C9C9" w:themeFill="accent3" w:themeFillTint="99"/>
          </w:tcPr>
          <w:p w14:paraId="2C8378EC" w14:textId="77777777" w:rsidR="008C1AD8" w:rsidRPr="008F55BC" w:rsidRDefault="008C1AD8" w:rsidP="00A15226">
            <w:pPr>
              <w:pStyle w:val="Tabletext"/>
              <w:rPr>
                <w:b/>
                <w:bCs/>
              </w:rPr>
            </w:pPr>
            <w:r w:rsidRPr="008E2D83">
              <w:rPr>
                <w:rFonts w:ascii="Helvetica" w:hAnsi="Helvetica"/>
                <w:b/>
                <w:sz w:val="16"/>
                <w:szCs w:val="16"/>
              </w:rPr>
              <w:t>LIKELY EFFECTS OF IMPLEMENTATION OF THE PLAN ON THE LONG-TERM VIABILITY OF THE SPECIES</w:t>
            </w:r>
          </w:p>
        </w:tc>
      </w:tr>
    </w:tbl>
    <w:p w14:paraId="2EDB897D" w14:textId="77777777" w:rsidR="008C1AD8" w:rsidRPr="000816D6" w:rsidRDefault="008C1AD8" w:rsidP="008C1AD8">
      <w:pPr>
        <w:rPr>
          <w:i/>
          <w:color w:val="4472C4" w:themeColor="accent1"/>
        </w:rPr>
      </w:pPr>
      <w:r w:rsidRPr="000816D6">
        <w:rPr>
          <w:i/>
          <w:color w:val="4472C4" w:themeColor="accent1"/>
        </w:rPr>
        <w:t>This section considers the likely effects of implementation of the Plan on the long-term viability of the species. The assessment of viability has regard for the guidance in the Conservation Advice</w:t>
      </w:r>
      <w:r>
        <w:rPr>
          <w:i/>
          <w:color w:val="4472C4" w:themeColor="accent1"/>
        </w:rPr>
        <w:t xml:space="preserve"> (if applicable)</w:t>
      </w:r>
      <w:r w:rsidRPr="000816D6">
        <w:rPr>
          <w:i/>
          <w:color w:val="4472C4" w:themeColor="accent1"/>
        </w:rPr>
        <w:t xml:space="preserve"> and</w:t>
      </w:r>
      <w:r>
        <w:rPr>
          <w:i/>
          <w:color w:val="4472C4" w:themeColor="accent1"/>
        </w:rPr>
        <w:t xml:space="preserve"> </w:t>
      </w:r>
      <w:r w:rsidRPr="000816D6">
        <w:rPr>
          <w:i/>
          <w:color w:val="4472C4" w:themeColor="accent1"/>
        </w:rPr>
        <w:t>the Recovery Plan</w:t>
      </w:r>
      <w:r>
        <w:rPr>
          <w:i/>
          <w:color w:val="4472C4" w:themeColor="accent1"/>
        </w:rPr>
        <w:t xml:space="preserve"> (if applicable)</w:t>
      </w:r>
      <w:r w:rsidRPr="000816D6">
        <w:rPr>
          <w:i/>
          <w:color w:val="4472C4" w:themeColor="accent1"/>
        </w:rPr>
        <w:t xml:space="preserve">, and draws on the analysis of avoidance, </w:t>
      </w:r>
      <w:r>
        <w:rPr>
          <w:i/>
          <w:color w:val="4472C4" w:themeColor="accent1"/>
        </w:rPr>
        <w:t>impacts and offsets presented above</w:t>
      </w:r>
      <w:r w:rsidRPr="000816D6">
        <w:rPr>
          <w:i/>
          <w:color w:val="4472C4" w:themeColor="accent1"/>
        </w:rPr>
        <w:t xml:space="preserve">. </w:t>
      </w:r>
    </w:p>
    <w:p w14:paraId="3736541B" w14:textId="77777777" w:rsidR="008C1AD8" w:rsidRPr="00C6364C" w:rsidRDefault="008C1AD8" w:rsidP="008C1AD8">
      <w:pPr>
        <w:rPr>
          <w:i/>
          <w:color w:val="4472C4" w:themeColor="accent1"/>
        </w:rPr>
      </w:pPr>
      <w:r w:rsidRPr="000816D6">
        <w:rPr>
          <w:i/>
          <w:color w:val="4472C4" w:themeColor="accent1"/>
        </w:rPr>
        <w:t xml:space="preserve">Where applicable, this section also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9E63A2">
        <w:rPr>
          <w:i/>
          <w:color w:val="4472C4" w:themeColor="accent1"/>
        </w:rPr>
        <w:t xml:space="preserve">Section 17.3 </w:t>
      </w:r>
      <w:r w:rsidRPr="00291639">
        <w:rPr>
          <w:i/>
          <w:color w:val="4472C4" w:themeColor="accent1"/>
        </w:rPr>
        <w:t xml:space="preserve">of </w:t>
      </w:r>
      <w:r w:rsidRPr="009E63A2">
        <w:rPr>
          <w:i/>
          <w:color w:val="4472C4" w:themeColor="accent1"/>
        </w:rPr>
        <w:t>Chapter 17</w:t>
      </w:r>
      <w:r w:rsidRPr="00291639">
        <w:rPr>
          <w:i/>
          <w:color w:val="4472C4" w:themeColor="accent1"/>
        </w:rPr>
        <w:t>.</w:t>
      </w:r>
    </w:p>
    <w:p w14:paraId="3A456587" w14:textId="77777777" w:rsidR="008C1AD8" w:rsidRDefault="008C1AD8" w:rsidP="008C1AD8">
      <w:pPr>
        <w:pStyle w:val="Heading3"/>
      </w:pPr>
      <w:r w:rsidRPr="000816D6">
        <w:t>I</w:t>
      </w:r>
      <w:r>
        <w:t>mplications for long-term viability and summary of outcomes</w:t>
      </w:r>
    </w:p>
    <w:p w14:paraId="1354BE18" w14:textId="77777777" w:rsidR="008C1AD8" w:rsidRDefault="008C1AD8" w:rsidP="008C1AD8">
      <w:r>
        <w:t xml:space="preserve">Spiny Rice-flower has not been recorded within the Growth Areas, despite targeted surveys. The condition and habitat attributes across the NGGA and WGGA are generally considered to be suboptimal for the species. </w:t>
      </w:r>
    </w:p>
    <w:p w14:paraId="350D4E39" w14:textId="77777777" w:rsidR="008C1AD8" w:rsidRDefault="008C1AD8" w:rsidP="008C1AD8">
      <w:r>
        <w:t>There are a number of records within the broader Study Area. The majority of these are associated with populations of the Spiny Rice-flower that are located some distance from the Strategic Assessment Area: to the west of Bannockburn, north-east of Lara, and at the Western Treatment Plant. The Plan will not contribute to or introduce new threats to any of these populations, owing to their distance from the Strategic Assessment Area and the urban and agricultural landscape surrounding them. In this way, these populations are unlikely to be adversely affected by development under the Plan.</w:t>
      </w:r>
    </w:p>
    <w:p w14:paraId="5A7EC0B0" w14:textId="77777777" w:rsidR="008C1AD8" w:rsidRDefault="008C1AD8" w:rsidP="008C1AD8">
      <w:r>
        <w:t>There is some potential for the species to occur within the external infrastructure footprints within the Strategic Assessment Area, outside of the Growth Areas; noting that existing land use and development within the Strategic Assessment Area reduces the likelihood of an unknown population occurring within these corridors.</w:t>
      </w:r>
    </w:p>
    <w:p w14:paraId="4BB313ED" w14:textId="77777777" w:rsidR="008C1AD8" w:rsidRDefault="008C1AD8" w:rsidP="008C1AD8">
      <w:r>
        <w:t xml:space="preserve">The Plan includes </w:t>
      </w:r>
      <w:r w:rsidRPr="00397B57">
        <w:t xml:space="preserve">a </w:t>
      </w:r>
      <w:r w:rsidRPr="009E63A2">
        <w:t>Commitment</w:t>
      </w:r>
      <w:r w:rsidRPr="00397B57">
        <w:t xml:space="preserve"> to</w:t>
      </w:r>
      <w:r>
        <w:t xml:space="preserve"> ensure that any new population identified through surveys will be appropriately avoided and managed to ensure the persistence of any such population for the long-term.</w:t>
      </w:r>
    </w:p>
    <w:p w14:paraId="30104BD5" w14:textId="77777777" w:rsidR="008C1AD8" w:rsidRDefault="008C1AD8" w:rsidP="008C1AD8">
      <w:r>
        <w:t>Altogether, the Plan is not expected to adversely influence the long-term viability of the Spiny Rice-flower.</w:t>
      </w:r>
    </w:p>
    <w:p w14:paraId="7C39F0F5" w14:textId="77777777" w:rsidR="008C1AD8" w:rsidRPr="000816D6" w:rsidRDefault="008C1AD8" w:rsidP="008C1AD8">
      <w:pPr>
        <w:pStyle w:val="Heading3"/>
      </w:pPr>
      <w:r w:rsidRPr="000816D6">
        <w:t>C</w:t>
      </w:r>
      <w:r>
        <w:t>onsistency with recovery plan</w:t>
      </w:r>
    </w:p>
    <w:p w14:paraId="55DDEB40" w14:textId="77777777" w:rsidR="008C1AD8" w:rsidRPr="00DB68B8" w:rsidRDefault="008C1AD8" w:rsidP="008C1AD8">
      <w:r w:rsidRPr="00DB68B8">
        <w:t>In accordance with Section 146K of the EPBC Act, this section considers whether the implementation of the Plan is not inconsistent with the species’ Recovery Plan. It considers two questions:</w:t>
      </w:r>
    </w:p>
    <w:p w14:paraId="3D96E704" w14:textId="77777777" w:rsidR="008C1AD8" w:rsidRPr="00DB68B8" w:rsidRDefault="008C1AD8" w:rsidP="008C1AD8">
      <w:pPr>
        <w:pStyle w:val="Bullet1"/>
      </w:pPr>
      <w:r w:rsidRPr="00DB68B8">
        <w:t xml:space="preserve">Does the Plan </w:t>
      </w:r>
      <w:r>
        <w:t>p</w:t>
      </w:r>
      <w:r w:rsidRPr="00DB68B8">
        <w:t>revent achievement of the objectives of the Recovery Plan?</w:t>
      </w:r>
    </w:p>
    <w:p w14:paraId="61296C74" w14:textId="77777777" w:rsidR="008C1AD8" w:rsidRPr="00DB68B8" w:rsidRDefault="008C1AD8" w:rsidP="008C1AD8">
      <w:pPr>
        <w:pStyle w:val="Bullet1"/>
      </w:pPr>
      <w:r w:rsidRPr="00DB68B8">
        <w:t>Does the Plan prevent implementation of the Recovery Plan actions?</w:t>
      </w:r>
    </w:p>
    <w:p w14:paraId="0D327C7B" w14:textId="77777777" w:rsidR="008C1AD8" w:rsidRDefault="008C1AD8" w:rsidP="008C1AD8">
      <w:r w:rsidRPr="00DB68B8">
        <w:t>These questions are discussed below.</w:t>
      </w:r>
    </w:p>
    <w:p w14:paraId="64DE2218" w14:textId="77777777" w:rsidR="008C1AD8" w:rsidRPr="00F614B0" w:rsidRDefault="008C1AD8" w:rsidP="008C1AD8">
      <w:pPr>
        <w:pStyle w:val="Heading4"/>
      </w:pPr>
      <w:r w:rsidRPr="00F614B0">
        <w:t xml:space="preserve">Does the Plan </w:t>
      </w:r>
      <w:r>
        <w:t>p</w:t>
      </w:r>
      <w:r w:rsidRPr="00F614B0">
        <w:t>revent achievement of the objectives of the Recovery Plan?</w:t>
      </w:r>
    </w:p>
    <w:p w14:paraId="38CEE163" w14:textId="77777777" w:rsidR="008C1AD8" w:rsidRDefault="008C1AD8" w:rsidP="008C1AD8">
      <w:r w:rsidRPr="00F614B0">
        <w:t xml:space="preserve">The overall objective of the Recovery Plan is to minimise the probability of extinction of </w:t>
      </w:r>
      <w:r w:rsidRPr="00F614B0">
        <w:rPr>
          <w:i/>
          <w:iCs/>
        </w:rPr>
        <w:t>Pimelea spinescens</w:t>
      </w:r>
      <w:r w:rsidRPr="00F614B0">
        <w:t xml:space="preserve"> subsp. </w:t>
      </w:r>
      <w:r w:rsidRPr="00F614B0">
        <w:rPr>
          <w:i/>
          <w:iCs/>
        </w:rPr>
        <w:t>spinescens</w:t>
      </w:r>
      <w:r w:rsidRPr="00F614B0">
        <w:t xml:space="preserve"> in the wild and to increase the probability of important populations becoming self-sustaining in the long term. This overall objective is associated with a series of specific objectives </w:t>
      </w:r>
      <w:sdt>
        <w:sdtPr>
          <w:rPr>
            <w:color w:val="000000"/>
          </w:rPr>
          <w:tag w:val="MENDELEY_CITATION_v3_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"/>
          <w:id w:val="1576007033"/>
          <w:placeholder>
            <w:docPart w:val="53263D66753F864BA248D609BD120A46"/>
          </w:placeholder>
        </w:sdtPr>
        <w:sdtContent>
          <w:r w:rsidRPr="00273871">
            <w:rPr>
              <w:rFonts w:eastAsia="Times New Roman"/>
              <w:color w:val="000000"/>
            </w:rPr>
            <w:t>(Carter and Walsh, 2006)</w:t>
          </w:r>
        </w:sdtContent>
      </w:sdt>
      <w:r w:rsidRPr="00F614B0">
        <w:t>:</w:t>
      </w:r>
    </w:p>
    <w:p w14:paraId="73A977AA" w14:textId="77777777" w:rsidR="008C1AD8" w:rsidRDefault="008C1AD8" w:rsidP="008C1AD8">
      <w:pPr>
        <w:pStyle w:val="Bullet1"/>
      </w:pPr>
      <w:r>
        <w:t>Acquire accurate information for conservation status assessments</w:t>
      </w:r>
    </w:p>
    <w:p w14:paraId="4760B9C1" w14:textId="77777777" w:rsidR="008C1AD8" w:rsidRDefault="008C1AD8" w:rsidP="008C1AD8">
      <w:pPr>
        <w:pStyle w:val="Bullet1"/>
      </w:pPr>
      <w:r>
        <w:t>Identify habitat that is critical, common or potential</w:t>
      </w:r>
    </w:p>
    <w:p w14:paraId="64C30AD6" w14:textId="77777777" w:rsidR="008C1AD8" w:rsidRDefault="008C1AD8" w:rsidP="008C1AD8">
      <w:pPr>
        <w:pStyle w:val="Bullet1"/>
      </w:pPr>
      <w:r>
        <w:t>Ensure that all populations and their habitat are protected and managed appropriately</w:t>
      </w:r>
    </w:p>
    <w:p w14:paraId="298398E6" w14:textId="77777777" w:rsidR="008C1AD8" w:rsidRDefault="008C1AD8" w:rsidP="008C1AD8">
      <w:pPr>
        <w:pStyle w:val="Bullet1"/>
      </w:pPr>
      <w:r>
        <w:t>Manage threats to populations</w:t>
      </w:r>
    </w:p>
    <w:p w14:paraId="388D6B46" w14:textId="77777777" w:rsidR="008C1AD8" w:rsidRDefault="008C1AD8" w:rsidP="008C1AD8">
      <w:pPr>
        <w:pStyle w:val="Bullet1"/>
      </w:pPr>
      <w:r>
        <w:t>Identify key biological functions</w:t>
      </w:r>
    </w:p>
    <w:p w14:paraId="24592D5B" w14:textId="77777777" w:rsidR="008C1AD8" w:rsidRDefault="008C1AD8" w:rsidP="008C1AD8">
      <w:pPr>
        <w:pStyle w:val="Bullet1"/>
      </w:pPr>
      <w:r>
        <w:lastRenderedPageBreak/>
        <w:t>Determine the growth rates and viability of populations</w:t>
      </w:r>
    </w:p>
    <w:p w14:paraId="0C2DB622" w14:textId="77777777" w:rsidR="008C1AD8" w:rsidRPr="00F614B0" w:rsidRDefault="008C1AD8" w:rsidP="008C1AD8">
      <w:pPr>
        <w:pStyle w:val="Bullet1"/>
      </w:pPr>
      <w:r>
        <w:t>Build community support for conservation</w:t>
      </w:r>
    </w:p>
    <w:p w14:paraId="50B0E10F" w14:textId="77777777" w:rsidR="008C1AD8" w:rsidRPr="00F614B0" w:rsidRDefault="008C1AD8" w:rsidP="008C1AD8">
      <w:r w:rsidRPr="00F614B0">
        <w:t>The</w:t>
      </w:r>
      <w:r>
        <w:t xml:space="preserve"> Plan </w:t>
      </w:r>
      <w:r w:rsidRPr="00F614B0">
        <w:t>will not prevent the achievement of any of the objectives of the Recovery Plan.</w:t>
      </w:r>
    </w:p>
    <w:p w14:paraId="2CB6EAD2" w14:textId="77777777" w:rsidR="008C1AD8" w:rsidRPr="00F614B0" w:rsidRDefault="008C1AD8" w:rsidP="008C1AD8">
      <w:pPr>
        <w:pStyle w:val="Heading4"/>
      </w:pPr>
      <w:r w:rsidRPr="00F614B0">
        <w:t>Does the Plan prevent implementation of the Recovery Plan actions?</w:t>
      </w:r>
    </w:p>
    <w:p w14:paraId="005B4320" w14:textId="77777777" w:rsidR="008C1AD8" w:rsidRPr="002B70F0" w:rsidRDefault="008C1AD8" w:rsidP="008C1AD8">
      <w:r w:rsidRPr="00F614B0">
        <w:t xml:space="preserve">The Recovery Plan identifies a set of actions in order to deliver on the objectives. Each action is associated with performance criteria </w:t>
      </w:r>
      <w:sdt>
        <w:sdtPr>
          <w:rPr>
            <w:color w:val="000000"/>
          </w:rPr>
          <w:tag w:val="MENDELEY_CITATION_v3_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"/>
          <w:id w:val="586426391"/>
          <w:placeholder>
            <w:docPart w:val="53263D66753F864BA248D609BD120A46"/>
          </w:placeholder>
        </w:sdtPr>
        <w:sdtContent>
          <w:r w:rsidRPr="00273871">
            <w:rPr>
              <w:rFonts w:eastAsia="Times New Roman"/>
              <w:color w:val="000000"/>
            </w:rPr>
            <w:t>(Carter and Walsh, 2006)</w:t>
          </w:r>
        </w:sdtContent>
      </w:sdt>
      <w:r w:rsidRPr="00F614B0">
        <w:t>.</w:t>
      </w:r>
      <w:r>
        <w:t xml:space="preserve"> </w:t>
      </w:r>
      <w:r w:rsidRPr="00F614B0">
        <w:t>The Plan will not prevent the implementation of any of these actions, nor will it prevent the achievement of any of the performance criteria.</w:t>
      </w:r>
    </w:p>
    <w:p w14:paraId="482AC504" w14:textId="77777777" w:rsidR="008C1AD8" w:rsidRPr="000816D6" w:rsidRDefault="008C1AD8" w:rsidP="008C1AD8">
      <w:pPr>
        <w:pStyle w:val="Heading3"/>
      </w:pPr>
      <w:r w:rsidRPr="000816D6">
        <w:t>K</w:t>
      </w:r>
      <w:r>
        <w:t>ey threatening processes and consistency with Threat Abatement Plans</w:t>
      </w:r>
    </w:p>
    <w:p w14:paraId="2BD5129B" w14:textId="77777777" w:rsidR="008C1AD8" w:rsidRDefault="008C1AD8" w:rsidP="008C1AD8">
      <w:r>
        <w:t xml:space="preserve">Relevant Key Threatening Processes (KTPs) and any of their associated Threat Abatement Plans (TAPs) have been identified in </w:t>
      </w:r>
      <w:r>
        <w:fldChar w:fldCharType="begin"/>
      </w:r>
      <w:r>
        <w:instrText xml:space="preserve"> REF _Ref106867169 \h </w:instrText>
      </w:r>
      <w:r>
        <w:fldChar w:fldCharType="separate"/>
      </w:r>
      <w:r>
        <w:t xml:space="preserve">Table </w:t>
      </w:r>
      <w:r>
        <w:rPr>
          <w:noProof/>
        </w:rPr>
        <w:t>20</w:t>
      </w:r>
      <w:r>
        <w:noBreakHyphen/>
      </w:r>
      <w:r>
        <w:rPr>
          <w:noProof/>
        </w:rPr>
        <w:t>2</w:t>
      </w:r>
      <w:r>
        <w:fldChar w:fldCharType="end"/>
      </w:r>
      <w:r>
        <w:t xml:space="preserve"> where they relate to:</w:t>
      </w:r>
    </w:p>
    <w:p w14:paraId="2837989B" w14:textId="77777777" w:rsidR="008C1AD8" w:rsidRDefault="008C1AD8" w:rsidP="008C1AD8">
      <w:pPr>
        <w:pStyle w:val="Bullet1"/>
      </w:pPr>
      <w:r>
        <w:t>The potential direct impacts of the Plan, or</w:t>
      </w:r>
    </w:p>
    <w:p w14:paraId="77E6330B" w14:textId="77777777" w:rsidR="008C1AD8" w:rsidRDefault="008C1AD8" w:rsidP="008C1AD8">
      <w:pPr>
        <w:pStyle w:val="Bullet1"/>
      </w:pPr>
      <w:r>
        <w:t>The relevant indirect impacts</w:t>
      </w:r>
    </w:p>
    <w:p w14:paraId="55412ACD" w14:textId="77777777" w:rsidR="008C1AD8" w:rsidRDefault="008C1AD8" w:rsidP="008C1AD8">
      <w:pPr>
        <w:pStyle w:val="Caption"/>
        <w:keepNext/>
      </w:pPr>
      <w:bookmarkStart w:id="110" w:name="_Ref106867169"/>
      <w:bookmarkStart w:id="111" w:name="_Toc135122727"/>
      <w:r>
        <w:t xml:space="preserve">Table </w:t>
      </w:r>
      <w:r>
        <w:fldChar w:fldCharType="begin"/>
      </w:r>
      <w:r>
        <w:instrText xml:space="preserve"> STYLEREF 1 \s </w:instrText>
      </w:r>
      <w:r>
        <w:fldChar w:fldCharType="separate"/>
      </w:r>
      <w:r>
        <w:rPr>
          <w:noProof/>
        </w:rPr>
        <w:t>20</w:t>
      </w:r>
      <w:r>
        <w:fldChar w:fldCharType="end"/>
      </w:r>
      <w:r>
        <w:noBreakHyphen/>
      </w:r>
      <w:r>
        <w:fldChar w:fldCharType="begin"/>
      </w:r>
      <w:r>
        <w:instrText xml:space="preserve"> SEQ Table \* ARABIC \s 1 </w:instrText>
      </w:r>
      <w:r>
        <w:fldChar w:fldCharType="separate"/>
      </w:r>
      <w:r>
        <w:rPr>
          <w:noProof/>
        </w:rPr>
        <w:t>2</w:t>
      </w:r>
      <w:r>
        <w:fldChar w:fldCharType="end"/>
      </w:r>
      <w:bookmarkEnd w:id="110"/>
      <w:r>
        <w:t xml:space="preserve">: </w:t>
      </w:r>
      <w:r w:rsidRPr="005F676F">
        <w:t xml:space="preserve">Relevant Key Threatening Processes and associated Threat Abatement Plans for </w:t>
      </w:r>
      <w:r>
        <w:t>Spiny Rice-flower</w:t>
      </w:r>
      <w:bookmarkEnd w:id="111"/>
    </w:p>
    <w:tbl>
      <w:tblPr>
        <w:tblStyle w:val="TableGrid"/>
        <w:tblW w:w="0" w:type="auto"/>
        <w:tblLook w:val="04A0" w:firstRow="1" w:lastRow="0" w:firstColumn="1" w:lastColumn="0" w:noHBand="0" w:noVBand="1"/>
      </w:tblPr>
      <w:tblGrid>
        <w:gridCol w:w="4811"/>
        <w:gridCol w:w="4811"/>
      </w:tblGrid>
      <w:tr w:rsidR="008C1AD8" w14:paraId="15885900" w14:textId="77777777" w:rsidTr="00A15226">
        <w:trPr>
          <w:tblHeader/>
        </w:trPr>
        <w:tc>
          <w:tcPr>
            <w:tcW w:w="4811" w:type="dxa"/>
            <w:shd w:val="clear" w:color="auto" w:fill="DBDBDB" w:themeFill="accent3" w:themeFillTint="66"/>
          </w:tcPr>
          <w:p w14:paraId="4013D36A" w14:textId="77777777" w:rsidR="008C1AD8" w:rsidRPr="00FF1996" w:rsidRDefault="008C1AD8" w:rsidP="00A15226">
            <w:pPr>
              <w:pStyle w:val="Tabletext"/>
              <w:rPr>
                <w:b/>
                <w:bCs/>
              </w:rPr>
            </w:pPr>
            <w:r w:rsidRPr="00FF1996">
              <w:rPr>
                <w:b/>
                <w:bCs/>
              </w:rPr>
              <w:t>Key threatening process</w:t>
            </w:r>
          </w:p>
        </w:tc>
        <w:tc>
          <w:tcPr>
            <w:tcW w:w="4811" w:type="dxa"/>
            <w:shd w:val="clear" w:color="auto" w:fill="DBDBDB" w:themeFill="accent3" w:themeFillTint="66"/>
          </w:tcPr>
          <w:p w14:paraId="53A25449" w14:textId="77777777" w:rsidR="008C1AD8" w:rsidRPr="00FF1996" w:rsidRDefault="008C1AD8" w:rsidP="00A15226">
            <w:pPr>
              <w:pStyle w:val="Tabletext"/>
              <w:rPr>
                <w:b/>
                <w:bCs/>
              </w:rPr>
            </w:pPr>
            <w:r w:rsidRPr="00FF1996">
              <w:rPr>
                <w:b/>
                <w:bCs/>
              </w:rPr>
              <w:t>Threat abatement plan</w:t>
            </w:r>
          </w:p>
        </w:tc>
      </w:tr>
      <w:tr w:rsidR="008C1AD8" w14:paraId="79372030" w14:textId="77777777" w:rsidTr="00A15226">
        <w:tc>
          <w:tcPr>
            <w:tcW w:w="4811" w:type="dxa"/>
            <w:vAlign w:val="center"/>
          </w:tcPr>
          <w:p w14:paraId="2ACB1EBB" w14:textId="77777777" w:rsidR="008C1AD8" w:rsidRDefault="008C1AD8" w:rsidP="00A15226">
            <w:pPr>
              <w:pStyle w:val="Tabletext"/>
            </w:pPr>
            <w:r w:rsidRPr="00CF7211">
              <w:t>Competition and land degradation by rabbits</w:t>
            </w:r>
          </w:p>
        </w:tc>
        <w:tc>
          <w:tcPr>
            <w:tcW w:w="4811" w:type="dxa"/>
          </w:tcPr>
          <w:p w14:paraId="4D66BB95" w14:textId="77777777" w:rsidR="008C1AD8" w:rsidRDefault="008C1AD8" w:rsidP="00A15226">
            <w:pPr>
              <w:pStyle w:val="Tabletext"/>
            </w:pPr>
            <w:r w:rsidRPr="00500496">
              <w:rPr>
                <w:iCs/>
              </w:rPr>
              <w:t xml:space="preserve">Threat abatement plan for competition and land degradation by rabbits </w:t>
            </w:r>
            <w:sdt>
              <w:sdtPr>
                <w:rPr>
                  <w:iCs/>
                  <w:color w:val="000000"/>
                </w:rPr>
                <w:tag w:val="MENDELEY_CITATION_v3_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"/>
                <w:id w:val="-674184897"/>
                <w:placeholder>
                  <w:docPart w:val="53263D66753F864BA248D609BD120A46"/>
                </w:placeholder>
              </w:sdtPr>
              <w:sdtEndPr>
                <w:rPr>
                  <w:iCs w:val="0"/>
                </w:rPr>
              </w:sdtEndPr>
              <w:sdtContent>
                <w:r w:rsidRPr="00273871">
                  <w:rPr>
                    <w:color w:val="000000"/>
                  </w:rPr>
                  <w:t>(DoEE, 2016a)</w:t>
                </w:r>
              </w:sdtContent>
            </w:sdt>
          </w:p>
        </w:tc>
      </w:tr>
      <w:tr w:rsidR="008C1AD8" w14:paraId="511EE508" w14:textId="77777777" w:rsidTr="00A15226">
        <w:tc>
          <w:tcPr>
            <w:tcW w:w="4811" w:type="dxa"/>
            <w:vAlign w:val="center"/>
          </w:tcPr>
          <w:p w14:paraId="52DAC234" w14:textId="77777777" w:rsidR="008C1AD8" w:rsidRPr="00CF7211" w:rsidRDefault="008C1AD8" w:rsidP="00A15226">
            <w:pPr>
              <w:pStyle w:val="Tabletext"/>
            </w:pPr>
            <w:r w:rsidRPr="00117850">
              <w:t>Fire regimes that cause declines in biodiversity</w:t>
            </w:r>
          </w:p>
        </w:tc>
        <w:tc>
          <w:tcPr>
            <w:tcW w:w="4811" w:type="dxa"/>
          </w:tcPr>
          <w:p w14:paraId="2D592CF8" w14:textId="77777777" w:rsidR="008C1AD8" w:rsidRPr="00500496" w:rsidRDefault="008C1AD8" w:rsidP="00A15226">
            <w:pPr>
              <w:pStyle w:val="Tabletext"/>
              <w:rPr>
                <w:iCs/>
              </w:rPr>
            </w:pPr>
            <w:r>
              <w:t>There is no relevant TAP</w:t>
            </w:r>
          </w:p>
        </w:tc>
      </w:tr>
      <w:tr w:rsidR="008C1AD8" w14:paraId="29B37A7A" w14:textId="77777777" w:rsidTr="00A15226">
        <w:tc>
          <w:tcPr>
            <w:tcW w:w="4811" w:type="dxa"/>
            <w:vAlign w:val="center"/>
          </w:tcPr>
          <w:p w14:paraId="294553ED" w14:textId="77777777" w:rsidR="008C1AD8" w:rsidRDefault="008C1AD8" w:rsidP="00A15226">
            <w:pPr>
              <w:pStyle w:val="Tabletext"/>
            </w:pPr>
            <w:r>
              <w:t xml:space="preserve">Land clearance </w:t>
            </w:r>
          </w:p>
        </w:tc>
        <w:tc>
          <w:tcPr>
            <w:tcW w:w="4811" w:type="dxa"/>
          </w:tcPr>
          <w:p w14:paraId="63B173C7" w14:textId="77777777" w:rsidR="008C1AD8" w:rsidRDefault="008C1AD8" w:rsidP="00A15226">
            <w:pPr>
              <w:pStyle w:val="Tabletext"/>
            </w:pPr>
            <w:r>
              <w:t>There is no relevant TAP</w:t>
            </w:r>
          </w:p>
        </w:tc>
      </w:tr>
      <w:tr w:rsidR="008C1AD8" w14:paraId="18DDBF23" w14:textId="77777777" w:rsidTr="00A15226">
        <w:tc>
          <w:tcPr>
            <w:tcW w:w="4811" w:type="dxa"/>
          </w:tcPr>
          <w:p w14:paraId="656E6459" w14:textId="77777777" w:rsidR="008C1AD8" w:rsidRDefault="008C1AD8" w:rsidP="00A15226">
            <w:pPr>
              <w:pStyle w:val="Tabletext"/>
            </w:pPr>
            <w:r w:rsidRPr="003919C8">
              <w:t>Loss and degradation of native plant and animal habitat by invasion of escaped garden plants</w:t>
            </w:r>
          </w:p>
        </w:tc>
        <w:tc>
          <w:tcPr>
            <w:tcW w:w="4811" w:type="dxa"/>
          </w:tcPr>
          <w:p w14:paraId="570C95DA" w14:textId="77777777" w:rsidR="008C1AD8" w:rsidRDefault="008C1AD8" w:rsidP="00A15226">
            <w:pPr>
              <w:pStyle w:val="Tabletext"/>
            </w:pPr>
            <w:r>
              <w:t>There is no relevant TAP</w:t>
            </w:r>
          </w:p>
        </w:tc>
      </w:tr>
      <w:tr w:rsidR="008C1AD8" w14:paraId="128075B5" w14:textId="77777777" w:rsidTr="00A15226">
        <w:tc>
          <w:tcPr>
            <w:tcW w:w="4811" w:type="dxa"/>
          </w:tcPr>
          <w:p w14:paraId="0DFA6D9F" w14:textId="77777777" w:rsidR="008C1AD8" w:rsidRDefault="008C1AD8" w:rsidP="00A15226">
            <w:pPr>
              <w:pStyle w:val="Tabletext"/>
            </w:pPr>
            <w:r w:rsidRPr="003919C8">
              <w:t>Novel biota and their impact on biodiversity</w:t>
            </w:r>
          </w:p>
        </w:tc>
        <w:tc>
          <w:tcPr>
            <w:tcW w:w="4811" w:type="dxa"/>
          </w:tcPr>
          <w:p w14:paraId="5B4C2050" w14:textId="77777777" w:rsidR="008C1AD8" w:rsidRDefault="008C1AD8" w:rsidP="00A15226">
            <w:pPr>
              <w:pStyle w:val="Tabletext"/>
            </w:pPr>
            <w:r>
              <w:t>There is no relevant TAP</w:t>
            </w:r>
          </w:p>
        </w:tc>
      </w:tr>
    </w:tbl>
    <w:p w14:paraId="65304FA8" w14:textId="77777777" w:rsidR="008C1AD8" w:rsidRDefault="008C1AD8" w:rsidP="008C1AD8">
      <w:pPr>
        <w:sectPr w:rsidR="008C1AD8" w:rsidSect="00504E94">
          <w:footerReference w:type="default" r:id="rId62"/>
          <w:pgSz w:w="11900" w:h="16840"/>
          <w:pgMar w:top="1247" w:right="1134" w:bottom="1247" w:left="1134" w:header="708" w:footer="708" w:gutter="0"/>
          <w:pgNumType w:start="1" w:chapStyle="1"/>
          <w:cols w:space="708"/>
          <w:docGrid w:linePitch="360"/>
        </w:sectPr>
      </w:pPr>
    </w:p>
    <w:p w14:paraId="096CD4FF" w14:textId="77777777" w:rsidR="008C1AD8" w:rsidRDefault="008C1AD8" w:rsidP="008C1AD8">
      <w:pPr>
        <w:pStyle w:val="Heading1"/>
      </w:pPr>
      <w:bookmarkStart w:id="112" w:name="_Toc135122684"/>
      <w:bookmarkEnd w:id="100"/>
      <w:r>
        <w:lastRenderedPageBreak/>
        <w:t>Listed threatened ecological communities</w:t>
      </w:r>
      <w:bookmarkEnd w:id="112"/>
    </w:p>
    <w:p w14:paraId="2F3402DE" w14:textId="77777777" w:rsidR="008C1AD8" w:rsidRDefault="008C1AD8" w:rsidP="008C1AD8">
      <w:r>
        <w:t>This chapter assesses the potential impacts of the Plan on ecological communities listed as threatened under the EPBC Act.</w:t>
      </w:r>
    </w:p>
    <w:p w14:paraId="795EDC61" w14:textId="77777777" w:rsidR="008C1AD8" w:rsidRDefault="008C1AD8" w:rsidP="008C1AD8">
      <w:r>
        <w:t xml:space="preserve">The categorisation process identified one TEC which may potentially be impacted by implementation of the Plan. Section </w:t>
      </w:r>
      <w:r>
        <w:fldChar w:fldCharType="begin"/>
      </w:r>
      <w:r>
        <w:instrText xml:space="preserve"> REF _Ref116483115 \r \h </w:instrText>
      </w:r>
      <w:r>
        <w:fldChar w:fldCharType="separate"/>
      </w:r>
      <w:r>
        <w:t>21.1</w:t>
      </w:r>
      <w:r>
        <w:fldChar w:fldCharType="end"/>
      </w:r>
      <w:r>
        <w:t xml:space="preserve"> assesses the potential impacts of the Plan on Natural Temperate Grassland of the Victorian Volcanic Plain.</w:t>
      </w:r>
    </w:p>
    <w:p w14:paraId="47397E5B" w14:textId="77777777" w:rsidR="008C1AD8" w:rsidRDefault="008C1AD8" w:rsidP="008C1AD8">
      <w:r>
        <w:t xml:space="preserve">Refer to </w:t>
      </w:r>
      <w:r w:rsidRPr="0085400C">
        <w:t>Section 12.3</w:t>
      </w:r>
      <w:r w:rsidRPr="009B2BD1">
        <w:t xml:space="preserve"> of </w:t>
      </w:r>
      <w:r w:rsidRPr="0085400C">
        <w:t>Chapter 12</w:t>
      </w:r>
      <w:r>
        <w:t xml:space="preserve"> for the method used to identify relevant protected matters. </w:t>
      </w:r>
    </w:p>
    <w:p w14:paraId="03B15256" w14:textId="77777777" w:rsidR="008C1AD8" w:rsidRPr="004A7FD9" w:rsidRDefault="008C1AD8" w:rsidP="008C1AD8">
      <w:pPr>
        <w:pStyle w:val="Heading2"/>
        <w:numPr>
          <w:ilvl w:val="0"/>
          <w:numId w:val="0"/>
        </w:numPr>
        <w:shd w:val="clear" w:color="auto" w:fill="B4C6E7" w:themeFill="accent1" w:themeFillTint="66"/>
      </w:pPr>
      <w:bookmarkStart w:id="113" w:name="_Toc115886050"/>
      <w:bookmarkStart w:id="114" w:name="_Toc135122685"/>
      <w:r>
        <w:t>Known to occur within the Growth Areas</w:t>
      </w:r>
      <w:bookmarkEnd w:id="113"/>
      <w:bookmarkEnd w:id="114"/>
    </w:p>
    <w:p w14:paraId="44B06896" w14:textId="77777777" w:rsidR="008C1AD8" w:rsidRPr="00297975" w:rsidRDefault="008C1AD8" w:rsidP="008C1AD8">
      <w:pPr>
        <w:pStyle w:val="Heading2"/>
        <w:ind w:left="578" w:hanging="578"/>
      </w:pPr>
      <w:r>
        <w:t xml:space="preserve"> </w:t>
      </w:r>
      <w:bookmarkStart w:id="115" w:name="_Toc115886051"/>
      <w:bookmarkStart w:id="116" w:name="_Ref116483115"/>
      <w:bookmarkStart w:id="117" w:name="_Toc135122686"/>
      <w:r w:rsidRPr="000817F1">
        <w:t>Na</w:t>
      </w:r>
      <w:r>
        <w:t>tural temperate grassland of the victorian volcanic plain</w:t>
      </w:r>
      <w:bookmarkEnd w:id="115"/>
      <w:bookmarkEnd w:id="116"/>
      <w:bookmarkEnd w:id="117"/>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8C1AD8" w:rsidRPr="000816D6" w14:paraId="77E1C3DC" w14:textId="77777777" w:rsidTr="00A15226">
        <w:trPr>
          <w:tblHeader/>
        </w:trPr>
        <w:tc>
          <w:tcPr>
            <w:tcW w:w="9747" w:type="dxa"/>
            <w:shd w:val="clear" w:color="auto" w:fill="D9D9D9" w:themeFill="background1" w:themeFillShade="D9"/>
            <w:vAlign w:val="center"/>
          </w:tcPr>
          <w:p w14:paraId="3EA916F0" w14:textId="77777777" w:rsidR="008C1AD8" w:rsidRPr="000816D6" w:rsidRDefault="008C1AD8" w:rsidP="00A15226">
            <w:pPr>
              <w:pStyle w:val="TableHeadingLarge"/>
              <w:rPr>
                <w:rFonts w:ascii="Helvetica" w:hAnsi="Helvetica"/>
              </w:rPr>
            </w:pPr>
            <w:r w:rsidRPr="000816D6">
              <w:rPr>
                <w:rFonts w:ascii="Helvetica" w:hAnsi="Helvetica"/>
              </w:rPr>
              <w:t>SPECIES BACKGROUND</w:t>
            </w:r>
          </w:p>
        </w:tc>
      </w:tr>
    </w:tbl>
    <w:p w14:paraId="2B23C47C" w14:textId="77777777" w:rsidR="008C1AD8" w:rsidRPr="000816D6" w:rsidRDefault="008C1AD8" w:rsidP="008C1AD8">
      <w:pPr>
        <w:rPr>
          <w:i/>
          <w:color w:val="4472C4" w:themeColor="accent1"/>
        </w:rPr>
      </w:pPr>
      <w:r w:rsidRPr="000816D6">
        <w:rPr>
          <w:i/>
          <w:color w:val="4472C4" w:themeColor="accent1"/>
        </w:rPr>
        <w:t xml:space="preserve">This section sets out the basic information about the </w:t>
      </w:r>
      <w:r>
        <w:rPr>
          <w:i/>
          <w:color w:val="4472C4" w:themeColor="accent1"/>
        </w:rPr>
        <w:t>TEC</w:t>
      </w:r>
      <w:r w:rsidRPr="000816D6">
        <w:rPr>
          <w:i/>
          <w:color w:val="4472C4" w:themeColor="accent1"/>
        </w:rPr>
        <w:t xml:space="preserve">. </w:t>
      </w:r>
      <w:r>
        <w:rPr>
          <w:i/>
          <w:color w:val="4472C4" w:themeColor="accent1"/>
        </w:rPr>
        <w:t>It</w:t>
      </w:r>
      <w:r w:rsidRPr="000816D6">
        <w:rPr>
          <w:i/>
          <w:color w:val="4472C4" w:themeColor="accent1"/>
        </w:rPr>
        <w:t xml:space="preserve"> provides a</w:t>
      </w:r>
      <w:r>
        <w:rPr>
          <w:i/>
          <w:color w:val="4472C4" w:themeColor="accent1"/>
        </w:rPr>
        <w:t xml:space="preserve"> description of the TEC, and an overview of the EPBC definition, distribution and threats.</w:t>
      </w:r>
      <w:r w:rsidRPr="000816D6">
        <w:rPr>
          <w:i/>
          <w:color w:val="4472C4" w:themeColor="accent1"/>
        </w:rPr>
        <w:t xml:space="preserve">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0816D6" w14:paraId="79033452" w14:textId="77777777" w:rsidTr="00A15226">
        <w:tc>
          <w:tcPr>
            <w:tcW w:w="1526" w:type="dxa"/>
            <w:vAlign w:val="center"/>
          </w:tcPr>
          <w:p w14:paraId="1635A2BD"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22B0F066" w14:textId="77777777" w:rsidR="008C1AD8" w:rsidRPr="003E1ADD" w:rsidRDefault="008C1AD8" w:rsidP="00A15226">
            <w:pPr>
              <w:pStyle w:val="Tabletext"/>
            </w:pPr>
            <w:r>
              <w:t>Critically Endangered</w:t>
            </w:r>
          </w:p>
        </w:tc>
      </w:tr>
      <w:tr w:rsidR="008C1AD8" w:rsidRPr="000816D6" w14:paraId="0FA4C0CE" w14:textId="77777777" w:rsidTr="00A15226">
        <w:tc>
          <w:tcPr>
            <w:tcW w:w="1526" w:type="dxa"/>
            <w:vAlign w:val="center"/>
          </w:tcPr>
          <w:p w14:paraId="0AFB21A2" w14:textId="77777777" w:rsidR="008C1AD8" w:rsidRPr="000816D6" w:rsidRDefault="008C1AD8" w:rsidP="00A15226">
            <w:pPr>
              <w:pStyle w:val="Tabletext"/>
              <w:rPr>
                <w:rFonts w:ascii="Helvetica" w:hAnsi="Helvetica"/>
                <w:b/>
                <w:bCs/>
                <w:sz w:val="14"/>
              </w:rPr>
            </w:pPr>
            <w:r w:rsidRPr="00EA3EB7">
              <w:rPr>
                <w:rFonts w:ascii="Helvetica" w:hAnsi="Helvetica"/>
                <w:b/>
                <w:sz w:val="14"/>
              </w:rPr>
              <w:t>DESCRIPTION</w:t>
            </w:r>
          </w:p>
        </w:tc>
        <w:tc>
          <w:tcPr>
            <w:tcW w:w="8113" w:type="dxa"/>
            <w:vAlign w:val="center"/>
          </w:tcPr>
          <w:p w14:paraId="5F45F048" w14:textId="77777777" w:rsidR="008C1AD8" w:rsidRDefault="008C1AD8" w:rsidP="00A15226">
            <w:pPr>
              <w:pStyle w:val="Tabletext"/>
            </w:pPr>
            <w:r>
              <w:t xml:space="preserve">Natural Temperate Grassland of the Victorian Volcanic Plain (Natural Temperate Grassland) is a complex and variable ecological community. Species composition and appearance varies seasonally, between dry and wet periods, and based on local site conditions and management practices </w:t>
            </w:r>
            <w:sdt>
              <w:sdtPr>
                <w:rPr>
                  <w:color w:val="000000"/>
                </w:rPr>
                <w:tag w:val="MENDELEY_CITATION_v3_eyJjaXRhdGlvbklEIjoiTUVOREVMRVlfQ0lUQVRJT05fZTg3MzkxMTctYzY2OC00ZTIwLWIyNzUtZmVmNmIzZjYzODgw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684947176"/>
                <w:placeholder>
                  <w:docPart w:val="53263D66753F864BA248D609BD120A46"/>
                </w:placeholder>
              </w:sdtPr>
              <w:sdtContent>
                <w:r w:rsidRPr="00273871">
                  <w:rPr>
                    <w:color w:val="000000"/>
                  </w:rPr>
                  <w:t>(TSSC, 2008)</w:t>
                </w:r>
              </w:sdtContent>
            </w:sdt>
            <w:r>
              <w:t>.</w:t>
            </w:r>
          </w:p>
          <w:p w14:paraId="191FEF59" w14:textId="77777777" w:rsidR="008C1AD8" w:rsidRDefault="008C1AD8" w:rsidP="00A15226">
            <w:pPr>
              <w:pStyle w:val="Tabletext"/>
            </w:pPr>
            <w:r>
              <w:t xml:space="preserve">The vegetation of Natural Temperate Grassland is mostly limited to a ground layer of grasses and herbs. Large trees are absent to sparse </w:t>
            </w:r>
            <w:sdt>
              <w:sdtPr>
                <w:rPr>
                  <w:color w:val="000000"/>
                </w:rPr>
                <w:tag w:val="MENDELEY_CITATION_v3_eyJjaXRhdGlvbklEIjoiTUVOREVMRVlfQ0lUQVRJT05fZWQ4OTBmZTItYmNhNy00ZDlhLWI5M2ItZDMyMGQ1MDRmOGNj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948613969"/>
                <w:placeholder>
                  <w:docPart w:val="53263D66753F864BA248D609BD120A46"/>
                </w:placeholder>
              </w:sdtPr>
              <w:sdtContent>
                <w:r w:rsidRPr="00273871">
                  <w:rPr>
                    <w:color w:val="000000"/>
                  </w:rPr>
                  <w:t>(TSSC, 2008)</w:t>
                </w:r>
              </w:sdtContent>
            </w:sdt>
            <w:r>
              <w:t xml:space="preserve">. The TEC is dominated by a layer of native tussock-forming perennial grasses, including Kangaroo-grass </w:t>
            </w:r>
            <w:r>
              <w:rPr>
                <w:i/>
                <w:iCs/>
              </w:rPr>
              <w:t>Themeda triandra</w:t>
            </w:r>
            <w:r>
              <w:t xml:space="preserve">, Wallaby-grasses </w:t>
            </w:r>
            <w:r>
              <w:rPr>
                <w:i/>
                <w:iCs/>
              </w:rPr>
              <w:t xml:space="preserve">Rytidosperma </w:t>
            </w:r>
            <w:r>
              <w:t xml:space="preserve">spp., Spear-grasses </w:t>
            </w:r>
            <w:r>
              <w:rPr>
                <w:i/>
                <w:iCs/>
              </w:rPr>
              <w:t xml:space="preserve">Austrostipa </w:t>
            </w:r>
            <w:r>
              <w:t xml:space="preserve">spp. and Tussock-grasses </w:t>
            </w:r>
            <w:r>
              <w:rPr>
                <w:i/>
                <w:iCs/>
              </w:rPr>
              <w:t xml:space="preserve">Poa </w:t>
            </w:r>
            <w:r>
              <w:t>spp.. The spaces between tussock grasses are interspersed with a variety of herbs from the daisy (</w:t>
            </w:r>
            <w:r w:rsidRPr="009853A5">
              <w:rPr>
                <w:i/>
                <w:iCs/>
              </w:rPr>
              <w:t>Asteraceae</w:t>
            </w:r>
            <w:r w:rsidRPr="009A719B">
              <w:t>), lily (</w:t>
            </w:r>
            <w:r w:rsidRPr="009853A5">
              <w:rPr>
                <w:i/>
                <w:iCs/>
              </w:rPr>
              <w:t>Anthericaeae, Asphodelaceae, Phormiaceae</w:t>
            </w:r>
            <w:r w:rsidRPr="009A719B">
              <w:t>), pea (</w:t>
            </w:r>
            <w:r w:rsidRPr="009853A5">
              <w:rPr>
                <w:i/>
                <w:iCs/>
              </w:rPr>
              <w:t>Fabaceae</w:t>
            </w:r>
            <w:r w:rsidRPr="009A719B">
              <w:t>)</w:t>
            </w:r>
            <w:r>
              <w:t>,</w:t>
            </w:r>
            <w:r w:rsidRPr="009A719B">
              <w:t xml:space="preserve"> and orchid (</w:t>
            </w:r>
            <w:r w:rsidRPr="009853A5">
              <w:rPr>
                <w:i/>
                <w:iCs/>
              </w:rPr>
              <w:t>Orchidaceae</w:t>
            </w:r>
            <w:r w:rsidRPr="009A719B">
              <w:t>) families</w:t>
            </w:r>
            <w:r>
              <w:t xml:space="preserve"> </w:t>
            </w:r>
            <w:sdt>
              <w:sdtPr>
                <w:rPr>
                  <w:color w:val="000000"/>
                </w:rPr>
                <w:tag w:val="MENDELEY_CITATION_v3_eyJjaXRhdGlvbklEIjoiTUVOREVMRVlfQ0lUQVRJT05fODNkMjRjNDMtYTA4YS00NDAwLTg1ZTctMDgyN2Q1OTM5YjZkIiwicHJvcGVydGllcyI6eyJub3RlSW5kZXgiOjB9LCJpc0VkaXRlZCI6ZmFsc2UsIm1hbnVhbE92ZXJyaWRlIjp7ImNpdGVwcm9jVGV4dCI6IihERVdIQSwgMjAwOGEpIiwiaXNNYW51YWxseU92ZXJyaWRkZW4iOmZhbHNlLCJtYW51YWxPdmVycmlkZVRleHQiOiIifSwiY2l0YXRpb25JdGVtcyI6W3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1dfQ=="/>
                <w:id w:val="625666215"/>
                <w:placeholder>
                  <w:docPart w:val="53263D66753F864BA248D609BD120A46"/>
                </w:placeholder>
              </w:sdtPr>
              <w:sdtContent>
                <w:r w:rsidRPr="00273871">
                  <w:rPr>
                    <w:color w:val="000000"/>
                  </w:rPr>
                  <w:t>(DEWHA, 2008a)</w:t>
                </w:r>
              </w:sdtContent>
            </w:sdt>
            <w:r w:rsidRPr="009A719B">
              <w:t>.</w:t>
            </w:r>
            <w:r>
              <w:t xml:space="preserve"> </w:t>
            </w:r>
          </w:p>
          <w:p w14:paraId="792DE01A" w14:textId="77777777" w:rsidR="008C1AD8" w:rsidRDefault="008C1AD8" w:rsidP="00A15226">
            <w:pPr>
              <w:pStyle w:val="Tabletext"/>
            </w:pPr>
            <w:r>
              <w:t xml:space="preserve">Inter-tussock spaces are important for maintaining diversity of this TEC. Where grasses are too dense and crowd inter-tussock spaces, the regeneration of herbs and wildflowers is prevented. Historically, inter-tussock spaces were maintained through a combination of native herbivore grazing and wildfires. It is also possible that the activities of native fauna would have helped to encourage plant germination. However, many native fauna groups have experienced dramatic declines and the functional roles of these species are subsequently decreased. A management regime with periodic disturbance (such as grazing, fire management or slashing) is now required to maintain this TEC </w:t>
            </w:r>
            <w:sdt>
              <w:sdtPr>
                <w:rPr>
                  <w:color w:val="000000"/>
                </w:rPr>
                <w:tag w:val="MENDELEY_CITATION_v3_eyJjaXRhdGlvbklEIjoiTUVOREVMRVlfQ0lUQVRJT05fMGQzMDUzZjAtOTA3MC00ZmVmLWEyMTQtZThmMjE1MGZjNTcx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575098183"/>
                <w:placeholder>
                  <w:docPart w:val="53263D66753F864BA248D609BD120A46"/>
                </w:placeholder>
              </w:sdtPr>
              <w:sdtContent>
                <w:r w:rsidRPr="00273871">
                  <w:rPr>
                    <w:color w:val="000000"/>
                  </w:rPr>
                  <w:t>(TSSC, 2008)</w:t>
                </w:r>
              </w:sdtContent>
            </w:sdt>
            <w:r>
              <w:t>.</w:t>
            </w:r>
          </w:p>
          <w:p w14:paraId="6FFB3D2E" w14:textId="77777777" w:rsidR="008C1AD8" w:rsidRDefault="008C1AD8" w:rsidP="00A15226">
            <w:pPr>
              <w:pStyle w:val="Tabletext"/>
            </w:pPr>
            <w:r>
              <w:t xml:space="preserve">The TEC occurs on Quaternary basaltic plain with scattered volcanic cones and stony rises. It occurs on heavy grey to red cracking clay soils, which tend to be fertile yet with poor drainage. The TEC occurs in a climate characterised by hot, dry summers and cold winters with frost. Mean annual rainfall is between 500 and 700 mm </w:t>
            </w:r>
            <w:sdt>
              <w:sdtPr>
                <w:rPr>
                  <w:color w:val="000000"/>
                </w:rPr>
                <w:tag w:val="MENDELEY_CITATION_v3_eyJjaXRhdGlvbklEIjoiTUVOREVMRVlfQ0lUQVRJT05fNmEyNjY2MTgtM2VhOC00NzJlLTg0MjQtZjllNzEyZmRiMjQ4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954633781"/>
                <w:placeholder>
                  <w:docPart w:val="53263D66753F864BA248D609BD120A46"/>
                </w:placeholder>
              </w:sdtPr>
              <w:sdtContent>
                <w:r w:rsidRPr="00273871">
                  <w:rPr>
                    <w:color w:val="000000"/>
                  </w:rPr>
                  <w:t>(TSSC, 2008)</w:t>
                </w:r>
              </w:sdtContent>
            </w:sdt>
            <w:r>
              <w:t>.</w:t>
            </w:r>
          </w:p>
          <w:p w14:paraId="1466F198" w14:textId="77777777" w:rsidR="008C1AD8" w:rsidRPr="00890129" w:rsidRDefault="008C1AD8" w:rsidP="00A15226">
            <w:pPr>
              <w:pStyle w:val="Tabletext"/>
            </w:pPr>
            <w:r>
              <w:t>The TEC provides habitat for many nationally threatened flora species, including Matted Flax Lily</w:t>
            </w:r>
            <w:r>
              <w:rPr>
                <w:i/>
                <w:iCs/>
              </w:rPr>
              <w:t xml:space="preserve"> Dianella amoena</w:t>
            </w:r>
            <w:r>
              <w:t>, Spiny Rice-flower</w:t>
            </w:r>
            <w:r>
              <w:rPr>
                <w:i/>
                <w:iCs/>
              </w:rPr>
              <w:t xml:space="preserve"> Pimelea spinescens </w:t>
            </w:r>
            <w:r>
              <w:t xml:space="preserve">subsp. </w:t>
            </w:r>
            <w:r>
              <w:rPr>
                <w:i/>
                <w:iCs/>
              </w:rPr>
              <w:t>spinescens</w:t>
            </w:r>
            <w:r>
              <w:t>, and Plains Greenhood</w:t>
            </w:r>
            <w:r>
              <w:rPr>
                <w:i/>
                <w:iCs/>
              </w:rPr>
              <w:t xml:space="preserve"> Pterostylis basaltica </w:t>
            </w:r>
            <w:sdt>
              <w:sdtPr>
                <w:rPr>
                  <w:iCs/>
                  <w:color w:val="000000"/>
                </w:rPr>
                <w:tag w:val="MENDELEY_CITATION_v3_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"/>
                <w:id w:val="1303732544"/>
                <w:placeholder>
                  <w:docPart w:val="53263D66753F864BA248D609BD120A46"/>
                </w:placeholder>
              </w:sdtPr>
              <w:sdtEndPr>
                <w:rPr>
                  <w:iCs w:val="0"/>
                </w:rPr>
              </w:sdtEndPr>
              <w:sdtContent>
                <w:r w:rsidRPr="00273871">
                  <w:rPr>
                    <w:color w:val="000000"/>
                  </w:rPr>
                  <w:t>(Vranjic, 2008)</w:t>
                </w:r>
              </w:sdtContent>
            </w:sdt>
            <w:r>
              <w:t>.</w:t>
            </w:r>
          </w:p>
          <w:p w14:paraId="4C4F0CA4" w14:textId="77777777" w:rsidR="008C1AD8" w:rsidRPr="003E1ADD" w:rsidRDefault="008C1AD8" w:rsidP="00A15226">
            <w:pPr>
              <w:pStyle w:val="Tabletext"/>
            </w:pPr>
            <w:r>
              <w:t xml:space="preserve">Natural Temperate Grassland supports skinks, snakes, birds of prey and ground-dwelling birds. The community used to support a range of mammal species, including rodents, macropods and bandicoots, yet this group has substantially declined in remaining remnants of the TEC. Invertebrate fauna is poorly known, aside from the Golden Sun Moth </w:t>
            </w:r>
            <w:r>
              <w:rPr>
                <w:i/>
                <w:iCs/>
              </w:rPr>
              <w:t>Synemon plana</w:t>
            </w:r>
            <w:r>
              <w:t xml:space="preserve"> </w:t>
            </w:r>
            <w:sdt>
              <w:sdtPr>
                <w:rPr>
                  <w:color w:val="000000"/>
                </w:rPr>
                <w:tag w:val="MENDELEY_CITATION_v3_eyJjaXRhdGlvbklEIjoiTUVOREVMRVlfQ0lUQVRJT05fY2Y1NGRjYTgtYzRkZC00N2M4LTg3YTMtOTMzMjE5Mjc0ODlk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97310535"/>
                <w:placeholder>
                  <w:docPart w:val="53263D66753F864BA248D609BD120A46"/>
                </w:placeholder>
              </w:sdtPr>
              <w:sdtContent>
                <w:r w:rsidRPr="00273871">
                  <w:rPr>
                    <w:color w:val="000000"/>
                  </w:rPr>
                  <w:t>(TSSC, 2008)</w:t>
                </w:r>
              </w:sdtContent>
            </w:sdt>
            <w:r>
              <w:t>.</w:t>
            </w:r>
          </w:p>
        </w:tc>
      </w:tr>
      <w:tr w:rsidR="008C1AD8" w:rsidRPr="000816D6" w14:paraId="23860C9F" w14:textId="77777777" w:rsidTr="00A15226">
        <w:tc>
          <w:tcPr>
            <w:tcW w:w="1526" w:type="dxa"/>
            <w:vAlign w:val="center"/>
          </w:tcPr>
          <w:p w14:paraId="3E854E6A" w14:textId="77777777" w:rsidR="008C1AD8" w:rsidRPr="000816D6" w:rsidRDefault="008C1AD8" w:rsidP="00A15226">
            <w:pPr>
              <w:pStyle w:val="Tabletext"/>
              <w:rPr>
                <w:rFonts w:ascii="Helvetica" w:hAnsi="Helvetica"/>
                <w:b/>
                <w:bCs/>
                <w:sz w:val="14"/>
              </w:rPr>
            </w:pPr>
            <w:r w:rsidRPr="00EA3EB7">
              <w:rPr>
                <w:rFonts w:ascii="Helvetica" w:hAnsi="Helvetica"/>
                <w:b/>
                <w:sz w:val="14"/>
              </w:rPr>
              <w:t>EPBC DEFINITION</w:t>
            </w:r>
          </w:p>
        </w:tc>
        <w:tc>
          <w:tcPr>
            <w:tcW w:w="8113" w:type="dxa"/>
            <w:vAlign w:val="center"/>
          </w:tcPr>
          <w:p w14:paraId="1B1E1F76" w14:textId="77777777" w:rsidR="008C1AD8" w:rsidRPr="00EA3EB7" w:rsidRDefault="008C1AD8" w:rsidP="00A15226">
            <w:pPr>
              <w:pStyle w:val="Tabletext"/>
              <w:rPr>
                <w:szCs w:val="18"/>
              </w:rPr>
            </w:pPr>
            <w:r w:rsidRPr="00EA3EB7">
              <w:rPr>
                <w:szCs w:val="18"/>
              </w:rPr>
              <w:t xml:space="preserve">Only patches of the TEC that meet minimum size and condition thresholds are considered part of the TEC under the EPBC Act. Thresholds relate to factors such </w:t>
            </w:r>
            <w:r>
              <w:rPr>
                <w:szCs w:val="18"/>
              </w:rPr>
              <w:t xml:space="preserve">as patch size, total perennial tussock </w:t>
            </w:r>
            <w:r>
              <w:rPr>
                <w:szCs w:val="18"/>
              </w:rPr>
              <w:lastRenderedPageBreak/>
              <w:t xml:space="preserve">cover, ground cover of native forbs, the cover of non-grass weeds, </w:t>
            </w:r>
            <w:r w:rsidRPr="00EA3EB7">
              <w:rPr>
                <w:szCs w:val="18"/>
              </w:rPr>
              <w:t xml:space="preserve">or whether the patch is contiguous with other native vegetation patches. </w:t>
            </w:r>
          </w:p>
          <w:p w14:paraId="6DA9BB5F" w14:textId="77777777" w:rsidR="008C1AD8" w:rsidRPr="003E1ADD" w:rsidRDefault="008C1AD8" w:rsidP="00A15226">
            <w:pPr>
              <w:pStyle w:val="Tabletext"/>
            </w:pPr>
            <w:r>
              <w:rPr>
                <w:color w:val="000000" w:themeColor="text1"/>
                <w:szCs w:val="18"/>
              </w:rPr>
              <w:t>The Conservation Advice notes that the conservation value of a remnant patch is enhanced if there is a high native plant species richness, the patch is of a large size, there is minimal weed invasion, the patch supports the presence of threatened plant or animal species, there is exposed rock platforms and outcrops, or there are mosses, lichens or a soil crust on the soil surface. Further d</w:t>
            </w:r>
            <w:r w:rsidRPr="00EA3EB7">
              <w:rPr>
                <w:color w:val="000000" w:themeColor="text1"/>
                <w:szCs w:val="18"/>
              </w:rPr>
              <w:t xml:space="preserve">etails of the thresholds are provided in the </w:t>
            </w:r>
            <w:r>
              <w:rPr>
                <w:color w:val="000000" w:themeColor="text1"/>
                <w:szCs w:val="18"/>
              </w:rPr>
              <w:t>Listing</w:t>
            </w:r>
            <w:r w:rsidRPr="00EA3EB7">
              <w:rPr>
                <w:color w:val="000000" w:themeColor="text1"/>
                <w:szCs w:val="18"/>
              </w:rPr>
              <w:t xml:space="preserve"> Advice</w:t>
            </w:r>
            <w:r>
              <w:rPr>
                <w:color w:val="000000" w:themeColor="text1"/>
                <w:szCs w:val="18"/>
              </w:rPr>
              <w:t xml:space="preserve"> </w:t>
            </w:r>
            <w:sdt>
              <w:sdtPr>
                <w:rPr>
                  <w:color w:val="000000"/>
                  <w:szCs w:val="18"/>
                </w:rPr>
                <w:tag w:val="MENDELEY_CITATION_v3_eyJjaXRhdGlvbklEIjoiTUVOREVMRVlfQ0lUQVRJT05fYzYyOTY0ZDYtZDVjZi00N2UzLWE1ZTgtZDAzMjQ4ZDQ1ZDZh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832980352"/>
                <w:placeholder>
                  <w:docPart w:val="53263D66753F864BA248D609BD120A46"/>
                </w:placeholder>
              </w:sdtPr>
              <w:sdtEndPr>
                <w:rPr>
                  <w:szCs w:val="20"/>
                </w:rPr>
              </w:sdtEndPr>
              <w:sdtContent>
                <w:r w:rsidRPr="00273871">
                  <w:rPr>
                    <w:color w:val="000000"/>
                  </w:rPr>
                  <w:t>(TSSC, 2008)</w:t>
                </w:r>
              </w:sdtContent>
            </w:sdt>
            <w:r w:rsidRPr="00EA3EB7">
              <w:rPr>
                <w:color w:val="000000" w:themeColor="text1"/>
                <w:szCs w:val="18"/>
              </w:rPr>
              <w:t>.</w:t>
            </w:r>
          </w:p>
        </w:tc>
      </w:tr>
      <w:tr w:rsidR="008C1AD8" w:rsidRPr="000816D6" w14:paraId="18485B41" w14:textId="77777777" w:rsidTr="00A15226">
        <w:tc>
          <w:tcPr>
            <w:tcW w:w="1526" w:type="dxa"/>
            <w:vAlign w:val="center"/>
          </w:tcPr>
          <w:p w14:paraId="689EF2D2" w14:textId="77777777" w:rsidR="008C1AD8" w:rsidRPr="000816D6" w:rsidRDefault="008C1AD8" w:rsidP="00A15226">
            <w:pPr>
              <w:pStyle w:val="Tabletext"/>
              <w:rPr>
                <w:rFonts w:ascii="Helvetica" w:hAnsi="Helvetica"/>
                <w:b/>
                <w:bCs/>
                <w:sz w:val="14"/>
              </w:rPr>
            </w:pPr>
            <w:r w:rsidRPr="00EA3EB7">
              <w:rPr>
                <w:rFonts w:ascii="Helvetica" w:hAnsi="Helvetica"/>
                <w:b/>
                <w:sz w:val="14"/>
              </w:rPr>
              <w:lastRenderedPageBreak/>
              <w:t xml:space="preserve">DISTRIBUTION </w:t>
            </w:r>
          </w:p>
        </w:tc>
        <w:tc>
          <w:tcPr>
            <w:tcW w:w="8113" w:type="dxa"/>
            <w:vAlign w:val="center"/>
          </w:tcPr>
          <w:p w14:paraId="34D651EF" w14:textId="77777777" w:rsidR="008C1AD8" w:rsidRDefault="008C1AD8" w:rsidP="00A15226">
            <w:pPr>
              <w:pStyle w:val="Tabletext"/>
            </w:pPr>
            <w:r>
              <w:t xml:space="preserve">Natural Temperate Grassland has a very restricted geographic distribution and has declined in extent and community integrity </w:t>
            </w:r>
            <w:sdt>
              <w:sdtPr>
                <w:rPr>
                  <w:color w:val="000000"/>
                </w:rPr>
                <w:tag w:val="MENDELEY_CITATION_v3_eyJjaXRhdGlvbklEIjoiTUVOREVMRVlfQ0lUQVRJT05fNjhiYTVlMzYtNTg2My00YWZiLWE4NjMtYTUyNTRlYjA2MjA4IiwicHJvcGVydGllcyI6eyJub3RlSW5kZXgiOjB9LCJpc0VkaXRlZCI6ZmFsc2UsIm1hbnVhbE92ZXJyaWRlIjp7ImNpdGVwcm9jVGV4dCI6IihERVdIQSwgMjAwOGEpIiwiaXNNYW51YWxseU92ZXJyaWRkZW4iOmZhbHNlLCJtYW51YWxPdmVycmlkZVRleHQiOiIifSwiY2l0YXRpb25JdGVtcyI6W3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1dfQ=="/>
                <w:id w:val="-1811082041"/>
                <w:placeholder>
                  <w:docPart w:val="53263D66753F864BA248D609BD120A46"/>
                </w:placeholder>
              </w:sdtPr>
              <w:sdtContent>
                <w:r w:rsidRPr="00273871">
                  <w:rPr>
                    <w:color w:val="000000"/>
                  </w:rPr>
                  <w:t>(DEWHA, 2008a)</w:t>
                </w:r>
              </w:sdtContent>
            </w:sdt>
            <w:r>
              <w:t xml:space="preserve">. There is less than five per cent of the grassland remaining </w:t>
            </w:r>
            <w:sdt>
              <w:sdtPr>
                <w:rPr>
                  <w:color w:val="000000"/>
                </w:rPr>
                <w:tag w:val="MENDELEY_CITATION_v3_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"/>
                <w:id w:val="-1335301868"/>
                <w:placeholder>
                  <w:docPart w:val="53263D66753F864BA248D609BD120A46"/>
                </w:placeholder>
              </w:sdtPr>
              <w:sdtContent>
                <w:r w:rsidRPr="00273871">
                  <w:rPr>
                    <w:color w:val="000000"/>
                  </w:rPr>
                  <w:t>(Vranjic, 2008)</w:t>
                </w:r>
              </w:sdtContent>
            </w:sdt>
            <w:r>
              <w:t xml:space="preserve">. Most known remnants are small (under 10 ha in size) and are highly fragmented </w:t>
            </w:r>
            <w:sdt>
              <w:sdtPr>
                <w:rPr>
                  <w:color w:val="000000"/>
                </w:rPr>
                <w:tag w:val="MENDELEY_CITATION_v3_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"/>
                <w:id w:val="-2107260074"/>
                <w:placeholder>
                  <w:docPart w:val="53263D66753F864BA248D609BD120A46"/>
                </w:placeholder>
              </w:sdtPr>
              <w:sdtContent>
                <w:r w:rsidRPr="00273871">
                  <w:rPr>
                    <w:color w:val="000000"/>
                  </w:rPr>
                  <w:t>(DSEWPaC, 2011a)</w:t>
                </w:r>
              </w:sdtContent>
            </w:sdt>
            <w:r>
              <w:rPr>
                <w:iCs/>
              </w:rPr>
              <w:t xml:space="preserve">. Further, large remnants (greater than 100 ha) are very rare </w:t>
            </w:r>
            <w:sdt>
              <w:sdtPr>
                <w:rPr>
                  <w:iCs/>
                  <w:color w:val="000000"/>
                </w:rPr>
                <w:tag w:val="MENDELEY_CITATION_v3_eyJjaXRhdGlvbklEIjoiTUVOREVMRVlfQ0lUQVRJT05fMDk1MjA3MDktYmViYS00MGYyLWFjY2QtNTUyN2I5YzhiM2Zm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774322381"/>
                <w:placeholder>
                  <w:docPart w:val="53263D66753F864BA248D609BD120A46"/>
                </w:placeholder>
              </w:sdtPr>
              <w:sdtEndPr>
                <w:rPr>
                  <w:iCs w:val="0"/>
                </w:rPr>
              </w:sdtEndPr>
              <w:sdtContent>
                <w:r w:rsidRPr="00273871">
                  <w:rPr>
                    <w:color w:val="000000"/>
                  </w:rPr>
                  <w:t>(TSSC, 2008)</w:t>
                </w:r>
              </w:sdtContent>
            </w:sdt>
            <w:r>
              <w:rPr>
                <w:iCs/>
              </w:rPr>
              <w:t>.</w:t>
            </w:r>
          </w:p>
          <w:p w14:paraId="1D120A07" w14:textId="77777777" w:rsidR="008C1AD8" w:rsidRDefault="008C1AD8" w:rsidP="00A15226">
            <w:pPr>
              <w:pStyle w:val="Tabletext"/>
              <w:rPr>
                <w:iCs/>
              </w:rPr>
            </w:pPr>
            <w:r>
              <w:t xml:space="preserve">The TEC is limited to the basalt plains of Victoria, extending from Melbourne west to Hamilton </w:t>
            </w:r>
            <w:sdt>
              <w:sdtPr>
                <w:rPr>
                  <w:color w:val="000000"/>
                </w:rPr>
                <w:tag w:val="MENDELEY_CITATION_v3_eyJjaXRhdGlvbklEIjoiTUVOREVMRVlfQ0lUQVRJT05fODE4ZDRkNTktMzhkYS00MjkwLTlhY2UtZTkyMmZiYzlkMjUyIiwicHJvcGVydGllcyI6eyJub3RlSW5kZXgiOjB9LCJpc0VkaXRlZCI6ZmFsc2UsIm1hbnVhbE92ZXJyaWRlIjp7ImNpdGVwcm9jVGV4dCI6IihERVdIQSwgMjAwOGEpIiwiaXNNYW51YWxseU92ZXJyaWRkZW4iOmZhbHNlLCJtYW51YWxPdmVycmlkZVRleHQiOiIifSwiY2l0YXRpb25JdGVtcyI6W3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1dfQ=="/>
                <w:id w:val="1143465974"/>
                <w:placeholder>
                  <w:docPart w:val="53263D66753F864BA248D609BD120A46"/>
                </w:placeholder>
              </w:sdtPr>
              <w:sdtContent>
                <w:r w:rsidRPr="00273871">
                  <w:rPr>
                    <w:color w:val="000000"/>
                  </w:rPr>
                  <w:t>(DEWHA, 2008a)</w:t>
                </w:r>
              </w:sdtContent>
            </w:sdt>
            <w:r>
              <w:rPr>
                <w:iCs/>
              </w:rPr>
              <w:t>.</w:t>
            </w:r>
          </w:p>
          <w:p w14:paraId="58177DF7" w14:textId="77777777" w:rsidR="008C1AD8" w:rsidRPr="00FB2FCE" w:rsidRDefault="008C1AD8" w:rsidP="00A15226">
            <w:pPr>
              <w:pStyle w:val="Tabletext"/>
              <w:rPr>
                <w:iCs/>
              </w:rPr>
            </w:pPr>
            <w:r>
              <w:rPr>
                <w:iCs/>
              </w:rPr>
              <w:t xml:space="preserve">Most of the remaining Natural Temperate Grassland occurs on private land, with some patches on public land such as roadsides, rail reserves and cemeteries. Good examples of the TEC occur at Craigieburn Reserve, Laverton North Grassland Reserve, and Mortlake Common Flora Reserve </w:t>
            </w:r>
            <w:sdt>
              <w:sdtPr>
                <w:rPr>
                  <w:iCs/>
                  <w:color w:val="000000"/>
                </w:rPr>
                <w:tag w:val="MENDELEY_CITATION_v3_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"/>
                <w:id w:val="-269246823"/>
                <w:placeholder>
                  <w:docPart w:val="53263D66753F864BA248D609BD120A46"/>
                </w:placeholder>
              </w:sdtPr>
              <w:sdtEndPr>
                <w:rPr>
                  <w:iCs w:val="0"/>
                </w:rPr>
              </w:sdtEndPr>
              <w:sdtContent>
                <w:r w:rsidRPr="00273871">
                  <w:rPr>
                    <w:color w:val="000000"/>
                  </w:rPr>
                  <w:t>(DSEWPaC, 2011a)</w:t>
                </w:r>
              </w:sdtContent>
            </w:sdt>
            <w:r>
              <w:rPr>
                <w:iCs/>
              </w:rPr>
              <w:t xml:space="preserve">. The TEC is known to occur within 19 reserves although the size of protected patches is unknown. Large grassland remnant patches are protected at Craigieburn Grasslands Reserve, Black’s Creek Nature Conservation Reserve, Cobra-Killuc Wildlife Reserve, and Derrimut Grassland Reserve </w:t>
            </w:r>
            <w:sdt>
              <w:sdtPr>
                <w:rPr>
                  <w:iCs/>
                  <w:color w:val="000000"/>
                </w:rPr>
                <w:tag w:val="MENDELEY_CITATION_v3_eyJjaXRhdGlvbklEIjoiTUVOREVMRVlfQ0lUQVRJT05fYzQyMTA0ZTktYmQxOS00Mzk5LWE1ZGYtNjkxZmU0MmVjYTE4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417748003"/>
                <w:placeholder>
                  <w:docPart w:val="53263D66753F864BA248D609BD120A46"/>
                </w:placeholder>
              </w:sdtPr>
              <w:sdtEndPr>
                <w:rPr>
                  <w:iCs w:val="0"/>
                </w:rPr>
              </w:sdtEndPr>
              <w:sdtContent>
                <w:r w:rsidRPr="00273871">
                  <w:rPr>
                    <w:color w:val="000000"/>
                  </w:rPr>
                  <w:t>(TSSC, 2008)</w:t>
                </w:r>
              </w:sdtContent>
            </w:sdt>
            <w:r>
              <w:rPr>
                <w:iCs/>
              </w:rPr>
              <w:t>.</w:t>
            </w:r>
          </w:p>
        </w:tc>
      </w:tr>
      <w:tr w:rsidR="008C1AD8" w:rsidRPr="000816D6" w14:paraId="140DED2E" w14:textId="77777777" w:rsidTr="00A15226">
        <w:tc>
          <w:tcPr>
            <w:tcW w:w="1526" w:type="dxa"/>
            <w:vAlign w:val="center"/>
          </w:tcPr>
          <w:p w14:paraId="2AE17D05" w14:textId="77777777" w:rsidR="008C1AD8" w:rsidRPr="00EA3EB7" w:rsidRDefault="008C1AD8" w:rsidP="00A15226">
            <w:pPr>
              <w:pStyle w:val="Tabletext"/>
              <w:rPr>
                <w:rFonts w:ascii="Helvetica" w:hAnsi="Helvetica"/>
                <w:b/>
                <w:sz w:val="14"/>
              </w:rPr>
            </w:pPr>
            <w:r>
              <w:rPr>
                <w:rFonts w:ascii="Helvetica" w:hAnsi="Helvetica"/>
                <w:b/>
                <w:sz w:val="14"/>
              </w:rPr>
              <w:t>THREATS</w:t>
            </w:r>
          </w:p>
        </w:tc>
        <w:tc>
          <w:tcPr>
            <w:tcW w:w="8113" w:type="dxa"/>
            <w:vAlign w:val="center"/>
          </w:tcPr>
          <w:p w14:paraId="2785E955" w14:textId="77777777" w:rsidR="008C1AD8" w:rsidRDefault="008C1AD8" w:rsidP="00A15226">
            <w:pPr>
              <w:pStyle w:val="Tabletext"/>
              <w:keepNext/>
            </w:pPr>
            <w:r>
              <w:t>The Conservation Advice and Listing Advice for the TEC has identified the following threats</w:t>
            </w:r>
            <w:r>
              <w:rPr>
                <w:iCs/>
              </w:rPr>
              <w:t xml:space="preserve"> </w:t>
            </w:r>
            <w:sdt>
              <w:sdtPr>
                <w:rPr>
                  <w:iCs/>
                  <w:color w:val="000000"/>
                </w:rPr>
                <w:tag w:val="MENDELEY_CITATION_v3_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1dfQ=="/>
                <w:id w:val="-322052259"/>
                <w:placeholder>
                  <w:docPart w:val="53263D66753F864BA248D609BD120A46"/>
                </w:placeholder>
              </w:sdtPr>
              <w:sdtEndPr>
                <w:rPr>
                  <w:iCs w:val="0"/>
                </w:rPr>
              </w:sdtEndPr>
              <w:sdtContent>
                <w:r w:rsidRPr="00273871">
                  <w:rPr>
                    <w:color w:val="000000"/>
                  </w:rPr>
                  <w:t>(DEWHA, 2008a; TSSC, 2008)</w:t>
                </w:r>
              </w:sdtContent>
            </w:sdt>
            <w:r>
              <w:t>:</w:t>
            </w:r>
          </w:p>
          <w:p w14:paraId="5755246A" w14:textId="77777777" w:rsidR="008C1AD8" w:rsidRDefault="008C1AD8" w:rsidP="00A15226">
            <w:pPr>
              <w:pStyle w:val="Bullet1"/>
            </w:pPr>
            <w:r>
              <w:t>Clearing, grazing and burning.</w:t>
            </w:r>
          </w:p>
          <w:p w14:paraId="7862DBBC" w14:textId="77777777" w:rsidR="008C1AD8" w:rsidRDefault="008C1AD8" w:rsidP="00A15226">
            <w:pPr>
              <w:pStyle w:val="Bullet1"/>
            </w:pPr>
            <w:r>
              <w:t>Changes to land management practices of remnants.</w:t>
            </w:r>
          </w:p>
          <w:p w14:paraId="0394A45A" w14:textId="77777777" w:rsidR="008C1AD8" w:rsidRDefault="008C1AD8" w:rsidP="00A15226">
            <w:pPr>
              <w:pStyle w:val="Bullet1"/>
            </w:pPr>
            <w:r>
              <w:t>Application of herbicides and fertilisers.</w:t>
            </w:r>
          </w:p>
          <w:p w14:paraId="7871B721" w14:textId="77777777" w:rsidR="008C1AD8" w:rsidRDefault="008C1AD8" w:rsidP="00A15226">
            <w:pPr>
              <w:pStyle w:val="Bullet1"/>
            </w:pPr>
            <w:r>
              <w:t>Weed invasion.</w:t>
            </w:r>
          </w:p>
          <w:p w14:paraId="3D8B7429" w14:textId="77777777" w:rsidR="008C1AD8" w:rsidRDefault="008C1AD8" w:rsidP="00A15226">
            <w:pPr>
              <w:pStyle w:val="Bullet1"/>
            </w:pPr>
            <w:r>
              <w:t>Poorly managed subdivision, and land use in peri-urban areas.</w:t>
            </w:r>
          </w:p>
          <w:p w14:paraId="29F41672" w14:textId="77777777" w:rsidR="008C1AD8" w:rsidRDefault="008C1AD8" w:rsidP="00A15226">
            <w:pPr>
              <w:pStyle w:val="Bullet1"/>
            </w:pPr>
            <w:r>
              <w:t>Lack of knowledge or understanding of grassland remnants.</w:t>
            </w:r>
          </w:p>
        </w:tc>
      </w:tr>
      <w:tr w:rsidR="008C1AD8" w:rsidRPr="002F23FB" w14:paraId="05A44384" w14:textId="77777777" w:rsidTr="00A15226">
        <w:tc>
          <w:tcPr>
            <w:tcW w:w="1526" w:type="dxa"/>
            <w:vAlign w:val="center"/>
          </w:tcPr>
          <w:p w14:paraId="7550C869" w14:textId="77777777" w:rsidR="008C1AD8" w:rsidRPr="000816D6" w:rsidRDefault="008C1AD8" w:rsidP="00A15226">
            <w:pPr>
              <w:pStyle w:val="Tabletext"/>
              <w:rPr>
                <w:rFonts w:ascii="Helvetica" w:hAnsi="Helvetica"/>
                <w:b/>
                <w:bCs/>
                <w:sz w:val="14"/>
              </w:rPr>
            </w:pPr>
            <w:r w:rsidRPr="00EA3EB7">
              <w:rPr>
                <w:rFonts w:ascii="Helvetica" w:hAnsi="Helvetica"/>
                <w:b/>
                <w:sz w:val="14"/>
              </w:rPr>
              <w:t>RELEVANT PLANS AND POLICIES</w:t>
            </w:r>
          </w:p>
        </w:tc>
        <w:tc>
          <w:tcPr>
            <w:tcW w:w="8113" w:type="dxa"/>
            <w:vAlign w:val="center"/>
          </w:tcPr>
          <w:p w14:paraId="37256805" w14:textId="77777777" w:rsidR="008C1AD8" w:rsidRDefault="008C1AD8" w:rsidP="00A15226">
            <w:pPr>
              <w:pStyle w:val="Tabletext"/>
              <w:rPr>
                <w:iCs/>
              </w:rPr>
            </w:pPr>
            <w:r w:rsidRPr="00BF40AC">
              <w:rPr>
                <w:iCs/>
              </w:rPr>
              <w:t>Approved Conservation Advice for the Natural Temperate Grassland of the Victorian Volcanic Plain</w:t>
            </w:r>
            <w:r>
              <w:rPr>
                <w:iCs/>
              </w:rPr>
              <w:t xml:space="preserve"> </w:t>
            </w:r>
            <w:sdt>
              <w:sdtPr>
                <w:rPr>
                  <w:iCs/>
                  <w:color w:val="000000"/>
                </w:rPr>
                <w:tag w:val="MENDELEY_CITATION_v3_eyJjaXRhdGlvbklEIjoiTUVOREVMRVlfQ0lUQVRJT05fYTE5Mjk4ZDctNDI4OC00Yjk1LTk1MDEtMjY3YTNhMmZkMTdkIiwicHJvcGVydGllcyI6eyJub3RlSW5kZXgiOjB9LCJpc0VkaXRlZCI6ZmFsc2UsIm1hbnVhbE92ZXJyaWRlIjp7ImNpdGVwcm9jVGV4dCI6IihERVdIQSwgMjAwOGEpIiwiaXNNYW51YWxseU92ZXJyaWRkZW4iOmZhbHNlLCJtYW51YWxPdmVycmlkZVRleHQiOiIifSwiY2l0YXRpb25JdGVtcyI6W3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1dfQ=="/>
                <w:id w:val="-1469742448"/>
                <w:placeholder>
                  <w:docPart w:val="53263D66753F864BA248D609BD120A46"/>
                </w:placeholder>
              </w:sdtPr>
              <w:sdtEndPr>
                <w:rPr>
                  <w:iCs w:val="0"/>
                </w:rPr>
              </w:sdtEndPr>
              <w:sdtContent>
                <w:r w:rsidRPr="00273871">
                  <w:rPr>
                    <w:color w:val="000000"/>
                  </w:rPr>
                  <w:t>(DEWHA, 2008a)</w:t>
                </w:r>
              </w:sdtContent>
            </w:sdt>
          </w:p>
          <w:p w14:paraId="311455AB" w14:textId="77777777" w:rsidR="008C1AD8" w:rsidRDefault="008C1AD8" w:rsidP="00A15226">
            <w:pPr>
              <w:pStyle w:val="Tabletext"/>
              <w:rPr>
                <w:iCs/>
              </w:rPr>
            </w:pPr>
            <w:r w:rsidRPr="00E02DD0">
              <w:rPr>
                <w:iCs/>
              </w:rPr>
              <w:t>Commonwealth Listing Advice on Natural Temperate Grassland of the Victorian Volcanic Plain</w:t>
            </w:r>
            <w:r>
              <w:rPr>
                <w:iCs/>
              </w:rPr>
              <w:t xml:space="preserve"> </w:t>
            </w:r>
            <w:sdt>
              <w:sdtPr>
                <w:rPr>
                  <w:iCs/>
                  <w:color w:val="000000"/>
                </w:rPr>
                <w:tag w:val="MENDELEY_CITATION_v3_eyJjaXRhdGlvbklEIjoiTUVOREVMRVlfQ0lUQVRJT05fODc0M2ZlZmQtZTRiNi00NDI2LTk0YzktZmZjYzdjZWQyNTlm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691222535"/>
                <w:placeholder>
                  <w:docPart w:val="53263D66753F864BA248D609BD120A46"/>
                </w:placeholder>
              </w:sdtPr>
              <w:sdtEndPr>
                <w:rPr>
                  <w:iCs w:val="0"/>
                </w:rPr>
              </w:sdtEndPr>
              <w:sdtContent>
                <w:r w:rsidRPr="00273871">
                  <w:rPr>
                    <w:color w:val="000000"/>
                  </w:rPr>
                  <w:t>(TSSC, 2008)</w:t>
                </w:r>
              </w:sdtContent>
            </w:sdt>
          </w:p>
          <w:p w14:paraId="74275064" w14:textId="77777777" w:rsidR="008C1AD8" w:rsidRDefault="008C1AD8" w:rsidP="00A15226">
            <w:pPr>
              <w:pStyle w:val="Tabletext"/>
            </w:pPr>
            <w:r>
              <w:t xml:space="preserve">Natural Temperate Grassland of the Victorian Volcanic Plain - a nationally threatened ecological community </w:t>
            </w:r>
            <w:sdt>
              <w:sdtPr>
                <w:rPr>
                  <w:color w:val="000000"/>
                </w:rPr>
                <w:tag w:val="MENDELEY_CITATION_v3_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"/>
                <w:id w:val="1523591518"/>
                <w:placeholder>
                  <w:docPart w:val="53263D66753F864BA248D609BD120A46"/>
                </w:placeholder>
              </w:sdtPr>
              <w:sdtContent>
                <w:r w:rsidRPr="00273871">
                  <w:rPr>
                    <w:color w:val="000000"/>
                  </w:rPr>
                  <w:t>(DEWHA, 2008c)</w:t>
                </w:r>
              </w:sdtContent>
            </w:sdt>
          </w:p>
          <w:p w14:paraId="23441347" w14:textId="77777777" w:rsidR="008C1AD8" w:rsidRPr="003E1ADD" w:rsidRDefault="008C1AD8" w:rsidP="00A15226">
            <w:pPr>
              <w:pStyle w:val="Tabletext"/>
            </w:pPr>
            <w:r>
              <w:t xml:space="preserve">Nationally Threatened Ecological Communities of the Victorian Volcanic Plain: Natural Temperate Grassland &amp; Grassy Eucalypt Woodland </w:t>
            </w:r>
            <w:sdt>
              <w:sdtPr>
                <w:rPr>
                  <w:color w:val="000000"/>
                </w:rPr>
                <w:tag w:val="MENDELEY_CITATION_v3_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"/>
                <w:id w:val="-2127296938"/>
                <w:placeholder>
                  <w:docPart w:val="53263D66753F864BA248D609BD120A46"/>
                </w:placeholder>
              </w:sdtPr>
              <w:sdtContent>
                <w:r w:rsidRPr="00273871">
                  <w:rPr>
                    <w:color w:val="000000"/>
                  </w:rPr>
                  <w:t>(DSEWPaC, 2011a)</w:t>
                </w:r>
              </w:sdtContent>
            </w:sdt>
          </w:p>
        </w:tc>
      </w:tr>
      <w:tr w:rsidR="008C1AD8" w:rsidRPr="000816D6" w14:paraId="38C54924" w14:textId="77777777" w:rsidTr="00A15226">
        <w:tc>
          <w:tcPr>
            <w:tcW w:w="1526" w:type="dxa"/>
            <w:vAlign w:val="center"/>
          </w:tcPr>
          <w:p w14:paraId="09BEE5B0" w14:textId="77777777" w:rsidR="008C1AD8" w:rsidRPr="000816D6" w:rsidRDefault="008C1AD8"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7B7E5665" w14:textId="77777777" w:rsidR="008C1AD8" w:rsidRPr="003E1ADD" w:rsidRDefault="008C1AD8" w:rsidP="00A15226">
            <w:pPr>
              <w:pStyle w:val="Tabletext"/>
            </w:pPr>
            <w:hyperlink r:id="rId63" w:history="1">
              <w:r w:rsidRPr="005C5E42">
                <w:rPr>
                  <w:rStyle w:val="Hyperlink"/>
                </w:rPr>
                <w:t>http://www.environment.gov.au/cgi-bin/sprat/public/publicshowcommunity.pl?id=42</w:t>
              </w:r>
            </w:hyperlink>
          </w:p>
        </w:tc>
      </w:tr>
    </w:tbl>
    <w:p w14:paraId="0393CBDD"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28FAB7CC" w14:textId="77777777" w:rsidTr="00A15226">
        <w:tc>
          <w:tcPr>
            <w:tcW w:w="9622" w:type="dxa"/>
            <w:shd w:val="clear" w:color="auto" w:fill="C9C9C9" w:themeFill="accent3" w:themeFillTint="99"/>
          </w:tcPr>
          <w:p w14:paraId="58009255" w14:textId="77777777" w:rsidR="008C1AD8" w:rsidRPr="008F55BC" w:rsidRDefault="008C1AD8" w:rsidP="00A15226">
            <w:pPr>
              <w:pStyle w:val="Tabletext"/>
              <w:rPr>
                <w:b/>
                <w:bCs/>
              </w:rPr>
            </w:pPr>
            <w:r>
              <w:rPr>
                <w:rFonts w:ascii="Helvetica" w:hAnsi="Helvetica"/>
                <w:b/>
                <w:sz w:val="16"/>
                <w:szCs w:val="16"/>
              </w:rPr>
              <w:t>APPROACH TO BASELINE DATA</w:t>
            </w:r>
          </w:p>
        </w:tc>
      </w:tr>
    </w:tbl>
    <w:p w14:paraId="3569DCAF" w14:textId="77777777" w:rsidR="008C1AD8" w:rsidRPr="00A375B5" w:rsidRDefault="008C1AD8" w:rsidP="008C1AD8">
      <w:pPr>
        <w:rPr>
          <w:i/>
          <w:iCs/>
          <w:color w:val="4472C4" w:themeColor="accent1"/>
        </w:rPr>
      </w:pPr>
      <w:r w:rsidRPr="00194369">
        <w:rPr>
          <w:i/>
          <w:iCs/>
          <w:color w:val="4472C4" w:themeColor="accent1"/>
        </w:rPr>
        <w:t xml:space="preserve">This section provides an overview of the mapping of the TEC used in the assessment. Please refer to </w:t>
      </w:r>
      <w:r w:rsidRPr="009E63A2">
        <w:rPr>
          <w:i/>
          <w:iCs/>
          <w:color w:val="4472C4" w:themeColor="accent1"/>
        </w:rPr>
        <w:t>Chapter 13</w:t>
      </w:r>
      <w:r w:rsidRPr="00086C5D">
        <w:rPr>
          <w:i/>
          <w:iCs/>
          <w:color w:val="4472C4" w:themeColor="accent1"/>
        </w:rPr>
        <w:t xml:space="preserve"> for further</w:t>
      </w:r>
      <w:r w:rsidRPr="00A375B5">
        <w:rPr>
          <w:i/>
          <w:iCs/>
          <w:color w:val="4472C4" w:themeColor="accent1"/>
        </w:rPr>
        <w:t xml:space="preserve"> details about baseline data.</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8C1AD8" w:rsidRPr="00980D4D" w14:paraId="181EAA92" w14:textId="77777777" w:rsidTr="00A15226">
        <w:tc>
          <w:tcPr>
            <w:tcW w:w="1526" w:type="dxa"/>
            <w:vMerge w:val="restart"/>
            <w:vAlign w:val="center"/>
          </w:tcPr>
          <w:p w14:paraId="3943FBAB" w14:textId="77777777" w:rsidR="008C1AD8" w:rsidRDefault="008C1AD8"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001A9DA6" w14:textId="77777777" w:rsidR="008C1AD8" w:rsidRDefault="008C1AD8"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GROWTH AREAS</w:t>
            </w:r>
          </w:p>
        </w:tc>
      </w:tr>
      <w:tr w:rsidR="008C1AD8" w:rsidRPr="00980D4D" w14:paraId="331B6009" w14:textId="77777777" w:rsidTr="00A15226">
        <w:tc>
          <w:tcPr>
            <w:tcW w:w="1526" w:type="dxa"/>
            <w:vMerge/>
            <w:vAlign w:val="center"/>
          </w:tcPr>
          <w:p w14:paraId="6B825E88" w14:textId="77777777" w:rsidR="008C1AD8" w:rsidRDefault="008C1AD8" w:rsidP="00A15226">
            <w:pPr>
              <w:pStyle w:val="Tabletext"/>
              <w:rPr>
                <w:rFonts w:ascii="Helvetica" w:hAnsi="Helvetica"/>
                <w:b/>
                <w:bCs/>
                <w:sz w:val="14"/>
              </w:rPr>
            </w:pPr>
          </w:p>
        </w:tc>
        <w:tc>
          <w:tcPr>
            <w:tcW w:w="8113" w:type="dxa"/>
            <w:vAlign w:val="center"/>
          </w:tcPr>
          <w:p w14:paraId="03717829" w14:textId="77777777" w:rsidR="008C1AD8" w:rsidRPr="00B83866" w:rsidRDefault="008C1AD8" w:rsidP="00A15226">
            <w:pPr>
              <w:pStyle w:val="Tabletext"/>
            </w:pPr>
            <w:r w:rsidRPr="00B83866">
              <w:t xml:space="preserve">The mapped extent of Natural Temperate Grassland is based on the results of the targeted field surveys </w:t>
            </w:r>
            <w:sdt>
              <w:sdtPr>
                <w:rPr>
                  <w:color w:val="000000"/>
                </w:rPr>
                <w:tag w:val="MENDELEY_CITATION_v3_eyJjaXRhdGlvbklEIjoiTUVOREVMRVlfQ0lUQVRJT05fMzA0YWFjZTgtNDcyZi00NjFjLTg0ZmMtMzg2ZTg3ZGQ1YmQz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294586186"/>
                <w:placeholder>
                  <w:docPart w:val="53263D66753F864BA248D609BD120A46"/>
                </w:placeholder>
              </w:sdtPr>
              <w:sdtContent>
                <w:r w:rsidRPr="00273871">
                  <w:rPr>
                    <w:color w:val="000000"/>
                  </w:rPr>
                  <w:t>(EHP, 2021)</w:t>
                </w:r>
              </w:sdtContent>
            </w:sdt>
            <w:r>
              <w:t>.</w:t>
            </w:r>
          </w:p>
        </w:tc>
      </w:tr>
      <w:tr w:rsidR="008C1AD8" w:rsidRPr="00980D4D" w14:paraId="08D15942" w14:textId="77777777" w:rsidTr="00A15226">
        <w:tc>
          <w:tcPr>
            <w:tcW w:w="1526" w:type="dxa"/>
            <w:vMerge/>
            <w:vAlign w:val="center"/>
          </w:tcPr>
          <w:p w14:paraId="3C401A61" w14:textId="77777777" w:rsidR="008C1AD8" w:rsidRDefault="008C1AD8" w:rsidP="00A15226">
            <w:pPr>
              <w:pStyle w:val="Tabletext"/>
              <w:rPr>
                <w:rFonts w:ascii="Helvetica" w:hAnsi="Helvetica"/>
                <w:b/>
                <w:bCs/>
                <w:sz w:val="14"/>
              </w:rPr>
            </w:pPr>
          </w:p>
        </w:tc>
        <w:tc>
          <w:tcPr>
            <w:tcW w:w="8113" w:type="dxa"/>
            <w:shd w:val="clear" w:color="auto" w:fill="B4C6E7" w:themeFill="accent1" w:themeFillTint="66"/>
            <w:vAlign w:val="center"/>
          </w:tcPr>
          <w:p w14:paraId="0240BE4E" w14:textId="77777777" w:rsidR="008C1AD8" w:rsidRPr="00B83866" w:rsidRDefault="008C1AD8" w:rsidP="00A15226">
            <w:pPr>
              <w:pStyle w:val="Bullet1"/>
              <w:numPr>
                <w:ilvl w:val="0"/>
                <w:numId w:val="0"/>
              </w:numPr>
              <w:ind w:left="360" w:hanging="360"/>
            </w:pPr>
            <w:r w:rsidRPr="00B83866">
              <w:rPr>
                <w:rFonts w:ascii="Helvetica" w:hAnsi="Helvetica"/>
                <w:b/>
                <w:bCs/>
                <w:sz w:val="14"/>
              </w:rPr>
              <w:t xml:space="preserve">OUTSIDE THE </w:t>
            </w:r>
            <w:r>
              <w:rPr>
                <w:rFonts w:ascii="Helvetica" w:hAnsi="Helvetica"/>
                <w:b/>
                <w:bCs/>
                <w:sz w:val="14"/>
              </w:rPr>
              <w:t xml:space="preserve">SURVEYED AREAS OF THE </w:t>
            </w:r>
            <w:r w:rsidRPr="00B83866">
              <w:rPr>
                <w:rFonts w:ascii="Helvetica" w:hAnsi="Helvetica"/>
                <w:b/>
                <w:bCs/>
                <w:sz w:val="14"/>
              </w:rPr>
              <w:t>GROWTH AREAS</w:t>
            </w:r>
          </w:p>
        </w:tc>
      </w:tr>
      <w:tr w:rsidR="008C1AD8" w:rsidRPr="00980D4D" w14:paraId="2EAB9036" w14:textId="77777777" w:rsidTr="00A15226">
        <w:tc>
          <w:tcPr>
            <w:tcW w:w="1526" w:type="dxa"/>
            <w:vMerge/>
            <w:vAlign w:val="center"/>
          </w:tcPr>
          <w:p w14:paraId="6259DED1" w14:textId="77777777" w:rsidR="008C1AD8" w:rsidRPr="000816D6" w:rsidRDefault="008C1AD8" w:rsidP="00A15226">
            <w:pPr>
              <w:pStyle w:val="Tabletext"/>
              <w:rPr>
                <w:rFonts w:ascii="Helvetica" w:hAnsi="Helvetica"/>
                <w:b/>
                <w:bCs/>
                <w:sz w:val="14"/>
              </w:rPr>
            </w:pPr>
          </w:p>
        </w:tc>
        <w:tc>
          <w:tcPr>
            <w:tcW w:w="8113" w:type="dxa"/>
            <w:vAlign w:val="center"/>
          </w:tcPr>
          <w:p w14:paraId="2CC5DE58" w14:textId="77777777" w:rsidR="008C1AD8" w:rsidRDefault="008C1AD8" w:rsidP="00A15226">
            <w:pPr>
              <w:pStyle w:val="Tabletext"/>
            </w:pPr>
            <w:r w:rsidRPr="00B83866">
              <w:t xml:space="preserve">There is no </w:t>
            </w:r>
            <w:r>
              <w:t xml:space="preserve">specific </w:t>
            </w:r>
            <w:r w:rsidRPr="00B83866">
              <w:t>mapping or model</w:t>
            </w:r>
            <w:r>
              <w:t>ling</w:t>
            </w:r>
            <w:r w:rsidRPr="00B83866">
              <w:t xml:space="preserve"> available for Natural Temperate Grassland outside of the surveyed areas. </w:t>
            </w:r>
            <w:r>
              <w:t>For the purposes of this assessment, an indication of</w:t>
            </w:r>
            <w:r w:rsidRPr="00ED7F0E">
              <w:t xml:space="preserve"> </w:t>
            </w:r>
            <w:r>
              <w:t xml:space="preserve">distribution and </w:t>
            </w:r>
            <w:r w:rsidRPr="00ED7F0E">
              <w:t xml:space="preserve">extent of </w:t>
            </w:r>
            <w:r>
              <w:lastRenderedPageBreak/>
              <w:t>the TEC</w:t>
            </w:r>
            <w:r w:rsidRPr="00ED7F0E">
              <w:t xml:space="preserve"> </w:t>
            </w:r>
            <w:r w:rsidRPr="00B83866">
              <w:t xml:space="preserve">within the unsurveyed areas of the Growth Areas </w:t>
            </w:r>
            <w:r>
              <w:t>has used</w:t>
            </w:r>
            <w:r w:rsidRPr="00B83866">
              <w:t xml:space="preserve"> DELWP</w:t>
            </w:r>
            <w:r>
              <w:t>’</w:t>
            </w:r>
            <w:r w:rsidRPr="00B83866">
              <w:t xml:space="preserve">s EVC mapping for EVC 132 (Plains Grassland) </w:t>
            </w:r>
            <w:sdt>
              <w:sdtPr>
                <w:rPr>
                  <w:color w:val="000000"/>
                </w:rPr>
                <w:tag w:val="MENDELEY_CITATION_v3_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"/>
                <w:id w:val="-1807610064"/>
                <w:placeholder>
                  <w:docPart w:val="53263D66753F864BA248D609BD120A46"/>
                </w:placeholder>
              </w:sdtPr>
              <w:sdtContent>
                <w:r w:rsidRPr="00273871">
                  <w:rPr>
                    <w:color w:val="000000"/>
                  </w:rPr>
                  <w:t>(DELWP, 2005)</w:t>
                </w:r>
              </w:sdtContent>
            </w:sdt>
            <w:r w:rsidRPr="00B83866">
              <w:t xml:space="preserve">. </w:t>
            </w:r>
          </w:p>
          <w:p w14:paraId="3DEFAC23" w14:textId="77777777" w:rsidR="008C1AD8" w:rsidRPr="00B83866" w:rsidRDefault="008C1AD8" w:rsidP="00A15226">
            <w:pPr>
              <w:pStyle w:val="Tabletext"/>
            </w:pPr>
            <w:r w:rsidRPr="00B83866">
              <w:t xml:space="preserve">The Listing Advice notes that this EVC is associated with Natural Temperate Grassland although the benchmarks for the EVC do not equate directly with condition thresholds for the TEC </w:t>
            </w:r>
            <w:sdt>
              <w:sdtPr>
                <w:rPr>
                  <w:color w:val="000000"/>
                </w:rPr>
                <w:tag w:val="MENDELEY_CITATION_v3_eyJjaXRhdGlvbklEIjoiTUVOREVMRVlfQ0lUQVRJT05fMmE1ZTgyOWQtMmRkOC00MmRhLWJlYmUtNjk1NDYwODZkZmMy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366883261"/>
                <w:placeholder>
                  <w:docPart w:val="53263D66753F864BA248D609BD120A46"/>
                </w:placeholder>
              </w:sdtPr>
              <w:sdtContent>
                <w:r w:rsidRPr="00273871">
                  <w:rPr>
                    <w:color w:val="000000"/>
                  </w:rPr>
                  <w:t>(TSSC, 2008)</w:t>
                </w:r>
              </w:sdtContent>
            </w:sdt>
            <w:r w:rsidRPr="00B83866">
              <w:t>.</w:t>
            </w:r>
            <w:r>
              <w:t xml:space="preserve"> Only a proportion of the modelled extent of the EVC is likely to meet the condition thresholds for the nationally listed community, as discussed further below.</w:t>
            </w:r>
          </w:p>
        </w:tc>
      </w:tr>
    </w:tbl>
    <w:p w14:paraId="06C824C3" w14:textId="77777777" w:rsidR="008C1AD8"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2555E69D" w14:textId="77777777" w:rsidTr="00A15226">
        <w:tc>
          <w:tcPr>
            <w:tcW w:w="9622" w:type="dxa"/>
            <w:shd w:val="clear" w:color="auto" w:fill="C9C9C9" w:themeFill="accent3" w:themeFillTint="99"/>
          </w:tcPr>
          <w:p w14:paraId="473708B5" w14:textId="77777777" w:rsidR="008C1AD8" w:rsidRPr="008F55BC" w:rsidRDefault="008C1AD8"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6B7CED39" w14:textId="77777777" w:rsidR="008C1AD8" w:rsidRPr="003B08F2" w:rsidRDefault="008C1AD8" w:rsidP="008C1AD8">
      <w:pPr>
        <w:rPr>
          <w:i/>
          <w:iCs/>
          <w:color w:val="4472C4" w:themeColor="accent1"/>
        </w:rPr>
      </w:pPr>
      <w:r w:rsidRPr="00BB022D">
        <w:rPr>
          <w:i/>
          <w:iCs/>
          <w:color w:val="4472C4" w:themeColor="accent1"/>
        </w:rPr>
        <w:t xml:space="preserve">This section describes the occurrence of the </w:t>
      </w:r>
      <w:r>
        <w:rPr>
          <w:i/>
          <w:iCs/>
          <w:color w:val="4472C4" w:themeColor="accent1"/>
        </w:rPr>
        <w:t>TEC</w:t>
      </w:r>
      <w:r w:rsidRPr="00BB022D">
        <w:rPr>
          <w:i/>
          <w:iCs/>
          <w:color w:val="4472C4" w:themeColor="accent1"/>
        </w:rPr>
        <w:t xml:space="preserve"> in the </w:t>
      </w:r>
      <w:r>
        <w:rPr>
          <w:i/>
          <w:iCs/>
          <w:color w:val="4472C4" w:themeColor="accent1"/>
        </w:rPr>
        <w:t xml:space="preserve">Study </w:t>
      </w:r>
      <w:r w:rsidRPr="003E38AB">
        <w:rPr>
          <w:i/>
          <w:iCs/>
          <w:color w:val="4472C4" w:themeColor="accent1"/>
        </w:rPr>
        <w:t>Area. It includes reference to a map which can be viewed as a separate file. The map provides critical context for the assessment and should</w:t>
      </w:r>
      <w:r w:rsidRPr="00BB022D">
        <w:rPr>
          <w:i/>
          <w:iCs/>
          <w:color w:val="4472C4" w:themeColor="accent1"/>
        </w:rPr>
        <w:t xml:space="preserve"> be viewed in conjunction with the text presented in this assessment. This section also provides a qualitative description of where </w:t>
      </w:r>
      <w:r>
        <w:rPr>
          <w:i/>
          <w:iCs/>
          <w:color w:val="4472C4" w:themeColor="accent1"/>
        </w:rPr>
        <w:t xml:space="preserve">the TEC </w:t>
      </w:r>
      <w:r w:rsidRPr="00BB022D">
        <w:rPr>
          <w:i/>
          <w:iCs/>
          <w:color w:val="4472C4" w:themeColor="accent1"/>
        </w:rPr>
        <w:t>occur</w:t>
      </w:r>
      <w:r>
        <w:rPr>
          <w:i/>
          <w:iCs/>
          <w:color w:val="4472C4" w:themeColor="accent1"/>
        </w:rPr>
        <w:t>s</w:t>
      </w:r>
      <w:r w:rsidRPr="00BB022D">
        <w:rPr>
          <w:i/>
          <w:iCs/>
          <w:color w:val="4472C4" w:themeColor="accent1"/>
        </w:rPr>
        <w:t>.</w:t>
      </w:r>
    </w:p>
    <w:p w14:paraId="32A59BE5" w14:textId="77777777" w:rsidR="008C1AD8" w:rsidRDefault="008C1AD8" w:rsidP="008C1AD8">
      <w:r>
        <w:t xml:space="preserve">Refer to </w:t>
      </w:r>
      <w:hyperlink r:id="rId64" w:history="1">
        <w:r w:rsidRPr="00466211">
          <w:rPr>
            <w:rStyle w:val="Hyperlink"/>
          </w:rPr>
          <w:t>Map 21-1</w:t>
        </w:r>
      </w:hyperlink>
      <w:r w:rsidRPr="00194369">
        <w:t xml:space="preserve"> for a map of the TEC across the Study Area, and </w:t>
      </w:r>
      <w:hyperlink r:id="rId65" w:history="1">
        <w:r w:rsidRPr="00466211">
          <w:rPr>
            <w:rStyle w:val="Hyperlink"/>
          </w:rPr>
          <w:t>Map 21-2</w:t>
        </w:r>
      </w:hyperlink>
      <w:r w:rsidRPr="00194369">
        <w:t xml:space="preserve"> fo</w:t>
      </w:r>
      <w:r>
        <w:t>r a map of the TEC within the Strategic Assessment Area.</w:t>
      </w:r>
    </w:p>
    <w:p w14:paraId="165A6128" w14:textId="77777777" w:rsidR="008C1AD8" w:rsidRDefault="008C1AD8" w:rsidP="008C1AD8">
      <w:pPr>
        <w:pStyle w:val="Heading3"/>
      </w:pPr>
      <w:r>
        <w:t xml:space="preserve">Occurrence withinin the Growth Areas </w:t>
      </w:r>
    </w:p>
    <w:p w14:paraId="244E0184" w14:textId="77777777" w:rsidR="008C1AD8" w:rsidRDefault="008C1AD8" w:rsidP="008C1AD8">
      <w:pPr>
        <w:pStyle w:val="Heading4"/>
      </w:pPr>
      <w:r>
        <w:t>Natural Temperate Grassland within the surveyed areas of the Growth Areas</w:t>
      </w:r>
    </w:p>
    <w:p w14:paraId="5F9CF174" w14:textId="77777777" w:rsidR="008C1AD8" w:rsidRDefault="008C1AD8" w:rsidP="008C1AD8">
      <w:r w:rsidRPr="00194369">
        <w:t xml:space="preserve">There is </w:t>
      </w:r>
      <w:r w:rsidRPr="009E63A2">
        <w:t>12.7</w:t>
      </w:r>
      <w:r w:rsidRPr="00194369">
        <w:t xml:space="preserve"> ha</w:t>
      </w:r>
      <w:r>
        <w:t xml:space="preserve"> of Natural Temperate Grassland mapped within the surveyed areas of the NGGA. This area is mapped across six patches including </w:t>
      </w:r>
      <w:sdt>
        <w:sdtPr>
          <w:rPr>
            <w:color w:val="000000"/>
          </w:rPr>
          <w:tag w:val="MENDELEY_CITATION_v3_eyJjaXRhdGlvbklEIjoiTUVOREVMRVlfQ0lUQVRJT05fMDZhOTg3NjAtZTZjYS00ZTBmLWIxOTItYzAyYzU0NDE3Mjdh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146191444"/>
          <w:placeholder>
            <w:docPart w:val="53263D66753F864BA248D609BD120A46"/>
          </w:placeholder>
        </w:sdtPr>
        <w:sdtContent>
          <w:r w:rsidRPr="00273871">
            <w:rPr>
              <w:color w:val="000000"/>
            </w:rPr>
            <w:t>(EHP, 2021)</w:t>
          </w:r>
        </w:sdtContent>
      </w:sdt>
      <w:r w:rsidRPr="00697C71">
        <w:t>:</w:t>
      </w:r>
    </w:p>
    <w:p w14:paraId="22E7DA71" w14:textId="77777777" w:rsidR="008C1AD8" w:rsidRDefault="008C1AD8" w:rsidP="008C1AD8">
      <w:pPr>
        <w:pStyle w:val="Bullet1"/>
      </w:pPr>
      <w:r>
        <w:t xml:space="preserve">One patch in the central-north of the </w:t>
      </w:r>
      <w:r w:rsidRPr="00461C85">
        <w:t>NGGA 1</w:t>
      </w:r>
      <w:r w:rsidRPr="009E63A2">
        <w:t xml:space="preserve"> ha</w:t>
      </w:r>
      <w:r w:rsidRPr="00461C85">
        <w:t xml:space="preserve"> in</w:t>
      </w:r>
      <w:r w:rsidRPr="005400F7">
        <w:t xml:space="preserve"> size</w:t>
      </w:r>
    </w:p>
    <w:p w14:paraId="33B3D8B9" w14:textId="77777777" w:rsidR="008C1AD8" w:rsidRDefault="008C1AD8" w:rsidP="008C1AD8">
      <w:pPr>
        <w:pStyle w:val="Bullet1"/>
      </w:pPr>
      <w:r>
        <w:t>Four patches in the central-east of the NGGA totalling 11.6 ha in size</w:t>
      </w:r>
    </w:p>
    <w:p w14:paraId="158E097A" w14:textId="77777777" w:rsidR="008C1AD8" w:rsidRDefault="008C1AD8" w:rsidP="008C1AD8">
      <w:pPr>
        <w:pStyle w:val="Bullet1"/>
      </w:pPr>
      <w:r>
        <w:t>One small patch in the south of the NGGA adjacent to Emmersons road 0.1 ha in size</w:t>
      </w:r>
    </w:p>
    <w:p w14:paraId="050E3FC0" w14:textId="77777777" w:rsidR="008C1AD8" w:rsidRDefault="008C1AD8" w:rsidP="008C1AD8">
      <w:r>
        <w:t xml:space="preserve">The TEC was not recorded within the WGGA </w:t>
      </w:r>
      <w:sdt>
        <w:sdtPr>
          <w:rPr>
            <w:color w:val="000000"/>
          </w:rPr>
          <w:tag w:val="MENDELEY_CITATION_v3_eyJjaXRhdGlvbklEIjoiTUVOREVMRVlfQ0lUQVRJT05fMDEzM2MxMzEtZTBlYS00YjgzLThmMDUtOTU1YWEwNjUwZDgw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393046838"/>
          <w:placeholder>
            <w:docPart w:val="53263D66753F864BA248D609BD120A46"/>
          </w:placeholder>
        </w:sdtPr>
        <w:sdtContent>
          <w:r w:rsidRPr="00273871">
            <w:rPr>
              <w:color w:val="000000"/>
            </w:rPr>
            <w:t>(EHP, 2021)</w:t>
          </w:r>
        </w:sdtContent>
      </w:sdt>
      <w:r>
        <w:t xml:space="preserve">. </w:t>
      </w:r>
    </w:p>
    <w:p w14:paraId="0EB06598" w14:textId="77777777" w:rsidR="008C1AD8" w:rsidRPr="0022789C" w:rsidRDefault="008C1AD8" w:rsidP="008C1AD8">
      <w:pPr>
        <w:rPr>
          <w:iCs/>
        </w:rPr>
      </w:pPr>
      <w:r>
        <w:t xml:space="preserve">The Listing Advice identifies patches of higher conservation value to include those with minimal weed invasion, high plant species diversity, and a larger patch size </w:t>
      </w:r>
      <w:sdt>
        <w:sdtPr>
          <w:rPr>
            <w:color w:val="000000"/>
          </w:rPr>
          <w:tag w:val="MENDELEY_CITATION_v3_eyJjaXRhdGlvbklEIjoiTUVOREVMRVlfQ0lUQVRJT05fYjA5ZjVkODItOTg1My00Y2Q2LWFjYzMtYmQ4Mzc2NDVhYTAx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212311118"/>
          <w:placeholder>
            <w:docPart w:val="53263D66753F864BA248D609BD120A46"/>
          </w:placeholder>
        </w:sdtPr>
        <w:sdtContent>
          <w:r w:rsidRPr="00273871">
            <w:rPr>
              <w:color w:val="000000"/>
            </w:rPr>
            <w:t>(TSSC, 2008)</w:t>
          </w:r>
        </w:sdtContent>
      </w:sdt>
      <w:r>
        <w:t xml:space="preserve">. Areas of the community within the NGGA occur in a heavily modified form and do not meet these requirements for higher conservation value. </w:t>
      </w:r>
      <w:r w:rsidRPr="0022789C">
        <w:rPr>
          <w:iCs/>
        </w:rPr>
        <w:t>This is reflected in its Site Condition Habitat Score (a score out of 75) which, when standardised, amounts to totals of either 16 or 24 out of 75 with an understorey score of 5/25. The later reflect the presence of less than 50% of the expected number of lifeforms in this community while still supporting more than a 50% cover of native perennial tussock-grasses.</w:t>
      </w:r>
    </w:p>
    <w:p w14:paraId="20363E94" w14:textId="77777777" w:rsidR="008C1AD8" w:rsidRPr="0022789C" w:rsidRDefault="008C1AD8" w:rsidP="008C1AD8">
      <w:pPr>
        <w:rPr>
          <w:iCs/>
        </w:rPr>
      </w:pPr>
      <w:r w:rsidRPr="0022789C">
        <w:rPr>
          <w:iCs/>
        </w:rPr>
        <w:t xml:space="preserve">Examples of </w:t>
      </w:r>
      <w:r>
        <w:rPr>
          <w:iCs/>
        </w:rPr>
        <w:t>the TEC</w:t>
      </w:r>
      <w:r w:rsidRPr="0022789C">
        <w:rPr>
          <w:iCs/>
        </w:rPr>
        <w:t xml:space="preserve"> within NGGA typically also have a weed cover of greater than 25% of the vegetation present, with high threat weeds such as Chilean Needle-grass being relatively common. Areas of </w:t>
      </w:r>
      <w:r>
        <w:rPr>
          <w:iCs/>
        </w:rPr>
        <w:t>the TEC</w:t>
      </w:r>
      <w:r w:rsidRPr="0022789C">
        <w:rPr>
          <w:iCs/>
        </w:rPr>
        <w:t xml:space="preserve"> with a relatively extensive cover of high threat, perennial, grassy weeds have relatively low resilience to ongoing weed invasion.  This makes </w:t>
      </w:r>
      <w:r>
        <w:rPr>
          <w:iCs/>
        </w:rPr>
        <w:t>the Natural Temperate Grassland</w:t>
      </w:r>
      <w:r w:rsidRPr="0022789C">
        <w:rPr>
          <w:iCs/>
        </w:rPr>
        <w:t xml:space="preserve"> within the NGGA highly vulnerable to an ongoing rapid decline in condition, to the extent where the </w:t>
      </w:r>
      <w:r>
        <w:rPr>
          <w:iCs/>
        </w:rPr>
        <w:t>occurrences</w:t>
      </w:r>
      <w:r w:rsidRPr="0022789C">
        <w:rPr>
          <w:iCs/>
        </w:rPr>
        <w:t xml:space="preserve"> can be expected to fail the required condition criteria to be defined as </w:t>
      </w:r>
      <w:r>
        <w:rPr>
          <w:iCs/>
        </w:rPr>
        <w:t>the community</w:t>
      </w:r>
      <w:r w:rsidRPr="0022789C">
        <w:rPr>
          <w:iCs/>
        </w:rPr>
        <w:t xml:space="preserve"> within relatively short timeframes (less than a decade).</w:t>
      </w:r>
    </w:p>
    <w:p w14:paraId="5C0B7CBF" w14:textId="77777777" w:rsidR="008C1AD8" w:rsidRDefault="008C1AD8" w:rsidP="008C1AD8">
      <w:pPr>
        <w:pStyle w:val="Heading4"/>
      </w:pPr>
      <w:r>
        <w:t>Natural Temperate Grassland within the unsurveyed areas</w:t>
      </w:r>
    </w:p>
    <w:p w14:paraId="3FBD8214" w14:textId="77777777" w:rsidR="008C1AD8" w:rsidRDefault="008C1AD8" w:rsidP="008C1AD8">
      <w:r w:rsidRPr="00B83866">
        <w:t xml:space="preserve">Targeted surveys are required to understand the presence or absence of Natural Temperate Grassland. </w:t>
      </w:r>
      <w:r>
        <w:t xml:space="preserve">There is potential for the TEC to occur within the unsurveyed areas of the NGGA, with EHP noting that </w:t>
      </w:r>
      <w:r w:rsidRPr="0044657F">
        <w:t>the unsurveyed areas are likely to support ecological values consistent with those already confirmed within the surveyed areas of the Growth Areas (EHP, 2021).</w:t>
      </w:r>
      <w:r>
        <w:t xml:space="preserve"> The TEC is unlikely to occur within the unsurveyed areas of the WGGA.</w:t>
      </w:r>
    </w:p>
    <w:p w14:paraId="6434192C" w14:textId="77777777" w:rsidR="008C1AD8" w:rsidRDefault="008C1AD8" w:rsidP="008C1AD8">
      <w:r>
        <w:t xml:space="preserve">DELWP modelling for EVC 132 Plains Grassland </w:t>
      </w:r>
      <w:sdt>
        <w:sdtPr>
          <w:rPr>
            <w:color w:val="000000"/>
          </w:rPr>
          <w:tag w:val="MENDELEY_CITATION_v3_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"/>
          <w:id w:val="1319075717"/>
          <w:placeholder>
            <w:docPart w:val="53263D66753F864BA248D609BD120A46"/>
          </w:placeholder>
        </w:sdtPr>
        <w:sdtContent>
          <w:r w:rsidRPr="00273871">
            <w:rPr>
              <w:color w:val="000000"/>
            </w:rPr>
            <w:t>(DELWP, 2005)</w:t>
          </w:r>
        </w:sdtContent>
      </w:sdt>
      <w:r>
        <w:t xml:space="preserve"> provides a broad indication of the possible distribution of the TEC </w:t>
      </w:r>
      <w:sdt>
        <w:sdtPr>
          <w:rPr>
            <w:color w:val="000000"/>
          </w:rPr>
          <w:tag w:val="MENDELEY_CITATION_v3_eyJjaXRhdGlvbklEIjoiTUVOREVMRVlfQ0lUQVRJT05fYzgxNjA2NTUtY2UxNy00MWEzLWEwOGYtMzQzZmVlNTI3NTM3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026910980"/>
          <w:placeholder>
            <w:docPart w:val="53263D66753F864BA248D609BD120A46"/>
          </w:placeholder>
        </w:sdtPr>
        <w:sdtContent>
          <w:r w:rsidRPr="00273871">
            <w:rPr>
              <w:color w:val="000000"/>
            </w:rPr>
            <w:t>(TSSC, 2008)</w:t>
          </w:r>
        </w:sdtContent>
      </w:sdt>
      <w:r>
        <w:t xml:space="preserve">. However, once condition is taken into account, only a proportion of the modelled EVC extent is likely to meet the condition thresholds for the nationally listed community. </w:t>
      </w:r>
    </w:p>
    <w:p w14:paraId="3DB69A01" w14:textId="77777777" w:rsidR="008C1AD8" w:rsidRDefault="008C1AD8" w:rsidP="008C1AD8">
      <w:r>
        <w:t>A comparison of the extent of modelled EVC 132 within the surveyed areas of the NGGA, with confirmed Natural Temperate Grassland patches based on surveys, shows that confirmed areas of the TEC account for 5.76 per cent of the modelled EVC extent.</w:t>
      </w:r>
    </w:p>
    <w:p w14:paraId="213EFD38" w14:textId="77777777" w:rsidR="008C1AD8" w:rsidRDefault="008C1AD8" w:rsidP="008C1AD8">
      <w:r>
        <w:lastRenderedPageBreak/>
        <w:t>The same factor has been used to estimate the likely extent of the TEC within the unsurveyed areas of the NGGA. This is considered appropriately conservative for the purposes of this assessment given the ecological values within the unsurveyed areas are expected to be broadly consistent, if not reduced, when compared with the broader Growth Areas. T</w:t>
      </w:r>
      <w:r w:rsidRPr="00511377">
        <w:t>hese areas generally comprise many small, rural residential landholdings which are fragmented by windrows/landscaping and have a much higher proportion of land use for dwellings and driveways compared to the broader Growth Areas. The environment within these unsurveyed areas tends to be more modified or degraded as a result.</w:t>
      </w:r>
    </w:p>
    <w:p w14:paraId="0885138E" w14:textId="77777777" w:rsidR="008C1AD8" w:rsidRDefault="008C1AD8" w:rsidP="008C1AD8">
      <w:r w:rsidRPr="00F82F76">
        <w:t xml:space="preserve">There </w:t>
      </w:r>
      <w:r>
        <w:t>are</w:t>
      </w:r>
      <w:r w:rsidRPr="00F82F76">
        <w:t xml:space="preserve"> </w:t>
      </w:r>
      <w:r>
        <w:t xml:space="preserve">approximately </w:t>
      </w:r>
      <w:r w:rsidRPr="009E63A2">
        <w:t>103</w:t>
      </w:r>
      <w:r w:rsidRPr="005404EA">
        <w:t xml:space="preserve"> ha of the modelled EVC 132 in the unsurveyed areas of the NGGA. Assuming that only 5.76 per cent of this qualifies as Natural Temperate Grassland, there is an estimated </w:t>
      </w:r>
      <w:r w:rsidRPr="009E63A2">
        <w:t>5.9</w:t>
      </w:r>
      <w:r w:rsidRPr="005404EA">
        <w:t xml:space="preserve"> ha</w:t>
      </w:r>
      <w:r w:rsidRPr="00F82F76">
        <w:t xml:space="preserve"> of the TEC within the unsurveyed areas</w:t>
      </w:r>
      <w:r>
        <w:t xml:space="preserve"> of the Growth Areas</w:t>
      </w:r>
      <w:r w:rsidRPr="00F82F76">
        <w:t>.</w:t>
      </w:r>
    </w:p>
    <w:p w14:paraId="744BE9A0" w14:textId="77777777" w:rsidR="008C1AD8" w:rsidRDefault="008C1AD8" w:rsidP="008C1AD8">
      <w:pPr>
        <w:pStyle w:val="Heading3"/>
      </w:pPr>
      <w:r>
        <w:t>Occurrence within the broader Strategic Assessment Area and Study Area</w:t>
      </w:r>
    </w:p>
    <w:p w14:paraId="1F4EA46D" w14:textId="77777777" w:rsidR="008C1AD8" w:rsidRDefault="008C1AD8" w:rsidP="008C1AD8">
      <w:r>
        <w:t>Potential extent of the TEC in the SAA and broader Study Area has been estimated using a modified approach to that used for the unsurveyed areas of the Growth Areas described above.</w:t>
      </w:r>
    </w:p>
    <w:p w14:paraId="2706A278" w14:textId="77777777" w:rsidR="008C1AD8" w:rsidRDefault="008C1AD8" w:rsidP="008C1AD8">
      <w:r>
        <w:t xml:space="preserve">Based on the modelled occurrence of related EVCs, the Listing Advice estimates that 5,245 ha of the TEC is remaining and that if condition is taken into account, less than 1,000 ha of this is expected to meet the definition of Natural Temperate Grassland </w:t>
      </w:r>
      <w:sdt>
        <w:sdtPr>
          <w:rPr>
            <w:color w:val="000000"/>
          </w:rPr>
          <w:tag w:val="MENDELEY_CITATION_v3_eyJjaXRhdGlvbklEIjoiTUVOREVMRVlfQ0lUQVRJT05fZTI5N2E2MDgtODg2My00M2E0LWE4MGEtOGQyYzNkZGY1ZTYz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706102746"/>
          <w:placeholder>
            <w:docPart w:val="53263D66753F864BA248D609BD120A46"/>
          </w:placeholder>
        </w:sdtPr>
        <w:sdtContent>
          <w:r w:rsidRPr="00273871">
            <w:rPr>
              <w:color w:val="000000"/>
            </w:rPr>
            <w:t>(TSSC, 2008)</w:t>
          </w:r>
        </w:sdtContent>
      </w:sdt>
      <w:r>
        <w:t xml:space="preserve">. This suggests that approximately 19 per cent of the modelled EVCs are in good enough condition to qualify as Natural Temperate Grassland. This figure is notably larger than the 5.76 per cent calculation generated for the unsurveyed areas of the Growth Areas. </w:t>
      </w:r>
    </w:p>
    <w:p w14:paraId="4493AA43" w14:textId="77777777" w:rsidR="008C1AD8" w:rsidRDefault="008C1AD8" w:rsidP="008C1AD8">
      <w:r>
        <w:t>The reasons for this could relate to the land use history and extent of modification within the Growth Areas compared with less developed or intensively farmed areas across its broader distribution. Recognising this, a range estimate of between 5.76 per cent and 19 per cent of modelled EVC 132 has been used to calculate potential extent of the TEC outside of the Growth Areas. This approach provides useful context for the impact assessment and suggests that there is between:</w:t>
      </w:r>
    </w:p>
    <w:p w14:paraId="6FF7AFEB" w14:textId="77777777" w:rsidR="008C1AD8" w:rsidRDefault="008C1AD8" w:rsidP="008C1AD8">
      <w:pPr>
        <w:pStyle w:val="Bullet1"/>
      </w:pPr>
      <w:r w:rsidRPr="009E63A2">
        <w:t>21.1</w:t>
      </w:r>
      <w:r w:rsidRPr="005404EA">
        <w:t xml:space="preserve"> and </w:t>
      </w:r>
      <w:r w:rsidRPr="009E63A2">
        <w:t>69.6</w:t>
      </w:r>
      <w:r w:rsidRPr="005404EA">
        <w:t xml:space="preserve"> ha of</w:t>
      </w:r>
      <w:r>
        <w:t xml:space="preserve"> Natural Temperate Grassland within the Strategic Assessment Area (excluding the Growth Areas)</w:t>
      </w:r>
    </w:p>
    <w:p w14:paraId="0C24B393" w14:textId="77777777" w:rsidR="008C1AD8" w:rsidRDefault="008C1AD8" w:rsidP="008C1AD8">
      <w:pPr>
        <w:pStyle w:val="Bullet1"/>
      </w:pPr>
      <w:r w:rsidRPr="009E63A2">
        <w:t>827.3</w:t>
      </w:r>
      <w:r w:rsidRPr="005404EA">
        <w:t xml:space="preserve"> and </w:t>
      </w:r>
      <w:r w:rsidRPr="009E63A2">
        <w:t>2,728.9</w:t>
      </w:r>
      <w:r w:rsidRPr="005404EA">
        <w:t xml:space="preserve"> ha of</w:t>
      </w:r>
      <w:r>
        <w:t xml:space="preserve"> Natural Temperate Grassland within the broader Study Area (excluding the Strategic Assessment Area)</w:t>
      </w:r>
    </w:p>
    <w:p w14:paraId="7709C2C6" w14:textId="77777777" w:rsidR="008C1AD8" w:rsidRPr="00B70C91"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37CCDA39" w14:textId="77777777" w:rsidTr="00A15226">
        <w:tc>
          <w:tcPr>
            <w:tcW w:w="9632" w:type="dxa"/>
            <w:shd w:val="clear" w:color="auto" w:fill="D9D9D9" w:themeFill="background1" w:themeFillShade="D9"/>
            <w:vAlign w:val="center"/>
          </w:tcPr>
          <w:p w14:paraId="4C8224DC" w14:textId="77777777" w:rsidR="008C1AD8" w:rsidRPr="000816D6" w:rsidRDefault="008C1AD8" w:rsidP="00A15226">
            <w:pPr>
              <w:pStyle w:val="TableHeadingLarge"/>
              <w:rPr>
                <w:rFonts w:ascii="Helvetica" w:hAnsi="Helvetica"/>
              </w:rPr>
            </w:pPr>
            <w:r w:rsidRPr="000816D6">
              <w:rPr>
                <w:rFonts w:ascii="Helvetica" w:hAnsi="Helvetica"/>
              </w:rPr>
              <w:t>AVOIDANCE OF IMPACTS</w:t>
            </w:r>
            <w:r>
              <w:rPr>
                <w:rFonts w:ascii="Helvetica" w:hAnsi="Helvetica"/>
              </w:rPr>
              <w:t xml:space="preserve"> </w:t>
            </w:r>
          </w:p>
        </w:tc>
      </w:tr>
    </w:tbl>
    <w:p w14:paraId="48DC8F6D" w14:textId="77777777" w:rsidR="008C1AD8" w:rsidRDefault="008C1AD8" w:rsidP="008C1AD8">
      <w:r w:rsidRPr="000816D6">
        <w:rPr>
          <w:i/>
          <w:color w:val="4472C4" w:themeColor="accent1"/>
        </w:rPr>
        <w:t xml:space="preserve">This section provides an overview of the area of </w:t>
      </w:r>
      <w:r>
        <w:rPr>
          <w:i/>
          <w:color w:val="4472C4" w:themeColor="accent1"/>
        </w:rPr>
        <w:t xml:space="preserve">the TEC </w:t>
      </w:r>
      <w:r w:rsidRPr="000816D6">
        <w:rPr>
          <w:i/>
          <w:color w:val="4472C4" w:themeColor="accent1"/>
        </w:rPr>
        <w:t xml:space="preserve">that was avoided for the species through the design of </w:t>
      </w:r>
      <w:r>
        <w:rPr>
          <w:i/>
          <w:color w:val="4472C4" w:themeColor="accent1"/>
        </w:rPr>
        <w:t xml:space="preserve">development within the Growth Areas. Avoidance of impacts to biodiversity was a critical part of the process to develop the Plan. </w:t>
      </w:r>
      <w:r w:rsidRPr="000816D6">
        <w:rPr>
          <w:i/>
          <w:color w:val="4472C4" w:themeColor="accent1"/>
        </w:rPr>
        <w:t xml:space="preserve">A detailed explanation of the avoidance process and terminology is provided in </w:t>
      </w:r>
      <w:r w:rsidRPr="009E63A2">
        <w:rPr>
          <w:i/>
          <w:color w:val="4472C4" w:themeColor="accent1"/>
        </w:rPr>
        <w:t>Chapter 16.</w:t>
      </w:r>
    </w:p>
    <w:p w14:paraId="507736D1" w14:textId="77777777" w:rsidR="008C1AD8" w:rsidRDefault="008C1AD8" w:rsidP="008C1AD8">
      <w:r>
        <w:t xml:space="preserve">Avoidance within the NGGA was determined through a structured decision making process as part of the strategic assessment to identify the optimal layout of development and conservation land in the Growth </w:t>
      </w:r>
      <w:r w:rsidRPr="005404EA">
        <w:t xml:space="preserve">Area </w:t>
      </w:r>
      <w:r w:rsidRPr="009E63A2">
        <w:t>(see Section 16.3 of Chapter 16)</w:t>
      </w:r>
      <w:r w:rsidRPr="005404EA">
        <w:t>.</w:t>
      </w:r>
      <w:r>
        <w:t xml:space="preserve"> A number of options to remove patches of Natural Temperate Grassland from the development areas were considered as part of this process. </w:t>
      </w:r>
    </w:p>
    <w:p w14:paraId="087ED130" w14:textId="77777777" w:rsidR="008C1AD8" w:rsidRDefault="008C1AD8" w:rsidP="008C1AD8">
      <w:pPr>
        <w:keepNext/>
        <w:keepLines/>
      </w:pPr>
      <w:r>
        <w:t xml:space="preserve">This process needed to balance a range of State and Commonwealth biodiversity issues relevant to the Growth Areas and led to the avoidance of important areas of native grassland that provide habitat for the Striped Legless Lizard </w:t>
      </w:r>
      <w:r>
        <w:rPr>
          <w:i/>
          <w:iCs/>
        </w:rPr>
        <w:t xml:space="preserve">Delma </w:t>
      </w:r>
      <w:r w:rsidRPr="009B571C">
        <w:rPr>
          <w:i/>
          <w:iCs/>
        </w:rPr>
        <w:t>impar</w:t>
      </w:r>
      <w:r>
        <w:t xml:space="preserve"> </w:t>
      </w:r>
      <w:r w:rsidRPr="009B571C">
        <w:t>and</w:t>
      </w:r>
      <w:r>
        <w:t xml:space="preserve"> the Golden Sun Moth </w:t>
      </w:r>
      <w:r>
        <w:rPr>
          <w:i/>
          <w:iCs/>
        </w:rPr>
        <w:t>Synemon plana</w:t>
      </w:r>
      <w:r>
        <w:t>. Mapped patches of Natural Temperate Grassland were unable to be included in the avoided areas for the following reasons:</w:t>
      </w:r>
    </w:p>
    <w:p w14:paraId="042BC913" w14:textId="77777777" w:rsidR="008C1AD8" w:rsidRDefault="008C1AD8" w:rsidP="008C1AD8">
      <w:pPr>
        <w:pStyle w:val="Bullet1"/>
      </w:pPr>
      <w:r>
        <w:t>The patches of the TEC in the central-east of the NGGA occur within and adjacent to a creekline which will need to be developed as part of urban stormwater management. This is a topographical constraint and there are no viable alternatives that are also conducive to development in the Growth Area.</w:t>
      </w:r>
    </w:p>
    <w:p w14:paraId="1ECD9EF1" w14:textId="77777777" w:rsidR="008C1AD8" w:rsidRDefault="008C1AD8" w:rsidP="008C1AD8">
      <w:pPr>
        <w:pStyle w:val="Bullet1"/>
      </w:pPr>
      <w:r>
        <w:t>The option of extending the Conservation Area to the south to protect the patches of TEC towards the central-north of the NGGA was considered. However, the costs of acquiring and managing this land in addition to the other avoided areas was economically unviable. A suitable alternative layout that prioritised the retention of these areas of the TEC over the other native grassland values could not be designed in a way that would deliver a sensible:</w:t>
      </w:r>
    </w:p>
    <w:p w14:paraId="51575080" w14:textId="77777777" w:rsidR="008C1AD8" w:rsidRDefault="008C1AD8" w:rsidP="008C1AD8">
      <w:pPr>
        <w:pStyle w:val="Bullet2"/>
      </w:pPr>
      <w:r>
        <w:t>Edge-to-area ratio of the conservation area to facilitate good on-going management</w:t>
      </w:r>
    </w:p>
    <w:p w14:paraId="1DB82D3F" w14:textId="77777777" w:rsidR="008C1AD8" w:rsidRDefault="008C1AD8" w:rsidP="008C1AD8">
      <w:pPr>
        <w:pStyle w:val="Bullet2"/>
      </w:pPr>
      <w:r>
        <w:lastRenderedPageBreak/>
        <w:t>Urban form for the Growth Area</w:t>
      </w:r>
    </w:p>
    <w:p w14:paraId="3DAC8F32" w14:textId="77777777" w:rsidR="008C1AD8" w:rsidRDefault="008C1AD8" w:rsidP="008C1AD8">
      <w:pPr>
        <w:pStyle w:val="Bullet1"/>
      </w:pPr>
      <w:r>
        <w:t>The avoidance of the small, isolated remaining patches of the TEC in the southern half of the NGGA as pockets of undeveloped land surrounded by urban development would be difficult to deliver from an urban form perspective and difficult to deliver in terms of protecting and managing the TEC values against substantial edge effects</w:t>
      </w:r>
    </w:p>
    <w:p w14:paraId="1FFE4BAE" w14:textId="77777777" w:rsidR="008C1AD8" w:rsidRDefault="008C1AD8" w:rsidP="008C1AD8">
      <w:r>
        <w:t>There is also some potential for the TEC to occur within the external infrastructure footprints within the Strategic Assessment Area, outside of the Growth Areas. The Commitments and Measures under the Plan require:</w:t>
      </w:r>
    </w:p>
    <w:p w14:paraId="79AA15DE" w14:textId="77777777" w:rsidR="008C1AD8" w:rsidRDefault="008C1AD8" w:rsidP="008C1AD8">
      <w:pPr>
        <w:pStyle w:val="Bullet1"/>
      </w:pPr>
      <w:r>
        <w:t>Targeted surveys within areas that may support the TEC along these corridors prior to development and</w:t>
      </w:r>
    </w:p>
    <w:p w14:paraId="0D15E6AE" w14:textId="77777777" w:rsidR="008C1AD8" w:rsidRDefault="008C1AD8" w:rsidP="008C1AD8">
      <w:pPr>
        <w:pStyle w:val="Bullet1"/>
      </w:pPr>
      <w:r>
        <w:t>Demonstrated avoidance of any confirmed areas of the TEC, to the full extent possible</w:t>
      </w:r>
    </w:p>
    <w:p w14:paraId="1C3F4C72" w14:textId="77777777" w:rsidR="008C1AD8"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02227B18" w14:textId="77777777" w:rsidTr="00A15226">
        <w:tc>
          <w:tcPr>
            <w:tcW w:w="9632" w:type="dxa"/>
            <w:shd w:val="clear" w:color="auto" w:fill="D9D9D9" w:themeFill="background1" w:themeFillShade="D9"/>
            <w:vAlign w:val="center"/>
          </w:tcPr>
          <w:p w14:paraId="436483D6" w14:textId="77777777" w:rsidR="008C1AD8" w:rsidRPr="000816D6" w:rsidRDefault="008C1AD8" w:rsidP="00A15226">
            <w:pPr>
              <w:pStyle w:val="TableHeadingLarge"/>
            </w:pPr>
            <w:r w:rsidRPr="000816D6">
              <w:rPr>
                <w:rFonts w:ascii="Helvetica" w:hAnsi="Helvetica"/>
              </w:rPr>
              <w:t>DIRECT IMPACTS</w:t>
            </w:r>
            <w:r>
              <w:rPr>
                <w:rFonts w:ascii="Helvetica" w:hAnsi="Helvetica"/>
              </w:rPr>
              <w:t xml:space="preserve"> </w:t>
            </w:r>
          </w:p>
        </w:tc>
      </w:tr>
    </w:tbl>
    <w:p w14:paraId="7FD8ECBB" w14:textId="77777777" w:rsidR="008C1AD8" w:rsidRPr="00EA3EB7" w:rsidRDefault="008C1AD8" w:rsidP="008C1AD8">
      <w:pPr>
        <w:rPr>
          <w:i/>
          <w:color w:val="4472C4" w:themeColor="accent1"/>
        </w:rPr>
      </w:pPr>
      <w:r w:rsidRPr="000816D6">
        <w:rPr>
          <w:i/>
          <w:color w:val="4472C4" w:themeColor="accent1"/>
        </w:rPr>
        <w:t>This section provides an analysis of any direct impacts</w:t>
      </w:r>
      <w:r>
        <w:rPr>
          <w:i/>
          <w:color w:val="4472C4" w:themeColor="accent1"/>
        </w:rPr>
        <w:t xml:space="preserve"> to the TEC. </w:t>
      </w:r>
      <w:r w:rsidRPr="00EA3EB7">
        <w:rPr>
          <w:i/>
          <w:color w:val="4472C4" w:themeColor="accent1"/>
        </w:rPr>
        <w:t>It considers:</w:t>
      </w:r>
    </w:p>
    <w:p w14:paraId="3FFEB7CC" w14:textId="77777777" w:rsidR="008C1AD8" w:rsidRPr="00EA3EB7" w:rsidRDefault="008C1AD8" w:rsidP="008C1AD8">
      <w:pPr>
        <w:pStyle w:val="Bullet1"/>
        <w:rPr>
          <w:i/>
          <w:color w:val="4472C4" w:themeColor="accent1"/>
        </w:rPr>
      </w:pPr>
      <w:r w:rsidRPr="00EA3EB7">
        <w:rPr>
          <w:i/>
          <w:color w:val="4472C4" w:themeColor="accent1"/>
        </w:rPr>
        <w:t xml:space="preserve">Predicted impacts within </w:t>
      </w:r>
      <w:r>
        <w:rPr>
          <w:i/>
          <w:color w:val="4472C4" w:themeColor="accent1"/>
        </w:rPr>
        <w:t>areas identified for development within the Growth Areas</w:t>
      </w:r>
    </w:p>
    <w:p w14:paraId="29DDF33D" w14:textId="77777777" w:rsidR="008C1AD8" w:rsidRPr="00D2602C" w:rsidRDefault="008C1AD8" w:rsidP="008C1AD8">
      <w:pPr>
        <w:pStyle w:val="Bullet1"/>
        <w:rPr>
          <w:i/>
          <w:color w:val="4472C4" w:themeColor="accent1"/>
        </w:rPr>
      </w:pPr>
      <w:r w:rsidRPr="00EA3EB7">
        <w:rPr>
          <w:i/>
          <w:color w:val="4472C4" w:themeColor="accent1"/>
        </w:rPr>
        <w:t>Potential issues associated with fragmentation</w:t>
      </w:r>
    </w:p>
    <w:p w14:paraId="42C934BD" w14:textId="77777777" w:rsidR="008C1AD8" w:rsidRDefault="008C1AD8" w:rsidP="008C1AD8">
      <w:r>
        <w:t xml:space="preserve">Development under the Plan will lead to the loss </w:t>
      </w:r>
      <w:r w:rsidRPr="005404EA">
        <w:t xml:space="preserve">of </w:t>
      </w:r>
      <w:r w:rsidRPr="009E63A2">
        <w:t>six patches</w:t>
      </w:r>
      <w:r w:rsidRPr="005404EA">
        <w:t xml:space="preserve"> of Natural Temperate Grassland across the total area of </w:t>
      </w:r>
      <w:r w:rsidRPr="009E63A2">
        <w:t>12.7 ha</w:t>
      </w:r>
      <w:r w:rsidRPr="005404EA">
        <w:t xml:space="preserve"> that has been mapped within the NGGA, as well as the estimated loss of </w:t>
      </w:r>
      <w:r w:rsidRPr="009E63A2">
        <w:t>5.9 ha</w:t>
      </w:r>
      <w:r w:rsidRPr="005404EA">
        <w:t xml:space="preserve"> o</w:t>
      </w:r>
      <w:r>
        <w:t>f the TEC within the unsurveyed areas of the NGGA.</w:t>
      </w:r>
    </w:p>
    <w:p w14:paraId="3BF91EBC" w14:textId="77777777" w:rsidR="008C1AD8" w:rsidRDefault="008C1AD8" w:rsidP="008C1AD8">
      <w:r>
        <w:t xml:space="preserve">It is relevant to note that the current extent of weeds and apparent declining trend in condition across much of the NGGA suggests that the long-term viability of the remnants is poor if existing land management practices continue. Chilean Needle-grass </w:t>
      </w:r>
      <w:r>
        <w:rPr>
          <w:i/>
          <w:iCs/>
        </w:rPr>
        <w:t>Nassella neesiana</w:t>
      </w:r>
      <w:r>
        <w:t xml:space="preserve"> is a particular species of concern for the TEC </w:t>
      </w:r>
      <w:sdt>
        <w:sdtPr>
          <w:rPr>
            <w:color w:val="000000"/>
          </w:rPr>
          <w:tag w:val="MENDELEY_CITATION_v3_eyJjaXRhdGlvbklEIjoiTUVOREVMRVlfQ0lUQVRJT05fNGI4M2M4MWMtM2JkYS00ODg2LTljNjItMDRkNDBhOTEzZTg2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1366909024"/>
          <w:placeholder>
            <w:docPart w:val="53263D66753F864BA248D609BD120A46"/>
          </w:placeholder>
        </w:sdtPr>
        <w:sdtContent>
          <w:r w:rsidRPr="00273871">
            <w:rPr>
              <w:color w:val="000000"/>
            </w:rPr>
            <w:t>(TSSC, 2008)</w:t>
          </w:r>
        </w:sdtContent>
      </w:sdt>
      <w:r>
        <w:t xml:space="preserve"> </w:t>
      </w:r>
      <w:r>
        <w:rPr>
          <w:noProof/>
        </w:rPr>
        <w:t>which is now prolific in some parts of the NGGA.</w:t>
      </w:r>
      <w:r>
        <w:t xml:space="preserve"> In their assessment of the community, EHP noted that the patches of Natural Temperate Grassland that they identified only met the minimum conditions relating to species diversity and structure </w:t>
      </w:r>
      <w:sdt>
        <w:sdtPr>
          <w:rPr>
            <w:color w:val="000000"/>
          </w:rPr>
          <w:tag w:val="MENDELEY_CITATION_v3_eyJjaXRhdGlvbklEIjoiTUVOREVMRVlfQ0lUQVRJT05fZTZmNDc3YjEtMjIyMS00ZjUzLWJiOTYtODY0NjQ5YzBkNmNl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1156055"/>
          <w:placeholder>
            <w:docPart w:val="53263D66753F864BA248D609BD120A46"/>
          </w:placeholder>
        </w:sdtPr>
        <w:sdtContent>
          <w:r w:rsidRPr="00273871">
            <w:rPr>
              <w:color w:val="000000"/>
            </w:rPr>
            <w:t>(EHP, 2021)</w:t>
          </w:r>
        </w:sdtContent>
      </w:sdt>
      <w:r>
        <w:t>.</w:t>
      </w:r>
    </w:p>
    <w:p w14:paraId="5F1CF799" w14:textId="77777777" w:rsidR="008C1AD8" w:rsidRDefault="008C1AD8" w:rsidP="008C1AD8">
      <w:r>
        <w:t>Despite this, it is also recognised that these patches of the TEC still provide conservation value. This reflects the critically endangered status of the community and rate of decline in extent, patch size and condition across its distribution. The loss of the patches within the NGGA will lead to a residual adverse impact which will need to be compensated for. A suitable offset is required, and the strategic delivery of these offsets provides an important opportunity to secure a good conservation outcome for the TEC.</w:t>
      </w:r>
    </w:p>
    <w:p w14:paraId="75539899" w14:textId="77777777" w:rsidR="008C1AD8" w:rsidRPr="006934FA" w:rsidRDefault="008C1AD8" w:rsidP="008C1AD8">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8C1AD8" w:rsidRPr="000816D6" w14:paraId="07AE1F50" w14:textId="77777777" w:rsidTr="00A15226">
        <w:trPr>
          <w:cantSplit/>
        </w:trPr>
        <w:tc>
          <w:tcPr>
            <w:tcW w:w="9632" w:type="dxa"/>
            <w:shd w:val="clear" w:color="auto" w:fill="D9D9D9" w:themeFill="background1" w:themeFillShade="D9"/>
            <w:vAlign w:val="center"/>
          </w:tcPr>
          <w:p w14:paraId="231214A1" w14:textId="77777777" w:rsidR="008C1AD8" w:rsidRPr="000816D6" w:rsidRDefault="008C1AD8" w:rsidP="00A15226">
            <w:pPr>
              <w:pStyle w:val="TableHeadingLarge"/>
            </w:pPr>
            <w:r w:rsidRPr="000816D6">
              <w:rPr>
                <w:rFonts w:ascii="Helvetica" w:hAnsi="Helvetica"/>
              </w:rPr>
              <w:t>POTENTIAL INDIRECT IMPACTS AND MITIGATION</w:t>
            </w:r>
          </w:p>
        </w:tc>
      </w:tr>
    </w:tbl>
    <w:p w14:paraId="3DF3E3BB" w14:textId="77777777" w:rsidR="008C1AD8" w:rsidRDefault="008C1AD8" w:rsidP="008C1AD8">
      <w:r>
        <w:t>The</w:t>
      </w:r>
      <w:r w:rsidRPr="008E77AC">
        <w:t xml:space="preserve"> Conservation Advice</w:t>
      </w:r>
      <w:r>
        <w:t xml:space="preserve"> and Listing Advice</w:t>
      </w:r>
      <w:r w:rsidRPr="008E77AC">
        <w:t xml:space="preserve"> for </w:t>
      </w:r>
      <w:r>
        <w:t>Natural Temperate Grassland</w:t>
      </w:r>
      <w:r w:rsidRPr="002B70F0">
        <w:t xml:space="preserve"> identif</w:t>
      </w:r>
      <w:r>
        <w:t>y</w:t>
      </w:r>
      <w:r w:rsidRPr="002B70F0">
        <w:t xml:space="preserve"> a range of threats to the </w:t>
      </w:r>
      <w:r>
        <w:t xml:space="preserve">TEC </w:t>
      </w:r>
      <w:sdt>
        <w:sdtPr>
          <w:rPr>
            <w:color w:val="000000"/>
          </w:rPr>
          <w:tag w:val="MENDELEY_CITATION_v3_eyJjaXRhdGlvbklEIjoiTUVOREVMRVlfQ0lUQVRJT05fYjA1NDMxMGQtMjU0Ny00Mzc4LTg0ZWQtMzdlZmExZDg4M2UyIiwicHJvcGVydGllcyI6eyJub3RlSW5kZXgiOjB9LCJpc0VkaXRlZCI6ZmFsc2UsIm1hbnVhbE92ZXJyaWRlIjp7ImNpdGVwcm9jVGV4dCI6IihERVdIQSwgMjAwOGE7IFRTU0MsIDIwMDgpIiwiaXNNYW51YWxseU92ZXJyaWRkZW4iOmZhbHNlLCJtYW51YWxPdmVycmlkZVRleHQiOiIifSwiY2l0YXRpb25JdGVtcyI6W3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"/>
          <w:id w:val="-1870446571"/>
          <w:placeholder>
            <w:docPart w:val="53263D66753F864BA248D609BD120A46"/>
          </w:placeholder>
        </w:sdtPr>
        <w:sdtContent>
          <w:r w:rsidRPr="00273871">
            <w:rPr>
              <w:color w:val="000000"/>
            </w:rPr>
            <w:t>(DEWHA, 2008a; TSSC, 2008)</w:t>
          </w:r>
        </w:sdtContent>
      </w:sdt>
      <w:r>
        <w:t xml:space="preserve">. Development under the Plan is unlikely to either introduce or exacerbate any of these threats on potential occurrences of the TEC within the region. </w:t>
      </w:r>
    </w:p>
    <w:p w14:paraId="50744217" w14:textId="77777777" w:rsidR="008C1AD8" w:rsidRDefault="008C1AD8" w:rsidP="008C1AD8">
      <w:r>
        <w:t>Development under the Plan is unlikely to influence a number of these threats (such as fertiliser or pesticide use, changes in land management practices, grazing, burning or a lack of knowledge or understanding of grassland remnants). The threats which have the potential to interact with development under the Plan (such as increased weed invasion) are unlikely to be exacerbated. This conclusion is based on the:</w:t>
      </w:r>
    </w:p>
    <w:p w14:paraId="17185F4C" w14:textId="77777777" w:rsidR="008C1AD8" w:rsidRDefault="008C1AD8" w:rsidP="008C1AD8">
      <w:pPr>
        <w:pStyle w:val="Bullet1"/>
      </w:pPr>
      <w:r>
        <w:t>Landscape context of the region, which is dominated by existing urban development, roads and/or extensive agricultural land</w:t>
      </w:r>
    </w:p>
    <w:p w14:paraId="1D0CB284" w14:textId="77777777" w:rsidR="008C1AD8" w:rsidRDefault="008C1AD8" w:rsidP="008C1AD8">
      <w:pPr>
        <w:pStyle w:val="Bullet1"/>
      </w:pPr>
      <w:r>
        <w:t>Mitigation measures which are a requirement of the existing planning system and will address and minimise the standard indirect impacts associated with urban development in the Growth Areas</w:t>
      </w:r>
    </w:p>
    <w:p w14:paraId="0B292582" w14:textId="77777777" w:rsidR="008C1AD8" w:rsidRDefault="008C1AD8" w:rsidP="008C1AD8">
      <w:r w:rsidRPr="003A2AF0">
        <w:t>Refer to</w:t>
      </w:r>
      <w:r>
        <w:t xml:space="preserve"> </w:t>
      </w:r>
      <w:r w:rsidRPr="005404EA">
        <w:t xml:space="preserve">Section </w:t>
      </w:r>
      <w:r w:rsidRPr="009E63A2">
        <w:t>17.2</w:t>
      </w:r>
      <w:r w:rsidRPr="005404EA">
        <w:t xml:space="preserve"> of </w:t>
      </w:r>
      <w:r w:rsidRPr="009E63A2">
        <w:t>Chapter 17</w:t>
      </w:r>
      <w:r w:rsidRPr="005404EA">
        <w:t xml:space="preserve"> for a</w:t>
      </w:r>
      <w:r>
        <w:t xml:space="preserve"> detailed assessment of potential indirect impacts associated with implementation of the Plan more generally.</w:t>
      </w:r>
      <w:r w:rsidRPr="00CC2A00" w:rsidDel="00727335">
        <w:rPr>
          <w:highlight w:val="yellow"/>
        </w:rPr>
        <w:t xml:space="preserve"> </w:t>
      </w:r>
    </w:p>
    <w:p w14:paraId="44909E81" w14:textId="77777777" w:rsidR="008C1AD8" w:rsidRPr="003039B6" w:rsidRDefault="008C1AD8" w:rsidP="008C1AD8">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382F36F4" w14:textId="77777777" w:rsidTr="00A15226">
        <w:tc>
          <w:tcPr>
            <w:tcW w:w="9622" w:type="dxa"/>
            <w:shd w:val="clear" w:color="auto" w:fill="C9C9C9" w:themeFill="accent3" w:themeFillTint="99"/>
          </w:tcPr>
          <w:p w14:paraId="7B1D9021" w14:textId="77777777" w:rsidR="008C1AD8" w:rsidRPr="008F55BC" w:rsidRDefault="008C1AD8" w:rsidP="00A15226">
            <w:pPr>
              <w:pStyle w:val="Tabletext"/>
              <w:keepNext/>
              <w:keepLines/>
              <w:rPr>
                <w:b/>
                <w:bCs/>
              </w:rPr>
            </w:pPr>
            <w:r w:rsidRPr="00AE4F91">
              <w:rPr>
                <w:rFonts w:ascii="Helvetica" w:hAnsi="Helvetica"/>
                <w:b/>
                <w:sz w:val="16"/>
                <w:szCs w:val="16"/>
              </w:rPr>
              <w:lastRenderedPageBreak/>
              <w:t xml:space="preserve">OFFSETS </w:t>
            </w:r>
            <w:r>
              <w:rPr>
                <w:rFonts w:ascii="Helvetica" w:hAnsi="Helvetica"/>
                <w:b/>
                <w:sz w:val="16"/>
                <w:szCs w:val="16"/>
              </w:rPr>
              <w:t xml:space="preserve">TO COMPENSATE </w:t>
            </w:r>
            <w:r w:rsidRPr="00AE4F91">
              <w:rPr>
                <w:rFonts w:ascii="Helvetica" w:hAnsi="Helvetica"/>
                <w:b/>
                <w:sz w:val="16"/>
                <w:szCs w:val="16"/>
              </w:rPr>
              <w:t xml:space="preserve">FOR RESIDUAL </w:t>
            </w:r>
            <w:r>
              <w:rPr>
                <w:rFonts w:ascii="Helvetica" w:hAnsi="Helvetica"/>
                <w:b/>
                <w:sz w:val="16"/>
                <w:szCs w:val="16"/>
              </w:rPr>
              <w:t xml:space="preserve">ADVERSE </w:t>
            </w:r>
            <w:r w:rsidRPr="00AE4F91">
              <w:rPr>
                <w:rFonts w:ascii="Helvetica" w:hAnsi="Helvetica"/>
                <w:b/>
                <w:sz w:val="16"/>
                <w:szCs w:val="16"/>
              </w:rPr>
              <w:t>IMPACTS</w:t>
            </w:r>
          </w:p>
        </w:tc>
      </w:tr>
    </w:tbl>
    <w:p w14:paraId="065BF6F3" w14:textId="77777777" w:rsidR="008C1AD8" w:rsidRPr="000816D6" w:rsidRDefault="008C1AD8" w:rsidP="008C1AD8">
      <w:pPr>
        <w:rPr>
          <w:i/>
          <w:color w:val="4472C4" w:themeColor="accent1"/>
        </w:rPr>
      </w:pPr>
      <w:r>
        <w:rPr>
          <w:i/>
          <w:color w:val="4472C4" w:themeColor="accent1"/>
        </w:rPr>
        <w:t>T</w:t>
      </w:r>
      <w:r w:rsidRPr="00972D8D">
        <w:rPr>
          <w:i/>
          <w:color w:val="4472C4" w:themeColor="accent1"/>
        </w:rPr>
        <w:t xml:space="preserve">his section identifies any offsets needed to address residual adverse impacts to </w:t>
      </w:r>
      <w:r>
        <w:rPr>
          <w:i/>
          <w:color w:val="4472C4" w:themeColor="accent1"/>
        </w:rPr>
        <w:t>the TEC.</w:t>
      </w:r>
    </w:p>
    <w:p w14:paraId="111D869F" w14:textId="77777777" w:rsidR="008C1AD8" w:rsidRDefault="008C1AD8" w:rsidP="008C1AD8">
      <w:pPr>
        <w:pStyle w:val="Heading3"/>
      </w:pPr>
      <w:r>
        <w:t>Offsets for residual impacts within the Growth Areas</w:t>
      </w:r>
    </w:p>
    <w:p w14:paraId="34C23A09" w14:textId="77777777" w:rsidR="008C1AD8" w:rsidRDefault="008C1AD8" w:rsidP="008C1AD8">
      <w:r>
        <w:t>T</w:t>
      </w:r>
      <w:r w:rsidRPr="00FA6D53">
        <w:t xml:space="preserve">he </w:t>
      </w:r>
      <w:r w:rsidRPr="004F1BD0">
        <w:t xml:space="preserve">Plan </w:t>
      </w:r>
      <w:r>
        <w:t xml:space="preserve">will provide the following package of offsets to compensate for the loss of </w:t>
      </w:r>
      <w:r w:rsidRPr="009E63A2">
        <w:t>18.6 ha</w:t>
      </w:r>
      <w:r>
        <w:rPr>
          <w:color w:val="FF0000"/>
        </w:rPr>
        <w:t xml:space="preserve"> </w:t>
      </w:r>
      <w:r>
        <w:t xml:space="preserve">of the TEC within the NGGA: </w:t>
      </w:r>
    </w:p>
    <w:p w14:paraId="1A392E8F" w14:textId="77777777" w:rsidR="008C1AD8" w:rsidRDefault="008C1AD8" w:rsidP="008C1AD8">
      <w:pPr>
        <w:pStyle w:val="Bullet1"/>
      </w:pPr>
      <w:r>
        <w:t>Protection and ongoing management of 45</w:t>
      </w:r>
      <w:r w:rsidRPr="009E63A2">
        <w:t xml:space="preserve"> ha</w:t>
      </w:r>
      <w:r w:rsidRPr="00461C85">
        <w:t xml:space="preserve"> of</w:t>
      </w:r>
      <w:r>
        <w:t xml:space="preserve"> areas supporting the TEC outside of the Growth Areas</w:t>
      </w:r>
    </w:p>
    <w:p w14:paraId="1EBBDBC6" w14:textId="77777777" w:rsidR="008C1AD8" w:rsidRDefault="008C1AD8" w:rsidP="008C1AD8">
      <w:pPr>
        <w:pStyle w:val="Bullet1"/>
      </w:pPr>
      <w:r>
        <w:t>Strategic delivery of these offsets, which means:</w:t>
      </w:r>
    </w:p>
    <w:p w14:paraId="27EAFAC5" w14:textId="77777777" w:rsidR="008C1AD8" w:rsidRPr="00553A1E" w:rsidRDefault="008C1AD8" w:rsidP="008C1AD8">
      <w:pPr>
        <w:pStyle w:val="Bullet2"/>
      </w:pPr>
      <w:r w:rsidRPr="00BF4675">
        <w:rPr>
          <w:u w:val="single"/>
        </w:rPr>
        <w:t>Advanced offset delivery</w:t>
      </w:r>
      <w:r w:rsidRPr="00553A1E">
        <w:t xml:space="preserve">: </w:t>
      </w:r>
      <w:r>
        <w:t xml:space="preserve">100% of the </w:t>
      </w:r>
      <w:r w:rsidRPr="00553A1E">
        <w:t>offsets</w:t>
      </w:r>
      <w:r>
        <w:t xml:space="preserve"> for Natural Temperate Grassland will be</w:t>
      </w:r>
      <w:r w:rsidRPr="00553A1E">
        <w:t xml:space="preserve"> delivered </w:t>
      </w:r>
      <w:r>
        <w:t>within the first five years of Plan implementation</w:t>
      </w:r>
    </w:p>
    <w:p w14:paraId="7CA3281C" w14:textId="77777777" w:rsidR="008C1AD8" w:rsidRDefault="008C1AD8" w:rsidP="008C1AD8">
      <w:pPr>
        <w:pStyle w:val="Bullet2"/>
      </w:pPr>
      <w:r w:rsidRPr="00BF4675">
        <w:rPr>
          <w:u w:val="single"/>
        </w:rPr>
        <w:t>Spatially planned offsets</w:t>
      </w:r>
      <w:r w:rsidRPr="00553A1E">
        <w:t>:</w:t>
      </w:r>
      <w:r>
        <w:t xml:space="preserve"> Offsets will meet at least one of the following strategic landscape criteria: </w:t>
      </w:r>
    </w:p>
    <w:p w14:paraId="1A46C47E" w14:textId="77777777" w:rsidR="008C1AD8" w:rsidRDefault="008C1AD8" w:rsidP="008C1AD8">
      <w:pPr>
        <w:pStyle w:val="Bullet3"/>
      </w:pPr>
      <w:r>
        <w:t>Protection of areas supporting Natural Temperature Grassland that would be considered large for the community</w:t>
      </w:r>
    </w:p>
    <w:p w14:paraId="27ECD517" w14:textId="77777777" w:rsidR="008C1AD8" w:rsidRDefault="008C1AD8" w:rsidP="008C1AD8">
      <w:pPr>
        <w:pStyle w:val="Bullet3"/>
      </w:pPr>
      <w:r>
        <w:t>Located within a key biodiversity corridor and improves connectivity across the landscape</w:t>
      </w:r>
    </w:p>
    <w:p w14:paraId="43B7997D" w14:textId="77777777" w:rsidR="008C1AD8" w:rsidRDefault="008C1AD8" w:rsidP="008C1AD8">
      <w:pPr>
        <w:pStyle w:val="Bullet3"/>
      </w:pPr>
      <w:r>
        <w:t>Connection of the offset site to an existing conservation reserve</w:t>
      </w:r>
    </w:p>
    <w:p w14:paraId="75882AD8" w14:textId="77777777" w:rsidR="008C1AD8" w:rsidRDefault="008C1AD8" w:rsidP="008C1AD8">
      <w:r>
        <w:t xml:space="preserve">As outlined previously, strategic approaches to offsets such as this, can lead to outcomes that are in the order of 20-40% better than non-strategic offsets </w:t>
      </w:r>
      <w:sdt>
        <w:sdtPr>
          <w:rPr>
            <w:color w:val="000000"/>
          </w:rPr>
          <w:tag w:val="MENDELEY_CITATION_v3_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"/>
          <w:id w:val="909585743"/>
          <w:placeholder>
            <w:docPart w:val="53263D66753F864BA248D609BD120A46"/>
          </w:placeholder>
        </w:sdtPr>
        <w:sdtContent>
          <w:r>
            <w:rPr>
              <w:rFonts w:eastAsia="Times New Roman"/>
            </w:rPr>
            <w:t xml:space="preserve">(Gordon </w:t>
          </w:r>
          <w:r>
            <w:rPr>
              <w:rFonts w:eastAsia="Times New Roman"/>
              <w:i/>
              <w:iCs/>
            </w:rPr>
            <w:t>et al.</w:t>
          </w:r>
          <w:r>
            <w:rPr>
              <w:rFonts w:eastAsia="Times New Roman"/>
            </w:rPr>
            <w:t>, 2011; Gordon and Peterson, 2019)</w:t>
          </w:r>
        </w:sdtContent>
      </w:sdt>
      <w:r>
        <w:t xml:space="preserve">. </w:t>
      </w:r>
    </w:p>
    <w:p w14:paraId="03E0A9E4" w14:textId="77777777" w:rsidR="008C1AD8" w:rsidRDefault="008C1AD8" w:rsidP="008C1AD8">
      <w:r>
        <w:t xml:space="preserve">Any unavoidable clearing of confirmed areas of the TEC within the external infrastructure footprints will be offset in accordance with the EPBC Act Environmental Offsets Policy and associated Offsets Assessment Guide </w:t>
      </w:r>
      <w:sdt>
        <w:sdtPr>
          <w:rPr>
            <w:color w:val="000000"/>
          </w:rPr>
          <w:tag w:val="MENDELEY_CITATION_v3_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"/>
          <w:id w:val="-892723292"/>
          <w:placeholder>
            <w:docPart w:val="53263D66753F864BA248D609BD120A46"/>
          </w:placeholder>
        </w:sdtPr>
        <w:sdtContent>
          <w:r w:rsidRPr="00273871">
            <w:rPr>
              <w:color w:val="000000"/>
            </w:rPr>
            <w:t>(Commonwealth of Australia, 2012)</w:t>
          </w:r>
        </w:sdtContent>
      </w:sdt>
      <w:r>
        <w:t>. Given the existing level of development and land use in these areas, and the need to demonstrate avoidance to the full extent possible under the Plan, the potential level of clearing and associated need for offsets is expected to be minimal.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8C1AD8" w14:paraId="6FFA9078" w14:textId="77777777" w:rsidTr="00A15226">
        <w:tc>
          <w:tcPr>
            <w:tcW w:w="9622" w:type="dxa"/>
            <w:shd w:val="clear" w:color="auto" w:fill="C9C9C9" w:themeFill="accent3" w:themeFillTint="99"/>
          </w:tcPr>
          <w:p w14:paraId="5CE2483F" w14:textId="77777777" w:rsidR="008C1AD8" w:rsidRPr="008F55BC" w:rsidRDefault="008C1AD8" w:rsidP="00A15226">
            <w:pPr>
              <w:pStyle w:val="Tabletext"/>
              <w:rPr>
                <w:b/>
                <w:bCs/>
              </w:rPr>
            </w:pPr>
            <w:r w:rsidRPr="008E2D83">
              <w:rPr>
                <w:rFonts w:ascii="Helvetica" w:hAnsi="Helvetica"/>
                <w:b/>
                <w:sz w:val="16"/>
                <w:szCs w:val="16"/>
              </w:rPr>
              <w:t>LIKELY EFFECTS OF IMPLEMENTATION OF THE PLAN ON THE LONG-TERM VIABILITY OF THE SPECIES</w:t>
            </w:r>
          </w:p>
        </w:tc>
      </w:tr>
    </w:tbl>
    <w:p w14:paraId="7A8547E6" w14:textId="77777777" w:rsidR="008C1AD8" w:rsidRPr="000816D6" w:rsidRDefault="008C1AD8" w:rsidP="008C1AD8">
      <w:pPr>
        <w:rPr>
          <w:i/>
          <w:color w:val="4472C4" w:themeColor="accent1"/>
        </w:rPr>
      </w:pPr>
      <w:r w:rsidRPr="000816D6">
        <w:rPr>
          <w:i/>
          <w:color w:val="4472C4" w:themeColor="accent1"/>
        </w:rPr>
        <w:t xml:space="preserve">This section considers the likely effects of implementation of the Plan on the long-term viability of the </w:t>
      </w:r>
      <w:r>
        <w:rPr>
          <w:i/>
          <w:color w:val="4472C4" w:themeColor="accent1"/>
        </w:rPr>
        <w:t>TEC</w:t>
      </w:r>
      <w:r w:rsidRPr="000816D6">
        <w:rPr>
          <w:i/>
          <w:color w:val="4472C4" w:themeColor="accent1"/>
        </w:rPr>
        <w:t>. The assessment of viability has regard for the guidance in the Conservation Advice</w:t>
      </w:r>
      <w:r>
        <w:rPr>
          <w:i/>
          <w:color w:val="4472C4" w:themeColor="accent1"/>
        </w:rPr>
        <w:t xml:space="preserve"> </w:t>
      </w:r>
      <w:r w:rsidRPr="000816D6">
        <w:rPr>
          <w:i/>
          <w:color w:val="4472C4" w:themeColor="accent1"/>
        </w:rPr>
        <w:t>and</w:t>
      </w:r>
      <w:r>
        <w:rPr>
          <w:i/>
          <w:color w:val="4472C4" w:themeColor="accent1"/>
        </w:rPr>
        <w:t xml:space="preserve"> Listing Advice</w:t>
      </w:r>
      <w:r w:rsidRPr="000816D6">
        <w:rPr>
          <w:i/>
          <w:color w:val="4472C4" w:themeColor="accent1"/>
        </w:rPr>
        <w:t xml:space="preserve"> and draws on the analysis of avoidance, </w:t>
      </w:r>
      <w:r>
        <w:rPr>
          <w:i/>
          <w:color w:val="4472C4" w:themeColor="accent1"/>
        </w:rPr>
        <w:t>impacts and offsets presented above.</w:t>
      </w:r>
      <w:r w:rsidRPr="000816D6">
        <w:rPr>
          <w:i/>
          <w:color w:val="4472C4" w:themeColor="accent1"/>
        </w:rPr>
        <w:t xml:space="preserve"> </w:t>
      </w:r>
    </w:p>
    <w:p w14:paraId="66242994" w14:textId="77777777" w:rsidR="008C1AD8" w:rsidRPr="00C6364C" w:rsidRDefault="008C1AD8" w:rsidP="008C1AD8">
      <w:pPr>
        <w:rPr>
          <w:i/>
          <w:color w:val="4472C4" w:themeColor="accent1"/>
        </w:rPr>
      </w:pPr>
      <w:r w:rsidRPr="000816D6">
        <w:rPr>
          <w:i/>
          <w:color w:val="4472C4" w:themeColor="accent1"/>
        </w:rPr>
        <w:t xml:space="preserve">Where applicable, this section also discusses the consistency of the Plan with any Recovery Plans and relevant Threat Abatement Plans. The general consistency of the Plan with Threat Abatement Plans is discussed in </w:t>
      </w:r>
      <w:r w:rsidRPr="006A162E">
        <w:rPr>
          <w:i/>
          <w:color w:val="4472C4" w:themeColor="accent1"/>
        </w:rPr>
        <w:t>deta</w:t>
      </w:r>
      <w:r w:rsidRPr="00086C5D">
        <w:rPr>
          <w:i/>
          <w:color w:val="4472C4" w:themeColor="accent1"/>
        </w:rPr>
        <w:t xml:space="preserve">il in Section </w:t>
      </w:r>
      <w:r w:rsidRPr="009E63A2">
        <w:rPr>
          <w:i/>
          <w:color w:val="4472C4" w:themeColor="accent1"/>
        </w:rPr>
        <w:t xml:space="preserve">17.3 </w:t>
      </w:r>
      <w:r w:rsidRPr="00461C85">
        <w:rPr>
          <w:i/>
          <w:color w:val="4472C4" w:themeColor="accent1"/>
        </w:rPr>
        <w:t xml:space="preserve">of </w:t>
      </w:r>
      <w:r w:rsidRPr="009E63A2">
        <w:rPr>
          <w:i/>
          <w:color w:val="4472C4" w:themeColor="accent1"/>
        </w:rPr>
        <w:t>Chapter 17.</w:t>
      </w:r>
    </w:p>
    <w:p w14:paraId="145C09AE" w14:textId="77777777" w:rsidR="008C1AD8" w:rsidRPr="00461C85" w:rsidRDefault="008C1AD8" w:rsidP="008C1AD8">
      <w:pPr>
        <w:pStyle w:val="Heading3"/>
      </w:pPr>
      <w:r w:rsidRPr="00461C85">
        <w:t>Implications for long-term viability and summary of outcomes</w:t>
      </w:r>
    </w:p>
    <w:p w14:paraId="29EC15CE" w14:textId="77777777" w:rsidR="008C1AD8" w:rsidRPr="00F82F76" w:rsidRDefault="008C1AD8" w:rsidP="008C1AD8">
      <w:r w:rsidRPr="00461C85">
        <w:t xml:space="preserve">A total of </w:t>
      </w:r>
      <w:r w:rsidRPr="009E63A2">
        <w:t>1</w:t>
      </w:r>
      <w:r>
        <w:t>8.6</w:t>
      </w:r>
      <w:r w:rsidRPr="00461C85">
        <w:t xml:space="preserve"> ha</w:t>
      </w:r>
      <w:r w:rsidRPr="00F82F76">
        <w:t xml:space="preserve"> of Natural Temperate Grassland has been mapped across the Growth Areas</w:t>
      </w:r>
      <w:r>
        <w:t>. A</w:t>
      </w:r>
      <w:r w:rsidRPr="00F82F76">
        <w:t xml:space="preserve">ll </w:t>
      </w:r>
      <w:r>
        <w:t xml:space="preserve">of this occurs </w:t>
      </w:r>
      <w:r w:rsidRPr="00F82F76">
        <w:t xml:space="preserve">within the </w:t>
      </w:r>
      <w:r w:rsidRPr="00461C85">
        <w:t xml:space="preserve">NGGA and is comprised of a number of small, fragmented patches. The most consolidated patches account for </w:t>
      </w:r>
      <w:r w:rsidRPr="009E63A2">
        <w:t>92 per cent</w:t>
      </w:r>
      <w:r w:rsidRPr="00461C85">
        <w:t xml:space="preserve"> of this area, comprising four closely located patches in the central east of the NGGA totalling </w:t>
      </w:r>
      <w:r w:rsidRPr="009E63A2">
        <w:t>11.6 ha.</w:t>
      </w:r>
      <w:r w:rsidRPr="00461C85">
        <w:t xml:space="preserve"> The remaining</w:t>
      </w:r>
      <w:r w:rsidRPr="00F82F76">
        <w:t xml:space="preserve"> </w:t>
      </w:r>
      <w:r>
        <w:t xml:space="preserve">two </w:t>
      </w:r>
      <w:r w:rsidRPr="00F82F76">
        <w:t xml:space="preserve">patches are smaller and more fragmented. </w:t>
      </w:r>
      <w:r>
        <w:t xml:space="preserve">In addition, there is a conservative estimate of </w:t>
      </w:r>
      <w:r w:rsidRPr="009E63A2">
        <w:t>5.9</w:t>
      </w:r>
      <w:r w:rsidRPr="00461C85">
        <w:t xml:space="preserve"> ha</w:t>
      </w:r>
      <w:r>
        <w:t xml:space="preserve"> of potential Natural Temperate Grassland within the unsurveyed areas of the Growth Areas.</w:t>
      </w:r>
    </w:p>
    <w:p w14:paraId="610D3F26" w14:textId="77777777" w:rsidR="008C1AD8" w:rsidRDefault="008C1AD8" w:rsidP="008C1AD8">
      <w:r w:rsidRPr="00F82F76">
        <w:t>The ongoing agricultural land management and extensive threat from existing weeds, including Chilean Needle</w:t>
      </w:r>
      <w:r>
        <w:t>-</w:t>
      </w:r>
      <w:r w:rsidRPr="00F82F76">
        <w:t>grass</w:t>
      </w:r>
      <w:r>
        <w:t xml:space="preserve">, threaten the long-term viability of these remnants. At the time of surveys, EHP noted that the patches of mapped Natural Temperate Grassland only met the minimum condition thresholds for the EPBC community </w:t>
      </w:r>
      <w:sdt>
        <w:sdtPr>
          <w:rPr>
            <w:color w:val="000000"/>
          </w:rPr>
          <w:tag w:val="MENDELEY_CITATION_v3_eyJjaXRhdGlvbklEIjoiTUVOREVMRVlfQ0lUQVRJT05fMDAzMzU1NWQtNDU2NS00ZmQxLWE2MmItMmJjMDcwZDk1NzE4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941444861"/>
          <w:placeholder>
            <w:docPart w:val="53263D66753F864BA248D609BD120A46"/>
          </w:placeholder>
        </w:sdtPr>
        <w:sdtContent>
          <w:r w:rsidRPr="00273871">
            <w:rPr>
              <w:color w:val="000000"/>
            </w:rPr>
            <w:t>(EHP, 2021)</w:t>
          </w:r>
        </w:sdtContent>
      </w:sdt>
      <w:r>
        <w:t>. Notable declines in native grassland condition and extent have been observed at locations across the NGGA since that time (</w:t>
      </w:r>
      <w:r w:rsidRPr="009851D3">
        <w:t xml:space="preserve">see </w:t>
      </w:r>
      <w:r w:rsidRPr="009E63A2">
        <w:t>Chapter 13</w:t>
      </w:r>
      <w:r w:rsidRPr="00461C85">
        <w:t xml:space="preserve">, Section </w:t>
      </w:r>
      <w:r w:rsidRPr="009E63A2">
        <w:t>13.2</w:t>
      </w:r>
      <w:r>
        <w:t xml:space="preserve"> for details).</w:t>
      </w:r>
    </w:p>
    <w:p w14:paraId="543C814D" w14:textId="77777777" w:rsidR="008C1AD8" w:rsidRPr="00F82F76" w:rsidRDefault="008C1AD8" w:rsidP="008C1AD8">
      <w:r w:rsidRPr="00F82F76">
        <w:t>However, as identified in the Listing Advice, even small, degraded patches of the TEC retain biodiversity value. In recognition of this, a thorough process to consider options to avoid and retain areas of Natural Temperate Grassland within the NGGA was undertaken. None of the areas known to support the community could be retained due to competing priorities with other native vegetation values, and urban form and topographical constraints.</w:t>
      </w:r>
    </w:p>
    <w:p w14:paraId="3039416A" w14:textId="77777777" w:rsidR="008C1AD8" w:rsidRPr="00826039" w:rsidRDefault="008C1AD8" w:rsidP="008C1AD8">
      <w:pPr>
        <w:keepNext/>
        <w:keepLines/>
      </w:pPr>
      <w:r w:rsidRPr="00F82F76">
        <w:t>To</w:t>
      </w:r>
      <w:r w:rsidRPr="00826039">
        <w:t xml:space="preserve"> compensate for this, the Plan commits to the delivery of an offsets package for the TEC which</w:t>
      </w:r>
      <w:r w:rsidRPr="009E63A2">
        <w:t>:</w:t>
      </w:r>
    </w:p>
    <w:p w14:paraId="1F8F3C34" w14:textId="77777777" w:rsidR="008C1AD8" w:rsidRPr="009E63A2" w:rsidRDefault="008C1AD8" w:rsidP="008C1AD8">
      <w:pPr>
        <w:pStyle w:val="Bullet1"/>
      </w:pPr>
      <w:r w:rsidRPr="009E63A2">
        <w:t xml:space="preserve">Addresses the clearing of 18.6 ha within the NGGA with an offset quantum of </w:t>
      </w:r>
      <w:r>
        <w:t>45</w:t>
      </w:r>
      <w:r w:rsidRPr="009E63A2">
        <w:t xml:space="preserve"> ha of the TEC outside of the Growth Areas</w:t>
      </w:r>
    </w:p>
    <w:p w14:paraId="55054F50" w14:textId="77777777" w:rsidR="008C1AD8" w:rsidRPr="009E63A2" w:rsidRDefault="008C1AD8" w:rsidP="008C1AD8">
      <w:pPr>
        <w:pStyle w:val="Bullet1"/>
      </w:pPr>
      <w:r w:rsidRPr="009E63A2">
        <w:lastRenderedPageBreak/>
        <w:t>Aims to identify consolidated patches of the TEC for protection</w:t>
      </w:r>
      <w:r>
        <w:t xml:space="preserve"> in strategic locations</w:t>
      </w:r>
      <w:r w:rsidRPr="009E63A2">
        <w:t>; noting that larger remnants are now very rare across the TECs distribution, making any remaining large patches particularly important to the long viability of the community as a whole</w:t>
      </w:r>
    </w:p>
    <w:p w14:paraId="47C08149" w14:textId="77777777" w:rsidR="008C1AD8" w:rsidRPr="00DB4C57" w:rsidRDefault="008C1AD8" w:rsidP="008C1AD8">
      <w:pPr>
        <w:pStyle w:val="Bullet1"/>
      </w:pPr>
      <w:r w:rsidRPr="009E63A2">
        <w:t xml:space="preserve">Will lead to the early protection and management of the offset sites, in advance of many impacts. The benefits of early or advanced offsetting in this context has been demonstrated in a number of studies </w:t>
      </w:r>
      <w:sdt>
        <w:sdtPr>
          <w:rPr>
            <w:color w:val="000000"/>
          </w:rPr>
          <w:tag w:val="MENDELEY_CITATION_v3_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"/>
          <w:id w:val="-1508053232"/>
          <w:placeholder>
            <w:docPart w:val="53263D66753F864BA248D609BD120A46"/>
          </w:placeholder>
        </w:sdtPr>
        <w:sdtContent>
          <w:r>
            <w:rPr>
              <w:rFonts w:eastAsia="Times New Roman"/>
            </w:rPr>
            <w:t xml:space="preserve">(Gordon </w:t>
          </w:r>
          <w:r>
            <w:rPr>
              <w:rFonts w:eastAsia="Times New Roman"/>
              <w:i/>
              <w:iCs/>
            </w:rPr>
            <w:t>et al.</w:t>
          </w:r>
          <w:r>
            <w:rPr>
              <w:rFonts w:eastAsia="Times New Roman"/>
            </w:rPr>
            <w:t>, 2011; Gordon and Peterson, 2019)</w:t>
          </w:r>
        </w:sdtContent>
      </w:sdt>
    </w:p>
    <w:p w14:paraId="3F2CA376" w14:textId="77777777" w:rsidR="008C1AD8" w:rsidRPr="009E63A2" w:rsidRDefault="008C1AD8" w:rsidP="008C1AD8">
      <w:pPr>
        <w:pStyle w:val="Bullet1"/>
      </w:pPr>
      <w:r>
        <w:rPr>
          <w:color w:val="000000"/>
        </w:rPr>
        <w:t>Will ens</w:t>
      </w:r>
      <w:r w:rsidRPr="009E63A2">
        <w:t xml:space="preserve">ure that any unavoidable clearing of confirmed areas of the TEC within the external infrastructure footprints will be offset in accordance with the EPBC Act Environmental Offsets Policy and associated Offsets Assessment Guide </w:t>
      </w:r>
      <w:sdt>
        <w:sdtPr>
          <w:rPr>
            <w:color w:val="000000"/>
          </w:rPr>
          <w:tag w:val="MENDELEY_CITATION_v3_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"/>
          <w:id w:val="-1581209775"/>
          <w:placeholder>
            <w:docPart w:val="53263D66753F864BA248D609BD120A46"/>
          </w:placeholder>
        </w:sdtPr>
        <w:sdtContent>
          <w:r w:rsidRPr="00273871">
            <w:rPr>
              <w:color w:val="000000"/>
            </w:rPr>
            <w:t>(Commonwealth of Australia, 2012)</w:t>
          </w:r>
        </w:sdtContent>
      </w:sdt>
    </w:p>
    <w:p w14:paraId="2E87CCD2" w14:textId="77777777" w:rsidR="008C1AD8" w:rsidRDefault="008C1AD8" w:rsidP="008C1AD8">
      <w:r>
        <w:t>W</w:t>
      </w:r>
      <w:r w:rsidRPr="00B13DD0">
        <w:t xml:space="preserve">hen balanced </w:t>
      </w:r>
      <w:r>
        <w:t>against</w:t>
      </w:r>
      <w:r w:rsidRPr="00B13DD0">
        <w:t xml:space="preserve"> the condition, size and existing threats to </w:t>
      </w:r>
      <w:r>
        <w:t>the remnants within the NGGA</w:t>
      </w:r>
      <w:r w:rsidRPr="00F82F76">
        <w:t>, the offsets for Natural Temperate Grassland that will be delivered under the Plan are expected to lead to an improved long-term outcome for the community</w:t>
      </w:r>
      <w:r>
        <w:t>.</w:t>
      </w:r>
      <w:r w:rsidRPr="00F82F76">
        <w:t xml:space="preserve"> </w:t>
      </w:r>
    </w:p>
    <w:p w14:paraId="2AC95DCC" w14:textId="77777777" w:rsidR="008C1AD8" w:rsidRPr="000816D6" w:rsidRDefault="008C1AD8" w:rsidP="008C1AD8">
      <w:pPr>
        <w:pStyle w:val="Heading3"/>
      </w:pPr>
      <w:r w:rsidRPr="000816D6">
        <w:t>C</w:t>
      </w:r>
      <w:r>
        <w:t>onsistency with recovery plan</w:t>
      </w:r>
    </w:p>
    <w:p w14:paraId="0A2015DB" w14:textId="77777777" w:rsidR="008C1AD8" w:rsidRDefault="008C1AD8" w:rsidP="008C1AD8">
      <w:r>
        <w:t>There is no Recovery Plan for the TEC.</w:t>
      </w:r>
    </w:p>
    <w:p w14:paraId="0BF3359F" w14:textId="77777777" w:rsidR="008C1AD8" w:rsidRPr="000816D6" w:rsidRDefault="008C1AD8" w:rsidP="008C1AD8">
      <w:pPr>
        <w:pStyle w:val="Heading3"/>
      </w:pPr>
      <w:r w:rsidRPr="000816D6">
        <w:t>K</w:t>
      </w:r>
      <w:r>
        <w:t>ey threatening processes and consistency with Threat Abatement Plans</w:t>
      </w:r>
    </w:p>
    <w:p w14:paraId="0C5CDE0C" w14:textId="77777777" w:rsidR="008C1AD8" w:rsidRDefault="008C1AD8" w:rsidP="008C1AD8">
      <w:r>
        <w:t xml:space="preserve">Relevant Key Threatening Processes (KTPs) and any of their associated Threat Abatement Plans (TAPs) have been identified in </w:t>
      </w:r>
      <w:r>
        <w:fldChar w:fldCharType="begin"/>
      </w:r>
      <w:r>
        <w:instrText xml:space="preserve"> REF _Ref106866636 \h </w:instrText>
      </w:r>
      <w:r>
        <w:fldChar w:fldCharType="separate"/>
      </w:r>
      <w:r>
        <w:t xml:space="preserve">Table </w:t>
      </w:r>
      <w:r>
        <w:rPr>
          <w:noProof/>
        </w:rPr>
        <w:t>20</w:t>
      </w:r>
      <w:r>
        <w:noBreakHyphen/>
      </w:r>
      <w:r>
        <w:rPr>
          <w:noProof/>
        </w:rPr>
        <w:t>1</w:t>
      </w:r>
      <w:r>
        <w:fldChar w:fldCharType="end"/>
      </w:r>
      <w:r>
        <w:t xml:space="preserve"> where they relate to:</w:t>
      </w:r>
    </w:p>
    <w:p w14:paraId="61BF1832" w14:textId="77777777" w:rsidR="008C1AD8" w:rsidRDefault="008C1AD8" w:rsidP="008C1AD8">
      <w:pPr>
        <w:pStyle w:val="Bullet1"/>
      </w:pPr>
      <w:r>
        <w:t>The potential direct impacts of the Plan, or</w:t>
      </w:r>
    </w:p>
    <w:p w14:paraId="7B102BF3" w14:textId="77777777" w:rsidR="008C1AD8" w:rsidRDefault="008C1AD8" w:rsidP="008C1AD8">
      <w:pPr>
        <w:pStyle w:val="Bullet1"/>
      </w:pPr>
      <w:r>
        <w:t>The relevant indirect impacts</w:t>
      </w:r>
    </w:p>
    <w:p w14:paraId="3672F7CC" w14:textId="77777777" w:rsidR="008C1AD8" w:rsidRDefault="008C1AD8" w:rsidP="008C1AD8">
      <w:pPr>
        <w:pStyle w:val="Caption"/>
        <w:keepNext/>
      </w:pPr>
      <w:bookmarkStart w:id="118" w:name="_Toc135122728"/>
      <w:r>
        <w:t xml:space="preserve">Table </w:t>
      </w:r>
      <w:r>
        <w:fldChar w:fldCharType="begin"/>
      </w:r>
      <w:r>
        <w:instrText xml:space="preserve"> STYLEREF 1 \s </w:instrText>
      </w:r>
      <w:r>
        <w:fldChar w:fldCharType="separate"/>
      </w:r>
      <w:r>
        <w:rPr>
          <w:noProof/>
        </w:rPr>
        <w:t>21</w:t>
      </w:r>
      <w:r>
        <w:fldChar w:fldCharType="end"/>
      </w:r>
      <w:r>
        <w:noBreakHyphen/>
      </w:r>
      <w:r>
        <w:fldChar w:fldCharType="begin"/>
      </w:r>
      <w:r>
        <w:instrText xml:space="preserve"> SEQ Table \* ARABIC \s 1 </w:instrText>
      </w:r>
      <w:r>
        <w:fldChar w:fldCharType="separate"/>
      </w:r>
      <w:r>
        <w:rPr>
          <w:noProof/>
        </w:rPr>
        <w:t>1</w:t>
      </w:r>
      <w:r>
        <w:fldChar w:fldCharType="end"/>
      </w:r>
      <w:r>
        <w:t xml:space="preserve">: </w:t>
      </w:r>
      <w:r w:rsidRPr="005F676F">
        <w:t xml:space="preserve">Relevant Key Threatening Processes and associated Threat Abatement Plans for </w:t>
      </w:r>
      <w:r>
        <w:t>Adamson’s Blown Grass</w:t>
      </w:r>
      <w:bookmarkEnd w:id="118"/>
    </w:p>
    <w:tbl>
      <w:tblPr>
        <w:tblStyle w:val="TableGrid"/>
        <w:tblW w:w="0" w:type="auto"/>
        <w:tblLook w:val="04A0" w:firstRow="1" w:lastRow="0" w:firstColumn="1" w:lastColumn="0" w:noHBand="0" w:noVBand="1"/>
      </w:tblPr>
      <w:tblGrid>
        <w:gridCol w:w="4811"/>
        <w:gridCol w:w="4811"/>
      </w:tblGrid>
      <w:tr w:rsidR="008C1AD8" w14:paraId="3E21FD0A" w14:textId="77777777" w:rsidTr="00A15226">
        <w:trPr>
          <w:tblHeader/>
        </w:trPr>
        <w:tc>
          <w:tcPr>
            <w:tcW w:w="4811" w:type="dxa"/>
            <w:shd w:val="clear" w:color="auto" w:fill="DBDBDB" w:themeFill="accent3" w:themeFillTint="66"/>
          </w:tcPr>
          <w:p w14:paraId="739923F3" w14:textId="77777777" w:rsidR="008C1AD8" w:rsidRPr="00FF1996" w:rsidRDefault="008C1AD8" w:rsidP="00A15226">
            <w:pPr>
              <w:pStyle w:val="Tabletext"/>
              <w:rPr>
                <w:b/>
                <w:bCs/>
              </w:rPr>
            </w:pPr>
            <w:r w:rsidRPr="00FF1996">
              <w:rPr>
                <w:b/>
                <w:bCs/>
              </w:rPr>
              <w:t>Key threatening process</w:t>
            </w:r>
          </w:p>
        </w:tc>
        <w:tc>
          <w:tcPr>
            <w:tcW w:w="4811" w:type="dxa"/>
            <w:shd w:val="clear" w:color="auto" w:fill="DBDBDB" w:themeFill="accent3" w:themeFillTint="66"/>
          </w:tcPr>
          <w:p w14:paraId="55050F1F" w14:textId="77777777" w:rsidR="008C1AD8" w:rsidRPr="00FF1996" w:rsidRDefault="008C1AD8" w:rsidP="00A15226">
            <w:pPr>
              <w:pStyle w:val="Tabletext"/>
              <w:rPr>
                <w:b/>
                <w:bCs/>
              </w:rPr>
            </w:pPr>
            <w:r w:rsidRPr="00FF1996">
              <w:rPr>
                <w:b/>
                <w:bCs/>
              </w:rPr>
              <w:t>Threat abatement plan</w:t>
            </w:r>
          </w:p>
        </w:tc>
      </w:tr>
      <w:tr w:rsidR="008C1AD8" w14:paraId="36EF03B6" w14:textId="77777777" w:rsidTr="00A15226">
        <w:tc>
          <w:tcPr>
            <w:tcW w:w="4811" w:type="dxa"/>
            <w:vAlign w:val="center"/>
          </w:tcPr>
          <w:p w14:paraId="38F54E3D" w14:textId="77777777" w:rsidR="008C1AD8" w:rsidRPr="00D2602C" w:rsidRDefault="008C1AD8" w:rsidP="00A15226">
            <w:pPr>
              <w:pStyle w:val="Tabletext"/>
              <w:rPr>
                <w:highlight w:val="yellow"/>
              </w:rPr>
            </w:pPr>
            <w:r w:rsidRPr="009065E9">
              <w:t>Fire regimes that cause declines in biodiversity</w:t>
            </w:r>
          </w:p>
        </w:tc>
        <w:tc>
          <w:tcPr>
            <w:tcW w:w="4811" w:type="dxa"/>
          </w:tcPr>
          <w:p w14:paraId="35C73953" w14:textId="77777777" w:rsidR="008C1AD8" w:rsidRPr="00D2602C" w:rsidRDefault="008C1AD8" w:rsidP="00A15226">
            <w:pPr>
              <w:pStyle w:val="Tabletext"/>
              <w:rPr>
                <w:highlight w:val="yellow"/>
              </w:rPr>
            </w:pPr>
            <w:r>
              <w:t>There is no relevant TAP</w:t>
            </w:r>
          </w:p>
        </w:tc>
      </w:tr>
      <w:tr w:rsidR="008C1AD8" w14:paraId="03306357" w14:textId="77777777" w:rsidTr="00A15226">
        <w:tc>
          <w:tcPr>
            <w:tcW w:w="4811" w:type="dxa"/>
          </w:tcPr>
          <w:p w14:paraId="0A6E3FCD" w14:textId="77777777" w:rsidR="008C1AD8" w:rsidRPr="0078174B" w:rsidRDefault="008C1AD8" w:rsidP="00A15226">
            <w:pPr>
              <w:pStyle w:val="Tabletext"/>
            </w:pPr>
            <w:r w:rsidRPr="0078174B">
              <w:t>Land clearance</w:t>
            </w:r>
          </w:p>
        </w:tc>
        <w:tc>
          <w:tcPr>
            <w:tcW w:w="4811" w:type="dxa"/>
          </w:tcPr>
          <w:p w14:paraId="4292576A" w14:textId="77777777" w:rsidR="008C1AD8" w:rsidRPr="0078174B" w:rsidRDefault="008C1AD8" w:rsidP="00A15226">
            <w:pPr>
              <w:pStyle w:val="Tabletext"/>
            </w:pPr>
            <w:r w:rsidRPr="0078174B">
              <w:t>There is no relevant TAP</w:t>
            </w:r>
          </w:p>
        </w:tc>
      </w:tr>
    </w:tbl>
    <w:p w14:paraId="725FAE4F" w14:textId="77777777" w:rsidR="008C1AD8" w:rsidRPr="00E362D9" w:rsidRDefault="008C1AD8" w:rsidP="008C1AD8">
      <w:pPr>
        <w:sectPr w:rsidR="008C1AD8" w:rsidRPr="00E362D9" w:rsidSect="00504E94">
          <w:footerReference w:type="default" r:id="rId66"/>
          <w:pgSz w:w="11900" w:h="16840"/>
          <w:pgMar w:top="1247" w:right="1134" w:bottom="1247" w:left="1134" w:header="708" w:footer="708" w:gutter="0"/>
          <w:pgNumType w:start="1" w:chapStyle="1"/>
          <w:cols w:space="708"/>
          <w:docGrid w:linePitch="360"/>
        </w:sectPr>
      </w:pPr>
    </w:p>
    <w:p w14:paraId="5BAF0543" w14:textId="77777777" w:rsidR="008C1AD8" w:rsidRDefault="008C1AD8" w:rsidP="008C1AD8">
      <w:pPr>
        <w:pStyle w:val="Heading1"/>
      </w:pPr>
      <w:bookmarkStart w:id="119" w:name="_Toc116037290"/>
      <w:bookmarkStart w:id="120" w:name="_Toc135122687"/>
      <w:bookmarkStart w:id="121" w:name="_Toc116048302"/>
      <w:r w:rsidRPr="00F23F32">
        <w:lastRenderedPageBreak/>
        <w:t>Ramsar</w:t>
      </w:r>
      <w:r>
        <w:t xml:space="preserve"> wetlands</w:t>
      </w:r>
      <w:bookmarkEnd w:id="119"/>
      <w:bookmarkEnd w:id="120"/>
    </w:p>
    <w:p w14:paraId="6469AFC8" w14:textId="77777777" w:rsidR="008C1AD8" w:rsidRDefault="008C1AD8" w:rsidP="008C1AD8">
      <w:pPr>
        <w:pStyle w:val="Heading2"/>
      </w:pPr>
      <w:bookmarkStart w:id="122" w:name="_Toc116037291"/>
      <w:bookmarkStart w:id="123" w:name="_Toc135122688"/>
      <w:r>
        <w:t>Introduction</w:t>
      </w:r>
      <w:bookmarkEnd w:id="122"/>
      <w:bookmarkEnd w:id="123"/>
      <w:r>
        <w:t xml:space="preserve"> </w:t>
      </w:r>
    </w:p>
    <w:p w14:paraId="458980B2" w14:textId="77777777" w:rsidR="008C1AD8" w:rsidRDefault="008C1AD8" w:rsidP="008C1AD8">
      <w:r w:rsidRPr="008B7189">
        <w:t xml:space="preserve">The Port Phillip Bay (Western Shoreline) and Bellarine Peninsula Ramsar site </w:t>
      </w:r>
      <w:r>
        <w:t xml:space="preserve">(the Ramsar site) </w:t>
      </w:r>
      <w:r w:rsidRPr="008B7189">
        <w:t xml:space="preserve">occurs partially within the </w:t>
      </w:r>
      <w:r>
        <w:t>Study Area, with two sections occurring downstream from the growth areas.</w:t>
      </w:r>
    </w:p>
    <w:p w14:paraId="471AFBDD" w14:textId="77777777" w:rsidR="008C1AD8" w:rsidRDefault="008C1AD8" w:rsidP="008C1AD8">
      <w:r>
        <w:t>This chapter sets out:</w:t>
      </w:r>
    </w:p>
    <w:p w14:paraId="713D26E6" w14:textId="77777777" w:rsidR="008C1AD8" w:rsidRDefault="008C1AD8" w:rsidP="008C1AD8">
      <w:pPr>
        <w:pStyle w:val="Bullet1"/>
      </w:pPr>
      <w:r>
        <w:t>Australia’s international conservation obligations regarding the Ramsar site</w:t>
      </w:r>
    </w:p>
    <w:p w14:paraId="520A28AF" w14:textId="77777777" w:rsidR="008C1AD8" w:rsidRDefault="008C1AD8" w:rsidP="008C1AD8">
      <w:pPr>
        <w:pStyle w:val="Bullet1"/>
      </w:pPr>
      <w:r>
        <w:t>A general description of the Ramsar site</w:t>
      </w:r>
    </w:p>
    <w:p w14:paraId="6AC7A766" w14:textId="77777777" w:rsidR="008C1AD8" w:rsidRDefault="008C1AD8" w:rsidP="008C1AD8">
      <w:pPr>
        <w:pStyle w:val="Bullet1"/>
      </w:pPr>
      <w:r>
        <w:t>The Ramsar listing criteria</w:t>
      </w:r>
    </w:p>
    <w:p w14:paraId="086DEE7E" w14:textId="77777777" w:rsidR="008C1AD8" w:rsidRDefault="008C1AD8" w:rsidP="008C1AD8">
      <w:pPr>
        <w:pStyle w:val="Bullet1"/>
      </w:pPr>
      <w:r>
        <w:t>A summary of the ecological character of the Ramsar site</w:t>
      </w:r>
    </w:p>
    <w:p w14:paraId="7C63039A" w14:textId="77777777" w:rsidR="008C1AD8" w:rsidRDefault="008C1AD8" w:rsidP="008C1AD8">
      <w:pPr>
        <w:pStyle w:val="Bullet1"/>
      </w:pPr>
      <w:r>
        <w:t>How the Growth Areas relate to the Ramsar site</w:t>
      </w:r>
    </w:p>
    <w:p w14:paraId="7D8E351C" w14:textId="77777777" w:rsidR="008C1AD8" w:rsidRDefault="008C1AD8" w:rsidP="008C1AD8">
      <w:pPr>
        <w:pStyle w:val="Bullet1"/>
      </w:pPr>
      <w:r>
        <w:t>An analysis of potential direct and indirect impacts</w:t>
      </w:r>
    </w:p>
    <w:p w14:paraId="53987146" w14:textId="77777777" w:rsidR="008C1AD8" w:rsidRPr="00C137C2" w:rsidRDefault="008C1AD8" w:rsidP="008C1AD8">
      <w:pPr>
        <w:pStyle w:val="Bullet1"/>
      </w:pPr>
      <w:r>
        <w:t>An analysis of how the Plan addresses obligations under the Ramsar convention</w:t>
      </w:r>
    </w:p>
    <w:p w14:paraId="1A3E7F3F" w14:textId="77777777" w:rsidR="008C1AD8" w:rsidRDefault="008C1AD8" w:rsidP="008C1AD8">
      <w:pPr>
        <w:pStyle w:val="Heading2"/>
      </w:pPr>
      <w:bookmarkStart w:id="124" w:name="_Toc116037292"/>
      <w:bookmarkStart w:id="125" w:name="_Toc135122689"/>
      <w:r>
        <w:t>Regulatory context</w:t>
      </w:r>
      <w:bookmarkEnd w:id="124"/>
      <w:bookmarkEnd w:id="125"/>
    </w:p>
    <w:p w14:paraId="6AA44E2E" w14:textId="77777777" w:rsidR="008C1AD8" w:rsidRDefault="008C1AD8" w:rsidP="008C1AD8">
      <w:pPr>
        <w:pStyle w:val="Heading3"/>
      </w:pPr>
      <w:r>
        <w:t>International agreements and obligations</w:t>
      </w:r>
    </w:p>
    <w:p w14:paraId="3C5820B0" w14:textId="77777777" w:rsidR="008C1AD8" w:rsidRPr="008B7189" w:rsidRDefault="008C1AD8" w:rsidP="008C1AD8">
      <w:r w:rsidRPr="008B7189">
        <w:t xml:space="preserve">Australia is party to a number of international agreements and treaties which require protection of significant wetlands and habitat for migratory birds. These include </w:t>
      </w:r>
      <w:sdt>
        <w:sdtPr>
          <w:rPr>
            <w:color w:val="000000"/>
          </w:rPr>
          <w:tag w:val="MENDELEY_CITATION_v3_eyJjaXRhdGlvbklEIjoiTUVOREVMRVlfQ0lUQVRJT05fNzliNTYxZTMtYjU5Ni00MDdmLThiN2EtMTZlMmQyOTdlNDY3IiwicHJvcGVydGllcyI6eyJub3RlSW5kZXgiOjB9LCJpc0VkaXRlZCI6ZmFsc2UsIm1hbnVhbE92ZXJyaWRlIjp7ImNpdGVwcm9jVGV4dCI6IihERUxXUCwgMjAxO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"/>
          <w:id w:val="413143061"/>
          <w:placeholder>
            <w:docPart w:val="53263D66753F864BA248D609BD120A46"/>
          </w:placeholder>
        </w:sdtPr>
        <w:sdtContent>
          <w:r w:rsidRPr="00273871">
            <w:rPr>
              <w:color w:val="000000"/>
            </w:rPr>
            <w:t>(DELWP, 2018, 2020)</w:t>
          </w:r>
        </w:sdtContent>
      </w:sdt>
      <w:r w:rsidRPr="008B7189">
        <w:t>:</w:t>
      </w:r>
    </w:p>
    <w:p w14:paraId="1BEAE1F2" w14:textId="77777777" w:rsidR="008C1AD8" w:rsidRPr="008B7189" w:rsidRDefault="008C1AD8" w:rsidP="008C1AD8">
      <w:pPr>
        <w:pStyle w:val="Bullet1"/>
      </w:pPr>
      <w:r w:rsidRPr="008B7189">
        <w:t xml:space="preserve">The Ramsar Convention on Wetlands </w:t>
      </w:r>
    </w:p>
    <w:p w14:paraId="1CEACADF" w14:textId="77777777" w:rsidR="008C1AD8" w:rsidRPr="008B7189" w:rsidRDefault="008C1AD8" w:rsidP="008C1AD8">
      <w:pPr>
        <w:pStyle w:val="Bullet1"/>
      </w:pPr>
      <w:r w:rsidRPr="008B7189">
        <w:t>The Convention on the Conservation of Migratory Species of Wild Animals (Bonn)</w:t>
      </w:r>
    </w:p>
    <w:p w14:paraId="76758B33" w14:textId="77777777" w:rsidR="008C1AD8" w:rsidRPr="008B7189" w:rsidRDefault="008C1AD8" w:rsidP="008C1AD8">
      <w:pPr>
        <w:pStyle w:val="Bullet1"/>
      </w:pPr>
      <w:r w:rsidRPr="008B7189">
        <w:t xml:space="preserve">The Japan - Australia Migratory Bird Agreement (JAMBA) </w:t>
      </w:r>
    </w:p>
    <w:p w14:paraId="166A1A97" w14:textId="77777777" w:rsidR="008C1AD8" w:rsidRPr="008B7189" w:rsidRDefault="008C1AD8" w:rsidP="008C1AD8">
      <w:pPr>
        <w:pStyle w:val="Bullet1"/>
      </w:pPr>
      <w:r w:rsidRPr="008B7189">
        <w:t>The China - Australia Migratory Bird Agreement (CAMBA)</w:t>
      </w:r>
    </w:p>
    <w:p w14:paraId="7F8ADE74" w14:textId="77777777" w:rsidR="008C1AD8" w:rsidRPr="008B7189" w:rsidRDefault="008C1AD8" w:rsidP="008C1AD8">
      <w:pPr>
        <w:pStyle w:val="Bullet1"/>
      </w:pPr>
      <w:r w:rsidRPr="008B7189">
        <w:t>The Republic of Korea–Australia Migratory Bird Agreement (ROKAMBA)</w:t>
      </w:r>
    </w:p>
    <w:p w14:paraId="0D8512E9" w14:textId="77777777" w:rsidR="008C1AD8" w:rsidRPr="008B7189" w:rsidRDefault="008C1AD8" w:rsidP="008C1AD8">
      <w:pPr>
        <w:pStyle w:val="Bullet1"/>
      </w:pPr>
      <w:r w:rsidRPr="008B7189">
        <w:t>The East Asian - Australasian Flyway Partnership (EAAFP)</w:t>
      </w:r>
    </w:p>
    <w:p w14:paraId="45333768" w14:textId="77777777" w:rsidR="008C1AD8" w:rsidRPr="008B7189" w:rsidRDefault="008C1AD8" w:rsidP="008C1AD8">
      <w:r w:rsidRPr="008B7189">
        <w:t xml:space="preserve">The Ramsar Convention aims to prevent the degradation and loss of important wetlands across the globe through requiring implementation of appropriate site management and conservation principles. Section </w:t>
      </w:r>
      <w:r w:rsidRPr="008B7189">
        <w:fldChar w:fldCharType="begin"/>
      </w:r>
      <w:r w:rsidRPr="008B7189">
        <w:instrText xml:space="preserve"> REF _Ref98854442 \r \h  \* MERGEFORMAT </w:instrText>
      </w:r>
      <w:r w:rsidRPr="008B7189">
        <w:fldChar w:fldCharType="separate"/>
      </w:r>
      <w:r>
        <w:t>22.8</w:t>
      </w:r>
      <w:r w:rsidRPr="008B7189">
        <w:fldChar w:fldCharType="end"/>
      </w:r>
      <w:r w:rsidRPr="008B7189">
        <w:t xml:space="preserve"> discusses how obligations under the Ramsar Convention have been addressed. </w:t>
      </w:r>
    </w:p>
    <w:p w14:paraId="58E1648D" w14:textId="77777777" w:rsidR="008C1AD8" w:rsidRPr="008B7189" w:rsidRDefault="008C1AD8" w:rsidP="008C1AD8">
      <w:r w:rsidRPr="008B7189">
        <w:t xml:space="preserve">The Bonn Convention is an environmental treaty of the United Nations and aims to conserve migratory species within their migratory ranges. The Bonn convention is the only global convention which specialises in the conservation of migratory species, their habitats and migration routes. As of 1 November 2019, there were 130 Parties to the Convention. </w:t>
      </w:r>
    </w:p>
    <w:p w14:paraId="59DB51E8" w14:textId="77777777" w:rsidR="008C1AD8" w:rsidRPr="008B7189" w:rsidRDefault="008C1AD8" w:rsidP="008C1AD8">
      <w:r w:rsidRPr="008B7189">
        <w:t xml:space="preserve">JAMBA, Bonn, CAMBA and ROKAMBA are bilateral agreements which provide for protection of migratory birds and their important habitats. </w:t>
      </w:r>
    </w:p>
    <w:p w14:paraId="4DE22592" w14:textId="77777777" w:rsidR="008C1AD8" w:rsidRPr="006B28A8" w:rsidRDefault="008C1AD8" w:rsidP="008C1AD8">
      <w:r w:rsidRPr="008B7189">
        <w:t>The EAAFP is an informal and voluntary initiative which aims to protect migratory waterbirds and their habitats. Members of EAAFP include countries, intergovernmental agencies, NGOs, and the international business sector.</w:t>
      </w:r>
    </w:p>
    <w:p w14:paraId="77C82847" w14:textId="77777777" w:rsidR="008C1AD8" w:rsidRDefault="008C1AD8" w:rsidP="008C1AD8">
      <w:pPr>
        <w:pStyle w:val="Heading2"/>
      </w:pPr>
      <w:bookmarkStart w:id="126" w:name="_Toc116037293"/>
      <w:bookmarkStart w:id="127" w:name="_Toc135122690"/>
      <w:r>
        <w:lastRenderedPageBreak/>
        <w:t xml:space="preserve">General Description of </w:t>
      </w:r>
      <w:bookmarkEnd w:id="126"/>
      <w:r>
        <w:t>the Ramsar site</w:t>
      </w:r>
      <w:bookmarkEnd w:id="127"/>
    </w:p>
    <w:p w14:paraId="54BE2E9E" w14:textId="77777777" w:rsidR="008C1AD8" w:rsidRDefault="008C1AD8" w:rsidP="008C1AD8">
      <w:pPr>
        <w:keepNext/>
        <w:keepLines/>
      </w:pPr>
      <w:r>
        <w:t xml:space="preserve">The Ramsar site is located across six distinct areas and covers an area of 22,652 hectares (see </w:t>
      </w:r>
      <w:hyperlink r:id="rId67" w:history="1">
        <w:r w:rsidRPr="00466211">
          <w:rPr>
            <w:rStyle w:val="Hyperlink"/>
          </w:rPr>
          <w:t>Map 22-1</w:t>
        </w:r>
      </w:hyperlink>
      <w:r>
        <w:t xml:space="preserve">). The six areas are </w:t>
      </w:r>
      <w:sdt>
        <w:sdtPr>
          <w:rPr>
            <w:color w:val="000000"/>
          </w:rPr>
          <w:tag w:val="MENDELEY_CITATION_v3_eyJjaXRhdGlvbklEIjoiTUVOREVMRVlfQ0lUQVRJT05fYTA5Mjc0ZTEtNGViZi00Nzg1LTkzOWYtZGQzNjkyNmM2ZjRk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2100399837"/>
          <w:placeholder>
            <w:docPart w:val="53263D66753F864BA248D609BD120A46"/>
          </w:placeholder>
        </w:sdtPr>
        <w:sdtContent>
          <w:r w:rsidRPr="00273871">
            <w:rPr>
              <w:color w:val="000000"/>
            </w:rPr>
            <w:t>(DELWP, 2020)</w:t>
          </w:r>
        </w:sdtContent>
      </w:sdt>
      <w:r>
        <w:t>:</w:t>
      </w:r>
    </w:p>
    <w:p w14:paraId="1F0F42C9" w14:textId="77777777" w:rsidR="008C1AD8" w:rsidRDefault="008C1AD8" w:rsidP="008C1AD8">
      <w:pPr>
        <w:pStyle w:val="Bullet1"/>
        <w:keepNext/>
        <w:keepLines/>
        <w:ind w:left="357" w:hanging="357"/>
      </w:pPr>
      <w:r>
        <w:t>Point Cook / Cheetham (420 hectares)</w:t>
      </w:r>
    </w:p>
    <w:p w14:paraId="2781D544" w14:textId="77777777" w:rsidR="008C1AD8" w:rsidRDefault="008C1AD8" w:rsidP="008C1AD8">
      <w:pPr>
        <w:pStyle w:val="Bullet1"/>
        <w:keepNext/>
        <w:keepLines/>
        <w:ind w:left="357" w:hanging="357"/>
      </w:pPr>
      <w:r>
        <w:t>Werribee / Avalon (14,592 hectares)</w:t>
      </w:r>
    </w:p>
    <w:p w14:paraId="3ADF46AE" w14:textId="77777777" w:rsidR="008C1AD8" w:rsidRDefault="008C1AD8" w:rsidP="008C1AD8">
      <w:pPr>
        <w:pStyle w:val="Bullet1"/>
        <w:keepNext/>
        <w:keepLines/>
        <w:ind w:left="357" w:hanging="357"/>
      </w:pPr>
      <w:r>
        <w:t>Point Wilson / Limeburners Bay (942 hectares)</w:t>
      </w:r>
    </w:p>
    <w:p w14:paraId="22A744CC" w14:textId="77777777" w:rsidR="008C1AD8" w:rsidRDefault="008C1AD8" w:rsidP="008C1AD8">
      <w:pPr>
        <w:pStyle w:val="Bullet1"/>
        <w:keepNext/>
        <w:keepLines/>
        <w:ind w:left="357" w:hanging="357"/>
      </w:pPr>
      <w:r>
        <w:t>Swan Bay (2,660 hectares)</w:t>
      </w:r>
    </w:p>
    <w:p w14:paraId="060719CF" w14:textId="77777777" w:rsidR="008C1AD8" w:rsidRDefault="008C1AD8" w:rsidP="008C1AD8">
      <w:pPr>
        <w:pStyle w:val="Bullet1"/>
      </w:pPr>
      <w:r>
        <w:t>Mud Islands (625 hectares)</w:t>
      </w:r>
    </w:p>
    <w:p w14:paraId="5975C98D" w14:textId="77777777" w:rsidR="008C1AD8" w:rsidRDefault="008C1AD8" w:rsidP="008C1AD8">
      <w:pPr>
        <w:pStyle w:val="Bullet1"/>
      </w:pPr>
      <w:r>
        <w:t>Lake Connewarre (3,412 hectares)</w:t>
      </w:r>
    </w:p>
    <w:p w14:paraId="16C21EA3" w14:textId="77777777" w:rsidR="008C1AD8" w:rsidRDefault="008C1AD8" w:rsidP="008C1AD8">
      <w:r>
        <w:t xml:space="preserve">The Ramsar site supports a diversity and abundance of waterbird species, along with native fish and frogs. It also supports the </w:t>
      </w:r>
      <w:r w:rsidRPr="00204CD3">
        <w:t>Subtropical and Temperate Coastal Saltmarsh</w:t>
      </w:r>
      <w:r>
        <w:t xml:space="preserve"> TEC which is listed as vulnerable under the EPBC Act. The Ramsar site is comprised of the following 12 wetland types </w:t>
      </w:r>
      <w:sdt>
        <w:sdtPr>
          <w:rPr>
            <w:color w:val="000000"/>
          </w:rPr>
          <w:tag w:val="MENDELEY_CITATION_v3_eyJjaXRhdGlvbklEIjoiTUVOREVMRVlfQ0lUQVRJT05fZWExNDkzZTUtZDU0Mi00ZGY3LWIwYjgtYTNmYTVhOTRhYjJh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598227894"/>
          <w:placeholder>
            <w:docPart w:val="53263D66753F864BA248D609BD120A46"/>
          </w:placeholder>
        </w:sdtPr>
        <w:sdtContent>
          <w:r w:rsidRPr="00273871">
            <w:rPr>
              <w:color w:val="000000"/>
            </w:rPr>
            <w:t>(DELWP, 2020)</w:t>
          </w:r>
        </w:sdtContent>
      </w:sdt>
      <w:r>
        <w:t>:</w:t>
      </w:r>
    </w:p>
    <w:p w14:paraId="301E02B8" w14:textId="77777777" w:rsidR="008C1AD8" w:rsidRDefault="008C1AD8" w:rsidP="008C1AD8">
      <w:pPr>
        <w:pStyle w:val="Bullet1"/>
      </w:pPr>
      <w:r w:rsidRPr="00286842">
        <w:rPr>
          <w:u w:val="single"/>
        </w:rPr>
        <w:t>Permanent shallow marine waters</w:t>
      </w:r>
      <w:r>
        <w:t xml:space="preserve">: this includes the seaward boundary which provides sub-tidal areas of permanent inundation within the Ramsar site </w:t>
      </w:r>
    </w:p>
    <w:p w14:paraId="0A5B2CD5" w14:textId="77777777" w:rsidR="008C1AD8" w:rsidRDefault="008C1AD8" w:rsidP="008C1AD8">
      <w:pPr>
        <w:pStyle w:val="Bullet1"/>
      </w:pPr>
      <w:r w:rsidRPr="00286842">
        <w:rPr>
          <w:u w:val="single"/>
        </w:rPr>
        <w:t>Marine subtidal aquatic beds</w:t>
      </w:r>
      <w:r>
        <w:t>: this includes extensive area of seagrass in Swan Bay and Mud Islands, and areas of kelp / macro-algal beds in the Werribee sector</w:t>
      </w:r>
    </w:p>
    <w:p w14:paraId="66D38EA4" w14:textId="77777777" w:rsidR="008C1AD8" w:rsidRDefault="008C1AD8" w:rsidP="008C1AD8">
      <w:pPr>
        <w:pStyle w:val="Bullet1"/>
      </w:pPr>
      <w:r w:rsidRPr="00286842">
        <w:rPr>
          <w:u w:val="single"/>
        </w:rPr>
        <w:t>Intertidal marshes</w:t>
      </w:r>
      <w:r>
        <w:t>: this includes extensive areas of intertidal saltmarsh in Lake Connewarre, Hospital Swamp, Swan Bay, Mud Islands, Point Wilson, and the shorelines of Werribee and Point Cooke</w:t>
      </w:r>
    </w:p>
    <w:p w14:paraId="5D140A4F" w14:textId="77777777" w:rsidR="008C1AD8" w:rsidRDefault="008C1AD8" w:rsidP="008C1AD8">
      <w:pPr>
        <w:pStyle w:val="Bullet1"/>
      </w:pPr>
      <w:r w:rsidRPr="00286842">
        <w:rPr>
          <w:u w:val="single"/>
        </w:rPr>
        <w:t>Wastewater treatment areas</w:t>
      </w:r>
      <w:r>
        <w:t>: this comprises the Western Treatment Plant</w:t>
      </w:r>
    </w:p>
    <w:p w14:paraId="64DC65A5" w14:textId="77777777" w:rsidR="008C1AD8" w:rsidRDefault="008C1AD8" w:rsidP="008C1AD8">
      <w:pPr>
        <w:pStyle w:val="Bullet1"/>
      </w:pPr>
      <w:r w:rsidRPr="00286842">
        <w:rPr>
          <w:u w:val="single"/>
        </w:rPr>
        <w:t>Salt exploitation sites</w:t>
      </w:r>
      <w:r>
        <w:t>: this comprises the Cheetham wetlands which are no longer used for harvest</w:t>
      </w:r>
    </w:p>
    <w:p w14:paraId="763448D3" w14:textId="77777777" w:rsidR="008C1AD8" w:rsidRDefault="008C1AD8" w:rsidP="008C1AD8">
      <w:pPr>
        <w:pStyle w:val="Bullet1"/>
      </w:pPr>
      <w:r w:rsidRPr="00286842">
        <w:rPr>
          <w:u w:val="single"/>
        </w:rPr>
        <w:t>Intertidal mud, sand or salt flats</w:t>
      </w:r>
      <w:r>
        <w:t>: this includes areas around Mud Islands and Swan Bay</w:t>
      </w:r>
    </w:p>
    <w:p w14:paraId="4EDAB758" w14:textId="77777777" w:rsidR="008C1AD8" w:rsidRDefault="008C1AD8" w:rsidP="008C1AD8">
      <w:pPr>
        <w:pStyle w:val="Bullet1"/>
      </w:pPr>
      <w:r w:rsidRPr="00286842">
        <w:rPr>
          <w:u w:val="single"/>
        </w:rPr>
        <w:t>Seasonal intermittent freshwater marshes / pools on inorganic soils</w:t>
      </w:r>
      <w:r>
        <w:t>: this includes Reedy Lake and Ryan’s Swamp</w:t>
      </w:r>
    </w:p>
    <w:p w14:paraId="37B88C00" w14:textId="77777777" w:rsidR="008C1AD8" w:rsidRDefault="008C1AD8" w:rsidP="008C1AD8">
      <w:pPr>
        <w:pStyle w:val="Bullet1"/>
      </w:pPr>
      <w:r w:rsidRPr="00286842">
        <w:rPr>
          <w:u w:val="single"/>
        </w:rPr>
        <w:t>Intertidal forested wetlands</w:t>
      </w:r>
      <w:r>
        <w:t>: this includes small areas of mangrove along Limeburners Bay and the Barwon Estuary</w:t>
      </w:r>
    </w:p>
    <w:p w14:paraId="3DDFBE75" w14:textId="77777777" w:rsidR="008C1AD8" w:rsidRDefault="008C1AD8" w:rsidP="008C1AD8">
      <w:pPr>
        <w:pStyle w:val="Bullet1"/>
      </w:pPr>
      <w:r w:rsidRPr="00286842">
        <w:rPr>
          <w:u w:val="single"/>
        </w:rPr>
        <w:t>Sand, shingle or pebble shores</w:t>
      </w:r>
      <w:r>
        <w:t>: this includes beach areas along the Werribee shoreline, Swan Bay and around Mud Islands</w:t>
      </w:r>
    </w:p>
    <w:p w14:paraId="4B9A5BE8" w14:textId="77777777" w:rsidR="008C1AD8" w:rsidRDefault="008C1AD8" w:rsidP="008C1AD8">
      <w:pPr>
        <w:pStyle w:val="Bullet1"/>
      </w:pPr>
      <w:r w:rsidRPr="00286842">
        <w:rPr>
          <w:u w:val="single"/>
        </w:rPr>
        <w:t>Estuarine waters</w:t>
      </w:r>
      <w:r>
        <w:t>: this includes Barwon Estuary and Limeburners Bay</w:t>
      </w:r>
    </w:p>
    <w:p w14:paraId="7BC49F1B" w14:textId="77777777" w:rsidR="008C1AD8" w:rsidRDefault="008C1AD8" w:rsidP="008C1AD8">
      <w:pPr>
        <w:pStyle w:val="Bullet1"/>
      </w:pPr>
      <w:r w:rsidRPr="00286842">
        <w:rPr>
          <w:u w:val="single"/>
        </w:rPr>
        <w:t>Permanent rivers, streams and creeks</w:t>
      </w:r>
      <w:r>
        <w:t>: this includes the Barwon River and Little River</w:t>
      </w:r>
    </w:p>
    <w:p w14:paraId="4118C81E" w14:textId="77777777" w:rsidR="008C1AD8" w:rsidRDefault="008C1AD8" w:rsidP="008C1AD8">
      <w:pPr>
        <w:pStyle w:val="Bullet1"/>
      </w:pPr>
      <w:r w:rsidRPr="00286842">
        <w:rPr>
          <w:u w:val="single"/>
        </w:rPr>
        <w:t>Rocky marine shores</w:t>
      </w:r>
      <w:r>
        <w:t>: this includes small areas near Point Wilson and Point Cooke</w:t>
      </w:r>
    </w:p>
    <w:p w14:paraId="6EC203BB" w14:textId="77777777" w:rsidR="008C1AD8" w:rsidRDefault="008C1AD8" w:rsidP="008C1AD8">
      <w:r>
        <w:t xml:space="preserve">The Ramsar site is managed primarily by DELWP, Parks Victoria, Melbourne Water, and the Department of Defence </w:t>
      </w:r>
      <w:sdt>
        <w:sdtPr>
          <w:rPr>
            <w:color w:val="000000"/>
          </w:rPr>
          <w:tag w:val="MENDELEY_CITATION_v3_eyJjaXRhdGlvbklEIjoiTUVOREVMRVlfQ0lUQVRJT05fZTQzYzU3OTQtYWRkNy00NjJiLWE3NTEtOTJmZmM0OTljMGU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962152544"/>
          <w:placeholder>
            <w:docPart w:val="53263D66753F864BA248D609BD120A46"/>
          </w:placeholder>
        </w:sdtPr>
        <w:sdtContent>
          <w:r w:rsidRPr="00273871">
            <w:rPr>
              <w:color w:val="000000"/>
            </w:rPr>
            <w:t>(DELWP, 2020)</w:t>
          </w:r>
        </w:sdtContent>
      </w:sdt>
      <w:r>
        <w:t>.</w:t>
      </w:r>
    </w:p>
    <w:p w14:paraId="24161F29" w14:textId="77777777" w:rsidR="008C1AD8" w:rsidRDefault="008C1AD8" w:rsidP="008C1AD8">
      <w:r>
        <w:t xml:space="preserve">DELWP is currently running a process to review the boundaries of the Ramsar site </w:t>
      </w:r>
      <w:sdt>
        <w:sdtPr>
          <w:rPr>
            <w:color w:val="000000"/>
          </w:rPr>
          <w:tag w:val="MENDELEY_CITATION_v3_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"/>
          <w:id w:val="-711955954"/>
          <w:placeholder>
            <w:docPart w:val="53263D66753F864BA248D609BD120A46"/>
          </w:placeholder>
        </w:sdtPr>
        <w:sdtContent>
          <w:r w:rsidRPr="00273871">
            <w:rPr>
              <w:color w:val="000000"/>
            </w:rPr>
            <w:t>(DELWP, 2022)</w:t>
          </w:r>
        </w:sdtContent>
      </w:sdt>
      <w:r>
        <w:t xml:space="preserve">. This includes consideration of adding a number of additional wetlands to the listing. All of the proposed additions broadly occur within the same vicinity as the six areas that are currently part of the Ramsar site. Given the similar locations and values of these wetlands to the existing site, the impact assessment presented in this chapter broadly addresses the threats and pressures that may be relevant due to implementation of the Plan. </w:t>
      </w:r>
    </w:p>
    <w:p w14:paraId="7FB635E4" w14:textId="77777777" w:rsidR="008C1AD8" w:rsidRDefault="008C1AD8" w:rsidP="008C1AD8">
      <w:pPr>
        <w:pStyle w:val="Heading2"/>
      </w:pPr>
      <w:bookmarkStart w:id="128" w:name="_Toc116037294"/>
      <w:bookmarkStart w:id="129" w:name="_Toc135122691"/>
      <w:r>
        <w:t>Ramsar listing criteria</w:t>
      </w:r>
      <w:bookmarkEnd w:id="128"/>
      <w:bookmarkEnd w:id="129"/>
      <w:r>
        <w:t xml:space="preserve"> </w:t>
      </w:r>
    </w:p>
    <w:p w14:paraId="0C3E6F68" w14:textId="77777777" w:rsidR="008C1AD8" w:rsidRDefault="008C1AD8" w:rsidP="008C1AD8">
      <w:r>
        <w:t xml:space="preserve">The Ramsar site </w:t>
      </w:r>
      <w:r w:rsidRPr="00545D3A">
        <w:t xml:space="preserve">was listed as a Wetland of International Importance under the Ramsar Convention in </w:t>
      </w:r>
      <w:r>
        <w:t>1982</w:t>
      </w:r>
      <w:r w:rsidRPr="00545D3A">
        <w:t>. For a wetland to be designated as a Ramsar site it must satisfy one or more of the Ramsar listing criter</w:t>
      </w:r>
      <w:r>
        <w:t>ia</w:t>
      </w:r>
      <w:r w:rsidRPr="00545D3A">
        <w:t xml:space="preserve">. </w:t>
      </w:r>
      <w:r>
        <w:t xml:space="preserve">The Ramsar site </w:t>
      </w:r>
      <w:r w:rsidRPr="00545D3A">
        <w:t>meet</w:t>
      </w:r>
      <w:r>
        <w:t>s</w:t>
      </w:r>
      <w:r w:rsidRPr="00545D3A">
        <w:t xml:space="preserve"> criteria 2, 3, 4</w:t>
      </w:r>
      <w:r>
        <w:t>, 5, and 6</w:t>
      </w:r>
      <w:r w:rsidRPr="00545D3A">
        <w:t xml:space="preserve"> </w:t>
      </w:r>
      <w:r>
        <w:t xml:space="preserve">(see </w:t>
      </w:r>
      <w:r>
        <w:fldChar w:fldCharType="begin"/>
      </w:r>
      <w:r>
        <w:instrText xml:space="preserve"> REF _Ref98513222 \h </w:instrText>
      </w:r>
      <w:r>
        <w:fldChar w:fldCharType="separate"/>
      </w:r>
      <w:r>
        <w:t xml:space="preserve">Table </w:t>
      </w:r>
      <w:r>
        <w:rPr>
          <w:noProof/>
        </w:rPr>
        <w:t>22</w:t>
      </w:r>
      <w:r>
        <w:noBreakHyphen/>
      </w:r>
      <w:r>
        <w:rPr>
          <w:noProof/>
        </w:rPr>
        <w:t>1</w:t>
      </w:r>
      <w:r>
        <w:fldChar w:fldCharType="end"/>
      </w:r>
      <w:r>
        <w:t xml:space="preserve">). </w:t>
      </w:r>
      <w:r w:rsidRPr="00545D3A">
        <w:t>Note that these criteria have changed since the original listing in 198</w:t>
      </w:r>
      <w:r>
        <w:t>2</w:t>
      </w:r>
      <w:r w:rsidRPr="00545D3A">
        <w:t xml:space="preserve"> due to administrative changes</w:t>
      </w:r>
      <w:r>
        <w:t xml:space="preserve"> </w:t>
      </w:r>
      <w:sdt>
        <w:sdtPr>
          <w:rPr>
            <w:color w:val="000000"/>
          </w:rPr>
          <w:tag w:val="MENDELEY_CITATION_v3_eyJjaXRhdGlvbklEIjoiTUVOREVMRVlfQ0lUQVRJT05fMjZmNWJkNTEtMjIwYy00OTAwLTk4OTEtZjE5M2JlOTBjMzA3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780110610"/>
          <w:placeholder>
            <w:docPart w:val="53263D66753F864BA248D609BD120A46"/>
          </w:placeholder>
        </w:sdtPr>
        <w:sdtContent>
          <w:r w:rsidRPr="00273871">
            <w:rPr>
              <w:color w:val="000000"/>
            </w:rPr>
            <w:t>(DELWP, 2020)</w:t>
          </w:r>
        </w:sdtContent>
      </w:sdt>
      <w:r w:rsidRPr="00545D3A">
        <w:t>.</w:t>
      </w:r>
    </w:p>
    <w:p w14:paraId="52449AC2" w14:textId="77777777" w:rsidR="008C1AD8" w:rsidRPr="00545D3A" w:rsidRDefault="008C1AD8" w:rsidP="008C1AD8">
      <w:pPr>
        <w:pStyle w:val="Caption"/>
        <w:keepNext/>
        <w:keepLines/>
      </w:pPr>
      <w:bookmarkStart w:id="130" w:name="_Ref98513222"/>
      <w:bookmarkStart w:id="131" w:name="_Toc135122729"/>
      <w:r>
        <w:lastRenderedPageBreak/>
        <w:t xml:space="preserve">Table </w:t>
      </w:r>
      <w:r>
        <w:fldChar w:fldCharType="begin"/>
      </w:r>
      <w:r>
        <w:instrText xml:space="preserve"> STYLEREF 1 \s </w:instrText>
      </w:r>
      <w:r>
        <w:fldChar w:fldCharType="separate"/>
      </w:r>
      <w:r>
        <w:rPr>
          <w:noProof/>
        </w:rPr>
        <w:t>22</w:t>
      </w:r>
      <w:r>
        <w:fldChar w:fldCharType="end"/>
      </w:r>
      <w:r>
        <w:noBreakHyphen/>
      </w:r>
      <w:r>
        <w:fldChar w:fldCharType="begin"/>
      </w:r>
      <w:r>
        <w:instrText xml:space="preserve"> SEQ Table \* ARABIC \s 1 </w:instrText>
      </w:r>
      <w:r>
        <w:fldChar w:fldCharType="separate"/>
      </w:r>
      <w:r>
        <w:rPr>
          <w:noProof/>
        </w:rPr>
        <w:t>1</w:t>
      </w:r>
      <w:r>
        <w:fldChar w:fldCharType="end"/>
      </w:r>
      <w:bookmarkEnd w:id="130"/>
      <w:r>
        <w:t xml:space="preserve">: Criteria for Ramsar listing </w:t>
      </w:r>
      <w:sdt>
        <w:sdtPr>
          <w:rPr>
            <w:b w:val="0"/>
            <w:color w:val="000000"/>
          </w:rPr>
          <w:tag w:val="MENDELEY_CITATION_v3_eyJjaXRhdGlvbklEIjoiTUVOREVMRVlfQ0lUQVRJT05fMzhkNzNhNzUtYWJhOC00NjE0LWJlMDUtZTRkYjQ3MjYzM2U5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826244850"/>
          <w:placeholder>
            <w:docPart w:val="53263D66753F864BA248D609BD120A46"/>
          </w:placeholder>
        </w:sdtPr>
        <w:sdtContent>
          <w:r w:rsidRPr="00273871">
            <w:rPr>
              <w:b w:val="0"/>
              <w:color w:val="000000"/>
            </w:rPr>
            <w:t>(DELWP, 2020)</w:t>
          </w:r>
        </w:sdtContent>
      </w:sdt>
      <w:bookmarkEnd w:id="131"/>
    </w:p>
    <w:tbl>
      <w:tblPr>
        <w:tblStyle w:val="TableGrid"/>
        <w:tblW w:w="0" w:type="auto"/>
        <w:tblLook w:val="04A0" w:firstRow="1" w:lastRow="0" w:firstColumn="1" w:lastColumn="0" w:noHBand="0" w:noVBand="1"/>
      </w:tblPr>
      <w:tblGrid>
        <w:gridCol w:w="3114"/>
        <w:gridCol w:w="6508"/>
      </w:tblGrid>
      <w:tr w:rsidR="008C1AD8" w14:paraId="2C0794D6" w14:textId="77777777" w:rsidTr="00A15226">
        <w:trPr>
          <w:cantSplit/>
          <w:tblHeader/>
        </w:trPr>
        <w:tc>
          <w:tcPr>
            <w:tcW w:w="3114" w:type="dxa"/>
            <w:shd w:val="clear" w:color="auto" w:fill="C9C9C9" w:themeFill="accent3" w:themeFillTint="99"/>
            <w:vAlign w:val="center"/>
          </w:tcPr>
          <w:p w14:paraId="2CF1E43D" w14:textId="77777777" w:rsidR="008C1AD8" w:rsidRPr="008D6046" w:rsidRDefault="008C1AD8" w:rsidP="00A15226">
            <w:pPr>
              <w:pStyle w:val="Tabletext"/>
              <w:rPr>
                <w:b/>
                <w:bCs/>
              </w:rPr>
            </w:pPr>
            <w:r w:rsidRPr="008D6046">
              <w:rPr>
                <w:b/>
                <w:bCs/>
              </w:rPr>
              <w:t>Criterion</w:t>
            </w:r>
            <w:r>
              <w:rPr>
                <w:b/>
                <w:bCs/>
              </w:rPr>
              <w:t xml:space="preserve"> </w:t>
            </w:r>
          </w:p>
        </w:tc>
        <w:tc>
          <w:tcPr>
            <w:tcW w:w="6508" w:type="dxa"/>
            <w:shd w:val="clear" w:color="auto" w:fill="C9C9C9" w:themeFill="accent3" w:themeFillTint="99"/>
            <w:vAlign w:val="center"/>
          </w:tcPr>
          <w:p w14:paraId="56CDB0E1" w14:textId="77777777" w:rsidR="008C1AD8" w:rsidRPr="008D6046" w:rsidRDefault="008C1AD8" w:rsidP="00A15226">
            <w:pPr>
              <w:pStyle w:val="Tabletext"/>
              <w:rPr>
                <w:b/>
                <w:bCs/>
              </w:rPr>
            </w:pPr>
            <w:r w:rsidRPr="008D6046">
              <w:rPr>
                <w:b/>
                <w:bCs/>
              </w:rPr>
              <w:t>Justification</w:t>
            </w:r>
          </w:p>
        </w:tc>
      </w:tr>
      <w:tr w:rsidR="008C1AD8" w14:paraId="1DDAA750" w14:textId="77777777" w:rsidTr="00A15226">
        <w:trPr>
          <w:cantSplit/>
        </w:trPr>
        <w:tc>
          <w:tcPr>
            <w:tcW w:w="3114" w:type="dxa"/>
            <w:vAlign w:val="center"/>
          </w:tcPr>
          <w:p w14:paraId="39E59B34" w14:textId="77777777" w:rsidR="008C1AD8" w:rsidRDefault="008C1AD8" w:rsidP="00A15226">
            <w:pPr>
              <w:pStyle w:val="Tabletext"/>
            </w:pPr>
            <w:r>
              <w:t xml:space="preserve">Criterion 2 - </w:t>
            </w:r>
            <w:r w:rsidRPr="00D10B1D">
              <w:rPr>
                <w:i/>
                <w:iCs/>
              </w:rPr>
              <w:t>A wetland should be considered internationally important if it supports vulnerable, endangered, or critically endangered species or threatened ecological communities</w:t>
            </w:r>
          </w:p>
        </w:tc>
        <w:tc>
          <w:tcPr>
            <w:tcW w:w="6508" w:type="dxa"/>
            <w:vAlign w:val="center"/>
          </w:tcPr>
          <w:p w14:paraId="387FDBFA" w14:textId="77777777" w:rsidR="008C1AD8" w:rsidRPr="007B5174" w:rsidRDefault="008C1AD8" w:rsidP="00A15226">
            <w:pPr>
              <w:pStyle w:val="Tabletext"/>
            </w:pPr>
            <w:r>
              <w:t>The Ramsar site</w:t>
            </w:r>
            <w:r w:rsidRPr="007B5174">
              <w:t xml:space="preserve"> regularly supports one threatened ecological community and 13 threatened fauna species</w:t>
            </w:r>
            <w:r>
              <w:t>, including</w:t>
            </w:r>
            <w:r w:rsidRPr="007B5174">
              <w:t>:</w:t>
            </w:r>
          </w:p>
          <w:p w14:paraId="1C26E79B" w14:textId="77777777" w:rsidR="008C1AD8" w:rsidRPr="007B5174" w:rsidRDefault="008C1AD8" w:rsidP="00A15226">
            <w:pPr>
              <w:pStyle w:val="Bullet1"/>
            </w:pPr>
            <w:r w:rsidRPr="007B5174">
              <w:t>Subtropical and Temperate Coastal Saltmarsh</w:t>
            </w:r>
            <w:r>
              <w:t xml:space="preserve"> TEC</w:t>
            </w:r>
          </w:p>
          <w:p w14:paraId="1B8FDA5C" w14:textId="77777777" w:rsidR="008C1AD8" w:rsidRPr="007B5174" w:rsidRDefault="008C1AD8" w:rsidP="00A15226">
            <w:pPr>
              <w:pStyle w:val="Bullet1"/>
            </w:pPr>
            <w:r w:rsidRPr="007B5174">
              <w:t xml:space="preserve">Australasian </w:t>
            </w:r>
            <w:r>
              <w:t>B</w:t>
            </w:r>
            <w:r w:rsidRPr="007B5174">
              <w:t>ittern (</w:t>
            </w:r>
            <w:r w:rsidRPr="007B5174">
              <w:rPr>
                <w:i/>
                <w:iCs/>
              </w:rPr>
              <w:t>Botaurus poiciloptilus</w:t>
            </w:r>
            <w:r w:rsidRPr="007B5174">
              <w:t>)</w:t>
            </w:r>
          </w:p>
          <w:p w14:paraId="78B8C5F9" w14:textId="77777777" w:rsidR="008C1AD8" w:rsidRPr="007B5174" w:rsidRDefault="008C1AD8" w:rsidP="00A15226">
            <w:pPr>
              <w:pStyle w:val="Bullet1"/>
            </w:pPr>
            <w:r w:rsidRPr="007B5174">
              <w:t xml:space="preserve">Australian </w:t>
            </w:r>
            <w:r>
              <w:t>F</w:t>
            </w:r>
            <w:r w:rsidRPr="007B5174">
              <w:t xml:space="preserve">airy </w:t>
            </w:r>
            <w:r>
              <w:t>T</w:t>
            </w:r>
            <w:r w:rsidRPr="007B5174">
              <w:t>ern (</w:t>
            </w:r>
            <w:r w:rsidRPr="007B5174">
              <w:rPr>
                <w:i/>
                <w:iCs/>
              </w:rPr>
              <w:t>Sternula nereis nereis</w:t>
            </w:r>
            <w:r w:rsidRPr="007B5174">
              <w:t xml:space="preserve">) </w:t>
            </w:r>
          </w:p>
          <w:p w14:paraId="638FD764" w14:textId="77777777" w:rsidR="008C1AD8" w:rsidRPr="007B5174" w:rsidRDefault="008C1AD8" w:rsidP="00A15226">
            <w:pPr>
              <w:pStyle w:val="Bullet1"/>
            </w:pPr>
            <w:r w:rsidRPr="007B5174">
              <w:t xml:space="preserve">Bar-tailed </w:t>
            </w:r>
            <w:r>
              <w:t>G</w:t>
            </w:r>
            <w:r w:rsidRPr="007B5174">
              <w:t>odwit (</w:t>
            </w:r>
            <w:r w:rsidRPr="007B5174">
              <w:rPr>
                <w:i/>
                <w:iCs/>
              </w:rPr>
              <w:t>Limosa lapponica baueri</w:t>
            </w:r>
            <w:r w:rsidRPr="007B5174">
              <w:t>)</w:t>
            </w:r>
          </w:p>
          <w:p w14:paraId="204713C9" w14:textId="77777777" w:rsidR="008C1AD8" w:rsidRPr="007B5174" w:rsidRDefault="008C1AD8" w:rsidP="00A15226">
            <w:pPr>
              <w:pStyle w:val="Bullet1"/>
            </w:pPr>
            <w:r w:rsidRPr="007B5174">
              <w:t xml:space="preserve">Curlew </w:t>
            </w:r>
            <w:r>
              <w:t>S</w:t>
            </w:r>
            <w:r w:rsidRPr="007B5174">
              <w:t>andpiper (</w:t>
            </w:r>
            <w:r w:rsidRPr="007B5174">
              <w:rPr>
                <w:i/>
                <w:iCs/>
              </w:rPr>
              <w:t>Calidris ferruginea</w:t>
            </w:r>
            <w:r w:rsidRPr="007B5174">
              <w:t xml:space="preserve">) </w:t>
            </w:r>
          </w:p>
          <w:p w14:paraId="61CED48B" w14:textId="77777777" w:rsidR="008C1AD8" w:rsidRPr="007B5174" w:rsidRDefault="008C1AD8" w:rsidP="00A15226">
            <w:pPr>
              <w:pStyle w:val="Bullet1"/>
            </w:pPr>
            <w:r w:rsidRPr="007B5174">
              <w:t xml:space="preserve">Eastern </w:t>
            </w:r>
            <w:r>
              <w:t>C</w:t>
            </w:r>
            <w:r w:rsidRPr="007B5174">
              <w:t>urlew (</w:t>
            </w:r>
            <w:r w:rsidRPr="007B5174">
              <w:rPr>
                <w:i/>
                <w:iCs/>
              </w:rPr>
              <w:t>Numenius madagascariensis</w:t>
            </w:r>
            <w:r w:rsidRPr="007B5174">
              <w:t xml:space="preserve">) </w:t>
            </w:r>
          </w:p>
          <w:p w14:paraId="56BCC01F" w14:textId="77777777" w:rsidR="008C1AD8" w:rsidRPr="007B5174" w:rsidRDefault="008C1AD8" w:rsidP="00A15226">
            <w:pPr>
              <w:pStyle w:val="Bullet1"/>
            </w:pPr>
            <w:r w:rsidRPr="007B5174">
              <w:t xml:space="preserve">Great </w:t>
            </w:r>
            <w:r>
              <w:t>K</w:t>
            </w:r>
            <w:r w:rsidRPr="007B5174">
              <w:t>not (</w:t>
            </w:r>
            <w:r w:rsidRPr="007B5174">
              <w:rPr>
                <w:i/>
                <w:iCs/>
              </w:rPr>
              <w:t>Calidris tenuirostris</w:t>
            </w:r>
            <w:r w:rsidRPr="007B5174">
              <w:t>)</w:t>
            </w:r>
          </w:p>
          <w:p w14:paraId="2223471F" w14:textId="77777777" w:rsidR="008C1AD8" w:rsidRPr="007B5174" w:rsidRDefault="008C1AD8" w:rsidP="00A15226">
            <w:pPr>
              <w:pStyle w:val="Bullet1"/>
            </w:pPr>
            <w:r w:rsidRPr="007B5174">
              <w:t xml:space="preserve">Greater </w:t>
            </w:r>
            <w:r>
              <w:t>S</w:t>
            </w:r>
            <w:r w:rsidRPr="007B5174">
              <w:t xml:space="preserve">and </w:t>
            </w:r>
            <w:r>
              <w:t>P</w:t>
            </w:r>
            <w:r w:rsidRPr="007B5174">
              <w:t>lover (</w:t>
            </w:r>
            <w:r w:rsidRPr="007B5174">
              <w:rPr>
                <w:i/>
                <w:iCs/>
              </w:rPr>
              <w:t>Charadrius leschenaultia</w:t>
            </w:r>
            <w:r w:rsidRPr="007B5174">
              <w:t xml:space="preserve">) </w:t>
            </w:r>
          </w:p>
          <w:p w14:paraId="3E6C2C48" w14:textId="77777777" w:rsidR="008C1AD8" w:rsidRPr="007B5174" w:rsidRDefault="008C1AD8" w:rsidP="00A15226">
            <w:pPr>
              <w:pStyle w:val="Bullet1"/>
            </w:pPr>
            <w:r w:rsidRPr="007B5174">
              <w:t xml:space="preserve">Hooded </w:t>
            </w:r>
            <w:r>
              <w:t>P</w:t>
            </w:r>
            <w:r w:rsidRPr="007B5174">
              <w:t>lover (</w:t>
            </w:r>
            <w:r w:rsidRPr="007B5174">
              <w:rPr>
                <w:i/>
                <w:iCs/>
              </w:rPr>
              <w:t>Thinornis rubricollis rubricollis</w:t>
            </w:r>
            <w:r w:rsidRPr="007B5174">
              <w:t xml:space="preserve">) </w:t>
            </w:r>
          </w:p>
          <w:p w14:paraId="56EB8C96" w14:textId="77777777" w:rsidR="008C1AD8" w:rsidRPr="007B5174" w:rsidRDefault="008C1AD8" w:rsidP="00A15226">
            <w:pPr>
              <w:pStyle w:val="Bullet1"/>
            </w:pPr>
            <w:r w:rsidRPr="007B5174">
              <w:t xml:space="preserve">Lesser </w:t>
            </w:r>
            <w:r>
              <w:t>S</w:t>
            </w:r>
            <w:r w:rsidRPr="007B5174">
              <w:t xml:space="preserve">and </w:t>
            </w:r>
            <w:r>
              <w:t>P</w:t>
            </w:r>
            <w:r w:rsidRPr="007B5174">
              <w:t>lover (</w:t>
            </w:r>
            <w:r w:rsidRPr="007B5174">
              <w:rPr>
                <w:i/>
                <w:iCs/>
              </w:rPr>
              <w:t>Charadrius mongolus</w:t>
            </w:r>
            <w:r w:rsidRPr="007B5174">
              <w:t>)</w:t>
            </w:r>
          </w:p>
          <w:p w14:paraId="257D4CCE" w14:textId="77777777" w:rsidR="008C1AD8" w:rsidRPr="007B5174" w:rsidRDefault="008C1AD8" w:rsidP="00A15226">
            <w:pPr>
              <w:pStyle w:val="Bullet1"/>
            </w:pPr>
            <w:r w:rsidRPr="007B5174">
              <w:t xml:space="preserve">Red </w:t>
            </w:r>
            <w:r>
              <w:t>K</w:t>
            </w:r>
            <w:r w:rsidRPr="007B5174">
              <w:t>not (</w:t>
            </w:r>
            <w:r w:rsidRPr="007B5174">
              <w:rPr>
                <w:i/>
                <w:iCs/>
              </w:rPr>
              <w:t>Calidris canutus</w:t>
            </w:r>
            <w:r w:rsidRPr="007B5174">
              <w:t xml:space="preserve">) </w:t>
            </w:r>
          </w:p>
          <w:p w14:paraId="52F84D68" w14:textId="77777777" w:rsidR="008C1AD8" w:rsidRPr="007B5174" w:rsidRDefault="008C1AD8" w:rsidP="00A15226">
            <w:pPr>
              <w:pStyle w:val="Bullet1"/>
            </w:pPr>
            <w:r w:rsidRPr="007B5174">
              <w:t xml:space="preserve">Orange-bellied </w:t>
            </w:r>
            <w:r>
              <w:t>P</w:t>
            </w:r>
            <w:r w:rsidRPr="007B5174">
              <w:t>arrot (</w:t>
            </w:r>
            <w:r w:rsidRPr="007B5174">
              <w:rPr>
                <w:i/>
                <w:iCs/>
              </w:rPr>
              <w:t>Neophema chrysogaster</w:t>
            </w:r>
            <w:r w:rsidRPr="007B5174">
              <w:t xml:space="preserve">) </w:t>
            </w:r>
          </w:p>
          <w:p w14:paraId="1ABE6F11" w14:textId="77777777" w:rsidR="008C1AD8" w:rsidRPr="007B5174" w:rsidRDefault="008C1AD8" w:rsidP="00A15226">
            <w:pPr>
              <w:pStyle w:val="Bullet1"/>
            </w:pPr>
            <w:r w:rsidRPr="007B5174">
              <w:t xml:space="preserve">Australian </w:t>
            </w:r>
            <w:r>
              <w:t>G</w:t>
            </w:r>
            <w:r w:rsidRPr="007B5174">
              <w:t>rayling (</w:t>
            </w:r>
            <w:r w:rsidRPr="007B5174">
              <w:rPr>
                <w:i/>
                <w:iCs/>
              </w:rPr>
              <w:t>Prototroctes maraena</w:t>
            </w:r>
            <w:r w:rsidRPr="007B5174">
              <w:t xml:space="preserve">) </w:t>
            </w:r>
          </w:p>
          <w:p w14:paraId="16B7A250" w14:textId="77777777" w:rsidR="008C1AD8" w:rsidRPr="007B5174" w:rsidRDefault="008C1AD8" w:rsidP="00A15226">
            <w:pPr>
              <w:pStyle w:val="Bullet1"/>
            </w:pPr>
            <w:r w:rsidRPr="007B5174">
              <w:t xml:space="preserve">Growling </w:t>
            </w:r>
            <w:r>
              <w:t>G</w:t>
            </w:r>
            <w:r w:rsidRPr="007B5174">
              <w:t xml:space="preserve">rass </w:t>
            </w:r>
            <w:r>
              <w:t>F</w:t>
            </w:r>
            <w:r w:rsidRPr="007B5174">
              <w:t>rog (</w:t>
            </w:r>
            <w:r w:rsidRPr="007B5174">
              <w:rPr>
                <w:i/>
                <w:iCs/>
              </w:rPr>
              <w:t>Litoria raniformis</w:t>
            </w:r>
            <w:r w:rsidRPr="007B5174">
              <w:t xml:space="preserve">) </w:t>
            </w:r>
          </w:p>
        </w:tc>
      </w:tr>
      <w:tr w:rsidR="008C1AD8" w14:paraId="41E40E28" w14:textId="77777777" w:rsidTr="00A15226">
        <w:trPr>
          <w:cantSplit/>
        </w:trPr>
        <w:tc>
          <w:tcPr>
            <w:tcW w:w="3114" w:type="dxa"/>
            <w:vAlign w:val="center"/>
          </w:tcPr>
          <w:p w14:paraId="68517024" w14:textId="77777777" w:rsidR="008C1AD8" w:rsidRDefault="008C1AD8" w:rsidP="00A15226">
            <w:pPr>
              <w:pStyle w:val="Tabletext"/>
            </w:pPr>
            <w:r>
              <w:t xml:space="preserve">Criterion 3 - </w:t>
            </w:r>
            <w:r w:rsidRPr="00D10B1D">
              <w:rPr>
                <w:i/>
                <w:iCs/>
              </w:rPr>
              <w:t>A wetland should be considered internationally important if it supports populations of plant and/or animal species important for maintaining the biological diversity of a particular biogeographic region</w:t>
            </w:r>
          </w:p>
        </w:tc>
        <w:tc>
          <w:tcPr>
            <w:tcW w:w="6508" w:type="dxa"/>
            <w:vAlign w:val="center"/>
          </w:tcPr>
          <w:p w14:paraId="17480B3E" w14:textId="77777777" w:rsidR="008C1AD8" w:rsidRPr="004C3F98" w:rsidRDefault="008C1AD8" w:rsidP="00A15226">
            <w:pPr>
              <w:pStyle w:val="Tabletext"/>
            </w:pPr>
            <w:r>
              <w:t>The Ramsar site</w:t>
            </w:r>
            <w:r w:rsidRPr="004C3F98">
              <w:t xml:space="preserve"> provides a diversity of waterbird habitats, and a total of 120 species of waterbird have been recorded within </w:t>
            </w:r>
            <w:r>
              <w:t>the Ramsar site</w:t>
            </w:r>
            <w:r w:rsidRPr="004C3F98">
              <w:t>. The Port Phillip Bay (Western Shoreline) and Bellarine Peninsula Ramsar Site represents the most species rich Ramsar site in the South East Coast (Victoria) Drainage Division with respect to waterbirds when compared to other large marine and costal wetland systems in the bioregion</w:t>
            </w:r>
          </w:p>
        </w:tc>
      </w:tr>
      <w:tr w:rsidR="008C1AD8" w14:paraId="41BC9DCC" w14:textId="77777777" w:rsidTr="00A15226">
        <w:trPr>
          <w:cantSplit/>
        </w:trPr>
        <w:tc>
          <w:tcPr>
            <w:tcW w:w="3114" w:type="dxa"/>
            <w:vAlign w:val="center"/>
          </w:tcPr>
          <w:p w14:paraId="64FFFD0E" w14:textId="77777777" w:rsidR="008C1AD8" w:rsidRDefault="008C1AD8" w:rsidP="00A15226">
            <w:pPr>
              <w:pStyle w:val="Tabletext"/>
            </w:pPr>
            <w:r>
              <w:t xml:space="preserve">Criterion 4 - </w:t>
            </w:r>
            <w:r w:rsidRPr="00D10B1D">
              <w:rPr>
                <w:i/>
                <w:iCs/>
              </w:rPr>
              <w:t>A wetland should be considered internationally important if it supports plant and/or animal species at a critical stage in their life cycles, or provides refuge during adverse conditions</w:t>
            </w:r>
          </w:p>
        </w:tc>
        <w:tc>
          <w:tcPr>
            <w:tcW w:w="6508" w:type="dxa"/>
            <w:vAlign w:val="center"/>
          </w:tcPr>
          <w:p w14:paraId="4B9BEAD6" w14:textId="77777777" w:rsidR="008C1AD8" w:rsidRDefault="008C1AD8" w:rsidP="00A15226">
            <w:pPr>
              <w:pStyle w:val="Tabletext"/>
            </w:pPr>
            <w:r>
              <w:t>The Ramsar site</w:t>
            </w:r>
            <w:r w:rsidRPr="004C3F98">
              <w:t xml:space="preserve"> supports a diversity of species throughout critical life stages, including</w:t>
            </w:r>
            <w:r>
              <w:t>:</w:t>
            </w:r>
          </w:p>
          <w:p w14:paraId="378CEB09" w14:textId="77777777" w:rsidR="008C1AD8" w:rsidRDefault="008C1AD8" w:rsidP="00A15226">
            <w:pPr>
              <w:pStyle w:val="Bullet1"/>
            </w:pPr>
            <w:r w:rsidRPr="00325D31">
              <w:rPr>
                <w:u w:val="single"/>
              </w:rPr>
              <w:t>Migration</w:t>
            </w:r>
            <w:r>
              <w:t xml:space="preserve"> - There are over 30 international migratory shorebirds recorded in the Ramsar site. Further, the Ramsar site regularly supports 22 species during the summer non-breeding months. The Barwon River Estuary also provides a migratory corridor for a number of native diadromous fish species</w:t>
            </w:r>
          </w:p>
          <w:p w14:paraId="34218333" w14:textId="77777777" w:rsidR="008C1AD8" w:rsidRPr="00325D31" w:rsidRDefault="008C1AD8" w:rsidP="00A15226">
            <w:pPr>
              <w:pStyle w:val="Bullet1"/>
              <w:rPr>
                <w:u w:val="single"/>
              </w:rPr>
            </w:pPr>
            <w:r w:rsidRPr="00325D31">
              <w:rPr>
                <w:u w:val="single"/>
              </w:rPr>
              <w:t>Drought refuge</w:t>
            </w:r>
            <w:r w:rsidRPr="00325D31">
              <w:t xml:space="preserve"> </w:t>
            </w:r>
            <w:r>
              <w:t>–</w:t>
            </w:r>
            <w:r w:rsidRPr="00325D31">
              <w:t xml:space="preserve"> The permanent freshwaters of the Western Treatment Plant lagoon and reedy Lake provide refuge for waterfowl and other native species when other temporary wetland systems are dry</w:t>
            </w:r>
          </w:p>
          <w:p w14:paraId="04B30795" w14:textId="77777777" w:rsidR="008C1AD8" w:rsidRPr="00B73778" w:rsidRDefault="008C1AD8" w:rsidP="00A15226">
            <w:pPr>
              <w:pStyle w:val="Bullet1"/>
            </w:pPr>
            <w:r w:rsidRPr="00325D31">
              <w:rPr>
                <w:u w:val="single"/>
              </w:rPr>
              <w:t>Breeding</w:t>
            </w:r>
            <w:r w:rsidRPr="00B73778">
              <w:t xml:space="preserve"> – </w:t>
            </w:r>
            <w:r>
              <w:t>The Ramsar site</w:t>
            </w:r>
            <w:r w:rsidRPr="00B73778">
              <w:t xml:space="preserve"> supports breeding of at least 49 species of waterbirds, marine fish, and native frogs</w:t>
            </w:r>
          </w:p>
          <w:p w14:paraId="6336A09D" w14:textId="77777777" w:rsidR="008C1AD8" w:rsidRPr="00B73778" w:rsidRDefault="008C1AD8" w:rsidP="00A15226">
            <w:pPr>
              <w:pStyle w:val="Bullet1"/>
              <w:rPr>
                <w:u w:val="single"/>
              </w:rPr>
            </w:pPr>
            <w:r w:rsidRPr="00325D31">
              <w:rPr>
                <w:u w:val="single"/>
              </w:rPr>
              <w:t>Moulting</w:t>
            </w:r>
            <w:r w:rsidRPr="00B73778">
              <w:t xml:space="preserve"> – the Western Treatment Plant supports large numbers of moulting waterfowl, over 30,000 birds have been recorded in primary moult at this site</w:t>
            </w:r>
          </w:p>
        </w:tc>
      </w:tr>
      <w:tr w:rsidR="008C1AD8" w14:paraId="153BAE52" w14:textId="77777777" w:rsidTr="00A15226">
        <w:trPr>
          <w:cantSplit/>
        </w:trPr>
        <w:tc>
          <w:tcPr>
            <w:tcW w:w="3114" w:type="dxa"/>
            <w:vAlign w:val="center"/>
          </w:tcPr>
          <w:p w14:paraId="7BFE7120" w14:textId="77777777" w:rsidR="008C1AD8" w:rsidRDefault="008C1AD8" w:rsidP="00A15226">
            <w:pPr>
              <w:pStyle w:val="Tabletext"/>
            </w:pPr>
            <w:r>
              <w:t xml:space="preserve">Criterion 5 - </w:t>
            </w:r>
            <w:r w:rsidRPr="00D10B1D">
              <w:rPr>
                <w:i/>
                <w:iCs/>
              </w:rPr>
              <w:t>A wetland should be considered internationally important if it regularly supports 20,000 or more waterbirds</w:t>
            </w:r>
          </w:p>
        </w:tc>
        <w:tc>
          <w:tcPr>
            <w:tcW w:w="6508" w:type="dxa"/>
            <w:vAlign w:val="center"/>
          </w:tcPr>
          <w:p w14:paraId="6B46C68B" w14:textId="77777777" w:rsidR="008C1AD8" w:rsidRPr="00BE58F5" w:rsidRDefault="008C1AD8" w:rsidP="00A15226">
            <w:pPr>
              <w:pStyle w:val="Tabletext"/>
            </w:pPr>
            <w:r w:rsidRPr="00BE58F5">
              <w:t xml:space="preserve">Waterbird counts across </w:t>
            </w:r>
            <w:r>
              <w:t>the Ramsar site</w:t>
            </w:r>
            <w:r w:rsidRPr="00BE58F5">
              <w:t xml:space="preserve"> are very high, a sum of maximum annual abundance indicated that </w:t>
            </w:r>
            <w:r>
              <w:t>the Ramsar site</w:t>
            </w:r>
            <w:r w:rsidRPr="00BE58F5">
              <w:t xml:space="preserve"> has supported &gt;20,000 waterbirds each year since 1981. This is a conservative estimate, and a maximum of over 300,000 birds were recorded in 1993</w:t>
            </w:r>
          </w:p>
        </w:tc>
      </w:tr>
      <w:tr w:rsidR="008C1AD8" w14:paraId="3B2E13D6" w14:textId="77777777" w:rsidTr="00A15226">
        <w:trPr>
          <w:cantSplit/>
        </w:trPr>
        <w:tc>
          <w:tcPr>
            <w:tcW w:w="3114" w:type="dxa"/>
            <w:vAlign w:val="center"/>
          </w:tcPr>
          <w:p w14:paraId="2D9B41F4" w14:textId="77777777" w:rsidR="008C1AD8" w:rsidRPr="00D10B1D" w:rsidRDefault="008C1AD8" w:rsidP="00A15226">
            <w:pPr>
              <w:pStyle w:val="Tabletext"/>
              <w:rPr>
                <w:i/>
                <w:iCs/>
              </w:rPr>
            </w:pPr>
            <w:r w:rsidRPr="00D10B1D">
              <w:t>Criterion 6 -</w:t>
            </w:r>
            <w:r w:rsidRPr="00D10B1D">
              <w:rPr>
                <w:i/>
                <w:iCs/>
              </w:rPr>
              <w:t xml:space="preserve"> A wetland should be considered internationally important if it regularly supports 1% of the individuals in a population of one species or subspecies</w:t>
            </w:r>
            <w:r>
              <w:rPr>
                <w:i/>
                <w:iCs/>
              </w:rPr>
              <w:t xml:space="preserve"> </w:t>
            </w:r>
            <w:r w:rsidRPr="00D10B1D">
              <w:rPr>
                <w:i/>
                <w:iCs/>
              </w:rPr>
              <w:t>of waterbird</w:t>
            </w:r>
          </w:p>
        </w:tc>
        <w:tc>
          <w:tcPr>
            <w:tcW w:w="6508" w:type="dxa"/>
            <w:vAlign w:val="center"/>
          </w:tcPr>
          <w:p w14:paraId="383DF007" w14:textId="77777777" w:rsidR="008C1AD8" w:rsidRPr="00A75208" w:rsidRDefault="008C1AD8" w:rsidP="00A15226">
            <w:pPr>
              <w:pStyle w:val="Tabletext"/>
            </w:pPr>
            <w:r w:rsidRPr="00A75208">
              <w:t xml:space="preserve">At the time of listing, 13 species met this criterion. More recent estimates (2000 – 2019) indicate that </w:t>
            </w:r>
            <w:r>
              <w:t>the Ramsar site</w:t>
            </w:r>
            <w:r w:rsidRPr="00A75208">
              <w:t xml:space="preserve"> supports &gt; 1 % of the population of 15 species</w:t>
            </w:r>
            <w:r>
              <w:t xml:space="preserve"> </w:t>
            </w:r>
          </w:p>
        </w:tc>
      </w:tr>
    </w:tbl>
    <w:p w14:paraId="71BBC3AB" w14:textId="77777777" w:rsidR="008C1AD8" w:rsidRDefault="008C1AD8" w:rsidP="008C1AD8">
      <w:pPr>
        <w:keepNext/>
        <w:keepLines/>
      </w:pPr>
      <w:r w:rsidRPr="0020754A">
        <w:lastRenderedPageBreak/>
        <w:t xml:space="preserve">By designating </w:t>
      </w:r>
      <w:r>
        <w:t xml:space="preserve">the </w:t>
      </w:r>
      <w:r w:rsidRPr="0020754A">
        <w:t xml:space="preserve">Port Phillip Bay (Western Shoreline) and Bellarine Peninsula as a Ramsar site, Australia is obligated to establish and implement a management framework that aims to conserve the wetland and ensure its wise use. ‘Wise use’ under the Convention is broadly defined as maintaining the ‘ecological character’ of the wetland (see Section </w:t>
      </w:r>
      <w:r w:rsidRPr="0020754A">
        <w:fldChar w:fldCharType="begin"/>
      </w:r>
      <w:r w:rsidRPr="0020754A">
        <w:instrText xml:space="preserve"> REF _Ref98842957 \r \h  \* MERGEFORMAT </w:instrText>
      </w:r>
      <w:r w:rsidRPr="0020754A">
        <w:fldChar w:fldCharType="separate"/>
      </w:r>
      <w:r>
        <w:t>22.5</w:t>
      </w:r>
      <w:r w:rsidRPr="0020754A">
        <w:fldChar w:fldCharType="end"/>
      </w:r>
      <w:r>
        <w:t xml:space="preserve"> for an overview of ecological character</w:t>
      </w:r>
      <w:r w:rsidRPr="0020754A">
        <w:t>)</w:t>
      </w:r>
      <w:r>
        <w:t xml:space="preserve"> </w:t>
      </w:r>
      <w:sdt>
        <w:sdtPr>
          <w:rPr>
            <w:color w:val="000000"/>
          </w:rPr>
          <w:tag w:val="MENDELEY_CITATION_v3_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"/>
          <w:id w:val="-988782271"/>
          <w:placeholder>
            <w:docPart w:val="53263D66753F864BA248D609BD120A46"/>
          </w:placeholder>
        </w:sdtPr>
        <w:sdtContent>
          <w:r w:rsidRPr="00273871">
            <w:rPr>
              <w:color w:val="000000"/>
            </w:rPr>
            <w:t>(DEWHA, 2008b)</w:t>
          </w:r>
        </w:sdtContent>
      </w:sdt>
      <w:r w:rsidRPr="0020754A">
        <w:t>.</w:t>
      </w:r>
    </w:p>
    <w:p w14:paraId="4B4E6989" w14:textId="77777777" w:rsidR="008C1AD8" w:rsidRDefault="008C1AD8" w:rsidP="008C1AD8">
      <w:pPr>
        <w:pStyle w:val="Heading2"/>
        <w:ind w:left="578" w:hanging="578"/>
      </w:pPr>
      <w:bookmarkStart w:id="132" w:name="_Ref98842957"/>
      <w:bookmarkStart w:id="133" w:name="_Toc116037295"/>
      <w:bookmarkStart w:id="134" w:name="_Toc135122692"/>
      <w:r>
        <w:t>Summary of the ecological character</w:t>
      </w:r>
      <w:bookmarkEnd w:id="132"/>
      <w:bookmarkEnd w:id="133"/>
      <w:bookmarkEnd w:id="134"/>
    </w:p>
    <w:p w14:paraId="1A3394B3" w14:textId="77777777" w:rsidR="008C1AD8" w:rsidRPr="00663033" w:rsidRDefault="008C1AD8" w:rsidP="008C1AD8">
      <w:pPr>
        <w:pStyle w:val="Heading3"/>
      </w:pPr>
      <w:r w:rsidRPr="00663033">
        <w:t>Overview of ecological character</w:t>
      </w:r>
    </w:p>
    <w:p w14:paraId="47DC4808" w14:textId="77777777" w:rsidR="008C1AD8" w:rsidRPr="00663033" w:rsidRDefault="008C1AD8" w:rsidP="008C1AD8">
      <w:pPr>
        <w:rPr>
          <w:color w:val="000000" w:themeColor="text1"/>
        </w:rPr>
      </w:pPr>
      <w:r w:rsidRPr="00663033">
        <w:rPr>
          <w:color w:val="000000" w:themeColor="text1"/>
        </w:rPr>
        <w:t xml:space="preserve">Ecological character is defined under the Ramsar Convention as the combination of the ecosystem components, processes, benefits and services that characterise </w:t>
      </w:r>
      <w:r>
        <w:rPr>
          <w:color w:val="000000" w:themeColor="text1"/>
        </w:rPr>
        <w:t xml:space="preserve">a </w:t>
      </w:r>
      <w:r w:rsidRPr="00663033">
        <w:rPr>
          <w:color w:val="000000" w:themeColor="text1"/>
        </w:rPr>
        <w:t xml:space="preserve">wetland at a given point in time </w:t>
      </w:r>
      <w:sdt>
        <w:sdtPr>
          <w:rPr>
            <w:color w:val="000000"/>
          </w:rPr>
          <w:tag w:val="MENDELEY_CITATION_v3_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"/>
          <w:id w:val="-1644893240"/>
          <w:placeholder>
            <w:docPart w:val="53263D66753F864BA248D609BD120A46"/>
          </w:placeholder>
        </w:sdtPr>
        <w:sdtContent>
          <w:r w:rsidRPr="00273871">
            <w:rPr>
              <w:color w:val="000000"/>
            </w:rPr>
            <w:t>(Ramsar Convention, 2005)</w:t>
          </w:r>
        </w:sdtContent>
      </w:sdt>
      <w:r w:rsidRPr="00663033">
        <w:rPr>
          <w:color w:val="000000" w:themeColor="text1"/>
        </w:rPr>
        <w:t xml:space="preserve">. It provides a baseline description of the wetland at the time of listing and often incorporates limits of acceptable change (LAC). LACs are the “range of variation in the components, processes and benefits or services that can occur without causing a change in the ecological character of the site” </w:t>
      </w:r>
      <w:sdt>
        <w:sdtPr>
          <w:rPr>
            <w:color w:val="000000"/>
          </w:rPr>
          <w:tag w:val="MENDELEY_CITATION_v3_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"/>
          <w:id w:val="-1024945033"/>
          <w:placeholder>
            <w:docPart w:val="53263D66753F864BA248D609BD120A46"/>
          </w:placeholder>
        </w:sdtPr>
        <w:sdtContent>
          <w:r w:rsidRPr="00273871">
            <w:rPr>
              <w:color w:val="000000"/>
            </w:rPr>
            <w:t>(DEWHA, 2008b)</w:t>
          </w:r>
        </w:sdtContent>
      </w:sdt>
      <w:r w:rsidRPr="00663033">
        <w:rPr>
          <w:color w:val="000000" w:themeColor="text1"/>
        </w:rPr>
        <w:t>.</w:t>
      </w:r>
    </w:p>
    <w:p w14:paraId="68C42CCD" w14:textId="77777777" w:rsidR="008C1AD8" w:rsidRPr="00663033" w:rsidRDefault="008C1AD8" w:rsidP="008C1AD8">
      <w:pPr>
        <w:keepNext/>
        <w:keepLines/>
        <w:rPr>
          <w:color w:val="000000" w:themeColor="text1"/>
        </w:rPr>
      </w:pPr>
      <w:r w:rsidRPr="00663033">
        <w:rPr>
          <w:color w:val="000000" w:themeColor="text1"/>
        </w:rPr>
        <w:t xml:space="preserve">Ecological character is also the main element for the consideration of significant impacts under the EPBC Act. The significant impact guidelines </w:t>
      </w:r>
      <w:sdt>
        <w:sdtPr>
          <w:rPr>
            <w:color w:val="000000"/>
          </w:rPr>
          <w:tag w:val="MENDELEY_CITATION_v3_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"/>
          <w:id w:val="154267493"/>
          <w:placeholder>
            <w:docPart w:val="53263D66753F864BA248D609BD120A46"/>
          </w:placeholder>
        </w:sdtPr>
        <w:sdtContent>
          <w:r w:rsidRPr="00273871">
            <w:rPr>
              <w:color w:val="000000"/>
            </w:rPr>
            <w:t>(DoE, 2013)</w:t>
          </w:r>
        </w:sdtContent>
      </w:sdt>
      <w:r w:rsidRPr="00663033">
        <w:rPr>
          <w:color w:val="000000" w:themeColor="text1"/>
        </w:rPr>
        <w:t xml:space="preserve"> state that:</w:t>
      </w:r>
    </w:p>
    <w:p w14:paraId="48F7A2C4" w14:textId="77777777" w:rsidR="008C1AD8" w:rsidRPr="00663033" w:rsidRDefault="008C1AD8" w:rsidP="008C1AD8">
      <w:pPr>
        <w:rPr>
          <w:i/>
          <w:iCs/>
          <w:color w:val="000000" w:themeColor="text1"/>
        </w:rPr>
      </w:pPr>
      <w:r w:rsidRPr="00663033">
        <w:rPr>
          <w:i/>
          <w:iCs/>
          <w:color w:val="000000" w:themeColor="text1"/>
        </w:rPr>
        <w:t>An action is likely to have a significant impact on the ecological character of a declared Ramsar wetland if there is a real chance or possibility that it will result in:</w:t>
      </w:r>
    </w:p>
    <w:p w14:paraId="5F2C216D" w14:textId="77777777" w:rsidR="008C1AD8" w:rsidRPr="005864D0" w:rsidRDefault="008C1AD8" w:rsidP="008C1AD8">
      <w:pPr>
        <w:pStyle w:val="Bullet1"/>
        <w:ind w:left="426"/>
        <w:rPr>
          <w:i/>
          <w:iCs/>
        </w:rPr>
      </w:pPr>
      <w:r w:rsidRPr="005864D0">
        <w:rPr>
          <w:i/>
          <w:iCs/>
        </w:rPr>
        <w:t>areas of the wetland being destroyed or substantially modified</w:t>
      </w:r>
    </w:p>
    <w:p w14:paraId="3B0B45D7" w14:textId="77777777" w:rsidR="008C1AD8" w:rsidRPr="005864D0" w:rsidRDefault="008C1AD8" w:rsidP="008C1AD8">
      <w:pPr>
        <w:pStyle w:val="Bullet1"/>
        <w:ind w:left="426"/>
        <w:rPr>
          <w:i/>
          <w:iCs/>
        </w:rPr>
      </w:pPr>
      <w:r w:rsidRPr="005864D0">
        <w:rPr>
          <w:i/>
          <w:iCs/>
        </w:rPr>
        <w:t>a substantial and measurable change in the hydrological regime of the wetland, for example, a substantial change to the volume, timing, duration and frequency of ground and surface water flows to and within the wetland</w:t>
      </w:r>
    </w:p>
    <w:p w14:paraId="3A830A85" w14:textId="77777777" w:rsidR="008C1AD8" w:rsidRPr="005864D0" w:rsidRDefault="008C1AD8" w:rsidP="008C1AD8">
      <w:pPr>
        <w:pStyle w:val="Bullet1"/>
        <w:ind w:left="426"/>
        <w:rPr>
          <w:i/>
          <w:iCs/>
        </w:rPr>
      </w:pPr>
      <w:r w:rsidRPr="005864D0">
        <w:rPr>
          <w:i/>
          <w:iCs/>
        </w:rPr>
        <w:t>the habitat or lifecycle of native species, including invertebrate fauna and fish species, dependent upon the wetland being seriously affected</w:t>
      </w:r>
    </w:p>
    <w:p w14:paraId="503759BF" w14:textId="77777777" w:rsidR="008C1AD8" w:rsidRPr="005864D0" w:rsidRDefault="008C1AD8" w:rsidP="008C1AD8">
      <w:pPr>
        <w:pStyle w:val="Bullet1"/>
        <w:ind w:left="426"/>
        <w:rPr>
          <w:i/>
          <w:iCs/>
        </w:rPr>
      </w:pPr>
      <w:r w:rsidRPr="005864D0">
        <w:rPr>
          <w:i/>
          <w:iCs/>
        </w:rPr>
        <w:t>a substantial and measurable change in the water quality of the wetland – for example, a substantial change in the level of salinity, pollutants, or nutrients in the wetland, or water temperature which may adversely impact on biodiversity, ecological integrity, social amenity or human health, or</w:t>
      </w:r>
    </w:p>
    <w:p w14:paraId="767ACE86" w14:textId="77777777" w:rsidR="008C1AD8" w:rsidRPr="005864D0" w:rsidRDefault="008C1AD8" w:rsidP="008C1AD8">
      <w:pPr>
        <w:pStyle w:val="Bullet1"/>
        <w:ind w:left="426"/>
        <w:rPr>
          <w:i/>
          <w:iCs/>
        </w:rPr>
      </w:pPr>
      <w:r w:rsidRPr="005864D0">
        <w:rPr>
          <w:i/>
          <w:iCs/>
        </w:rPr>
        <w:t>an invasive species that is harmful to the ecological character of the wetland being established (or an existing invasive species being spread) in the wetland.</w:t>
      </w:r>
    </w:p>
    <w:p w14:paraId="6051D839" w14:textId="77777777" w:rsidR="008C1AD8" w:rsidRDefault="008C1AD8" w:rsidP="008C1AD8">
      <w:pPr>
        <w:rPr>
          <w:color w:val="000000" w:themeColor="text1"/>
        </w:rPr>
      </w:pPr>
      <w:r w:rsidRPr="00947C18">
        <w:rPr>
          <w:color w:val="000000" w:themeColor="text1"/>
        </w:rPr>
        <w:t xml:space="preserve">This assessment uses these guidelines to discuss the potential impacts to </w:t>
      </w:r>
      <w:r>
        <w:rPr>
          <w:color w:val="000000" w:themeColor="text1"/>
        </w:rPr>
        <w:t>the Ramsar site</w:t>
      </w:r>
      <w:r w:rsidRPr="00947C18">
        <w:rPr>
          <w:color w:val="000000" w:themeColor="text1"/>
        </w:rPr>
        <w:t>.</w:t>
      </w:r>
    </w:p>
    <w:p w14:paraId="3EE0F1FA" w14:textId="77777777" w:rsidR="008C1AD8" w:rsidRPr="00947C18" w:rsidRDefault="008C1AD8" w:rsidP="008C1AD8">
      <w:pPr>
        <w:pStyle w:val="Heading3"/>
        <w:rPr>
          <w:color w:val="000000" w:themeColor="text1"/>
        </w:rPr>
      </w:pPr>
      <w:r>
        <w:t xml:space="preserve">Ecological character of the </w:t>
      </w:r>
      <w:r w:rsidRPr="00947C18">
        <w:t>Port Phillip Bay (Western Shoreline) and Bellarine Peninsula Ramsar site</w:t>
      </w:r>
    </w:p>
    <w:p w14:paraId="56AFD38B" w14:textId="77777777" w:rsidR="008C1AD8" w:rsidRDefault="008C1AD8" w:rsidP="008C1AD8">
      <w:r>
        <w:t xml:space="preserve">The Ecological Character Description of the Ramsar site identifies the critical components, processes, services and benefits of the Ramsar site, along with the limits of acceptable change </w:t>
      </w:r>
      <w:sdt>
        <w:sdtPr>
          <w:rPr>
            <w:color w:val="000000"/>
          </w:rPr>
          <w:tag w:val="MENDELEY_CITATION_v3_eyJjaXRhdGlvbklEIjoiTUVOREVMRVlfQ0lUQVRJT05fYzY1ZjQ3MDQtYWZiMS00NzE2LTllMTAtYmI2ZGU5NjM2MjY0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955940066"/>
          <w:placeholder>
            <w:docPart w:val="53263D66753F864BA248D609BD120A46"/>
          </w:placeholder>
        </w:sdtPr>
        <w:sdtContent>
          <w:r w:rsidRPr="00273871">
            <w:rPr>
              <w:color w:val="000000"/>
            </w:rPr>
            <w:t>(DELWP, 2020)</w:t>
          </w:r>
        </w:sdtContent>
      </w:sdt>
      <w:r>
        <w:t>.</w:t>
      </w:r>
    </w:p>
    <w:p w14:paraId="32535F87" w14:textId="77777777" w:rsidR="008C1AD8" w:rsidRDefault="008C1AD8" w:rsidP="008C1AD8">
      <w:r>
        <w:rPr>
          <w:highlight w:val="yellow"/>
        </w:rPr>
        <w:fldChar w:fldCharType="begin"/>
      </w:r>
      <w:r>
        <w:instrText xml:space="preserve"> REF _Ref112917031 \h </w:instrText>
      </w:r>
      <w:r>
        <w:rPr>
          <w:highlight w:val="yellow"/>
        </w:rPr>
      </w:r>
      <w:r>
        <w:rPr>
          <w:highlight w:val="yellow"/>
        </w:rPr>
        <w:fldChar w:fldCharType="separate"/>
      </w:r>
      <w:r>
        <w:t xml:space="preserve">Table </w:t>
      </w:r>
      <w:r>
        <w:rPr>
          <w:noProof/>
        </w:rPr>
        <w:t>22</w:t>
      </w:r>
      <w:r>
        <w:noBreakHyphen/>
      </w:r>
      <w:r>
        <w:rPr>
          <w:noProof/>
        </w:rPr>
        <w:t>2</w:t>
      </w:r>
      <w:r>
        <w:rPr>
          <w:highlight w:val="yellow"/>
        </w:rPr>
        <w:fldChar w:fldCharType="end"/>
      </w:r>
      <w:r>
        <w:t xml:space="preserve"> provides a high-level summary of the ecological character of the Ramsar site. </w:t>
      </w:r>
    </w:p>
    <w:p w14:paraId="43848453" w14:textId="77777777" w:rsidR="008C1AD8" w:rsidRDefault="008C1AD8" w:rsidP="008C1AD8"/>
    <w:p w14:paraId="4DD54C87" w14:textId="77777777" w:rsidR="008C1AD8" w:rsidRDefault="008C1AD8" w:rsidP="008C1AD8">
      <w:pPr>
        <w:sectPr w:rsidR="008C1AD8" w:rsidSect="00CD6635">
          <w:footerReference w:type="default" r:id="rId68"/>
          <w:pgSz w:w="11900" w:h="16840"/>
          <w:pgMar w:top="1247" w:right="1134" w:bottom="1247" w:left="1134" w:header="708" w:footer="708" w:gutter="0"/>
          <w:pgNumType w:start="1" w:chapStyle="1"/>
          <w:cols w:space="708"/>
          <w:docGrid w:linePitch="360"/>
        </w:sectPr>
      </w:pPr>
    </w:p>
    <w:p w14:paraId="0AE5B1DC" w14:textId="77777777" w:rsidR="008C1AD8" w:rsidRDefault="008C1AD8" w:rsidP="008C1AD8">
      <w:pPr>
        <w:pStyle w:val="Caption"/>
        <w:keepNext/>
      </w:pPr>
      <w:bookmarkStart w:id="135" w:name="_Ref112917031"/>
      <w:bookmarkStart w:id="136" w:name="_Toc135122730"/>
      <w:r>
        <w:lastRenderedPageBreak/>
        <w:t xml:space="preserve">Table </w:t>
      </w:r>
      <w:r>
        <w:fldChar w:fldCharType="begin"/>
      </w:r>
      <w:r>
        <w:instrText xml:space="preserve"> STYLEREF 1 \s </w:instrText>
      </w:r>
      <w:r>
        <w:fldChar w:fldCharType="separate"/>
      </w:r>
      <w:r>
        <w:rPr>
          <w:noProof/>
        </w:rPr>
        <w:t>22</w:t>
      </w:r>
      <w:r>
        <w:fldChar w:fldCharType="end"/>
      </w:r>
      <w:r>
        <w:noBreakHyphen/>
      </w:r>
      <w:r>
        <w:fldChar w:fldCharType="begin"/>
      </w:r>
      <w:r>
        <w:instrText xml:space="preserve"> SEQ Table \* ARABIC \s 1 </w:instrText>
      </w:r>
      <w:r>
        <w:fldChar w:fldCharType="separate"/>
      </w:r>
      <w:r>
        <w:rPr>
          <w:noProof/>
        </w:rPr>
        <w:t>2</w:t>
      </w:r>
      <w:r>
        <w:fldChar w:fldCharType="end"/>
      </w:r>
      <w:bookmarkEnd w:id="135"/>
      <w:r>
        <w:t xml:space="preserve">: High level summary of the ecological character of the </w:t>
      </w:r>
      <w:r w:rsidRPr="00545D3A">
        <w:t>Port Phillip Bay (Western Shoreline) and Bellarine Peninsula</w:t>
      </w:r>
      <w:r>
        <w:t xml:space="preserve"> Ramsar site (adapted from </w:t>
      </w:r>
      <w:sdt>
        <w:sdtPr>
          <w:rPr>
            <w:b w:val="0"/>
            <w:color w:val="000000"/>
          </w:rPr>
          <w:tag w:val="MENDELEY_CITATION_v3_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"/>
          <w:id w:val="-1367517686"/>
          <w:placeholder>
            <w:docPart w:val="53263D66753F864BA248D609BD120A46"/>
          </w:placeholder>
        </w:sdtPr>
        <w:sdtContent>
          <w:r w:rsidRPr="00273871">
            <w:rPr>
              <w:b w:val="0"/>
              <w:color w:val="000000"/>
            </w:rPr>
            <w:t>(DEWHA, 2008b)</w:t>
          </w:r>
        </w:sdtContent>
      </w:sdt>
      <w:r>
        <w:rPr>
          <w:color w:val="000000" w:themeColor="text1"/>
        </w:rPr>
        <w:t>)</w:t>
      </w:r>
      <w:bookmarkEnd w:id="136"/>
    </w:p>
    <w:tbl>
      <w:tblPr>
        <w:tblStyle w:val="TableGrid"/>
        <w:tblW w:w="0" w:type="auto"/>
        <w:tblLook w:val="04A0" w:firstRow="1" w:lastRow="0" w:firstColumn="1" w:lastColumn="0" w:noHBand="0" w:noVBand="1"/>
      </w:tblPr>
      <w:tblGrid>
        <w:gridCol w:w="2122"/>
        <w:gridCol w:w="6945"/>
        <w:gridCol w:w="5269"/>
      </w:tblGrid>
      <w:tr w:rsidR="008C1AD8" w14:paraId="036F9515" w14:textId="77777777" w:rsidTr="00A15226">
        <w:trPr>
          <w:cantSplit/>
          <w:tblHeader/>
        </w:trPr>
        <w:tc>
          <w:tcPr>
            <w:tcW w:w="2122" w:type="dxa"/>
            <w:shd w:val="clear" w:color="auto" w:fill="C9C9C9" w:themeFill="accent3" w:themeFillTint="99"/>
            <w:vAlign w:val="center"/>
          </w:tcPr>
          <w:p w14:paraId="28E4FE18" w14:textId="77777777" w:rsidR="008C1AD8" w:rsidRPr="00CD6635" w:rsidRDefault="008C1AD8" w:rsidP="00A15226">
            <w:pPr>
              <w:pStyle w:val="Tabletext"/>
              <w:rPr>
                <w:b/>
                <w:bCs/>
              </w:rPr>
            </w:pPr>
            <w:r>
              <w:rPr>
                <w:b/>
                <w:bCs/>
              </w:rPr>
              <w:t>Component of ecological character</w:t>
            </w:r>
          </w:p>
        </w:tc>
        <w:tc>
          <w:tcPr>
            <w:tcW w:w="6945" w:type="dxa"/>
            <w:shd w:val="clear" w:color="auto" w:fill="C9C9C9" w:themeFill="accent3" w:themeFillTint="99"/>
            <w:vAlign w:val="center"/>
          </w:tcPr>
          <w:p w14:paraId="73F4A8E5" w14:textId="77777777" w:rsidR="008C1AD8" w:rsidRPr="00CD6635" w:rsidRDefault="008C1AD8" w:rsidP="00A15226">
            <w:pPr>
              <w:pStyle w:val="Tabletext"/>
              <w:rPr>
                <w:b/>
                <w:bCs/>
              </w:rPr>
            </w:pPr>
            <w:r>
              <w:rPr>
                <w:b/>
                <w:bCs/>
              </w:rPr>
              <w:t>Key points</w:t>
            </w:r>
          </w:p>
        </w:tc>
        <w:tc>
          <w:tcPr>
            <w:tcW w:w="5269" w:type="dxa"/>
            <w:shd w:val="clear" w:color="auto" w:fill="C9C9C9" w:themeFill="accent3" w:themeFillTint="99"/>
            <w:vAlign w:val="center"/>
          </w:tcPr>
          <w:p w14:paraId="0C0052A7" w14:textId="77777777" w:rsidR="008C1AD8" w:rsidRPr="00CD6635" w:rsidRDefault="008C1AD8" w:rsidP="00A15226">
            <w:pPr>
              <w:pStyle w:val="Tabletext"/>
              <w:rPr>
                <w:b/>
                <w:bCs/>
              </w:rPr>
            </w:pPr>
            <w:r>
              <w:rPr>
                <w:b/>
                <w:bCs/>
              </w:rPr>
              <w:t>Limits of acceptable change</w:t>
            </w:r>
          </w:p>
        </w:tc>
      </w:tr>
      <w:tr w:rsidR="008C1AD8" w14:paraId="07B71A38" w14:textId="77777777" w:rsidTr="00A15226">
        <w:trPr>
          <w:cantSplit/>
        </w:trPr>
        <w:tc>
          <w:tcPr>
            <w:tcW w:w="14336" w:type="dxa"/>
            <w:gridSpan w:val="3"/>
            <w:shd w:val="clear" w:color="auto" w:fill="B4C6E7" w:themeFill="accent1" w:themeFillTint="66"/>
            <w:vAlign w:val="center"/>
          </w:tcPr>
          <w:p w14:paraId="6AB6F3E2" w14:textId="77777777" w:rsidR="008C1AD8" w:rsidRDefault="008C1AD8" w:rsidP="00A15226">
            <w:pPr>
              <w:pStyle w:val="Tabletext"/>
            </w:pPr>
            <w:r>
              <w:rPr>
                <w:b/>
                <w:bCs/>
              </w:rPr>
              <w:t>Critical c</w:t>
            </w:r>
            <w:r w:rsidRPr="006B7C90">
              <w:rPr>
                <w:b/>
                <w:bCs/>
              </w:rPr>
              <w:t>omponents and processes</w:t>
            </w:r>
          </w:p>
        </w:tc>
      </w:tr>
      <w:tr w:rsidR="008C1AD8" w14:paraId="241C3067" w14:textId="77777777" w:rsidTr="00A15226">
        <w:trPr>
          <w:cantSplit/>
        </w:trPr>
        <w:tc>
          <w:tcPr>
            <w:tcW w:w="2122" w:type="dxa"/>
            <w:vAlign w:val="center"/>
          </w:tcPr>
          <w:p w14:paraId="16758627" w14:textId="77777777" w:rsidR="008C1AD8" w:rsidRDefault="008C1AD8" w:rsidP="00A15226">
            <w:pPr>
              <w:pStyle w:val="Tabletext"/>
            </w:pPr>
            <w:r>
              <w:t>Hydrology</w:t>
            </w:r>
          </w:p>
        </w:tc>
        <w:tc>
          <w:tcPr>
            <w:tcW w:w="6945" w:type="dxa"/>
            <w:vAlign w:val="center"/>
          </w:tcPr>
          <w:p w14:paraId="35A8354C" w14:textId="77777777" w:rsidR="008C1AD8" w:rsidRDefault="008C1AD8" w:rsidP="00A15226">
            <w:pPr>
              <w:pStyle w:val="Tabletext"/>
            </w:pPr>
            <w:r>
              <w:t>The following aspects of hydrology are considered critical to the ecological character:</w:t>
            </w:r>
          </w:p>
          <w:p w14:paraId="1111881E" w14:textId="77777777" w:rsidR="008C1AD8" w:rsidRDefault="008C1AD8" w:rsidP="00A15226">
            <w:pPr>
              <w:pStyle w:val="Bullet1"/>
            </w:pPr>
            <w:r>
              <w:t>Interaction between freshwater inflows and tidal exchange in the Lake Connewarre Complex</w:t>
            </w:r>
          </w:p>
          <w:p w14:paraId="689FA2C4" w14:textId="77777777" w:rsidR="008C1AD8" w:rsidRDefault="008C1AD8" w:rsidP="00A15226">
            <w:pPr>
              <w:pStyle w:val="Bullet1"/>
            </w:pPr>
            <w:r>
              <w:t>Artificial water regimes which maintain the highly productive lagoons of Cheetham Wetlands and the Western Treatment Plant</w:t>
            </w:r>
          </w:p>
        </w:tc>
        <w:tc>
          <w:tcPr>
            <w:tcW w:w="5269" w:type="dxa"/>
            <w:vAlign w:val="center"/>
          </w:tcPr>
          <w:p w14:paraId="4F341810" w14:textId="77777777" w:rsidR="008C1AD8" w:rsidRDefault="008C1AD8" w:rsidP="00A15226">
            <w:pPr>
              <w:pStyle w:val="Bullet1"/>
            </w:pPr>
            <w:r>
              <w:t>Reedy Lake will not be continuously wet for more than 10 continuous years, or continuously dry for more than five</w:t>
            </w:r>
          </w:p>
          <w:p w14:paraId="1C8BF601" w14:textId="77777777" w:rsidR="008C1AD8" w:rsidRDefault="008C1AD8" w:rsidP="00A15226">
            <w:pPr>
              <w:pStyle w:val="Bullet1"/>
            </w:pPr>
            <w:r>
              <w:t>At least 75% of aerobic treatment lagoons at the Western Treatment Plant will contain permanent water</w:t>
            </w:r>
          </w:p>
          <w:p w14:paraId="4069562F" w14:textId="77777777" w:rsidR="008C1AD8" w:rsidRDefault="008C1AD8" w:rsidP="00A15226">
            <w:pPr>
              <w:pStyle w:val="Bullet1"/>
            </w:pPr>
            <w:r>
              <w:t>At least 75% of the lagoons at Cheetham will contain permanent water</w:t>
            </w:r>
          </w:p>
        </w:tc>
      </w:tr>
      <w:tr w:rsidR="008C1AD8" w14:paraId="4EF9D866" w14:textId="77777777" w:rsidTr="00A15226">
        <w:trPr>
          <w:cantSplit/>
        </w:trPr>
        <w:tc>
          <w:tcPr>
            <w:tcW w:w="2122" w:type="dxa"/>
            <w:vAlign w:val="center"/>
          </w:tcPr>
          <w:p w14:paraId="6879A566" w14:textId="77777777" w:rsidR="008C1AD8" w:rsidRDefault="008C1AD8" w:rsidP="00A15226">
            <w:pPr>
              <w:pStyle w:val="Tabletext"/>
            </w:pPr>
            <w:r>
              <w:t>Vegetation</w:t>
            </w:r>
          </w:p>
        </w:tc>
        <w:tc>
          <w:tcPr>
            <w:tcW w:w="6945" w:type="dxa"/>
            <w:vAlign w:val="center"/>
          </w:tcPr>
          <w:p w14:paraId="1DCB2CEC" w14:textId="77777777" w:rsidR="008C1AD8" w:rsidRDefault="008C1AD8" w:rsidP="00A15226">
            <w:pPr>
              <w:pStyle w:val="Tabletext"/>
            </w:pPr>
            <w:r>
              <w:t>Vegetation in the Ramsar site includes:</w:t>
            </w:r>
          </w:p>
          <w:p w14:paraId="16871EAC" w14:textId="77777777" w:rsidR="008C1AD8" w:rsidRDefault="008C1AD8" w:rsidP="00A15226">
            <w:pPr>
              <w:pStyle w:val="Bullet1"/>
            </w:pPr>
            <w:r w:rsidRPr="00DB0C2B">
              <w:t>Seagrass</w:t>
            </w:r>
            <w:r>
              <w:t xml:space="preserve">: </w:t>
            </w:r>
            <w:r w:rsidRPr="00DB0C2B">
              <w:t>present</w:t>
            </w:r>
            <w:r>
              <w:t xml:space="preserve"> in the Mud Islands, Swan Bay, and coastal areas adjacent to Point Wilson/Limeburners Bay</w:t>
            </w:r>
          </w:p>
          <w:p w14:paraId="58B06428" w14:textId="77777777" w:rsidR="008C1AD8" w:rsidRPr="00526D3E" w:rsidRDefault="008C1AD8" w:rsidP="00A15226">
            <w:pPr>
              <w:pStyle w:val="Bullet1"/>
            </w:pPr>
            <w:r w:rsidRPr="00CC56D0">
              <w:rPr>
                <w:u w:val="single"/>
              </w:rPr>
              <w:t>Saltmarsh</w:t>
            </w:r>
            <w:r w:rsidRPr="00DB0C2B">
              <w:t>:</w:t>
            </w:r>
            <w:r>
              <w:t xml:space="preserve"> seven communities are present, dominated by shrubs of the genera </w:t>
            </w:r>
            <w:r>
              <w:rPr>
                <w:i/>
                <w:iCs/>
              </w:rPr>
              <w:t xml:space="preserve">Tecticornia </w:t>
            </w:r>
            <w:r>
              <w:t xml:space="preserve">and </w:t>
            </w:r>
            <w:r>
              <w:rPr>
                <w:i/>
                <w:iCs/>
              </w:rPr>
              <w:t xml:space="preserve">Sarcocornia </w:t>
            </w:r>
          </w:p>
          <w:p w14:paraId="01FF2ACD" w14:textId="77777777" w:rsidR="008C1AD8" w:rsidRDefault="008C1AD8" w:rsidP="00A15226">
            <w:pPr>
              <w:pStyle w:val="Bullet1"/>
            </w:pPr>
            <w:r w:rsidRPr="00CC56D0">
              <w:rPr>
                <w:u w:val="single"/>
              </w:rPr>
              <w:t>Mangroves</w:t>
            </w:r>
            <w:r>
              <w:t>: a small area in the Barwon Estuary</w:t>
            </w:r>
          </w:p>
          <w:p w14:paraId="3519ACE7" w14:textId="77777777" w:rsidR="008C1AD8" w:rsidRPr="00526D3E" w:rsidRDefault="008C1AD8" w:rsidP="00A15226">
            <w:pPr>
              <w:pStyle w:val="Bullet1"/>
            </w:pPr>
            <w:r w:rsidRPr="00CC56D0">
              <w:rPr>
                <w:u w:val="single"/>
              </w:rPr>
              <w:t>Freshwater wetland vegetation</w:t>
            </w:r>
            <w:r>
              <w:t>: including tall marsh and lignum shrubland at Reedy Lake, and a variety of emergent, submerged, and floating aquatic species in parts of the Western Treatment Plant</w:t>
            </w:r>
          </w:p>
        </w:tc>
        <w:tc>
          <w:tcPr>
            <w:tcW w:w="5269" w:type="dxa"/>
            <w:vAlign w:val="center"/>
          </w:tcPr>
          <w:p w14:paraId="350AD6C3" w14:textId="77777777" w:rsidR="008C1AD8" w:rsidRDefault="008C1AD8" w:rsidP="00A15226">
            <w:pPr>
              <w:pStyle w:val="Bullet1"/>
            </w:pPr>
            <w:r w:rsidRPr="00CC56D0">
              <w:rPr>
                <w:u w:val="single"/>
              </w:rPr>
              <w:t>Seagrass</w:t>
            </w:r>
            <w:r>
              <w:t xml:space="preserve"> - </w:t>
            </w:r>
            <w:r w:rsidRPr="00CC56D0">
              <w:t>Seagrass extent will not fall below 1</w:t>
            </w:r>
            <w:r>
              <w:t>,</w:t>
            </w:r>
            <w:r w:rsidRPr="00CC56D0">
              <w:t>500 hectares for a period of greater than 20 continuous years</w:t>
            </w:r>
          </w:p>
          <w:p w14:paraId="7BDDD432" w14:textId="77777777" w:rsidR="008C1AD8" w:rsidRDefault="008C1AD8" w:rsidP="00A15226">
            <w:pPr>
              <w:pStyle w:val="Bullet1"/>
            </w:pPr>
            <w:r w:rsidRPr="00B82A9E">
              <w:rPr>
                <w:u w:val="single"/>
              </w:rPr>
              <w:t>Saltmarsh</w:t>
            </w:r>
            <w:r>
              <w:t xml:space="preserve"> - </w:t>
            </w:r>
            <w:r w:rsidRPr="00B82A9E">
              <w:t>Total saltmarsh extent will not fall below 900 hectares</w:t>
            </w:r>
          </w:p>
          <w:p w14:paraId="08228ECF" w14:textId="77777777" w:rsidR="008C1AD8" w:rsidRDefault="008C1AD8" w:rsidP="00A15226">
            <w:pPr>
              <w:pStyle w:val="Bullet1"/>
            </w:pPr>
            <w:r>
              <w:rPr>
                <w:u w:val="single"/>
              </w:rPr>
              <w:t>Mangroves</w:t>
            </w:r>
            <w:r>
              <w:t xml:space="preserve"> - </w:t>
            </w:r>
            <w:r w:rsidRPr="00B82A9E">
              <w:t>Total mangrove extent will not fall below 40 hectares</w:t>
            </w:r>
          </w:p>
          <w:p w14:paraId="30CD4C6E" w14:textId="77777777" w:rsidR="008C1AD8" w:rsidRDefault="008C1AD8" w:rsidP="00A15226">
            <w:pPr>
              <w:pStyle w:val="Bullet1"/>
            </w:pPr>
            <w:r>
              <w:rPr>
                <w:u w:val="single"/>
              </w:rPr>
              <w:t xml:space="preserve">Freshwater wetland vegetation </w:t>
            </w:r>
            <w:r>
              <w:t xml:space="preserve">- </w:t>
            </w:r>
            <w:r w:rsidRPr="00B82A9E">
              <w:t>A habitat mosaic will be maintained at Reedy Lake that comprises open water, emergent native vegetation (sedges, rushes, and reeds) and lignum shrubland with no habitat comprising more than 70 percent of the total wetland area for more than five successive years</w:t>
            </w:r>
          </w:p>
        </w:tc>
      </w:tr>
      <w:tr w:rsidR="008C1AD8" w14:paraId="1D8180F7" w14:textId="77777777" w:rsidTr="00A15226">
        <w:trPr>
          <w:cantSplit/>
        </w:trPr>
        <w:tc>
          <w:tcPr>
            <w:tcW w:w="2122" w:type="dxa"/>
            <w:vAlign w:val="center"/>
          </w:tcPr>
          <w:p w14:paraId="61EFA2FC" w14:textId="77777777" w:rsidR="008C1AD8" w:rsidRDefault="008C1AD8" w:rsidP="00A15226">
            <w:pPr>
              <w:pStyle w:val="Tabletext"/>
            </w:pPr>
            <w:r>
              <w:t>Native fish</w:t>
            </w:r>
          </w:p>
        </w:tc>
        <w:tc>
          <w:tcPr>
            <w:tcW w:w="6945" w:type="dxa"/>
            <w:vAlign w:val="center"/>
          </w:tcPr>
          <w:p w14:paraId="414C86E5" w14:textId="77777777" w:rsidR="008C1AD8" w:rsidRDefault="008C1AD8" w:rsidP="00A15226">
            <w:pPr>
              <w:pStyle w:val="Tabletext"/>
            </w:pPr>
            <w:r>
              <w:t>The Ramsar site supports a variety of native fish, including:</w:t>
            </w:r>
          </w:p>
          <w:p w14:paraId="2FDFE7DE" w14:textId="77777777" w:rsidR="008C1AD8" w:rsidRDefault="008C1AD8" w:rsidP="00A15226">
            <w:pPr>
              <w:pStyle w:val="Bullet1"/>
            </w:pPr>
            <w:r>
              <w:t>Freshwater fish in Little River, the Western Treatment Plant, and Lake Connewarre</w:t>
            </w:r>
          </w:p>
          <w:p w14:paraId="3BCEFFF9" w14:textId="77777777" w:rsidR="008C1AD8" w:rsidRDefault="008C1AD8" w:rsidP="00A15226">
            <w:pPr>
              <w:pStyle w:val="Bullet1"/>
            </w:pPr>
            <w:r>
              <w:t>Diadromous fish, including the Australian Grayling which has been recorded in Lake Connewarre</w:t>
            </w:r>
          </w:p>
          <w:p w14:paraId="0F3EC282" w14:textId="77777777" w:rsidR="008C1AD8" w:rsidRDefault="008C1AD8" w:rsidP="00A15226">
            <w:pPr>
              <w:pStyle w:val="Bullet1"/>
            </w:pPr>
            <w:r>
              <w:t>Marine and estuarine fish</w:t>
            </w:r>
          </w:p>
        </w:tc>
        <w:tc>
          <w:tcPr>
            <w:tcW w:w="5269" w:type="dxa"/>
            <w:vAlign w:val="center"/>
          </w:tcPr>
          <w:p w14:paraId="75B8C0E7" w14:textId="77777777" w:rsidR="008C1AD8" w:rsidRDefault="008C1AD8" w:rsidP="00A15226">
            <w:pPr>
              <w:pStyle w:val="Bullet1"/>
            </w:pPr>
            <w:r>
              <w:t>A minimum of 3 fish species per standard haul of a 10 m seine net from three replicate hauls in subtidal habitats of Swan Bay</w:t>
            </w:r>
          </w:p>
          <w:p w14:paraId="4BCD494A" w14:textId="77777777" w:rsidR="008C1AD8" w:rsidRDefault="008C1AD8" w:rsidP="00A15226">
            <w:pPr>
              <w:pStyle w:val="Bullet1"/>
            </w:pPr>
            <w:r>
              <w:t>A minimum abundance of 5 fish per standard haul of a 10 m seine net from three replicate hauls in subtidal or intertidal habitats of Swan Bay</w:t>
            </w:r>
          </w:p>
        </w:tc>
      </w:tr>
      <w:tr w:rsidR="008C1AD8" w14:paraId="092F5238" w14:textId="77777777" w:rsidTr="00A15226">
        <w:trPr>
          <w:cantSplit/>
        </w:trPr>
        <w:tc>
          <w:tcPr>
            <w:tcW w:w="2122" w:type="dxa"/>
            <w:vAlign w:val="center"/>
          </w:tcPr>
          <w:p w14:paraId="0C3D387C" w14:textId="77777777" w:rsidR="008C1AD8" w:rsidRDefault="008C1AD8" w:rsidP="00A15226">
            <w:pPr>
              <w:pStyle w:val="Tabletext"/>
            </w:pPr>
            <w:r>
              <w:lastRenderedPageBreak/>
              <w:t>Waterbird diversity and abundance</w:t>
            </w:r>
          </w:p>
        </w:tc>
        <w:tc>
          <w:tcPr>
            <w:tcW w:w="6945" w:type="dxa"/>
            <w:vAlign w:val="center"/>
          </w:tcPr>
          <w:p w14:paraId="23AC9BBB" w14:textId="77777777" w:rsidR="008C1AD8" w:rsidRDefault="008C1AD8" w:rsidP="00A15226">
            <w:pPr>
              <w:pStyle w:val="Tabletext"/>
            </w:pPr>
            <w:r>
              <w:t>The Ramsar site supports over 120 species of wetland dependant bird, including 22 regularly recorded migratory shorebirds. At the time of listing, the annual maximum abundance was ~180,000 birds</w:t>
            </w:r>
          </w:p>
        </w:tc>
        <w:tc>
          <w:tcPr>
            <w:tcW w:w="5269" w:type="dxa"/>
            <w:vAlign w:val="center"/>
          </w:tcPr>
          <w:p w14:paraId="2FDF0EA1" w14:textId="77777777" w:rsidR="008C1AD8" w:rsidRDefault="008C1AD8" w:rsidP="00A15226">
            <w:pPr>
              <w:pStyle w:val="Tabletext"/>
            </w:pPr>
            <w:r>
              <w:t>Abundance and diversity of waterbirds will not decline below the following where abundance is calculated as a rolling five-year average of maximum annual count, and diversity is calculated as a rolling five-year average of number of species:</w:t>
            </w:r>
          </w:p>
          <w:p w14:paraId="1B410B16" w14:textId="77777777" w:rsidR="008C1AD8" w:rsidRDefault="008C1AD8" w:rsidP="00A15226">
            <w:pPr>
              <w:pStyle w:val="Bullet1"/>
            </w:pPr>
            <w:r>
              <w:t>Total waterbirds – 100,000 (abundance), 70 (diversity)</w:t>
            </w:r>
          </w:p>
          <w:p w14:paraId="2953013E" w14:textId="77777777" w:rsidR="008C1AD8" w:rsidRDefault="008C1AD8" w:rsidP="00A15226">
            <w:pPr>
              <w:pStyle w:val="Bullet1"/>
            </w:pPr>
            <w:r>
              <w:t>Migratory waders - 20 (diversity)</w:t>
            </w:r>
          </w:p>
          <w:p w14:paraId="70636E7A" w14:textId="77777777" w:rsidR="008C1AD8" w:rsidRDefault="008C1AD8" w:rsidP="00A15226">
            <w:pPr>
              <w:pStyle w:val="Bullet1"/>
            </w:pPr>
            <w:r>
              <w:t>Australasian waders – 1,500 (abundance), 10 (diversity)</w:t>
            </w:r>
          </w:p>
          <w:p w14:paraId="31923F0C" w14:textId="77777777" w:rsidR="008C1AD8" w:rsidRDefault="008C1AD8" w:rsidP="00A15226">
            <w:pPr>
              <w:pStyle w:val="Bullet1"/>
            </w:pPr>
            <w:r>
              <w:t>Ducks – 30,000 (abundance), 10 (diversity)</w:t>
            </w:r>
          </w:p>
          <w:p w14:paraId="52898B72" w14:textId="77777777" w:rsidR="008C1AD8" w:rsidRDefault="008C1AD8" w:rsidP="00A15226">
            <w:pPr>
              <w:pStyle w:val="Bullet1"/>
            </w:pPr>
            <w:r>
              <w:t>Fish eating species – 2,250 (abundance), 12 (diversity)</w:t>
            </w:r>
          </w:p>
          <w:p w14:paraId="01B77753" w14:textId="77777777" w:rsidR="008C1AD8" w:rsidRDefault="008C1AD8" w:rsidP="00A15226">
            <w:pPr>
              <w:pStyle w:val="Bullet1"/>
            </w:pPr>
            <w:r>
              <w:t>Herbivores – 6,000 (abundance), 2 (diversity)</w:t>
            </w:r>
          </w:p>
          <w:p w14:paraId="766955A2" w14:textId="77777777" w:rsidR="008C1AD8" w:rsidRDefault="008C1AD8" w:rsidP="00A15226">
            <w:pPr>
              <w:pStyle w:val="Bullet1"/>
            </w:pPr>
            <w:r>
              <w:t xml:space="preserve">Double-banded plover – 1 % (abundance) </w:t>
            </w:r>
          </w:p>
          <w:p w14:paraId="420727AF" w14:textId="77777777" w:rsidR="008C1AD8" w:rsidRDefault="008C1AD8" w:rsidP="00A15226">
            <w:pPr>
              <w:pStyle w:val="Bullet1"/>
            </w:pPr>
            <w:r>
              <w:t>Red-necked stint – 1 % (abundance)</w:t>
            </w:r>
          </w:p>
          <w:p w14:paraId="278A2A56" w14:textId="77777777" w:rsidR="008C1AD8" w:rsidRDefault="008C1AD8" w:rsidP="00A15226">
            <w:pPr>
              <w:pStyle w:val="Bullet1"/>
            </w:pPr>
            <w:r>
              <w:t>Sharp-tailed sandpiper – 1.5 % (abundance)</w:t>
            </w:r>
          </w:p>
          <w:p w14:paraId="7A86DCD6" w14:textId="77777777" w:rsidR="008C1AD8" w:rsidRDefault="008C1AD8" w:rsidP="00A15226">
            <w:pPr>
              <w:pStyle w:val="Bullet1"/>
            </w:pPr>
            <w:r>
              <w:t>Gulls – 2 (diversity)</w:t>
            </w:r>
          </w:p>
          <w:p w14:paraId="22D2F568" w14:textId="77777777" w:rsidR="008C1AD8" w:rsidRDefault="008C1AD8" w:rsidP="00A15226">
            <w:pPr>
              <w:pStyle w:val="Bullet1"/>
            </w:pPr>
            <w:r>
              <w:t>Large bodied waders – 7 (diversity)</w:t>
            </w:r>
          </w:p>
          <w:p w14:paraId="121D4D68" w14:textId="77777777" w:rsidR="008C1AD8" w:rsidRPr="00215C8F" w:rsidRDefault="008C1AD8" w:rsidP="00A15226">
            <w:pPr>
              <w:pStyle w:val="Bullet1"/>
            </w:pPr>
            <w:r>
              <w:t>Other – 2 (diversity)</w:t>
            </w:r>
          </w:p>
        </w:tc>
      </w:tr>
      <w:tr w:rsidR="008C1AD8" w14:paraId="1AB66F2E" w14:textId="77777777" w:rsidTr="00A15226">
        <w:trPr>
          <w:cantSplit/>
        </w:trPr>
        <w:tc>
          <w:tcPr>
            <w:tcW w:w="2122" w:type="dxa"/>
            <w:vAlign w:val="center"/>
          </w:tcPr>
          <w:p w14:paraId="7771F419" w14:textId="77777777" w:rsidR="008C1AD8" w:rsidRDefault="008C1AD8" w:rsidP="00A15226">
            <w:pPr>
              <w:pStyle w:val="Tabletext"/>
            </w:pPr>
            <w:r>
              <w:t>Waterbird breeding</w:t>
            </w:r>
          </w:p>
        </w:tc>
        <w:tc>
          <w:tcPr>
            <w:tcW w:w="6945" w:type="dxa"/>
            <w:vAlign w:val="center"/>
          </w:tcPr>
          <w:p w14:paraId="69AE6767" w14:textId="77777777" w:rsidR="008C1AD8" w:rsidRDefault="008C1AD8" w:rsidP="00A15226">
            <w:pPr>
              <w:pStyle w:val="Tabletext"/>
            </w:pPr>
            <w:r>
              <w:t>At least 49 species of wetland dependent birds have been recorded breeding at the Ramsar site. Beach nesting species have been recorded breeding at Cheetham Wetlands and on Mud Islands, and a number of waterfowl breed at the Western Treatment Plan</w:t>
            </w:r>
          </w:p>
        </w:tc>
        <w:tc>
          <w:tcPr>
            <w:tcW w:w="5269" w:type="dxa"/>
            <w:vAlign w:val="center"/>
          </w:tcPr>
          <w:p w14:paraId="62C1D214" w14:textId="77777777" w:rsidR="008C1AD8" w:rsidRDefault="008C1AD8" w:rsidP="00A15226">
            <w:pPr>
              <w:pStyle w:val="Bullet1"/>
            </w:pPr>
            <w:r>
              <w:t>Annual breeding at Mud Islands of colonial nesting species of at least 25,000 pairs / nests. Presence of all of the following species breeding in at least three in every five years: Australian pelican, Australian pied oystercatcher, Australian white ibis, crested tern, little pied cormorant, pied cormorant, silver gull, straw-necked ibis, and white-faced storm petrel.</w:t>
            </w:r>
          </w:p>
          <w:p w14:paraId="40A5262D" w14:textId="77777777" w:rsidR="008C1AD8" w:rsidRDefault="008C1AD8" w:rsidP="00A15226">
            <w:pPr>
              <w:pStyle w:val="Bullet1"/>
            </w:pPr>
            <w:r>
              <w:t>Annual breeding at Western Treatment Plant of &gt; 300 pairs of Pied Cormorant</w:t>
            </w:r>
          </w:p>
        </w:tc>
      </w:tr>
      <w:tr w:rsidR="008C1AD8" w14:paraId="574DDB71" w14:textId="77777777" w:rsidTr="00A15226">
        <w:trPr>
          <w:cantSplit/>
        </w:trPr>
        <w:tc>
          <w:tcPr>
            <w:tcW w:w="14336" w:type="dxa"/>
            <w:gridSpan w:val="3"/>
            <w:shd w:val="clear" w:color="auto" w:fill="B4C6E7" w:themeFill="accent1" w:themeFillTint="66"/>
            <w:vAlign w:val="center"/>
          </w:tcPr>
          <w:p w14:paraId="63D40197" w14:textId="77777777" w:rsidR="008C1AD8" w:rsidRPr="009F148D" w:rsidRDefault="008C1AD8" w:rsidP="00A15226">
            <w:pPr>
              <w:pStyle w:val="Tabletext"/>
              <w:rPr>
                <w:b/>
                <w:bCs/>
              </w:rPr>
            </w:pPr>
            <w:r w:rsidRPr="009F148D">
              <w:rPr>
                <w:b/>
                <w:bCs/>
              </w:rPr>
              <w:t>Supporting components and processes</w:t>
            </w:r>
          </w:p>
        </w:tc>
      </w:tr>
      <w:tr w:rsidR="008C1AD8" w14:paraId="03541579" w14:textId="77777777" w:rsidTr="00A15226">
        <w:trPr>
          <w:cantSplit/>
        </w:trPr>
        <w:tc>
          <w:tcPr>
            <w:tcW w:w="2122" w:type="dxa"/>
            <w:vAlign w:val="center"/>
          </w:tcPr>
          <w:p w14:paraId="60E852DE" w14:textId="77777777" w:rsidR="008C1AD8" w:rsidRDefault="008C1AD8" w:rsidP="00A15226">
            <w:pPr>
              <w:pStyle w:val="Tabletext"/>
            </w:pPr>
            <w:r>
              <w:t>Climate</w:t>
            </w:r>
          </w:p>
        </w:tc>
        <w:tc>
          <w:tcPr>
            <w:tcW w:w="6945" w:type="dxa"/>
            <w:vAlign w:val="center"/>
          </w:tcPr>
          <w:p w14:paraId="4BC0002A" w14:textId="77777777" w:rsidR="008C1AD8" w:rsidRDefault="008C1AD8" w:rsidP="00A15226">
            <w:pPr>
              <w:pStyle w:val="Tabletext"/>
            </w:pPr>
            <w:r>
              <w:t>Climate has an important role in the ecology of the Ramsar site. Rainfall occurs year-round and the annual average is in the order of 500 mm per year, evaporation exceeds rainfall year-round</w:t>
            </w:r>
          </w:p>
        </w:tc>
        <w:tc>
          <w:tcPr>
            <w:tcW w:w="5269" w:type="dxa"/>
            <w:vAlign w:val="center"/>
          </w:tcPr>
          <w:p w14:paraId="1FD32C38" w14:textId="77777777" w:rsidR="008C1AD8" w:rsidRDefault="008C1AD8" w:rsidP="00A15226">
            <w:pPr>
              <w:pStyle w:val="Tabletext"/>
            </w:pPr>
            <w:r>
              <w:t>N/A</w:t>
            </w:r>
          </w:p>
        </w:tc>
      </w:tr>
      <w:tr w:rsidR="008C1AD8" w14:paraId="5476F58F" w14:textId="77777777" w:rsidTr="00A15226">
        <w:trPr>
          <w:cantSplit/>
        </w:trPr>
        <w:tc>
          <w:tcPr>
            <w:tcW w:w="2122" w:type="dxa"/>
            <w:vAlign w:val="center"/>
          </w:tcPr>
          <w:p w14:paraId="4BC86E1E" w14:textId="77777777" w:rsidR="008C1AD8" w:rsidRDefault="008C1AD8" w:rsidP="00A15226">
            <w:pPr>
              <w:pStyle w:val="Tabletext"/>
            </w:pPr>
            <w:r>
              <w:lastRenderedPageBreak/>
              <w:t>Geomorphic setting</w:t>
            </w:r>
          </w:p>
        </w:tc>
        <w:tc>
          <w:tcPr>
            <w:tcW w:w="6945" w:type="dxa"/>
            <w:vAlign w:val="center"/>
          </w:tcPr>
          <w:p w14:paraId="6335405A" w14:textId="77777777" w:rsidR="008C1AD8" w:rsidRDefault="008C1AD8" w:rsidP="00A15226">
            <w:pPr>
              <w:pStyle w:val="Tabletext"/>
            </w:pPr>
            <w:r>
              <w:t>The Geomorphology exerts a strong influence on surface and groundwater connections. Port Phillip Bay is a circular embayment with a narrow connection to the Southern Ocean. The marine areas of the Ramsar site are in the shallow depth contour (&lt; 2 m). There are six sites of geomorphic significance in the Ramsar site, including Mud Islands, the Spit and Edwards Point</w:t>
            </w:r>
          </w:p>
        </w:tc>
        <w:tc>
          <w:tcPr>
            <w:tcW w:w="5269" w:type="dxa"/>
            <w:vAlign w:val="center"/>
          </w:tcPr>
          <w:p w14:paraId="0CF2AA2B" w14:textId="77777777" w:rsidR="008C1AD8" w:rsidRDefault="008C1AD8" w:rsidP="00A15226">
            <w:pPr>
              <w:pStyle w:val="Tabletext"/>
            </w:pPr>
            <w:r>
              <w:t>N/A</w:t>
            </w:r>
          </w:p>
        </w:tc>
      </w:tr>
      <w:tr w:rsidR="008C1AD8" w14:paraId="3C1C4864" w14:textId="77777777" w:rsidTr="00A15226">
        <w:trPr>
          <w:cantSplit/>
        </w:trPr>
        <w:tc>
          <w:tcPr>
            <w:tcW w:w="2122" w:type="dxa"/>
            <w:vAlign w:val="center"/>
          </w:tcPr>
          <w:p w14:paraId="72B742CB" w14:textId="77777777" w:rsidR="008C1AD8" w:rsidRDefault="008C1AD8" w:rsidP="00A15226">
            <w:pPr>
              <w:pStyle w:val="Tabletext"/>
            </w:pPr>
            <w:r>
              <w:t>Water quality – salinity, nutrients, water clarity</w:t>
            </w:r>
          </w:p>
        </w:tc>
        <w:tc>
          <w:tcPr>
            <w:tcW w:w="6945" w:type="dxa"/>
            <w:vAlign w:val="center"/>
          </w:tcPr>
          <w:p w14:paraId="7B8A4966" w14:textId="77777777" w:rsidR="008C1AD8" w:rsidRPr="00C22F7B" w:rsidRDefault="008C1AD8" w:rsidP="00A15226">
            <w:pPr>
              <w:pStyle w:val="Tabletext"/>
            </w:pPr>
            <w:r w:rsidRPr="00C22F7B">
              <w:t xml:space="preserve">The salinity within </w:t>
            </w:r>
            <w:r>
              <w:t>the Ramsar site</w:t>
            </w:r>
            <w:r w:rsidRPr="00C22F7B">
              <w:t xml:space="preserve"> ranges from predominantly fresh at the Western Treatment Plant and parts of Lake Connewarre, to hypersaline at Cheetham Wetlands</w:t>
            </w:r>
          </w:p>
          <w:p w14:paraId="032EBE3A" w14:textId="77777777" w:rsidR="008C1AD8" w:rsidRPr="00C22F7B" w:rsidRDefault="008C1AD8" w:rsidP="00A15226">
            <w:pPr>
              <w:pStyle w:val="Tabletext"/>
            </w:pPr>
            <w:r w:rsidRPr="00C22F7B">
              <w:t>Water clarity has an important ecological role, in the shallow marine waters, between 40 – 50 per cent of surface irradiance reaches the sea floor</w:t>
            </w:r>
          </w:p>
          <w:p w14:paraId="33446766" w14:textId="77777777" w:rsidR="008C1AD8" w:rsidRDefault="008C1AD8" w:rsidP="00A15226">
            <w:pPr>
              <w:pStyle w:val="Tabletext"/>
            </w:pPr>
            <w:r w:rsidRPr="00C22F7B">
              <w:t xml:space="preserve">Nitrogen is a significant nutrient in </w:t>
            </w:r>
            <w:r>
              <w:t>the Ramsar site</w:t>
            </w:r>
            <w:r w:rsidRPr="00C22F7B">
              <w:t>, sourced primarily from Western Treatment Plant and the Yarra River</w:t>
            </w:r>
          </w:p>
        </w:tc>
        <w:tc>
          <w:tcPr>
            <w:tcW w:w="5269" w:type="dxa"/>
            <w:vAlign w:val="center"/>
          </w:tcPr>
          <w:p w14:paraId="623F93F7" w14:textId="77777777" w:rsidR="008C1AD8" w:rsidRDefault="008C1AD8" w:rsidP="00A15226">
            <w:pPr>
              <w:pStyle w:val="Tabletext"/>
            </w:pPr>
            <w:r>
              <w:t>N/A</w:t>
            </w:r>
          </w:p>
        </w:tc>
      </w:tr>
      <w:tr w:rsidR="008C1AD8" w14:paraId="619B45EE" w14:textId="77777777" w:rsidTr="00A15226">
        <w:trPr>
          <w:cantSplit/>
        </w:trPr>
        <w:tc>
          <w:tcPr>
            <w:tcW w:w="14336" w:type="dxa"/>
            <w:gridSpan w:val="3"/>
            <w:shd w:val="clear" w:color="auto" w:fill="B4C6E7" w:themeFill="accent1" w:themeFillTint="66"/>
            <w:vAlign w:val="center"/>
          </w:tcPr>
          <w:p w14:paraId="2412001E" w14:textId="77777777" w:rsidR="008C1AD8" w:rsidRDefault="008C1AD8" w:rsidP="00A15226">
            <w:pPr>
              <w:pStyle w:val="Tabletext"/>
            </w:pPr>
            <w:r>
              <w:rPr>
                <w:b/>
                <w:bCs/>
              </w:rPr>
              <w:t>Critical services and benefits</w:t>
            </w:r>
          </w:p>
        </w:tc>
      </w:tr>
      <w:tr w:rsidR="008C1AD8" w14:paraId="5A7E8C6A" w14:textId="77777777" w:rsidTr="00A15226">
        <w:trPr>
          <w:cantSplit/>
        </w:trPr>
        <w:tc>
          <w:tcPr>
            <w:tcW w:w="2122" w:type="dxa"/>
            <w:vAlign w:val="center"/>
          </w:tcPr>
          <w:p w14:paraId="1CD69CCC" w14:textId="77777777" w:rsidR="008C1AD8" w:rsidRDefault="008C1AD8" w:rsidP="00A15226">
            <w:pPr>
              <w:pStyle w:val="Tabletext"/>
            </w:pPr>
            <w:r>
              <w:t>Provides physical habitat (for waterbirds)</w:t>
            </w:r>
          </w:p>
        </w:tc>
        <w:tc>
          <w:tcPr>
            <w:tcW w:w="6945" w:type="dxa"/>
            <w:vAlign w:val="center"/>
          </w:tcPr>
          <w:p w14:paraId="7049EFB6" w14:textId="77777777" w:rsidR="008C1AD8" w:rsidRDefault="008C1AD8" w:rsidP="00A15226">
            <w:pPr>
              <w:pStyle w:val="Tabletext"/>
            </w:pPr>
            <w:r>
              <w:t>The Ramsar site provides habitat for waterbird feeding, roosting, moulting, and breeding. The Ramsar site supports a wide range of functional groups (i.e., shorebirds, ducks, fish-eaters, large-bodied waders) each with different habitat requirements</w:t>
            </w:r>
          </w:p>
        </w:tc>
        <w:tc>
          <w:tcPr>
            <w:tcW w:w="5269" w:type="dxa"/>
            <w:vAlign w:val="center"/>
          </w:tcPr>
          <w:p w14:paraId="5F7DFC65" w14:textId="77777777" w:rsidR="008C1AD8" w:rsidRDefault="008C1AD8" w:rsidP="00A15226">
            <w:pPr>
              <w:pStyle w:val="Bullet1"/>
            </w:pPr>
            <w:r>
              <w:t>Australasian Bittern, Bar-tailed Godwit, Eastern Curlew, Great Knot, Hooded Plover, Lesser Sand Plover, and Red Knot recorded within the Ramsar site in three out of five seasons.</w:t>
            </w:r>
          </w:p>
          <w:p w14:paraId="7F48A274" w14:textId="77777777" w:rsidR="008C1AD8" w:rsidRDefault="008C1AD8" w:rsidP="00A15226">
            <w:pPr>
              <w:pStyle w:val="Bullet1"/>
            </w:pPr>
            <w:r>
              <w:t>Abundance of waterbirds will not decline below the following (calculated as a rolling five year average of maximum annual count; percentages calculated based on Hansen et al. (2016) for migratory shorebird species and the latest Wetlands International Waterbird Population for other species):</w:t>
            </w:r>
          </w:p>
          <w:p w14:paraId="208D2E55" w14:textId="77777777" w:rsidR="008C1AD8" w:rsidRDefault="008C1AD8" w:rsidP="00A15226">
            <w:pPr>
              <w:pStyle w:val="Bullet2"/>
            </w:pPr>
            <w:r>
              <w:t>Australian Fairy Tern – 0.6 %</w:t>
            </w:r>
          </w:p>
          <w:p w14:paraId="633745D3" w14:textId="77777777" w:rsidR="008C1AD8" w:rsidRPr="00F634BE" w:rsidRDefault="008C1AD8" w:rsidP="00A15226">
            <w:pPr>
              <w:pStyle w:val="Bullet2"/>
            </w:pPr>
            <w:r>
              <w:t>Curlew Sandpiper – 1.7 %</w:t>
            </w:r>
          </w:p>
        </w:tc>
      </w:tr>
      <w:tr w:rsidR="008C1AD8" w14:paraId="2C350FF5" w14:textId="77777777" w:rsidTr="00A15226">
        <w:trPr>
          <w:cantSplit/>
        </w:trPr>
        <w:tc>
          <w:tcPr>
            <w:tcW w:w="2122" w:type="dxa"/>
            <w:vAlign w:val="center"/>
          </w:tcPr>
          <w:p w14:paraId="43DD9367" w14:textId="77777777" w:rsidR="008C1AD8" w:rsidRDefault="008C1AD8" w:rsidP="00A15226">
            <w:pPr>
              <w:pStyle w:val="Tabletext"/>
            </w:pPr>
            <w:r>
              <w:t>Provides nursery habitat for native fish</w:t>
            </w:r>
          </w:p>
        </w:tc>
        <w:tc>
          <w:tcPr>
            <w:tcW w:w="6945" w:type="dxa"/>
            <w:vAlign w:val="center"/>
          </w:tcPr>
          <w:p w14:paraId="266CA88B" w14:textId="77777777" w:rsidR="008C1AD8" w:rsidRDefault="008C1AD8" w:rsidP="00A15226">
            <w:pPr>
              <w:pStyle w:val="Tabletext"/>
            </w:pPr>
            <w:r>
              <w:t>The saltmarsh and seagrass communities in Swan Bay provide nursery habitat for juvenile fish, including the larval stages of some fish species including King George Whiting, Blue Rock Whiting, Leatherjackets and Pipefish</w:t>
            </w:r>
          </w:p>
        </w:tc>
        <w:tc>
          <w:tcPr>
            <w:tcW w:w="5269" w:type="dxa"/>
            <w:vAlign w:val="center"/>
          </w:tcPr>
          <w:p w14:paraId="318A92F8" w14:textId="77777777" w:rsidR="008C1AD8" w:rsidRPr="008F306E" w:rsidRDefault="008C1AD8" w:rsidP="00A15226">
            <w:pPr>
              <w:pStyle w:val="Tabletext"/>
              <w:rPr>
                <w:highlight w:val="yellow"/>
              </w:rPr>
            </w:pPr>
            <w:r>
              <w:t xml:space="preserve">The LAC for native fish is </w:t>
            </w:r>
            <w:r w:rsidRPr="00F634BE">
              <w:t>captured in the LAC</w:t>
            </w:r>
            <w:r>
              <w:t>s</w:t>
            </w:r>
            <w:r w:rsidRPr="00F634BE">
              <w:t xml:space="preserve"> for saltmarsh</w:t>
            </w:r>
            <w:r>
              <w:t xml:space="preserve"> and seagrass</w:t>
            </w:r>
          </w:p>
        </w:tc>
      </w:tr>
      <w:tr w:rsidR="008C1AD8" w14:paraId="5A0D6C46" w14:textId="77777777" w:rsidTr="00A15226">
        <w:trPr>
          <w:cantSplit/>
        </w:trPr>
        <w:tc>
          <w:tcPr>
            <w:tcW w:w="2122" w:type="dxa"/>
            <w:vAlign w:val="center"/>
          </w:tcPr>
          <w:p w14:paraId="0AB1F802" w14:textId="77777777" w:rsidR="008C1AD8" w:rsidRDefault="008C1AD8" w:rsidP="00A15226">
            <w:pPr>
              <w:pStyle w:val="Tabletext"/>
            </w:pPr>
            <w:r>
              <w:lastRenderedPageBreak/>
              <w:t>Threatened wetland species and ecosystems</w:t>
            </w:r>
          </w:p>
        </w:tc>
        <w:tc>
          <w:tcPr>
            <w:tcW w:w="6945" w:type="dxa"/>
            <w:vAlign w:val="center"/>
          </w:tcPr>
          <w:p w14:paraId="68841B92" w14:textId="77777777" w:rsidR="008C1AD8" w:rsidRDefault="008C1AD8" w:rsidP="00A15226">
            <w:pPr>
              <w:pStyle w:val="Tabletext"/>
            </w:pPr>
            <w:r>
              <w:t>The Ramsar site provides important habitat for 13 species of threatened fauna, including seven international migratory shorebirds. The commonwealth listed Subtropic and Temperate Coastal Saltmarsh community is also present within the Ramsar site</w:t>
            </w:r>
          </w:p>
        </w:tc>
        <w:tc>
          <w:tcPr>
            <w:tcW w:w="5269" w:type="dxa"/>
            <w:vAlign w:val="center"/>
          </w:tcPr>
          <w:p w14:paraId="2F22AEBF" w14:textId="77777777" w:rsidR="008C1AD8" w:rsidRDefault="008C1AD8" w:rsidP="00A15226">
            <w:pPr>
              <w:pStyle w:val="Bullet1"/>
            </w:pPr>
            <w:r>
              <w:t>Orange-Bellied Parrot – captured in the LAC for saltmarsh</w:t>
            </w:r>
          </w:p>
          <w:p w14:paraId="60968EC8" w14:textId="77777777" w:rsidR="008C1AD8" w:rsidRDefault="008C1AD8" w:rsidP="00A15226">
            <w:pPr>
              <w:pStyle w:val="Bullet1"/>
            </w:pPr>
            <w:r>
              <w:t xml:space="preserve">Australian Grayling - </w:t>
            </w:r>
            <w:r w:rsidRPr="00F634BE">
              <w:t xml:space="preserve">Australian </w:t>
            </w:r>
            <w:r>
              <w:t>G</w:t>
            </w:r>
            <w:r w:rsidRPr="00F634BE">
              <w:t>rayling continues to be supported in the Barwon River system</w:t>
            </w:r>
          </w:p>
          <w:p w14:paraId="0AF06DBE" w14:textId="77777777" w:rsidR="008C1AD8" w:rsidRDefault="008C1AD8" w:rsidP="00A15226">
            <w:pPr>
              <w:pStyle w:val="Bullet1"/>
            </w:pPr>
            <w:r>
              <w:t>Growling Grass Frog:</w:t>
            </w:r>
          </w:p>
          <w:p w14:paraId="44AED8C1" w14:textId="77777777" w:rsidR="008C1AD8" w:rsidRDefault="008C1AD8" w:rsidP="00A15226">
            <w:pPr>
              <w:pStyle w:val="Bullet2"/>
            </w:pPr>
            <w:r>
              <w:t>At Western Treatment Plant &gt; 200 Growling Grass Frogs in 3 out of 5 years</w:t>
            </w:r>
          </w:p>
          <w:p w14:paraId="02BE4FF0" w14:textId="77777777" w:rsidR="008C1AD8" w:rsidRPr="00E13A5A" w:rsidRDefault="008C1AD8" w:rsidP="00A15226">
            <w:pPr>
              <w:pStyle w:val="Bullet2"/>
            </w:pPr>
            <w:r>
              <w:t>Presence of Growling Grass Frog in the Lake Connewarre complex in 3 out of 5 years</w:t>
            </w:r>
          </w:p>
        </w:tc>
      </w:tr>
      <w:tr w:rsidR="008C1AD8" w14:paraId="4B2235E0" w14:textId="77777777" w:rsidTr="00A15226">
        <w:trPr>
          <w:cantSplit/>
        </w:trPr>
        <w:tc>
          <w:tcPr>
            <w:tcW w:w="2122" w:type="dxa"/>
            <w:vAlign w:val="center"/>
          </w:tcPr>
          <w:p w14:paraId="4FFF9B36" w14:textId="77777777" w:rsidR="008C1AD8" w:rsidRDefault="008C1AD8" w:rsidP="00A15226">
            <w:pPr>
              <w:pStyle w:val="Tabletext"/>
            </w:pPr>
            <w:r>
              <w:t>Ecological connectivity</w:t>
            </w:r>
          </w:p>
        </w:tc>
        <w:tc>
          <w:tcPr>
            <w:tcW w:w="6945" w:type="dxa"/>
            <w:vAlign w:val="center"/>
          </w:tcPr>
          <w:p w14:paraId="1BF25909" w14:textId="77777777" w:rsidR="008C1AD8" w:rsidRDefault="008C1AD8" w:rsidP="00A15226">
            <w:pPr>
              <w:pStyle w:val="Tabletext"/>
            </w:pPr>
            <w:r>
              <w:t xml:space="preserve">There are a range of distinct wetland types within the Ramsar site which are ecologically connected. In particular, the connection between marine, estuarine and freshwater components is significant for fish migration and reproduction. The Ramsar site also supports significant numbers of migratory shorebirds </w:t>
            </w:r>
          </w:p>
        </w:tc>
        <w:tc>
          <w:tcPr>
            <w:tcW w:w="5269" w:type="dxa"/>
            <w:vAlign w:val="center"/>
          </w:tcPr>
          <w:p w14:paraId="3B4E6FC2" w14:textId="77777777" w:rsidR="008C1AD8" w:rsidRPr="00915517" w:rsidRDefault="008C1AD8" w:rsidP="00A15226">
            <w:pPr>
              <w:pStyle w:val="Bullet1"/>
            </w:pPr>
            <w:r w:rsidRPr="00915517">
              <w:t>Connectivity between the Barwon River and the Southern Ocean is not impeded between March and November for more than two consecutive years</w:t>
            </w:r>
          </w:p>
        </w:tc>
      </w:tr>
      <w:tr w:rsidR="008C1AD8" w14:paraId="283DF240" w14:textId="77777777" w:rsidTr="00A15226">
        <w:trPr>
          <w:cantSplit/>
        </w:trPr>
        <w:tc>
          <w:tcPr>
            <w:tcW w:w="14336" w:type="dxa"/>
            <w:gridSpan w:val="3"/>
            <w:shd w:val="clear" w:color="auto" w:fill="B4C6E7" w:themeFill="accent1" w:themeFillTint="66"/>
            <w:vAlign w:val="center"/>
          </w:tcPr>
          <w:p w14:paraId="7A79A864" w14:textId="77777777" w:rsidR="008C1AD8" w:rsidRPr="00215C8F" w:rsidRDefault="008C1AD8" w:rsidP="00A15226">
            <w:pPr>
              <w:pStyle w:val="Tabletext"/>
              <w:rPr>
                <w:b/>
                <w:bCs/>
              </w:rPr>
            </w:pPr>
            <w:r w:rsidRPr="00215C8F">
              <w:rPr>
                <w:b/>
                <w:bCs/>
              </w:rPr>
              <w:t>Cultural services</w:t>
            </w:r>
          </w:p>
        </w:tc>
      </w:tr>
      <w:tr w:rsidR="008C1AD8" w14:paraId="4690737B" w14:textId="77777777" w:rsidTr="00A15226">
        <w:trPr>
          <w:cantSplit/>
        </w:trPr>
        <w:tc>
          <w:tcPr>
            <w:tcW w:w="2122" w:type="dxa"/>
            <w:vAlign w:val="center"/>
          </w:tcPr>
          <w:p w14:paraId="6B8346B5" w14:textId="77777777" w:rsidR="008C1AD8" w:rsidRDefault="008C1AD8" w:rsidP="00A15226">
            <w:pPr>
              <w:pStyle w:val="Tabletext"/>
            </w:pPr>
            <w:r>
              <w:t>Recreation, education, and tourism</w:t>
            </w:r>
          </w:p>
        </w:tc>
        <w:tc>
          <w:tcPr>
            <w:tcW w:w="6945" w:type="dxa"/>
            <w:vAlign w:val="center"/>
          </w:tcPr>
          <w:p w14:paraId="263C7635" w14:textId="77777777" w:rsidR="008C1AD8" w:rsidRDefault="008C1AD8" w:rsidP="00A15226">
            <w:pPr>
              <w:pStyle w:val="Tabletext"/>
            </w:pPr>
            <w:r>
              <w:t>There are various uses of the Ramsar site including:</w:t>
            </w:r>
          </w:p>
          <w:p w14:paraId="788F8AAB" w14:textId="77777777" w:rsidR="008C1AD8" w:rsidRDefault="008C1AD8" w:rsidP="00A15226">
            <w:pPr>
              <w:pStyle w:val="Bullet1"/>
            </w:pPr>
            <w:r>
              <w:t>Hunting of ducks between March and June in the freshwater areas of Reedy Lake</w:t>
            </w:r>
          </w:p>
          <w:p w14:paraId="35C7C3E6" w14:textId="77777777" w:rsidR="008C1AD8" w:rsidRDefault="008C1AD8" w:rsidP="00A15226">
            <w:pPr>
              <w:pStyle w:val="Bullet1"/>
            </w:pPr>
            <w:r>
              <w:t>Fishing and bird watching at the Western Treatment Plant and the Cheetham Wetlands</w:t>
            </w:r>
          </w:p>
          <w:p w14:paraId="4BB3191C" w14:textId="77777777" w:rsidR="008C1AD8" w:rsidRPr="00215C8F" w:rsidRDefault="008C1AD8" w:rsidP="00A15226">
            <w:pPr>
              <w:pStyle w:val="Bullet1"/>
            </w:pPr>
            <w:r>
              <w:t>The Marine and Freshwater Discovery Centre</w:t>
            </w:r>
          </w:p>
        </w:tc>
        <w:tc>
          <w:tcPr>
            <w:tcW w:w="5269" w:type="dxa"/>
            <w:vAlign w:val="center"/>
          </w:tcPr>
          <w:p w14:paraId="30D716BF" w14:textId="77777777" w:rsidR="008C1AD8" w:rsidRPr="008512A2" w:rsidRDefault="008C1AD8" w:rsidP="00A15226">
            <w:pPr>
              <w:pStyle w:val="Tabletext"/>
            </w:pPr>
            <w:r>
              <w:t>N/A</w:t>
            </w:r>
          </w:p>
        </w:tc>
      </w:tr>
      <w:tr w:rsidR="008C1AD8" w14:paraId="681BDC73" w14:textId="77777777" w:rsidTr="00A15226">
        <w:trPr>
          <w:cantSplit/>
        </w:trPr>
        <w:tc>
          <w:tcPr>
            <w:tcW w:w="2122" w:type="dxa"/>
            <w:vAlign w:val="center"/>
          </w:tcPr>
          <w:p w14:paraId="2EAB0436" w14:textId="77777777" w:rsidR="008C1AD8" w:rsidRDefault="008C1AD8" w:rsidP="00A15226">
            <w:pPr>
              <w:pStyle w:val="Tabletext"/>
            </w:pPr>
            <w:r>
              <w:t>Aboriginal cultural values</w:t>
            </w:r>
          </w:p>
        </w:tc>
        <w:tc>
          <w:tcPr>
            <w:tcW w:w="6945" w:type="dxa"/>
            <w:vAlign w:val="center"/>
          </w:tcPr>
          <w:p w14:paraId="71CD4CE1" w14:textId="77777777" w:rsidR="008C1AD8" w:rsidRDefault="008C1AD8" w:rsidP="00A15226">
            <w:pPr>
              <w:pStyle w:val="Tabletext"/>
            </w:pPr>
            <w:r>
              <w:t>The Ramsar site is important to two Indigenous language groups. Mud islands and the area east of the Werribee is Boonwurrung country, and the remainder of the site is Wathaurong country</w:t>
            </w:r>
          </w:p>
          <w:p w14:paraId="6C0B3598" w14:textId="77777777" w:rsidR="008C1AD8" w:rsidRDefault="008C1AD8" w:rsidP="00A15226">
            <w:pPr>
              <w:pStyle w:val="Tabletext"/>
            </w:pPr>
            <w:r>
              <w:t>There are a number of important sites including middens, artefacts and burial sites within the Ramsar site. The Lake Connewarre Complex is a significant for the Wathaurong people</w:t>
            </w:r>
          </w:p>
        </w:tc>
        <w:tc>
          <w:tcPr>
            <w:tcW w:w="5269" w:type="dxa"/>
            <w:vAlign w:val="center"/>
          </w:tcPr>
          <w:p w14:paraId="0513EA9B" w14:textId="77777777" w:rsidR="008C1AD8" w:rsidRPr="008512A2" w:rsidRDefault="008C1AD8" w:rsidP="00A15226">
            <w:pPr>
              <w:pStyle w:val="Tabletext"/>
            </w:pPr>
            <w:r>
              <w:t>N/A</w:t>
            </w:r>
          </w:p>
        </w:tc>
      </w:tr>
      <w:tr w:rsidR="008C1AD8" w14:paraId="6134039F" w14:textId="77777777" w:rsidTr="00A15226">
        <w:trPr>
          <w:cantSplit/>
        </w:trPr>
        <w:tc>
          <w:tcPr>
            <w:tcW w:w="2122" w:type="dxa"/>
            <w:vAlign w:val="center"/>
          </w:tcPr>
          <w:p w14:paraId="0FE52510" w14:textId="77777777" w:rsidR="008C1AD8" w:rsidRDefault="008C1AD8" w:rsidP="00A15226">
            <w:pPr>
              <w:pStyle w:val="Tabletext"/>
            </w:pPr>
            <w:r>
              <w:lastRenderedPageBreak/>
              <w:t>Scientific research</w:t>
            </w:r>
          </w:p>
        </w:tc>
        <w:tc>
          <w:tcPr>
            <w:tcW w:w="6945" w:type="dxa"/>
            <w:vAlign w:val="center"/>
          </w:tcPr>
          <w:p w14:paraId="64CB7EE6" w14:textId="77777777" w:rsidR="008C1AD8" w:rsidRDefault="008C1AD8" w:rsidP="00A15226">
            <w:pPr>
              <w:pStyle w:val="Tabletext"/>
            </w:pPr>
            <w:r>
              <w:t>The proximity of the Ramsar site to larger cities provides opportunities for research. Various research projects are functioning within the Ramsar site, including:</w:t>
            </w:r>
          </w:p>
          <w:p w14:paraId="6DD01E36" w14:textId="77777777" w:rsidR="008C1AD8" w:rsidRDefault="008C1AD8" w:rsidP="00A15226">
            <w:pPr>
              <w:pStyle w:val="Bullet1"/>
            </w:pPr>
            <w:r>
              <w:t>The Fisheries Research Facility (run by the Victorian Fisheries Authority)</w:t>
            </w:r>
          </w:p>
          <w:p w14:paraId="6423E398" w14:textId="77777777" w:rsidR="008C1AD8" w:rsidRDefault="008C1AD8" w:rsidP="00A15226">
            <w:pPr>
              <w:pStyle w:val="Bullet1"/>
            </w:pPr>
            <w:r>
              <w:t>Research on the Western Treatment Plant and surrounding shorelines (run by Melbourne Water)</w:t>
            </w:r>
          </w:p>
          <w:p w14:paraId="4FDF204D" w14:textId="77777777" w:rsidR="008C1AD8" w:rsidRDefault="008C1AD8" w:rsidP="00A15226">
            <w:pPr>
              <w:pStyle w:val="Bullet1"/>
            </w:pPr>
            <w:r>
              <w:t>Monitoring of shorebirds occurs at a number of locations within the Ramsar site</w:t>
            </w:r>
          </w:p>
        </w:tc>
        <w:tc>
          <w:tcPr>
            <w:tcW w:w="5269" w:type="dxa"/>
            <w:vAlign w:val="center"/>
          </w:tcPr>
          <w:p w14:paraId="3DE6FAE5" w14:textId="77777777" w:rsidR="008C1AD8" w:rsidRPr="008512A2" w:rsidRDefault="008C1AD8" w:rsidP="00A15226">
            <w:pPr>
              <w:pStyle w:val="Tabletext"/>
            </w:pPr>
            <w:r>
              <w:t>N/A</w:t>
            </w:r>
          </w:p>
        </w:tc>
      </w:tr>
    </w:tbl>
    <w:p w14:paraId="237BE233" w14:textId="77777777" w:rsidR="008C1AD8" w:rsidRDefault="008C1AD8" w:rsidP="008C1AD8">
      <w:pPr>
        <w:sectPr w:rsidR="008C1AD8" w:rsidSect="00CD6635">
          <w:footerReference w:type="default" r:id="rId69"/>
          <w:pgSz w:w="16840" w:h="11900" w:orient="landscape"/>
          <w:pgMar w:top="1134" w:right="1247" w:bottom="1134" w:left="1247" w:header="708" w:footer="708" w:gutter="0"/>
          <w:pgNumType w:chapStyle="1"/>
          <w:cols w:space="708"/>
          <w:docGrid w:linePitch="360"/>
        </w:sectPr>
      </w:pPr>
    </w:p>
    <w:p w14:paraId="62A18688" w14:textId="77777777" w:rsidR="008C1AD8" w:rsidRDefault="008C1AD8" w:rsidP="008C1AD8">
      <w:pPr>
        <w:pStyle w:val="Heading2"/>
      </w:pPr>
      <w:bookmarkStart w:id="137" w:name="_Ref113619573"/>
      <w:bookmarkStart w:id="138" w:name="_Toc116037296"/>
      <w:bookmarkStart w:id="139" w:name="_Toc135122693"/>
      <w:r>
        <w:lastRenderedPageBreak/>
        <w:t>How the Growth Areas relate to the Ramsar site</w:t>
      </w:r>
      <w:bookmarkEnd w:id="137"/>
      <w:bookmarkEnd w:id="138"/>
      <w:bookmarkEnd w:id="139"/>
    </w:p>
    <w:p w14:paraId="69B2FE99" w14:textId="77777777" w:rsidR="008C1AD8" w:rsidRDefault="008C1AD8" w:rsidP="008C1AD8">
      <w:r>
        <w:t>Three of the six areas that form the Ramsar site occur within the Study Area. They are:</w:t>
      </w:r>
    </w:p>
    <w:p w14:paraId="12DE22B4" w14:textId="77777777" w:rsidR="008C1AD8" w:rsidRDefault="008C1AD8" w:rsidP="008C1AD8">
      <w:pPr>
        <w:pStyle w:val="Bullet1"/>
      </w:pPr>
      <w:r>
        <w:t>Point Wilson</w:t>
      </w:r>
      <w:r w:rsidRPr="002A4E58">
        <w:t xml:space="preserve"> / Limeburners Bay</w:t>
      </w:r>
      <w:r>
        <w:t xml:space="preserve"> (see </w:t>
      </w:r>
      <w:hyperlink r:id="rId70" w:history="1">
        <w:r w:rsidRPr="00466211">
          <w:rPr>
            <w:rStyle w:val="Hyperlink"/>
          </w:rPr>
          <w:t>Map 22-2</w:t>
        </w:r>
      </w:hyperlink>
      <w:r>
        <w:t>)</w:t>
      </w:r>
    </w:p>
    <w:p w14:paraId="6EE6152D" w14:textId="77777777" w:rsidR="008C1AD8" w:rsidRDefault="008C1AD8" w:rsidP="008C1AD8">
      <w:pPr>
        <w:pStyle w:val="Bullet1"/>
      </w:pPr>
      <w:r>
        <w:t>The L</w:t>
      </w:r>
      <w:r w:rsidRPr="002A4E58">
        <w:t>ake Connewarre</w:t>
      </w:r>
      <w:r>
        <w:t xml:space="preserve"> Complex (see </w:t>
      </w:r>
      <w:hyperlink r:id="rId71" w:history="1">
        <w:r w:rsidRPr="00466211">
          <w:rPr>
            <w:rStyle w:val="Hyperlink"/>
          </w:rPr>
          <w:t>Map 22-3</w:t>
        </w:r>
      </w:hyperlink>
      <w:r>
        <w:t>)</w:t>
      </w:r>
    </w:p>
    <w:p w14:paraId="0BC74B9F" w14:textId="77777777" w:rsidR="008C1AD8" w:rsidRDefault="008C1AD8" w:rsidP="008C1AD8">
      <w:pPr>
        <w:pStyle w:val="Bullet1"/>
      </w:pPr>
      <w:r w:rsidRPr="002A4E58">
        <w:t>Werribee / Avalon</w:t>
      </w:r>
      <w:r>
        <w:t xml:space="preserve"> (see </w:t>
      </w:r>
      <w:hyperlink r:id="rId72" w:history="1">
        <w:r w:rsidRPr="00466211">
          <w:rPr>
            <w:rStyle w:val="Hyperlink"/>
          </w:rPr>
          <w:t>Map 22-4</w:t>
        </w:r>
      </w:hyperlink>
      <w:r>
        <w:t>)</w:t>
      </w:r>
    </w:p>
    <w:p w14:paraId="77ACD85E" w14:textId="77777777" w:rsidR="008C1AD8" w:rsidRDefault="008C1AD8" w:rsidP="008C1AD8">
      <w:r>
        <w:t>Point Wilson / Limeburners Bay and the Lake Connewarre Complex occur downstream of the Growth Areas. The connection between the Growth Areas and these sections of the Ramsar site is discussed below.</w:t>
      </w:r>
    </w:p>
    <w:p w14:paraId="3CF58489" w14:textId="77777777" w:rsidR="008C1AD8" w:rsidRPr="007D6B37" w:rsidRDefault="008C1AD8" w:rsidP="008C1AD8">
      <w:r w:rsidRPr="007D6B37">
        <w:t xml:space="preserve">The Werribee / Avalon section of </w:t>
      </w:r>
      <w:r>
        <w:t>the Ramsar site</w:t>
      </w:r>
      <w:r w:rsidRPr="007D6B37">
        <w:t xml:space="preserve"> is not hydrologically connected to the Growth Areas. </w:t>
      </w:r>
    </w:p>
    <w:p w14:paraId="31EA554F" w14:textId="77777777" w:rsidR="008C1AD8" w:rsidRPr="007D6B37" w:rsidRDefault="008C1AD8" w:rsidP="008C1AD8">
      <w:pPr>
        <w:pStyle w:val="Heading3"/>
      </w:pPr>
      <w:r w:rsidRPr="007D6B37">
        <w:t xml:space="preserve">Point Wilson / LImeburners Bay </w:t>
      </w:r>
    </w:p>
    <w:p w14:paraId="05D793DD" w14:textId="77777777" w:rsidR="008C1AD8" w:rsidRDefault="008C1AD8" w:rsidP="008C1AD8">
      <w:r w:rsidRPr="007D6B37">
        <w:t>Approximately 52 per cent of the NGGA drains east to Point Wilson / Limeburners bay via Hovells Creek, which passes</w:t>
      </w:r>
      <w:r>
        <w:t xml:space="preserve"> through the town of Lara before connecting to Limeburners Bay. This section of the NGGA is approximately </w:t>
      </w:r>
      <w:r w:rsidRPr="00696F03">
        <w:t>1</w:t>
      </w:r>
      <w:r>
        <w:t>,</w:t>
      </w:r>
      <w:r w:rsidRPr="00696F03">
        <w:t>08</w:t>
      </w:r>
      <w:r>
        <w:t xml:space="preserve">8 ha in size, or approximately 4.6 per cent of the total size of the Hovells Creek catchment. </w:t>
      </w:r>
    </w:p>
    <w:p w14:paraId="3A5048CC" w14:textId="77777777" w:rsidR="008C1AD8" w:rsidRDefault="008C1AD8" w:rsidP="008C1AD8">
      <w:r>
        <w:t>The hydrological distance between the Ramsar site and the NGGA is approximately 9 – 10 km (stream length).</w:t>
      </w:r>
    </w:p>
    <w:p w14:paraId="350586D6" w14:textId="77777777" w:rsidR="008C1AD8" w:rsidRPr="00966A01" w:rsidRDefault="008C1AD8" w:rsidP="008C1AD8">
      <w:pPr>
        <w:pStyle w:val="Heading3"/>
      </w:pPr>
      <w:r>
        <w:t>The Lake Connewarre Complex</w:t>
      </w:r>
    </w:p>
    <w:p w14:paraId="30129995" w14:textId="77777777" w:rsidR="008C1AD8" w:rsidRDefault="008C1AD8" w:rsidP="008C1AD8">
      <w:r>
        <w:t xml:space="preserve">The Lake Connewarre Complex occurs downstream of both the WGGA and a small section of the NGGA. The WGGA is connected to this area of the Ramsar site via the Moorabool River (a tributary of the Barwon River) which flows to the Lake Connewarre Complex south of Geelong. The hydrological distance of the WGGA to the site is approximately 25 km (stream length). </w:t>
      </w:r>
    </w:p>
    <w:p w14:paraId="549ABACD" w14:textId="77777777" w:rsidR="008C1AD8" w:rsidRDefault="008C1AD8" w:rsidP="008C1AD8">
      <w:r>
        <w:t>The small section of the NGGA is connected to this area of the Ramsar site via Sutherland Creek, a tributary of the Moorabool River, which then connects to the Barwon River and Lake Connewarre Complex. The hydrological distance between this area of the Ramsar site and the NGGA is approximately 41 km (stream length). The section of the Barwon river that occurs downstream of the Growth Areas passes by Batesford Quarry and through the southern part of Geelong.</w:t>
      </w:r>
    </w:p>
    <w:p w14:paraId="4EFD23DD" w14:textId="77777777" w:rsidR="008C1AD8" w:rsidRDefault="008C1AD8" w:rsidP="008C1AD8">
      <w:r>
        <w:t>Approximately 39 per cent of the WGGA and 2 per cent of the NGGA will drain to the Lake Connewarre Complex.</w:t>
      </w:r>
    </w:p>
    <w:p w14:paraId="6055A382" w14:textId="77777777" w:rsidR="008C1AD8" w:rsidRDefault="008C1AD8" w:rsidP="008C1AD8">
      <w:pPr>
        <w:pStyle w:val="Heading3"/>
      </w:pPr>
      <w:r>
        <w:t>Werribee / Avalon</w:t>
      </w:r>
    </w:p>
    <w:p w14:paraId="506EA457" w14:textId="77777777" w:rsidR="008C1AD8" w:rsidRPr="00CF7D01" w:rsidRDefault="008C1AD8" w:rsidP="008C1AD8">
      <w:r>
        <w:t>The Werribee / Avalon section of the Ramsar site does not occur downstream of the Growth Areas and is therefore not hydrologically linked to development. However, the southern section is approximately 8 km from the NGGA and will potentially experience increased visitation for recreational reasons as a result of new urban development in the area.</w:t>
      </w:r>
    </w:p>
    <w:p w14:paraId="3FA38FF2" w14:textId="77777777" w:rsidR="008C1AD8" w:rsidRDefault="008C1AD8" w:rsidP="008C1AD8">
      <w:pPr>
        <w:pStyle w:val="Heading2"/>
      </w:pPr>
      <w:bookmarkStart w:id="140" w:name="_Toc116037297"/>
      <w:bookmarkStart w:id="141" w:name="_Toc135122694"/>
      <w:r>
        <w:t>Analysis of potential impacts</w:t>
      </w:r>
      <w:bookmarkEnd w:id="140"/>
      <w:bookmarkEnd w:id="141"/>
    </w:p>
    <w:p w14:paraId="00D617CD" w14:textId="77777777" w:rsidR="008C1AD8" w:rsidRDefault="008C1AD8" w:rsidP="008C1AD8">
      <w:pPr>
        <w:pStyle w:val="Heading3"/>
      </w:pPr>
      <w:r>
        <w:t>Direct impacts</w:t>
      </w:r>
    </w:p>
    <w:p w14:paraId="305BC1A1" w14:textId="77777777" w:rsidR="008C1AD8" w:rsidRPr="00EB5B56" w:rsidRDefault="008C1AD8" w:rsidP="008C1AD8">
      <w:r>
        <w:t xml:space="preserve">The Ramsar site is located outside of the Strategic Assessment Area (see </w:t>
      </w:r>
      <w:hyperlink r:id="rId73" w:history="1">
        <w:r w:rsidRPr="00466211">
          <w:rPr>
            <w:rStyle w:val="Hyperlink"/>
          </w:rPr>
          <w:t>Map 22-1</w:t>
        </w:r>
      </w:hyperlink>
      <w:r w:rsidRPr="009E74D9">
        <w:t>) and</w:t>
      </w:r>
      <w:r>
        <w:t xml:space="preserve"> will not be subject to any direct impacts as a result of implementing the Plan. </w:t>
      </w:r>
    </w:p>
    <w:p w14:paraId="4B201322" w14:textId="77777777" w:rsidR="008C1AD8" w:rsidRDefault="008C1AD8" w:rsidP="008C1AD8">
      <w:pPr>
        <w:pStyle w:val="Heading3"/>
      </w:pPr>
      <w:r>
        <w:t>Indirect impacts</w:t>
      </w:r>
    </w:p>
    <w:p w14:paraId="288AD5EF" w14:textId="77777777" w:rsidR="008C1AD8" w:rsidRDefault="008C1AD8" w:rsidP="008C1AD8">
      <w:r>
        <w:t xml:space="preserve">There are a number of potential threats to the Ramsar site outlined in the Ecological Character Description </w:t>
      </w:r>
      <w:sdt>
        <w:sdtPr>
          <w:rPr>
            <w:color w:val="000000"/>
          </w:rPr>
          <w:tag w:val="MENDELEY_CITATION_v3_eyJjaXRhdGlvbklEIjoiTUVOREVMRVlfQ0lUQVRJT05fNGZjMzQ5YTEtODBhMy00NDZiLTg3ZjgtNTk4ZTliMzYyNTM5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486395583"/>
          <w:placeholder>
            <w:docPart w:val="53263D66753F864BA248D609BD120A46"/>
          </w:placeholder>
        </w:sdtPr>
        <w:sdtContent>
          <w:r w:rsidRPr="00273871">
            <w:rPr>
              <w:color w:val="000000"/>
            </w:rPr>
            <w:t>(DELWP, 2020)</w:t>
          </w:r>
        </w:sdtContent>
      </w:sdt>
      <w:r>
        <w:t xml:space="preserve">. </w:t>
      </w:r>
      <w:r>
        <w:fldChar w:fldCharType="begin"/>
      </w:r>
      <w:r>
        <w:instrText xml:space="preserve"> REF _Ref112159615 \h </w:instrText>
      </w:r>
      <w:r>
        <w:fldChar w:fldCharType="separate"/>
      </w:r>
      <w:r>
        <w:t xml:space="preserve">Table </w:t>
      </w:r>
      <w:r>
        <w:rPr>
          <w:noProof/>
        </w:rPr>
        <w:t>22</w:t>
      </w:r>
      <w:r>
        <w:noBreakHyphen/>
      </w:r>
      <w:r>
        <w:rPr>
          <w:noProof/>
        </w:rPr>
        <w:t>3</w:t>
      </w:r>
      <w:r>
        <w:fldChar w:fldCharType="end"/>
      </w:r>
      <w:r>
        <w:t xml:space="preserve"> below outlines the priority threats to the three areas of the Ramsar site that occur within the Study Area and identifies which threats are relevant to potential indirect impacts under the Plan. </w:t>
      </w:r>
    </w:p>
    <w:p w14:paraId="713DF422" w14:textId="77777777" w:rsidR="008C1AD8" w:rsidRDefault="008C1AD8" w:rsidP="008C1AD8">
      <w:r w:rsidRPr="003C0D19">
        <w:t>A detailed discussion of potential indirect impacts under the Plan is provided below.</w:t>
      </w:r>
    </w:p>
    <w:p w14:paraId="70CBB309" w14:textId="77777777" w:rsidR="008C1AD8" w:rsidRPr="009C3E23" w:rsidRDefault="008C1AD8" w:rsidP="008C1AD8"/>
    <w:p w14:paraId="51A055AE" w14:textId="77777777" w:rsidR="008C1AD8" w:rsidRDefault="008C1AD8" w:rsidP="008C1AD8">
      <w:pPr>
        <w:tabs>
          <w:tab w:val="clear" w:pos="4962"/>
        </w:tabs>
        <w:spacing w:before="0" w:after="0" w:line="240" w:lineRule="auto"/>
        <w:sectPr w:rsidR="008C1AD8" w:rsidSect="00043552">
          <w:footerReference w:type="default" r:id="rId74"/>
          <w:pgSz w:w="11900" w:h="16840"/>
          <w:pgMar w:top="1247" w:right="1134" w:bottom="1247" w:left="1134" w:header="708" w:footer="708" w:gutter="0"/>
          <w:pgNumType w:chapStyle="1"/>
          <w:cols w:space="708"/>
          <w:docGrid w:linePitch="360"/>
        </w:sectPr>
      </w:pPr>
    </w:p>
    <w:p w14:paraId="0F03E654" w14:textId="77777777" w:rsidR="008C1AD8" w:rsidRDefault="008C1AD8" w:rsidP="008C1AD8">
      <w:pPr>
        <w:pStyle w:val="Caption"/>
      </w:pPr>
      <w:bookmarkStart w:id="142" w:name="_Ref112159615"/>
      <w:bookmarkStart w:id="143" w:name="_Toc135122731"/>
      <w:r>
        <w:lastRenderedPageBreak/>
        <w:t xml:space="preserve">Table </w:t>
      </w:r>
      <w:r>
        <w:fldChar w:fldCharType="begin"/>
      </w:r>
      <w:r>
        <w:instrText xml:space="preserve"> STYLEREF 1 \s </w:instrText>
      </w:r>
      <w:r>
        <w:fldChar w:fldCharType="separate"/>
      </w:r>
      <w:r>
        <w:rPr>
          <w:noProof/>
        </w:rPr>
        <w:t>22</w:t>
      </w:r>
      <w:r>
        <w:fldChar w:fldCharType="end"/>
      </w:r>
      <w:r>
        <w:noBreakHyphen/>
      </w:r>
      <w:r>
        <w:fldChar w:fldCharType="begin"/>
      </w:r>
      <w:r>
        <w:instrText xml:space="preserve"> SEQ Table \* ARABIC \s 1 </w:instrText>
      </w:r>
      <w:r>
        <w:fldChar w:fldCharType="separate"/>
      </w:r>
      <w:r>
        <w:rPr>
          <w:noProof/>
        </w:rPr>
        <w:t>3</w:t>
      </w:r>
      <w:r>
        <w:fldChar w:fldCharType="end"/>
      </w:r>
      <w:bookmarkEnd w:id="142"/>
      <w:r>
        <w:t xml:space="preserve">: Priority threats at the relevant locations of the </w:t>
      </w:r>
      <w:r w:rsidRPr="00545D3A">
        <w:t>Port Phillip Bay (Western Shoreline) and Bellarine Peninsula</w:t>
      </w:r>
      <w:r>
        <w:t xml:space="preserve"> Ramsar site </w:t>
      </w:r>
      <w:sdt>
        <w:sdtPr>
          <w:rPr>
            <w:b w:val="0"/>
            <w:color w:val="000000"/>
          </w:rPr>
          <w:tag w:val="MENDELEY_CITATION_v3_eyJjaXRhdGlvbklEIjoiTUVOREVMRVlfQ0lUQVRJT05fYmE0NjFjMjQtNWEyZS00MGE2LTkwZTYtZGVhZmQ1YzI3OWRh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264495442"/>
          <w:placeholder>
            <w:docPart w:val="53263D66753F864BA248D609BD120A46"/>
          </w:placeholder>
        </w:sdtPr>
        <w:sdtContent>
          <w:r w:rsidRPr="00273871">
            <w:rPr>
              <w:b w:val="0"/>
              <w:color w:val="000000"/>
            </w:rPr>
            <w:t>(DELWP, 2020)</w:t>
          </w:r>
        </w:sdtContent>
      </w:sdt>
      <w:bookmarkEnd w:id="143"/>
    </w:p>
    <w:tbl>
      <w:tblPr>
        <w:tblStyle w:val="TableGrid"/>
        <w:tblW w:w="0" w:type="auto"/>
        <w:tblLook w:val="04A0" w:firstRow="1" w:lastRow="0" w:firstColumn="1" w:lastColumn="0" w:noHBand="0" w:noVBand="1"/>
      </w:tblPr>
      <w:tblGrid>
        <w:gridCol w:w="2121"/>
        <w:gridCol w:w="1158"/>
        <w:gridCol w:w="1111"/>
        <w:gridCol w:w="1134"/>
        <w:gridCol w:w="4819"/>
        <w:gridCol w:w="3993"/>
      </w:tblGrid>
      <w:tr w:rsidR="008C1AD8" w:rsidRPr="00B806B9" w14:paraId="0A75F0BB" w14:textId="77777777" w:rsidTr="00A15226">
        <w:trPr>
          <w:cantSplit/>
          <w:tblHeader/>
        </w:trPr>
        <w:tc>
          <w:tcPr>
            <w:tcW w:w="2121" w:type="dxa"/>
            <w:vMerge w:val="restart"/>
            <w:shd w:val="clear" w:color="auto" w:fill="C9C9C9" w:themeFill="accent3" w:themeFillTint="99"/>
            <w:vAlign w:val="center"/>
          </w:tcPr>
          <w:p w14:paraId="23A7F07F" w14:textId="77777777" w:rsidR="008C1AD8" w:rsidRPr="00B806B9" w:rsidRDefault="008C1AD8" w:rsidP="00A15226">
            <w:pPr>
              <w:pStyle w:val="Tabletext"/>
              <w:rPr>
                <w:b/>
                <w:bCs/>
              </w:rPr>
            </w:pPr>
            <w:r w:rsidRPr="00B806B9">
              <w:rPr>
                <w:b/>
                <w:bCs/>
              </w:rPr>
              <w:t>Threat</w:t>
            </w:r>
          </w:p>
        </w:tc>
        <w:tc>
          <w:tcPr>
            <w:tcW w:w="3403" w:type="dxa"/>
            <w:gridSpan w:val="3"/>
            <w:shd w:val="clear" w:color="auto" w:fill="C9C9C9" w:themeFill="accent3" w:themeFillTint="99"/>
            <w:vAlign w:val="center"/>
          </w:tcPr>
          <w:p w14:paraId="7CC1F2A7" w14:textId="77777777" w:rsidR="008C1AD8" w:rsidRPr="00B806B9" w:rsidRDefault="008C1AD8" w:rsidP="00A15226">
            <w:pPr>
              <w:pStyle w:val="Tabletext"/>
              <w:jc w:val="center"/>
              <w:rPr>
                <w:b/>
                <w:bCs/>
              </w:rPr>
            </w:pPr>
            <w:r w:rsidRPr="00B806B9">
              <w:rPr>
                <w:b/>
                <w:bCs/>
              </w:rPr>
              <w:t>Relevant areas of the Ramsar site</w:t>
            </w:r>
            <w:r>
              <w:rPr>
                <w:b/>
                <w:bCs/>
              </w:rPr>
              <w:t>*</w:t>
            </w:r>
          </w:p>
        </w:tc>
        <w:tc>
          <w:tcPr>
            <w:tcW w:w="4819" w:type="dxa"/>
            <w:vMerge w:val="restart"/>
            <w:shd w:val="clear" w:color="auto" w:fill="C9C9C9" w:themeFill="accent3" w:themeFillTint="99"/>
            <w:vAlign w:val="center"/>
          </w:tcPr>
          <w:p w14:paraId="3786EB8D" w14:textId="77777777" w:rsidR="008C1AD8" w:rsidRPr="00B806B9" w:rsidRDefault="008C1AD8" w:rsidP="00A15226">
            <w:pPr>
              <w:pStyle w:val="Tabletext"/>
              <w:rPr>
                <w:b/>
                <w:bCs/>
              </w:rPr>
            </w:pPr>
            <w:r>
              <w:rPr>
                <w:b/>
                <w:bCs/>
              </w:rPr>
              <w:t>Description of threat</w:t>
            </w:r>
          </w:p>
        </w:tc>
        <w:tc>
          <w:tcPr>
            <w:tcW w:w="3993" w:type="dxa"/>
            <w:vMerge w:val="restart"/>
            <w:shd w:val="clear" w:color="auto" w:fill="C9C9C9" w:themeFill="accent3" w:themeFillTint="99"/>
            <w:vAlign w:val="center"/>
          </w:tcPr>
          <w:p w14:paraId="4E0755DD" w14:textId="77777777" w:rsidR="008C1AD8" w:rsidRPr="00163085" w:rsidRDefault="008C1AD8" w:rsidP="00A15226">
            <w:pPr>
              <w:pStyle w:val="Tabletext"/>
              <w:rPr>
                <w:b/>
                <w:bCs/>
                <w:highlight w:val="yellow"/>
              </w:rPr>
            </w:pPr>
            <w:r w:rsidRPr="000C7BA0">
              <w:rPr>
                <w:b/>
                <w:bCs/>
              </w:rPr>
              <w:t>Potential impacts pathways under the Plan</w:t>
            </w:r>
          </w:p>
        </w:tc>
      </w:tr>
      <w:tr w:rsidR="008C1AD8" w:rsidRPr="00B806B9" w14:paraId="1FE883AE" w14:textId="77777777" w:rsidTr="00A15226">
        <w:trPr>
          <w:cantSplit/>
          <w:tblHeader/>
        </w:trPr>
        <w:tc>
          <w:tcPr>
            <w:tcW w:w="2121" w:type="dxa"/>
            <w:vMerge/>
            <w:shd w:val="clear" w:color="auto" w:fill="C9C9C9" w:themeFill="accent3" w:themeFillTint="99"/>
            <w:vAlign w:val="center"/>
          </w:tcPr>
          <w:p w14:paraId="69A0E98F" w14:textId="77777777" w:rsidR="008C1AD8" w:rsidRPr="00B806B9" w:rsidRDefault="008C1AD8" w:rsidP="00A15226">
            <w:pPr>
              <w:pStyle w:val="Tabletext"/>
              <w:rPr>
                <w:b/>
                <w:bCs/>
              </w:rPr>
            </w:pPr>
          </w:p>
        </w:tc>
        <w:tc>
          <w:tcPr>
            <w:tcW w:w="1158" w:type="dxa"/>
            <w:shd w:val="clear" w:color="auto" w:fill="C9C9C9" w:themeFill="accent3" w:themeFillTint="99"/>
            <w:vAlign w:val="center"/>
          </w:tcPr>
          <w:p w14:paraId="5D2CF28E" w14:textId="77777777" w:rsidR="008C1AD8" w:rsidRPr="00473105" w:rsidRDefault="008C1AD8" w:rsidP="00A15226">
            <w:pPr>
              <w:pStyle w:val="Tabletext"/>
              <w:jc w:val="center"/>
              <w:rPr>
                <w:b/>
                <w:bCs/>
                <w:sz w:val="16"/>
                <w:szCs w:val="16"/>
              </w:rPr>
            </w:pPr>
            <w:r>
              <w:rPr>
                <w:b/>
                <w:bCs/>
                <w:sz w:val="16"/>
                <w:szCs w:val="16"/>
              </w:rPr>
              <w:t>Point Wilson</w:t>
            </w:r>
            <w:r w:rsidRPr="00473105">
              <w:rPr>
                <w:b/>
                <w:bCs/>
                <w:sz w:val="16"/>
                <w:szCs w:val="16"/>
              </w:rPr>
              <w:t xml:space="preserve"> / Limeburners </w:t>
            </w:r>
          </w:p>
        </w:tc>
        <w:tc>
          <w:tcPr>
            <w:tcW w:w="1111" w:type="dxa"/>
            <w:shd w:val="clear" w:color="auto" w:fill="C9C9C9" w:themeFill="accent3" w:themeFillTint="99"/>
            <w:vAlign w:val="center"/>
          </w:tcPr>
          <w:p w14:paraId="20622919" w14:textId="77777777" w:rsidR="008C1AD8" w:rsidRPr="00473105" w:rsidRDefault="008C1AD8" w:rsidP="00A15226">
            <w:pPr>
              <w:pStyle w:val="Tabletext"/>
              <w:jc w:val="center"/>
              <w:rPr>
                <w:b/>
                <w:bCs/>
                <w:sz w:val="16"/>
                <w:szCs w:val="16"/>
              </w:rPr>
            </w:pPr>
            <w:r w:rsidRPr="00473105">
              <w:rPr>
                <w:b/>
                <w:bCs/>
                <w:sz w:val="16"/>
                <w:szCs w:val="16"/>
              </w:rPr>
              <w:t>Werribee / Avalon</w:t>
            </w:r>
          </w:p>
        </w:tc>
        <w:tc>
          <w:tcPr>
            <w:tcW w:w="1134" w:type="dxa"/>
            <w:shd w:val="clear" w:color="auto" w:fill="C9C9C9" w:themeFill="accent3" w:themeFillTint="99"/>
            <w:vAlign w:val="center"/>
          </w:tcPr>
          <w:p w14:paraId="70CF730E" w14:textId="77777777" w:rsidR="008C1AD8" w:rsidRPr="00473105" w:rsidRDefault="008C1AD8" w:rsidP="00A15226">
            <w:pPr>
              <w:pStyle w:val="Tabletext"/>
              <w:jc w:val="center"/>
              <w:rPr>
                <w:b/>
                <w:bCs/>
                <w:sz w:val="16"/>
                <w:szCs w:val="16"/>
              </w:rPr>
            </w:pPr>
            <w:r w:rsidRPr="00473105">
              <w:rPr>
                <w:b/>
                <w:bCs/>
                <w:sz w:val="16"/>
                <w:szCs w:val="16"/>
              </w:rPr>
              <w:t>Lake Connewarre</w:t>
            </w:r>
          </w:p>
        </w:tc>
        <w:tc>
          <w:tcPr>
            <w:tcW w:w="4819" w:type="dxa"/>
            <w:vMerge/>
            <w:shd w:val="clear" w:color="auto" w:fill="C9C9C9" w:themeFill="accent3" w:themeFillTint="99"/>
            <w:vAlign w:val="center"/>
          </w:tcPr>
          <w:p w14:paraId="617DCB28" w14:textId="77777777" w:rsidR="008C1AD8" w:rsidRPr="00B806B9" w:rsidRDefault="008C1AD8" w:rsidP="00A15226">
            <w:pPr>
              <w:pStyle w:val="Tabletext"/>
              <w:rPr>
                <w:b/>
                <w:bCs/>
              </w:rPr>
            </w:pPr>
          </w:p>
        </w:tc>
        <w:tc>
          <w:tcPr>
            <w:tcW w:w="3993" w:type="dxa"/>
            <w:vMerge/>
            <w:shd w:val="clear" w:color="auto" w:fill="C9C9C9" w:themeFill="accent3" w:themeFillTint="99"/>
            <w:vAlign w:val="center"/>
          </w:tcPr>
          <w:p w14:paraId="31E7AD1A" w14:textId="77777777" w:rsidR="008C1AD8" w:rsidRPr="00163085" w:rsidRDefault="008C1AD8" w:rsidP="00A15226">
            <w:pPr>
              <w:pStyle w:val="Tabletext"/>
              <w:rPr>
                <w:b/>
                <w:bCs/>
                <w:highlight w:val="yellow"/>
              </w:rPr>
            </w:pPr>
          </w:p>
        </w:tc>
      </w:tr>
      <w:tr w:rsidR="008C1AD8" w14:paraId="72AC708A" w14:textId="77777777" w:rsidTr="00A15226">
        <w:trPr>
          <w:cantSplit/>
        </w:trPr>
        <w:tc>
          <w:tcPr>
            <w:tcW w:w="2121" w:type="dxa"/>
            <w:vAlign w:val="center"/>
          </w:tcPr>
          <w:p w14:paraId="36107DC2" w14:textId="77777777" w:rsidR="008C1AD8" w:rsidRDefault="008C1AD8" w:rsidP="00A15226">
            <w:pPr>
              <w:pStyle w:val="Tabletext"/>
            </w:pPr>
            <w:r w:rsidRPr="002513C7">
              <w:t>Climate change: sea level rise impacting on intertidal vegetation and waterbird habitat</w:t>
            </w:r>
          </w:p>
        </w:tc>
        <w:tc>
          <w:tcPr>
            <w:tcW w:w="1158" w:type="dxa"/>
            <w:vAlign w:val="center"/>
          </w:tcPr>
          <w:p w14:paraId="31B54342" w14:textId="77777777" w:rsidR="008C1AD8" w:rsidRDefault="008C1AD8" w:rsidP="00A15226">
            <w:pPr>
              <w:pStyle w:val="Tabletext"/>
              <w:jc w:val="center"/>
            </w:pPr>
            <w:r>
              <w:sym w:font="Wingdings" w:char="F0FC"/>
            </w:r>
            <w:r>
              <w:sym w:font="Wingdings" w:char="F0FC"/>
            </w:r>
          </w:p>
        </w:tc>
        <w:tc>
          <w:tcPr>
            <w:tcW w:w="1111" w:type="dxa"/>
            <w:vAlign w:val="center"/>
          </w:tcPr>
          <w:p w14:paraId="11E21545" w14:textId="77777777" w:rsidR="008C1AD8" w:rsidRDefault="008C1AD8" w:rsidP="00A15226">
            <w:pPr>
              <w:pStyle w:val="Tabletext"/>
              <w:jc w:val="center"/>
            </w:pPr>
            <w:r>
              <w:sym w:font="Wingdings" w:char="F0FC"/>
            </w:r>
            <w:r>
              <w:sym w:font="Wingdings" w:char="F0FC"/>
            </w:r>
          </w:p>
        </w:tc>
        <w:tc>
          <w:tcPr>
            <w:tcW w:w="1134" w:type="dxa"/>
            <w:vAlign w:val="center"/>
          </w:tcPr>
          <w:p w14:paraId="2956A6D3" w14:textId="77777777" w:rsidR="008C1AD8" w:rsidRDefault="008C1AD8" w:rsidP="00A15226">
            <w:pPr>
              <w:pStyle w:val="Tabletext"/>
              <w:jc w:val="center"/>
            </w:pPr>
            <w:r>
              <w:sym w:font="Wingdings" w:char="F0FC"/>
            </w:r>
            <w:r>
              <w:sym w:font="Wingdings" w:char="F0FC"/>
            </w:r>
          </w:p>
        </w:tc>
        <w:tc>
          <w:tcPr>
            <w:tcW w:w="4819" w:type="dxa"/>
            <w:vAlign w:val="center"/>
          </w:tcPr>
          <w:p w14:paraId="7C4AAD50" w14:textId="77777777" w:rsidR="008C1AD8" w:rsidRDefault="008C1AD8" w:rsidP="00A15226">
            <w:pPr>
              <w:pStyle w:val="Tabletext"/>
            </w:pPr>
            <w:r>
              <w:t xml:space="preserve">Sea level rise has the potential to impact saltmarsh, intertidal habitats, and waterbirds. Saltmarsh and mangrove community composition and extent is largely determined by the depth and frequency of tidal inundation </w:t>
            </w:r>
            <w:sdt>
              <w:sdtPr>
                <w:rPr>
                  <w:color w:val="000000"/>
                </w:rPr>
                <w:tag w:val="MENDELEY_CITATION_v3_eyJjaXRhdGlvbklEIjoiTUVOREVMRVlfQ0lUQVRJT05fYWY2ZjlhN2UtMzU3Yi00MTI1LWFmZjctZThjOWVmMzAwNmM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542868936"/>
                <w:placeholder>
                  <w:docPart w:val="53263D66753F864BA248D609BD120A46"/>
                </w:placeholder>
              </w:sdtPr>
              <w:sdtContent>
                <w:r w:rsidRPr="00273871">
                  <w:rPr>
                    <w:color w:val="000000"/>
                  </w:rPr>
                  <w:t>(DELWP, 2020)</w:t>
                </w:r>
              </w:sdtContent>
            </w:sdt>
          </w:p>
        </w:tc>
        <w:tc>
          <w:tcPr>
            <w:tcW w:w="3993" w:type="dxa"/>
            <w:vAlign w:val="center"/>
          </w:tcPr>
          <w:p w14:paraId="57E7CCE6" w14:textId="77777777" w:rsidR="008C1AD8" w:rsidRPr="008D3028" w:rsidRDefault="008C1AD8" w:rsidP="00A15226">
            <w:pPr>
              <w:pStyle w:val="Tabletext"/>
            </w:pPr>
            <w:r>
              <w:t xml:space="preserve">The potential impacts of climate change and relevant mitigation measures under the Plan are </w:t>
            </w:r>
            <w:r w:rsidRPr="00A47923">
              <w:t xml:space="preserve">outlined in Section </w:t>
            </w:r>
            <w:r>
              <w:t>29.</w:t>
            </w:r>
            <w:r w:rsidRPr="00533BC8">
              <w:t>5</w:t>
            </w:r>
            <w:r w:rsidRPr="009E63A2">
              <w:t xml:space="preserve"> </w:t>
            </w:r>
            <w:r w:rsidRPr="00533BC8">
              <w:t xml:space="preserve">of </w:t>
            </w:r>
            <w:r w:rsidRPr="009E63A2">
              <w:t>Chapter 29</w:t>
            </w:r>
          </w:p>
        </w:tc>
      </w:tr>
      <w:tr w:rsidR="008C1AD8" w14:paraId="27E9B077" w14:textId="77777777" w:rsidTr="00A15226">
        <w:trPr>
          <w:cantSplit/>
        </w:trPr>
        <w:tc>
          <w:tcPr>
            <w:tcW w:w="2121" w:type="dxa"/>
            <w:vAlign w:val="center"/>
          </w:tcPr>
          <w:p w14:paraId="5C6647EE" w14:textId="77777777" w:rsidR="008C1AD8" w:rsidRDefault="008C1AD8" w:rsidP="00A15226">
            <w:pPr>
              <w:pStyle w:val="Tabletext"/>
            </w:pPr>
            <w:r w:rsidRPr="002513C7">
              <w:t>Climate change: increased temperature increases the frequency and severity of avian disease</w:t>
            </w:r>
          </w:p>
        </w:tc>
        <w:tc>
          <w:tcPr>
            <w:tcW w:w="1158" w:type="dxa"/>
            <w:vAlign w:val="center"/>
          </w:tcPr>
          <w:p w14:paraId="5AE26195" w14:textId="77777777" w:rsidR="008C1AD8" w:rsidRDefault="008C1AD8" w:rsidP="00A15226">
            <w:pPr>
              <w:pStyle w:val="Tabletext"/>
              <w:jc w:val="center"/>
            </w:pPr>
          </w:p>
        </w:tc>
        <w:tc>
          <w:tcPr>
            <w:tcW w:w="1111" w:type="dxa"/>
            <w:vAlign w:val="center"/>
          </w:tcPr>
          <w:p w14:paraId="39C66F17" w14:textId="77777777" w:rsidR="008C1AD8" w:rsidRDefault="008C1AD8" w:rsidP="00A15226">
            <w:pPr>
              <w:pStyle w:val="Tabletext"/>
              <w:jc w:val="center"/>
            </w:pPr>
            <w:r>
              <w:sym w:font="Wingdings" w:char="F0FC"/>
            </w:r>
            <w:r>
              <w:sym w:font="Wingdings" w:char="F0FC"/>
            </w:r>
          </w:p>
        </w:tc>
        <w:tc>
          <w:tcPr>
            <w:tcW w:w="1134" w:type="dxa"/>
            <w:vAlign w:val="center"/>
          </w:tcPr>
          <w:p w14:paraId="0CA096A8" w14:textId="77777777" w:rsidR="008C1AD8" w:rsidRDefault="008C1AD8" w:rsidP="00A15226">
            <w:pPr>
              <w:pStyle w:val="Tabletext"/>
              <w:jc w:val="center"/>
            </w:pPr>
          </w:p>
        </w:tc>
        <w:tc>
          <w:tcPr>
            <w:tcW w:w="4819" w:type="dxa"/>
            <w:vAlign w:val="center"/>
          </w:tcPr>
          <w:p w14:paraId="07C06195" w14:textId="77777777" w:rsidR="008C1AD8" w:rsidRDefault="008C1AD8" w:rsidP="00A15226">
            <w:pPr>
              <w:pStyle w:val="Tabletext"/>
            </w:pPr>
            <w:r>
              <w:t xml:space="preserve">Increased temperatures are likely to have direct impacts to biota, including the increased risk of avian diseases under warmer conditions </w:t>
            </w:r>
            <w:sdt>
              <w:sdtPr>
                <w:rPr>
                  <w:color w:val="000000"/>
                </w:rPr>
                <w:tag w:val="MENDELEY_CITATION_v3_eyJjaXRhdGlvbklEIjoiTUVOREVMRVlfQ0lUQVRJT05fZTZjYjg1YWYtOTk3My00NTY4LTk5MWQtODM1NzIzZTA5NjR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056514671"/>
                <w:placeholder>
                  <w:docPart w:val="53263D66753F864BA248D609BD120A46"/>
                </w:placeholder>
              </w:sdtPr>
              <w:sdtContent>
                <w:r w:rsidRPr="00273871">
                  <w:rPr>
                    <w:color w:val="000000"/>
                  </w:rPr>
                  <w:t>(DELWP, 2020)</w:t>
                </w:r>
              </w:sdtContent>
            </w:sdt>
          </w:p>
        </w:tc>
        <w:tc>
          <w:tcPr>
            <w:tcW w:w="3993" w:type="dxa"/>
            <w:vAlign w:val="center"/>
          </w:tcPr>
          <w:p w14:paraId="7A6C4D98" w14:textId="77777777" w:rsidR="008C1AD8" w:rsidRPr="00163085" w:rsidRDefault="008C1AD8" w:rsidP="00A15226">
            <w:pPr>
              <w:pStyle w:val="Tabletext"/>
              <w:rPr>
                <w:highlight w:val="yellow"/>
              </w:rPr>
            </w:pPr>
            <w:r>
              <w:t xml:space="preserve">The potential impacts of climate change and relevant mitigation measures under the Plan are </w:t>
            </w:r>
            <w:r w:rsidRPr="00A47923">
              <w:t xml:space="preserve">outlined in Section </w:t>
            </w:r>
            <w:r>
              <w:t>29.</w:t>
            </w:r>
            <w:r w:rsidRPr="00533BC8">
              <w:t>5</w:t>
            </w:r>
            <w:r w:rsidRPr="0085400C">
              <w:t xml:space="preserve"> </w:t>
            </w:r>
            <w:r w:rsidRPr="00533BC8">
              <w:t xml:space="preserve">of </w:t>
            </w:r>
            <w:r w:rsidRPr="0085400C">
              <w:t>Chapter 29</w:t>
            </w:r>
          </w:p>
        </w:tc>
      </w:tr>
      <w:tr w:rsidR="008C1AD8" w14:paraId="507369A5" w14:textId="77777777" w:rsidTr="00A15226">
        <w:trPr>
          <w:cantSplit/>
        </w:trPr>
        <w:tc>
          <w:tcPr>
            <w:tcW w:w="2121" w:type="dxa"/>
            <w:vAlign w:val="center"/>
          </w:tcPr>
          <w:p w14:paraId="4B237C74" w14:textId="77777777" w:rsidR="008C1AD8" w:rsidRDefault="008C1AD8" w:rsidP="00A15226">
            <w:pPr>
              <w:pStyle w:val="Tabletext"/>
            </w:pPr>
            <w:r w:rsidRPr="002513C7">
              <w:t>Climate Change: increased intensity of storms resulting in erosion of shoreline habitats</w:t>
            </w:r>
          </w:p>
        </w:tc>
        <w:tc>
          <w:tcPr>
            <w:tcW w:w="1158" w:type="dxa"/>
            <w:vAlign w:val="center"/>
          </w:tcPr>
          <w:p w14:paraId="2B6A42F6" w14:textId="77777777" w:rsidR="008C1AD8" w:rsidRDefault="008C1AD8" w:rsidP="00A15226">
            <w:pPr>
              <w:pStyle w:val="Tabletext"/>
              <w:jc w:val="center"/>
            </w:pPr>
          </w:p>
        </w:tc>
        <w:tc>
          <w:tcPr>
            <w:tcW w:w="1111" w:type="dxa"/>
            <w:vAlign w:val="center"/>
          </w:tcPr>
          <w:p w14:paraId="2697A286" w14:textId="77777777" w:rsidR="008C1AD8" w:rsidRDefault="008C1AD8" w:rsidP="00A15226">
            <w:pPr>
              <w:pStyle w:val="Tabletext"/>
              <w:jc w:val="center"/>
            </w:pPr>
            <w:r>
              <w:sym w:font="Wingdings" w:char="F0FC"/>
            </w:r>
            <w:r>
              <w:sym w:font="Wingdings" w:char="F0FC"/>
            </w:r>
          </w:p>
        </w:tc>
        <w:tc>
          <w:tcPr>
            <w:tcW w:w="1134" w:type="dxa"/>
            <w:vAlign w:val="center"/>
          </w:tcPr>
          <w:p w14:paraId="2242A947" w14:textId="77777777" w:rsidR="008C1AD8" w:rsidRDefault="008C1AD8" w:rsidP="00A15226">
            <w:pPr>
              <w:pStyle w:val="Tabletext"/>
              <w:jc w:val="center"/>
            </w:pPr>
          </w:p>
        </w:tc>
        <w:tc>
          <w:tcPr>
            <w:tcW w:w="4819" w:type="dxa"/>
            <w:vAlign w:val="center"/>
          </w:tcPr>
          <w:p w14:paraId="7264BDEA" w14:textId="77777777" w:rsidR="008C1AD8" w:rsidRDefault="008C1AD8" w:rsidP="00A15226">
            <w:pPr>
              <w:pStyle w:val="Tabletext"/>
            </w:pPr>
            <w:r>
              <w:t xml:space="preserve">The increased frequency and intensity of storms is a greatest threat to areas already experiencing erosion </w:t>
            </w:r>
            <w:sdt>
              <w:sdtPr>
                <w:rPr>
                  <w:color w:val="000000"/>
                </w:rPr>
                <w:tag w:val="MENDELEY_CITATION_v3_eyJjaXRhdGlvbklEIjoiTUVOREVMRVlfQ0lUQVRJT05fMWEwYjM0OGYtNjk2Ni00ODNkLWJiYTktNzEwODgzYjJkN2Jk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337957163"/>
                <w:placeholder>
                  <w:docPart w:val="53263D66753F864BA248D609BD120A46"/>
                </w:placeholder>
              </w:sdtPr>
              <w:sdtContent>
                <w:r w:rsidRPr="00273871">
                  <w:rPr>
                    <w:color w:val="000000"/>
                  </w:rPr>
                  <w:t>(DELWP, 2020)</w:t>
                </w:r>
              </w:sdtContent>
            </w:sdt>
          </w:p>
        </w:tc>
        <w:tc>
          <w:tcPr>
            <w:tcW w:w="3993" w:type="dxa"/>
            <w:vAlign w:val="center"/>
          </w:tcPr>
          <w:p w14:paraId="1DD6B1E5" w14:textId="77777777" w:rsidR="008C1AD8" w:rsidRPr="00163085" w:rsidRDefault="008C1AD8" w:rsidP="00A15226">
            <w:pPr>
              <w:pStyle w:val="Tabletext"/>
              <w:rPr>
                <w:highlight w:val="yellow"/>
              </w:rPr>
            </w:pPr>
            <w:r>
              <w:t xml:space="preserve">The potential impacts of climate change and relevant mitigation measures under the Plan are </w:t>
            </w:r>
            <w:r w:rsidRPr="00A47923">
              <w:t xml:space="preserve">outlined in Section </w:t>
            </w:r>
            <w:r>
              <w:t>29.</w:t>
            </w:r>
            <w:r w:rsidRPr="00533BC8">
              <w:t>5</w:t>
            </w:r>
            <w:r w:rsidRPr="0085400C">
              <w:t xml:space="preserve"> </w:t>
            </w:r>
            <w:r w:rsidRPr="00533BC8">
              <w:t xml:space="preserve">of </w:t>
            </w:r>
            <w:r w:rsidRPr="0085400C">
              <w:t>Chapter 29</w:t>
            </w:r>
          </w:p>
        </w:tc>
      </w:tr>
      <w:tr w:rsidR="008C1AD8" w14:paraId="1C52A433" w14:textId="77777777" w:rsidTr="00A15226">
        <w:trPr>
          <w:cantSplit/>
        </w:trPr>
        <w:tc>
          <w:tcPr>
            <w:tcW w:w="2121" w:type="dxa"/>
            <w:vAlign w:val="center"/>
          </w:tcPr>
          <w:p w14:paraId="76A8B568" w14:textId="77777777" w:rsidR="008C1AD8" w:rsidRPr="002513C7" w:rsidRDefault="008C1AD8" w:rsidP="00A15226">
            <w:pPr>
              <w:pStyle w:val="Tabletext"/>
            </w:pPr>
            <w:r w:rsidRPr="007701F9">
              <w:t>Changed operations at the Western Treatment Plant decreasing nutrients and carbon</w:t>
            </w:r>
          </w:p>
        </w:tc>
        <w:tc>
          <w:tcPr>
            <w:tcW w:w="1158" w:type="dxa"/>
            <w:vAlign w:val="center"/>
          </w:tcPr>
          <w:p w14:paraId="41444826" w14:textId="77777777" w:rsidR="008C1AD8" w:rsidRDefault="008C1AD8" w:rsidP="00A15226">
            <w:pPr>
              <w:pStyle w:val="Tabletext"/>
              <w:jc w:val="center"/>
            </w:pPr>
            <w:r>
              <w:sym w:font="Wingdings" w:char="F0FC"/>
            </w:r>
          </w:p>
        </w:tc>
        <w:tc>
          <w:tcPr>
            <w:tcW w:w="1111" w:type="dxa"/>
            <w:vAlign w:val="center"/>
          </w:tcPr>
          <w:p w14:paraId="7390ACE6" w14:textId="77777777" w:rsidR="008C1AD8" w:rsidRDefault="008C1AD8" w:rsidP="00A15226">
            <w:pPr>
              <w:pStyle w:val="Tabletext"/>
              <w:jc w:val="center"/>
            </w:pPr>
            <w:r>
              <w:sym w:font="Wingdings" w:char="F0FC"/>
            </w:r>
            <w:r>
              <w:sym w:font="Wingdings" w:char="F0FC"/>
            </w:r>
          </w:p>
        </w:tc>
        <w:tc>
          <w:tcPr>
            <w:tcW w:w="1134" w:type="dxa"/>
            <w:vAlign w:val="center"/>
          </w:tcPr>
          <w:p w14:paraId="1045DE41" w14:textId="77777777" w:rsidR="008C1AD8" w:rsidRDefault="008C1AD8" w:rsidP="00A15226">
            <w:pPr>
              <w:pStyle w:val="Tabletext"/>
              <w:jc w:val="center"/>
            </w:pPr>
          </w:p>
        </w:tc>
        <w:tc>
          <w:tcPr>
            <w:tcW w:w="4819" w:type="dxa"/>
            <w:vAlign w:val="center"/>
          </w:tcPr>
          <w:p w14:paraId="636C3043" w14:textId="77777777" w:rsidR="008C1AD8" w:rsidRDefault="008C1AD8" w:rsidP="00A15226">
            <w:pPr>
              <w:pStyle w:val="Tabletext"/>
            </w:pPr>
            <w:r>
              <w:t xml:space="preserve">Treated wastewater is discharged from the Western Treatment into the Ramsar site. Although counter intuitive, there is significant scientific understanding of the importance of the productivity driven by discharges from the Western Treatment Plant on shorebird diversity and abundance </w:t>
            </w:r>
            <w:sdt>
              <w:sdtPr>
                <w:rPr>
                  <w:color w:val="000000"/>
                </w:rPr>
                <w:tag w:val="MENDELEY_CITATION_v3_eyJjaXRhdGlvbklEIjoiTUVOREVMRVlfQ0lUQVRJT05fNzEwZjViYTctODg1YS00OWRkLTkzODYtZGM5ZWY1YmY1Yjll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4519518"/>
                <w:placeholder>
                  <w:docPart w:val="53263D66753F864BA248D609BD120A46"/>
                </w:placeholder>
              </w:sdtPr>
              <w:sdtContent>
                <w:r w:rsidRPr="00273871">
                  <w:rPr>
                    <w:color w:val="000000"/>
                  </w:rPr>
                  <w:t>(DELWP, 2020)</w:t>
                </w:r>
              </w:sdtContent>
            </w:sdt>
          </w:p>
        </w:tc>
        <w:tc>
          <w:tcPr>
            <w:tcW w:w="3993" w:type="dxa"/>
            <w:vAlign w:val="center"/>
          </w:tcPr>
          <w:p w14:paraId="48847393" w14:textId="77777777" w:rsidR="008C1AD8" w:rsidRPr="00163085" w:rsidRDefault="008C1AD8" w:rsidP="00A15226">
            <w:pPr>
              <w:pStyle w:val="Tabletext"/>
              <w:rPr>
                <w:highlight w:val="yellow"/>
              </w:rPr>
            </w:pPr>
            <w:r w:rsidRPr="009E6ADB">
              <w:t xml:space="preserve">The Plan will not </w:t>
            </w:r>
            <w:r>
              <w:t>interact with</w:t>
            </w:r>
            <w:r w:rsidRPr="009E6ADB">
              <w:t xml:space="preserve"> the operations of the Western Treatment Plant</w:t>
            </w:r>
          </w:p>
        </w:tc>
      </w:tr>
      <w:tr w:rsidR="008C1AD8" w14:paraId="6654A2A4" w14:textId="77777777" w:rsidTr="00A15226">
        <w:trPr>
          <w:cantSplit/>
        </w:trPr>
        <w:tc>
          <w:tcPr>
            <w:tcW w:w="2121" w:type="dxa"/>
            <w:vAlign w:val="center"/>
          </w:tcPr>
          <w:p w14:paraId="2971EB2E" w14:textId="77777777" w:rsidR="008C1AD8" w:rsidRPr="002513C7" w:rsidRDefault="008C1AD8" w:rsidP="00A15226">
            <w:pPr>
              <w:pStyle w:val="Tabletext"/>
            </w:pPr>
            <w:r w:rsidRPr="007701F9">
              <w:t>Toxicants from catchment inflows and stormwater</w:t>
            </w:r>
          </w:p>
        </w:tc>
        <w:tc>
          <w:tcPr>
            <w:tcW w:w="1158" w:type="dxa"/>
            <w:vAlign w:val="center"/>
          </w:tcPr>
          <w:p w14:paraId="12581576" w14:textId="77777777" w:rsidR="008C1AD8" w:rsidRDefault="008C1AD8" w:rsidP="00A15226">
            <w:pPr>
              <w:pStyle w:val="Tabletext"/>
              <w:jc w:val="center"/>
            </w:pPr>
            <w:r>
              <w:sym w:font="Wingdings" w:char="F0FC"/>
            </w:r>
          </w:p>
        </w:tc>
        <w:tc>
          <w:tcPr>
            <w:tcW w:w="1111" w:type="dxa"/>
            <w:vAlign w:val="center"/>
          </w:tcPr>
          <w:p w14:paraId="583C09DC" w14:textId="77777777" w:rsidR="008C1AD8" w:rsidRDefault="008C1AD8" w:rsidP="00A15226">
            <w:pPr>
              <w:pStyle w:val="Tabletext"/>
              <w:jc w:val="center"/>
            </w:pPr>
            <w:r>
              <w:sym w:font="Wingdings" w:char="F0FC"/>
            </w:r>
            <w:r>
              <w:sym w:font="Wingdings" w:char="F0FC"/>
            </w:r>
          </w:p>
        </w:tc>
        <w:tc>
          <w:tcPr>
            <w:tcW w:w="1134" w:type="dxa"/>
            <w:vAlign w:val="center"/>
          </w:tcPr>
          <w:p w14:paraId="12532D64" w14:textId="77777777" w:rsidR="008C1AD8" w:rsidRDefault="008C1AD8" w:rsidP="00A15226">
            <w:pPr>
              <w:pStyle w:val="Tabletext"/>
              <w:jc w:val="center"/>
            </w:pPr>
            <w:r>
              <w:sym w:font="Wingdings" w:char="F0FC"/>
            </w:r>
          </w:p>
        </w:tc>
        <w:tc>
          <w:tcPr>
            <w:tcW w:w="4819" w:type="dxa"/>
            <w:vAlign w:val="center"/>
          </w:tcPr>
          <w:p w14:paraId="1C012175" w14:textId="77777777" w:rsidR="008C1AD8" w:rsidRDefault="008C1AD8" w:rsidP="00A15226">
            <w:pPr>
              <w:pStyle w:val="Tabletext"/>
            </w:pPr>
            <w:r>
              <w:t xml:space="preserve">Stormwater and catchment inflows are often the source of nutrients, sediments, or toxicants discharging into the Ramsar site </w:t>
            </w:r>
            <w:sdt>
              <w:sdtPr>
                <w:rPr>
                  <w:color w:val="000000"/>
                </w:rPr>
                <w:tag w:val="MENDELEY_CITATION_v3_eyJjaXRhdGlvbklEIjoiTUVOREVMRVlfQ0lUQVRJT05fNWQwOTg1NjctM2VmZC00YWMwLThhMTUtZjZlYWY4Yjc4NWJi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368753918"/>
                <w:placeholder>
                  <w:docPart w:val="53263D66753F864BA248D609BD120A46"/>
                </w:placeholder>
              </w:sdtPr>
              <w:sdtContent>
                <w:r w:rsidRPr="00273871">
                  <w:rPr>
                    <w:color w:val="000000"/>
                  </w:rPr>
                  <w:t>(DELWP, 2020)</w:t>
                </w:r>
              </w:sdtContent>
            </w:sdt>
          </w:p>
        </w:tc>
        <w:tc>
          <w:tcPr>
            <w:tcW w:w="3993" w:type="dxa"/>
            <w:vAlign w:val="center"/>
          </w:tcPr>
          <w:p w14:paraId="726D4DF5" w14:textId="77777777" w:rsidR="008C1AD8" w:rsidRPr="00C2405B" w:rsidRDefault="008C1AD8" w:rsidP="00A15226">
            <w:pPr>
              <w:pStyle w:val="Tabletext"/>
            </w:pPr>
            <w:r>
              <w:t>Point Wilson / Limeburners Bay and the Lake Connewarre Complex occur downstream of the growth areas. Potential indirect impacts to water quality are discussed below</w:t>
            </w:r>
          </w:p>
        </w:tc>
      </w:tr>
      <w:tr w:rsidR="008C1AD8" w14:paraId="66ADB9AB" w14:textId="77777777" w:rsidTr="00A15226">
        <w:trPr>
          <w:cantSplit/>
        </w:trPr>
        <w:tc>
          <w:tcPr>
            <w:tcW w:w="2121" w:type="dxa"/>
            <w:vAlign w:val="center"/>
          </w:tcPr>
          <w:p w14:paraId="57F06A55" w14:textId="77777777" w:rsidR="008C1AD8" w:rsidRPr="002513C7" w:rsidRDefault="008C1AD8" w:rsidP="00A15226">
            <w:pPr>
              <w:pStyle w:val="Tabletext"/>
            </w:pPr>
            <w:r w:rsidRPr="00EF6B2B">
              <w:lastRenderedPageBreak/>
              <w:t>Emerging chemicals of concern from the Western Treatment Plant</w:t>
            </w:r>
          </w:p>
        </w:tc>
        <w:tc>
          <w:tcPr>
            <w:tcW w:w="1158" w:type="dxa"/>
            <w:vAlign w:val="center"/>
          </w:tcPr>
          <w:p w14:paraId="3D2C2947" w14:textId="77777777" w:rsidR="008C1AD8" w:rsidRDefault="008C1AD8" w:rsidP="00A15226">
            <w:pPr>
              <w:pStyle w:val="Tabletext"/>
              <w:jc w:val="center"/>
            </w:pPr>
            <w:r>
              <w:sym w:font="Wingdings" w:char="F0FC"/>
            </w:r>
          </w:p>
        </w:tc>
        <w:tc>
          <w:tcPr>
            <w:tcW w:w="1111" w:type="dxa"/>
            <w:vAlign w:val="center"/>
          </w:tcPr>
          <w:p w14:paraId="62385FEF" w14:textId="77777777" w:rsidR="008C1AD8" w:rsidRDefault="008C1AD8" w:rsidP="00A15226">
            <w:pPr>
              <w:pStyle w:val="Tabletext"/>
              <w:jc w:val="center"/>
            </w:pPr>
            <w:r>
              <w:sym w:font="Wingdings" w:char="F0FC"/>
            </w:r>
            <w:r>
              <w:sym w:font="Wingdings" w:char="F0FC"/>
            </w:r>
          </w:p>
        </w:tc>
        <w:tc>
          <w:tcPr>
            <w:tcW w:w="1134" w:type="dxa"/>
            <w:vAlign w:val="center"/>
          </w:tcPr>
          <w:p w14:paraId="27C5372E" w14:textId="77777777" w:rsidR="008C1AD8" w:rsidRDefault="008C1AD8" w:rsidP="00A15226">
            <w:pPr>
              <w:pStyle w:val="Tabletext"/>
              <w:jc w:val="center"/>
            </w:pPr>
          </w:p>
        </w:tc>
        <w:tc>
          <w:tcPr>
            <w:tcW w:w="4819" w:type="dxa"/>
            <w:vAlign w:val="center"/>
          </w:tcPr>
          <w:p w14:paraId="53E2B401" w14:textId="77777777" w:rsidR="008C1AD8" w:rsidRDefault="008C1AD8" w:rsidP="00A15226">
            <w:pPr>
              <w:pStyle w:val="Tabletext"/>
            </w:pPr>
            <w:r>
              <w:t xml:space="preserve">Urban treated sewage contains a range of chemicals including steroid hormones which may impact fauna in the Ramsar site </w:t>
            </w:r>
            <w:sdt>
              <w:sdtPr>
                <w:rPr>
                  <w:color w:val="000000"/>
                </w:rPr>
                <w:tag w:val="MENDELEY_CITATION_v3_eyJjaXRhdGlvbklEIjoiTUVOREVMRVlfQ0lUQVRJT05fMWU0ZjI1MGQtODJhOC00MGMwLTgwNzYtZjM0MjI1OGRjYjM5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701161578"/>
                <w:placeholder>
                  <w:docPart w:val="53263D66753F864BA248D609BD120A46"/>
                </w:placeholder>
              </w:sdtPr>
              <w:sdtContent>
                <w:r w:rsidRPr="00273871">
                  <w:rPr>
                    <w:color w:val="000000"/>
                  </w:rPr>
                  <w:t>(DELWP, 2020)</w:t>
                </w:r>
              </w:sdtContent>
            </w:sdt>
          </w:p>
        </w:tc>
        <w:tc>
          <w:tcPr>
            <w:tcW w:w="3993" w:type="dxa"/>
            <w:vAlign w:val="center"/>
          </w:tcPr>
          <w:p w14:paraId="3B207177" w14:textId="77777777" w:rsidR="008C1AD8" w:rsidRPr="00C2405B" w:rsidRDefault="008C1AD8" w:rsidP="00A15226">
            <w:pPr>
              <w:pStyle w:val="Tabletext"/>
              <w:rPr>
                <w:highlight w:val="yellow"/>
              </w:rPr>
            </w:pPr>
            <w:r w:rsidRPr="009E6ADB">
              <w:t xml:space="preserve">The Plan will not </w:t>
            </w:r>
            <w:r>
              <w:t>interact with</w:t>
            </w:r>
            <w:r w:rsidRPr="009E6ADB">
              <w:t xml:space="preserve"> the operations of the Western Treatment Plant</w:t>
            </w:r>
          </w:p>
        </w:tc>
      </w:tr>
      <w:tr w:rsidR="008C1AD8" w14:paraId="6C448B57" w14:textId="77777777" w:rsidTr="00A15226">
        <w:trPr>
          <w:cantSplit/>
        </w:trPr>
        <w:tc>
          <w:tcPr>
            <w:tcW w:w="2121" w:type="dxa"/>
            <w:vAlign w:val="center"/>
          </w:tcPr>
          <w:p w14:paraId="31B8D45A" w14:textId="77777777" w:rsidR="008C1AD8" w:rsidRPr="00EF6B2B" w:rsidRDefault="008C1AD8" w:rsidP="00A15226">
            <w:pPr>
              <w:pStyle w:val="Tabletext"/>
            </w:pPr>
            <w:r w:rsidRPr="00EF6B2B">
              <w:t>Stormwater results in decreased salinity and altered water regimes</w:t>
            </w:r>
          </w:p>
        </w:tc>
        <w:tc>
          <w:tcPr>
            <w:tcW w:w="1158" w:type="dxa"/>
            <w:vAlign w:val="center"/>
          </w:tcPr>
          <w:p w14:paraId="1AB74482" w14:textId="77777777" w:rsidR="008C1AD8" w:rsidRDefault="008C1AD8" w:rsidP="00A15226">
            <w:pPr>
              <w:pStyle w:val="Tabletext"/>
              <w:jc w:val="center"/>
            </w:pPr>
          </w:p>
        </w:tc>
        <w:tc>
          <w:tcPr>
            <w:tcW w:w="1111" w:type="dxa"/>
            <w:vAlign w:val="center"/>
          </w:tcPr>
          <w:p w14:paraId="03CBF178" w14:textId="77777777" w:rsidR="008C1AD8" w:rsidRDefault="008C1AD8" w:rsidP="00A15226">
            <w:pPr>
              <w:pStyle w:val="Tabletext"/>
              <w:jc w:val="center"/>
            </w:pPr>
          </w:p>
        </w:tc>
        <w:tc>
          <w:tcPr>
            <w:tcW w:w="1134" w:type="dxa"/>
            <w:vAlign w:val="center"/>
          </w:tcPr>
          <w:p w14:paraId="41FB2B96" w14:textId="77777777" w:rsidR="008C1AD8" w:rsidRDefault="008C1AD8" w:rsidP="00A15226">
            <w:pPr>
              <w:pStyle w:val="Tabletext"/>
              <w:jc w:val="center"/>
            </w:pPr>
            <w:r>
              <w:sym w:font="Wingdings" w:char="F0FC"/>
            </w:r>
            <w:r>
              <w:sym w:font="Wingdings" w:char="F0FC"/>
            </w:r>
          </w:p>
        </w:tc>
        <w:tc>
          <w:tcPr>
            <w:tcW w:w="4819" w:type="dxa"/>
            <w:vAlign w:val="center"/>
          </w:tcPr>
          <w:p w14:paraId="5BC3ECA9" w14:textId="77777777" w:rsidR="008C1AD8" w:rsidRDefault="008C1AD8" w:rsidP="00A15226">
            <w:pPr>
              <w:pStyle w:val="Tabletext"/>
            </w:pPr>
            <w:r>
              <w:t xml:space="preserve">Stormwater and catchment inflows are often the source of nutrients, sediments, or toxicants discharging into the Ramsar site </w:t>
            </w:r>
            <w:sdt>
              <w:sdtPr>
                <w:rPr>
                  <w:color w:val="000000"/>
                </w:rPr>
                <w:tag w:val="MENDELEY_CITATION_v3_eyJjaXRhdGlvbklEIjoiTUVOREVMRVlfQ0lUQVRJT05fMDU1ZjVlMDUtZmY0MC00ZTRmLTg2ZDYtZmNiNjhiOTViMTF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869152074"/>
                <w:placeholder>
                  <w:docPart w:val="53263D66753F864BA248D609BD120A46"/>
                </w:placeholder>
              </w:sdtPr>
              <w:sdtContent>
                <w:r w:rsidRPr="00273871">
                  <w:rPr>
                    <w:color w:val="000000"/>
                  </w:rPr>
                  <w:t>(DELWP, 2020)</w:t>
                </w:r>
              </w:sdtContent>
            </w:sdt>
          </w:p>
        </w:tc>
        <w:tc>
          <w:tcPr>
            <w:tcW w:w="3993" w:type="dxa"/>
            <w:vAlign w:val="center"/>
          </w:tcPr>
          <w:p w14:paraId="065B0111" w14:textId="77777777" w:rsidR="008C1AD8" w:rsidRPr="00C81E4F" w:rsidRDefault="008C1AD8" w:rsidP="00A15226">
            <w:pPr>
              <w:pStyle w:val="Tabletext"/>
              <w:rPr>
                <w:highlight w:val="yellow"/>
              </w:rPr>
            </w:pPr>
            <w:r>
              <w:t>The Lake Connewarre Complex occurs downstream of the Growth Areas. Potential indirect impacts to water quality are discussed below</w:t>
            </w:r>
          </w:p>
        </w:tc>
      </w:tr>
      <w:tr w:rsidR="008C1AD8" w14:paraId="07A9C9C7" w14:textId="77777777" w:rsidTr="00A15226">
        <w:trPr>
          <w:cantSplit/>
        </w:trPr>
        <w:tc>
          <w:tcPr>
            <w:tcW w:w="2121" w:type="dxa"/>
            <w:vAlign w:val="center"/>
          </w:tcPr>
          <w:p w14:paraId="1CA28237" w14:textId="77777777" w:rsidR="008C1AD8" w:rsidRPr="00EF6B2B" w:rsidRDefault="008C1AD8" w:rsidP="00A15226">
            <w:pPr>
              <w:pStyle w:val="Tabletext"/>
            </w:pPr>
            <w:r w:rsidRPr="00EF6B2B">
              <w:t>Urban development: direct habitat removal and loss of buffer</w:t>
            </w:r>
          </w:p>
        </w:tc>
        <w:tc>
          <w:tcPr>
            <w:tcW w:w="1158" w:type="dxa"/>
            <w:vAlign w:val="center"/>
          </w:tcPr>
          <w:p w14:paraId="216A4A54" w14:textId="77777777" w:rsidR="008C1AD8" w:rsidRDefault="008C1AD8" w:rsidP="00A15226">
            <w:pPr>
              <w:pStyle w:val="Tabletext"/>
              <w:jc w:val="center"/>
            </w:pPr>
            <w:r>
              <w:sym w:font="Wingdings" w:char="F0FC"/>
            </w:r>
          </w:p>
        </w:tc>
        <w:tc>
          <w:tcPr>
            <w:tcW w:w="1111" w:type="dxa"/>
            <w:vAlign w:val="center"/>
          </w:tcPr>
          <w:p w14:paraId="05B243E6" w14:textId="77777777" w:rsidR="008C1AD8" w:rsidRDefault="008C1AD8" w:rsidP="00A15226">
            <w:pPr>
              <w:pStyle w:val="Tabletext"/>
              <w:jc w:val="center"/>
            </w:pPr>
            <w:r>
              <w:sym w:font="Wingdings" w:char="F0FC"/>
            </w:r>
          </w:p>
        </w:tc>
        <w:tc>
          <w:tcPr>
            <w:tcW w:w="1134" w:type="dxa"/>
            <w:vAlign w:val="center"/>
          </w:tcPr>
          <w:p w14:paraId="22E377B1" w14:textId="77777777" w:rsidR="008C1AD8" w:rsidRDefault="008C1AD8" w:rsidP="00A15226">
            <w:pPr>
              <w:pStyle w:val="Tabletext"/>
              <w:jc w:val="center"/>
            </w:pPr>
            <w:r>
              <w:sym w:font="Wingdings" w:char="F0FC"/>
            </w:r>
            <w:r>
              <w:sym w:font="Wingdings" w:char="F0FC"/>
            </w:r>
          </w:p>
        </w:tc>
        <w:tc>
          <w:tcPr>
            <w:tcW w:w="4819" w:type="dxa"/>
            <w:vAlign w:val="center"/>
          </w:tcPr>
          <w:p w14:paraId="0B73906E" w14:textId="77777777" w:rsidR="008C1AD8" w:rsidRDefault="008C1AD8" w:rsidP="00A15226">
            <w:pPr>
              <w:pStyle w:val="Tabletext"/>
            </w:pPr>
            <w:r>
              <w:t xml:space="preserve">The predicted increase in the Greater Melbourne population is a pressure to the Ramsar site. Urban encroachment results in the loss of wetland buffers, and at times, the boundary of the Ramsar site </w:t>
            </w:r>
            <w:sdt>
              <w:sdtPr>
                <w:rPr>
                  <w:color w:val="000000"/>
                </w:rPr>
                <w:tag w:val="MENDELEY_CITATION_v3_eyJjaXRhdGlvbklEIjoiTUVOREVMRVlfQ0lUQVRJT05fNmI1OWFjOWQtMjM1YS00ZDNiLWJhYTEtYTYyZGUwMzhiMzlk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81881741"/>
                <w:placeholder>
                  <w:docPart w:val="53263D66753F864BA248D609BD120A46"/>
                </w:placeholder>
              </w:sdtPr>
              <w:sdtContent>
                <w:r w:rsidRPr="00273871">
                  <w:rPr>
                    <w:color w:val="000000"/>
                  </w:rPr>
                  <w:t>(DELWP, 2020)</w:t>
                </w:r>
              </w:sdtContent>
            </w:sdt>
          </w:p>
        </w:tc>
        <w:tc>
          <w:tcPr>
            <w:tcW w:w="3993" w:type="dxa"/>
            <w:vAlign w:val="center"/>
          </w:tcPr>
          <w:p w14:paraId="6B78783E" w14:textId="77777777" w:rsidR="008C1AD8" w:rsidRPr="00163085" w:rsidRDefault="008C1AD8" w:rsidP="00A15226">
            <w:pPr>
              <w:pStyle w:val="Tabletext"/>
              <w:rPr>
                <w:highlight w:val="yellow"/>
              </w:rPr>
            </w:pPr>
            <w:r w:rsidRPr="00C2405B">
              <w:t xml:space="preserve">The Plan will not result in habitat removal at any of the </w:t>
            </w:r>
            <w:r>
              <w:t>areas of the Ramsar site</w:t>
            </w:r>
          </w:p>
        </w:tc>
      </w:tr>
      <w:tr w:rsidR="008C1AD8" w14:paraId="6EE5B591" w14:textId="77777777" w:rsidTr="00A15226">
        <w:trPr>
          <w:cantSplit/>
        </w:trPr>
        <w:tc>
          <w:tcPr>
            <w:tcW w:w="2121" w:type="dxa"/>
            <w:vAlign w:val="center"/>
          </w:tcPr>
          <w:p w14:paraId="17AE964F" w14:textId="77777777" w:rsidR="008C1AD8" w:rsidRPr="00EF6B2B" w:rsidRDefault="008C1AD8" w:rsidP="00A15226">
            <w:pPr>
              <w:pStyle w:val="Tabletext"/>
            </w:pPr>
            <w:r w:rsidRPr="00EF6B2B">
              <w:t>Litter (including micro-plastics) effects biota</w:t>
            </w:r>
          </w:p>
        </w:tc>
        <w:tc>
          <w:tcPr>
            <w:tcW w:w="1158" w:type="dxa"/>
            <w:vAlign w:val="center"/>
          </w:tcPr>
          <w:p w14:paraId="1FC92553" w14:textId="77777777" w:rsidR="008C1AD8" w:rsidRDefault="008C1AD8" w:rsidP="00A15226">
            <w:pPr>
              <w:pStyle w:val="Tabletext"/>
              <w:jc w:val="center"/>
            </w:pPr>
            <w:r>
              <w:sym w:font="Wingdings" w:char="F0FC"/>
            </w:r>
            <w:r>
              <w:sym w:font="Wingdings" w:char="F0FC"/>
            </w:r>
          </w:p>
        </w:tc>
        <w:tc>
          <w:tcPr>
            <w:tcW w:w="1111" w:type="dxa"/>
            <w:vAlign w:val="center"/>
          </w:tcPr>
          <w:p w14:paraId="02A9A5B7" w14:textId="77777777" w:rsidR="008C1AD8" w:rsidRDefault="008C1AD8" w:rsidP="00A15226">
            <w:pPr>
              <w:pStyle w:val="Tabletext"/>
              <w:jc w:val="center"/>
            </w:pPr>
            <w:r>
              <w:sym w:font="Wingdings" w:char="F0FC"/>
            </w:r>
          </w:p>
        </w:tc>
        <w:tc>
          <w:tcPr>
            <w:tcW w:w="1134" w:type="dxa"/>
            <w:vAlign w:val="center"/>
          </w:tcPr>
          <w:p w14:paraId="414718AD" w14:textId="77777777" w:rsidR="008C1AD8" w:rsidRDefault="008C1AD8" w:rsidP="00A15226">
            <w:pPr>
              <w:pStyle w:val="Tabletext"/>
              <w:jc w:val="center"/>
            </w:pPr>
          </w:p>
        </w:tc>
        <w:tc>
          <w:tcPr>
            <w:tcW w:w="4819" w:type="dxa"/>
            <w:vAlign w:val="center"/>
          </w:tcPr>
          <w:p w14:paraId="5F8A6B5B" w14:textId="77777777" w:rsidR="008C1AD8" w:rsidRDefault="008C1AD8" w:rsidP="00A15226">
            <w:pPr>
              <w:pStyle w:val="Tabletext"/>
            </w:pPr>
            <w:r>
              <w:t xml:space="preserve">Recent studies have indicated there is a large amount of micro-plastic and litter on the beaches of Port Phillip Bay. Ingestion of litter is threat to biota in the Ramsar site </w:t>
            </w:r>
            <w:sdt>
              <w:sdtPr>
                <w:rPr>
                  <w:color w:val="000000"/>
                </w:rPr>
                <w:tag w:val="MENDELEY_CITATION_v3_eyJjaXRhdGlvbklEIjoiTUVOREVMRVlfQ0lUQVRJT05fMmVkZDU3OGYtODE3Yy00NzI5LWE5ODktNzU3MDA0ZjdmZGJ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94894626"/>
                <w:placeholder>
                  <w:docPart w:val="53263D66753F864BA248D609BD120A46"/>
                </w:placeholder>
              </w:sdtPr>
              <w:sdtContent>
                <w:r w:rsidRPr="00273871">
                  <w:rPr>
                    <w:color w:val="000000"/>
                  </w:rPr>
                  <w:t>(DELWP, 2020)</w:t>
                </w:r>
              </w:sdtContent>
            </w:sdt>
          </w:p>
        </w:tc>
        <w:tc>
          <w:tcPr>
            <w:tcW w:w="3993" w:type="dxa"/>
            <w:vAlign w:val="center"/>
          </w:tcPr>
          <w:p w14:paraId="5C456FFA" w14:textId="77777777" w:rsidR="008C1AD8" w:rsidRPr="00163085" w:rsidRDefault="008C1AD8" w:rsidP="00A15226">
            <w:pPr>
              <w:pStyle w:val="Tabletext"/>
              <w:rPr>
                <w:highlight w:val="yellow"/>
              </w:rPr>
            </w:pPr>
            <w:r w:rsidRPr="00AB5601">
              <w:t xml:space="preserve">Urban development may increase levels of visitation to the </w:t>
            </w:r>
            <w:r>
              <w:t>areas of the Ramsar site within the Study Area</w:t>
            </w:r>
            <w:r w:rsidRPr="00AB5601">
              <w:t xml:space="preserve">. The issues associated with </w:t>
            </w:r>
            <w:r>
              <w:t>recreational use of the Ramsar site</w:t>
            </w:r>
            <w:r w:rsidRPr="00AB5601">
              <w:t xml:space="preserve"> are discussed further below</w:t>
            </w:r>
          </w:p>
        </w:tc>
      </w:tr>
      <w:tr w:rsidR="008C1AD8" w14:paraId="18714C2B" w14:textId="77777777" w:rsidTr="00A15226">
        <w:trPr>
          <w:cantSplit/>
        </w:trPr>
        <w:tc>
          <w:tcPr>
            <w:tcW w:w="2121" w:type="dxa"/>
            <w:vAlign w:val="center"/>
          </w:tcPr>
          <w:p w14:paraId="7D735D27" w14:textId="77777777" w:rsidR="008C1AD8" w:rsidRPr="00EF6B2B" w:rsidRDefault="008C1AD8" w:rsidP="00A15226">
            <w:pPr>
              <w:pStyle w:val="Tabletext"/>
            </w:pPr>
            <w:r>
              <w:t>I</w:t>
            </w:r>
            <w:r w:rsidRPr="00EF6B2B">
              <w:t>nvasive species: foxes and cats predating on waterbirds</w:t>
            </w:r>
          </w:p>
        </w:tc>
        <w:tc>
          <w:tcPr>
            <w:tcW w:w="1158" w:type="dxa"/>
            <w:vAlign w:val="center"/>
          </w:tcPr>
          <w:p w14:paraId="4DC9AD82" w14:textId="77777777" w:rsidR="008C1AD8" w:rsidRDefault="008C1AD8" w:rsidP="00A15226">
            <w:pPr>
              <w:pStyle w:val="Tabletext"/>
              <w:jc w:val="center"/>
            </w:pPr>
            <w:r>
              <w:sym w:font="Wingdings" w:char="F0FC"/>
            </w:r>
          </w:p>
        </w:tc>
        <w:tc>
          <w:tcPr>
            <w:tcW w:w="1111" w:type="dxa"/>
            <w:vAlign w:val="center"/>
          </w:tcPr>
          <w:p w14:paraId="4D12364F" w14:textId="77777777" w:rsidR="008C1AD8" w:rsidRDefault="008C1AD8" w:rsidP="00A15226">
            <w:pPr>
              <w:pStyle w:val="Tabletext"/>
              <w:jc w:val="center"/>
            </w:pPr>
            <w:r>
              <w:sym w:font="Wingdings" w:char="F0FC"/>
            </w:r>
          </w:p>
        </w:tc>
        <w:tc>
          <w:tcPr>
            <w:tcW w:w="1134" w:type="dxa"/>
            <w:vAlign w:val="center"/>
          </w:tcPr>
          <w:p w14:paraId="4EBA459F" w14:textId="77777777" w:rsidR="008C1AD8" w:rsidRDefault="008C1AD8" w:rsidP="00A15226">
            <w:pPr>
              <w:pStyle w:val="Tabletext"/>
              <w:jc w:val="center"/>
            </w:pPr>
            <w:r>
              <w:sym w:font="Wingdings" w:char="F0FC"/>
            </w:r>
            <w:r>
              <w:sym w:font="Wingdings" w:char="F0FC"/>
            </w:r>
          </w:p>
        </w:tc>
        <w:tc>
          <w:tcPr>
            <w:tcW w:w="4819" w:type="dxa"/>
            <w:vAlign w:val="center"/>
          </w:tcPr>
          <w:p w14:paraId="5B0DC531" w14:textId="77777777" w:rsidR="008C1AD8" w:rsidRDefault="008C1AD8" w:rsidP="00A15226">
            <w:pPr>
              <w:pStyle w:val="Tabletext"/>
            </w:pPr>
            <w:r>
              <w:t xml:space="preserve">Predation by foxes and cats are a significant threat to shorebirds and beach nesting birds. Foxes remain widespread throughout the Ramsar site </w:t>
            </w:r>
            <w:sdt>
              <w:sdtPr>
                <w:rPr>
                  <w:color w:val="000000"/>
                </w:rPr>
                <w:tag w:val="MENDELEY_CITATION_v3_eyJjaXRhdGlvbklEIjoiTUVOREVMRVlfQ0lUQVRJT05fYjMwMTRkOTItMzIxYi00ZjQ3LWI5ZWQtYTI0ZWVhNmFmOTdk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931846534"/>
                <w:placeholder>
                  <w:docPart w:val="53263D66753F864BA248D609BD120A46"/>
                </w:placeholder>
              </w:sdtPr>
              <w:sdtContent>
                <w:r w:rsidRPr="00273871">
                  <w:rPr>
                    <w:color w:val="000000"/>
                  </w:rPr>
                  <w:t>(DELWP, 2020)</w:t>
                </w:r>
              </w:sdtContent>
            </w:sdt>
          </w:p>
        </w:tc>
        <w:tc>
          <w:tcPr>
            <w:tcW w:w="3993" w:type="dxa"/>
            <w:vAlign w:val="center"/>
          </w:tcPr>
          <w:p w14:paraId="3A52E03D" w14:textId="77777777" w:rsidR="008C1AD8" w:rsidRPr="00C615F9" w:rsidRDefault="008C1AD8" w:rsidP="00A15226">
            <w:pPr>
              <w:pStyle w:val="Tabletext"/>
            </w:pPr>
            <w:r w:rsidRPr="00C615F9">
              <w:t xml:space="preserve">The Plan is not likely to exacerbate the threat of invasive fauna to </w:t>
            </w:r>
            <w:r>
              <w:t>the Ramsar site</w:t>
            </w:r>
            <w:r w:rsidRPr="00C615F9">
              <w:t xml:space="preserve">. The areas that form </w:t>
            </w:r>
            <w:r>
              <w:t>the Ramsar site</w:t>
            </w:r>
            <w:r w:rsidRPr="00C615F9">
              <w:t xml:space="preserve"> occur a distance from the Growth Areas, and these locations are already surrounded by urban development</w:t>
            </w:r>
          </w:p>
        </w:tc>
      </w:tr>
      <w:tr w:rsidR="008C1AD8" w14:paraId="0EAC1FB6" w14:textId="77777777" w:rsidTr="00A15226">
        <w:trPr>
          <w:cantSplit/>
        </w:trPr>
        <w:tc>
          <w:tcPr>
            <w:tcW w:w="2121" w:type="dxa"/>
            <w:vAlign w:val="center"/>
          </w:tcPr>
          <w:p w14:paraId="4D83D673" w14:textId="77777777" w:rsidR="008C1AD8" w:rsidRDefault="008C1AD8" w:rsidP="00A15226">
            <w:pPr>
              <w:pStyle w:val="Tabletext"/>
            </w:pPr>
            <w:r w:rsidRPr="00B806B9">
              <w:t>Invasive species: salt tolerant weeds impacting saltmarsh and waterbird habitat</w:t>
            </w:r>
          </w:p>
        </w:tc>
        <w:tc>
          <w:tcPr>
            <w:tcW w:w="1158" w:type="dxa"/>
            <w:vAlign w:val="center"/>
          </w:tcPr>
          <w:p w14:paraId="55C6E8E5" w14:textId="77777777" w:rsidR="008C1AD8" w:rsidRDefault="008C1AD8" w:rsidP="00A15226">
            <w:pPr>
              <w:pStyle w:val="Tabletext"/>
              <w:jc w:val="center"/>
            </w:pPr>
            <w:r>
              <w:sym w:font="Wingdings" w:char="F0FC"/>
            </w:r>
            <w:r>
              <w:sym w:font="Wingdings" w:char="F0FC"/>
            </w:r>
          </w:p>
        </w:tc>
        <w:tc>
          <w:tcPr>
            <w:tcW w:w="1111" w:type="dxa"/>
            <w:vAlign w:val="center"/>
          </w:tcPr>
          <w:p w14:paraId="4AE18157" w14:textId="77777777" w:rsidR="008C1AD8" w:rsidRDefault="008C1AD8" w:rsidP="00A15226">
            <w:pPr>
              <w:pStyle w:val="Tabletext"/>
              <w:jc w:val="center"/>
            </w:pPr>
            <w:r>
              <w:sym w:font="Wingdings" w:char="F0FC"/>
            </w:r>
          </w:p>
        </w:tc>
        <w:tc>
          <w:tcPr>
            <w:tcW w:w="1134" w:type="dxa"/>
            <w:vAlign w:val="center"/>
          </w:tcPr>
          <w:p w14:paraId="482BD2E0" w14:textId="77777777" w:rsidR="008C1AD8" w:rsidRDefault="008C1AD8" w:rsidP="00A15226">
            <w:pPr>
              <w:pStyle w:val="Tabletext"/>
              <w:jc w:val="center"/>
            </w:pPr>
            <w:r>
              <w:sym w:font="Wingdings" w:char="F0FC"/>
            </w:r>
            <w:r>
              <w:sym w:font="Wingdings" w:char="F0FC"/>
            </w:r>
          </w:p>
        </w:tc>
        <w:tc>
          <w:tcPr>
            <w:tcW w:w="4819" w:type="dxa"/>
            <w:vAlign w:val="center"/>
          </w:tcPr>
          <w:p w14:paraId="5445C745" w14:textId="77777777" w:rsidR="008C1AD8" w:rsidRDefault="008C1AD8" w:rsidP="00A15226">
            <w:pPr>
              <w:pStyle w:val="Tabletext"/>
            </w:pPr>
            <w:r>
              <w:t xml:space="preserve">A number of salt tolerant weeds have been recorded in Port Phillip Bay. These weeds impact both saltmarsh communities, and the biota that use saltmarsh and intertidal flats as habitat </w:t>
            </w:r>
            <w:sdt>
              <w:sdtPr>
                <w:rPr>
                  <w:color w:val="000000"/>
                </w:rPr>
                <w:tag w:val="MENDELEY_CITATION_v3_eyJjaXRhdGlvbklEIjoiTUVOREVMRVlfQ0lUQVRJT05fNzMxMTI4YTQtODk4Yy00ODE4LTg4MjYtYzk4Nzc3MzI3MWIz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392896062"/>
                <w:placeholder>
                  <w:docPart w:val="53263D66753F864BA248D609BD120A46"/>
                </w:placeholder>
              </w:sdtPr>
              <w:sdtContent>
                <w:r w:rsidRPr="00273871">
                  <w:rPr>
                    <w:color w:val="000000"/>
                  </w:rPr>
                  <w:t>(DELWP, 2020)</w:t>
                </w:r>
              </w:sdtContent>
            </w:sdt>
          </w:p>
        </w:tc>
        <w:tc>
          <w:tcPr>
            <w:tcW w:w="3993" w:type="dxa"/>
            <w:vAlign w:val="center"/>
          </w:tcPr>
          <w:p w14:paraId="13FA917D" w14:textId="77777777" w:rsidR="008C1AD8" w:rsidRPr="00163085" w:rsidRDefault="008C1AD8" w:rsidP="00A15226">
            <w:pPr>
              <w:pStyle w:val="Tabletext"/>
              <w:rPr>
                <w:highlight w:val="yellow"/>
              </w:rPr>
            </w:pPr>
            <w:r w:rsidRPr="00846FA3">
              <w:t xml:space="preserve">The Plan is not likely to exacerbate the threat of invasive </w:t>
            </w:r>
            <w:r>
              <w:t>flora</w:t>
            </w:r>
            <w:r w:rsidRPr="00846FA3">
              <w:t xml:space="preserve"> to </w:t>
            </w:r>
            <w:r>
              <w:t>the Ramsar site</w:t>
            </w:r>
            <w:r w:rsidRPr="00846FA3">
              <w:t xml:space="preserve">. </w:t>
            </w:r>
            <w:r w:rsidRPr="00C615F9">
              <w:t xml:space="preserve">The areas that form </w:t>
            </w:r>
            <w:r>
              <w:t>the Ramsar site</w:t>
            </w:r>
            <w:r w:rsidRPr="00C615F9">
              <w:t xml:space="preserve"> occur a distance from the Growth Areas, and these locations are already surrounded by urban development</w:t>
            </w:r>
          </w:p>
        </w:tc>
      </w:tr>
      <w:tr w:rsidR="008C1AD8" w14:paraId="6B48F71A" w14:textId="77777777" w:rsidTr="00A15226">
        <w:trPr>
          <w:cantSplit/>
        </w:trPr>
        <w:tc>
          <w:tcPr>
            <w:tcW w:w="2121" w:type="dxa"/>
            <w:vAlign w:val="center"/>
          </w:tcPr>
          <w:p w14:paraId="7C493E8A" w14:textId="77777777" w:rsidR="008C1AD8" w:rsidRPr="00B806B9" w:rsidRDefault="008C1AD8" w:rsidP="00A15226">
            <w:pPr>
              <w:pStyle w:val="Tabletext"/>
            </w:pPr>
            <w:r w:rsidRPr="00B806B9">
              <w:lastRenderedPageBreak/>
              <w:t>Invasive species: non-native grazing animals (rabbits and deer) impacting vegetation and habitat</w:t>
            </w:r>
          </w:p>
        </w:tc>
        <w:tc>
          <w:tcPr>
            <w:tcW w:w="1158" w:type="dxa"/>
            <w:vAlign w:val="center"/>
          </w:tcPr>
          <w:p w14:paraId="20F12188" w14:textId="77777777" w:rsidR="008C1AD8" w:rsidRDefault="008C1AD8" w:rsidP="00A15226">
            <w:pPr>
              <w:pStyle w:val="Tabletext"/>
              <w:jc w:val="center"/>
            </w:pPr>
            <w:r>
              <w:sym w:font="Wingdings" w:char="F0FC"/>
            </w:r>
          </w:p>
        </w:tc>
        <w:tc>
          <w:tcPr>
            <w:tcW w:w="1111" w:type="dxa"/>
            <w:vAlign w:val="center"/>
          </w:tcPr>
          <w:p w14:paraId="5DA01960" w14:textId="77777777" w:rsidR="008C1AD8" w:rsidRDefault="008C1AD8" w:rsidP="00A15226">
            <w:pPr>
              <w:pStyle w:val="Tabletext"/>
              <w:jc w:val="center"/>
            </w:pPr>
            <w:r>
              <w:sym w:font="Wingdings" w:char="F0FC"/>
            </w:r>
          </w:p>
        </w:tc>
        <w:tc>
          <w:tcPr>
            <w:tcW w:w="1134" w:type="dxa"/>
            <w:vAlign w:val="center"/>
          </w:tcPr>
          <w:p w14:paraId="61FA4FD7" w14:textId="77777777" w:rsidR="008C1AD8" w:rsidRDefault="008C1AD8" w:rsidP="00A15226">
            <w:pPr>
              <w:pStyle w:val="Tabletext"/>
              <w:jc w:val="center"/>
            </w:pPr>
            <w:r>
              <w:sym w:font="Wingdings" w:char="F0FC"/>
            </w:r>
            <w:r>
              <w:sym w:font="Wingdings" w:char="F0FC"/>
            </w:r>
          </w:p>
        </w:tc>
        <w:tc>
          <w:tcPr>
            <w:tcW w:w="4819" w:type="dxa"/>
            <w:vAlign w:val="center"/>
          </w:tcPr>
          <w:p w14:paraId="5AD5CE62" w14:textId="77777777" w:rsidR="008C1AD8" w:rsidRDefault="008C1AD8" w:rsidP="00A15226">
            <w:pPr>
              <w:pStyle w:val="Tabletext"/>
            </w:pPr>
            <w:r>
              <w:t xml:space="preserve">Rabbits are widespread throughout the coastal areas of Port Phillip Bay, and cause damage to native vegetation through grazing and digging. Grazing from deer in the Lake Connewarre Complex can cause extensive damage to habitats and saltmarsh </w:t>
            </w:r>
            <w:sdt>
              <w:sdtPr>
                <w:rPr>
                  <w:color w:val="000000"/>
                </w:rPr>
                <w:tag w:val="MENDELEY_CITATION_v3_eyJjaXRhdGlvbklEIjoiTUVOREVMRVlfQ0lUQVRJT05fNTg2MmQzZTUtYzhiNC00NTk3LWJhMGEtOWNlY2M0OTIzMTNm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603642203"/>
                <w:placeholder>
                  <w:docPart w:val="53263D66753F864BA248D609BD120A46"/>
                </w:placeholder>
              </w:sdtPr>
              <w:sdtContent>
                <w:r w:rsidRPr="00273871">
                  <w:rPr>
                    <w:color w:val="000000"/>
                  </w:rPr>
                  <w:t>(DELWP, 2020)</w:t>
                </w:r>
              </w:sdtContent>
            </w:sdt>
          </w:p>
        </w:tc>
        <w:tc>
          <w:tcPr>
            <w:tcW w:w="3993" w:type="dxa"/>
            <w:vAlign w:val="center"/>
          </w:tcPr>
          <w:p w14:paraId="575B794A" w14:textId="77777777" w:rsidR="008C1AD8" w:rsidRPr="00163085" w:rsidRDefault="008C1AD8" w:rsidP="00A15226">
            <w:pPr>
              <w:pStyle w:val="Tabletext"/>
              <w:rPr>
                <w:highlight w:val="yellow"/>
              </w:rPr>
            </w:pPr>
            <w:r w:rsidRPr="00846FA3">
              <w:t xml:space="preserve">The Plan is not likely to exacerbate the threat of invasive fauna to </w:t>
            </w:r>
            <w:r>
              <w:t>the Ramsar site</w:t>
            </w:r>
            <w:r w:rsidRPr="00846FA3">
              <w:t xml:space="preserve">. </w:t>
            </w:r>
            <w:r w:rsidRPr="00C615F9">
              <w:t xml:space="preserve">The areas that form </w:t>
            </w:r>
            <w:r>
              <w:t>the Ramsar site</w:t>
            </w:r>
            <w:r w:rsidRPr="00C615F9">
              <w:t xml:space="preserve"> occur a distance from the Growth Areas, and these locations are already surrounded by urban development</w:t>
            </w:r>
          </w:p>
        </w:tc>
      </w:tr>
      <w:tr w:rsidR="008C1AD8" w14:paraId="2983D2D1" w14:textId="77777777" w:rsidTr="00A15226">
        <w:trPr>
          <w:cantSplit/>
        </w:trPr>
        <w:tc>
          <w:tcPr>
            <w:tcW w:w="2121" w:type="dxa"/>
            <w:vAlign w:val="center"/>
          </w:tcPr>
          <w:p w14:paraId="693C9DE0" w14:textId="77777777" w:rsidR="008C1AD8" w:rsidRPr="00B806B9" w:rsidRDefault="008C1AD8" w:rsidP="00A15226">
            <w:pPr>
              <w:pStyle w:val="Tabletext"/>
            </w:pPr>
            <w:r w:rsidRPr="00B806B9">
              <w:t>Recreation: boats, jets skis, kite surfers disturbing waterbird feeding, breeding, and roosting</w:t>
            </w:r>
          </w:p>
        </w:tc>
        <w:tc>
          <w:tcPr>
            <w:tcW w:w="1158" w:type="dxa"/>
            <w:vAlign w:val="center"/>
          </w:tcPr>
          <w:p w14:paraId="558176C3" w14:textId="77777777" w:rsidR="008C1AD8" w:rsidRDefault="008C1AD8" w:rsidP="00A15226">
            <w:pPr>
              <w:pStyle w:val="Tabletext"/>
              <w:jc w:val="center"/>
            </w:pPr>
            <w:r>
              <w:sym w:font="Wingdings" w:char="F0FC"/>
            </w:r>
            <w:r>
              <w:sym w:font="Wingdings" w:char="F0FC"/>
            </w:r>
          </w:p>
        </w:tc>
        <w:tc>
          <w:tcPr>
            <w:tcW w:w="1111" w:type="dxa"/>
            <w:vAlign w:val="center"/>
          </w:tcPr>
          <w:p w14:paraId="62B5EF41" w14:textId="77777777" w:rsidR="008C1AD8" w:rsidRDefault="008C1AD8" w:rsidP="00A15226">
            <w:pPr>
              <w:pStyle w:val="Tabletext"/>
              <w:jc w:val="center"/>
            </w:pPr>
            <w:r>
              <w:sym w:font="Wingdings" w:char="F0FC"/>
            </w:r>
          </w:p>
        </w:tc>
        <w:tc>
          <w:tcPr>
            <w:tcW w:w="1134" w:type="dxa"/>
            <w:vAlign w:val="center"/>
          </w:tcPr>
          <w:p w14:paraId="78A87756" w14:textId="77777777" w:rsidR="008C1AD8" w:rsidRDefault="008C1AD8" w:rsidP="00A15226">
            <w:pPr>
              <w:pStyle w:val="Tabletext"/>
              <w:jc w:val="center"/>
            </w:pPr>
            <w:r>
              <w:sym w:font="Wingdings" w:char="F0FC"/>
            </w:r>
          </w:p>
        </w:tc>
        <w:tc>
          <w:tcPr>
            <w:tcW w:w="4819" w:type="dxa"/>
            <w:vAlign w:val="center"/>
          </w:tcPr>
          <w:p w14:paraId="71F71F91" w14:textId="77777777" w:rsidR="008C1AD8" w:rsidRDefault="008C1AD8" w:rsidP="00A15226">
            <w:pPr>
              <w:pStyle w:val="Tabletext"/>
            </w:pPr>
            <w:r>
              <w:t xml:space="preserve">Disturbance from shore based or nearshore boating activities is a high risk to waterbirds in the Ramsar site. The consequences for populations and individuals can include decreased time spent feeding, increased energy spent flying away from disturbances, nest abandonment and general population declines </w:t>
            </w:r>
            <w:sdt>
              <w:sdtPr>
                <w:rPr>
                  <w:color w:val="000000"/>
                </w:rPr>
                <w:tag w:val="MENDELEY_CITATION_v3_eyJjaXRhdGlvbklEIjoiTUVOREVMRVlfQ0lUQVRJT05fMDU1MGVkMmMtNjFlYy00OTNmLWEzMTktOTk2NmIzM2YzZGV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725497803"/>
                <w:placeholder>
                  <w:docPart w:val="53263D66753F864BA248D609BD120A46"/>
                </w:placeholder>
              </w:sdtPr>
              <w:sdtContent>
                <w:r w:rsidRPr="00273871">
                  <w:rPr>
                    <w:color w:val="000000"/>
                  </w:rPr>
                  <w:t>(DELWP, 2020)</w:t>
                </w:r>
              </w:sdtContent>
            </w:sdt>
          </w:p>
        </w:tc>
        <w:tc>
          <w:tcPr>
            <w:tcW w:w="3993" w:type="dxa"/>
            <w:vAlign w:val="center"/>
          </w:tcPr>
          <w:p w14:paraId="3082EB26" w14:textId="77777777" w:rsidR="008C1AD8" w:rsidRPr="00163085" w:rsidRDefault="008C1AD8" w:rsidP="00A15226">
            <w:pPr>
              <w:pStyle w:val="Tabletext"/>
              <w:rPr>
                <w:highlight w:val="yellow"/>
              </w:rPr>
            </w:pPr>
            <w:r w:rsidRPr="00AB5601">
              <w:t xml:space="preserve">Urban development may increase levels of visitation to the </w:t>
            </w:r>
            <w:r>
              <w:t>areas of the Ramsar site within the Study Area.</w:t>
            </w:r>
            <w:r w:rsidRPr="00AB5601">
              <w:t xml:space="preserve"> The issues associated with </w:t>
            </w:r>
            <w:r>
              <w:t>recreational use of the Ramsar site</w:t>
            </w:r>
            <w:r w:rsidRPr="00AB5601">
              <w:t xml:space="preserve"> are discussed further below</w:t>
            </w:r>
          </w:p>
        </w:tc>
      </w:tr>
      <w:tr w:rsidR="008C1AD8" w14:paraId="79328A64" w14:textId="77777777" w:rsidTr="00A15226">
        <w:trPr>
          <w:cantSplit/>
        </w:trPr>
        <w:tc>
          <w:tcPr>
            <w:tcW w:w="2121" w:type="dxa"/>
            <w:vAlign w:val="center"/>
          </w:tcPr>
          <w:p w14:paraId="413B76BD" w14:textId="77777777" w:rsidR="008C1AD8" w:rsidRPr="00B806B9" w:rsidRDefault="008C1AD8" w:rsidP="00A15226">
            <w:pPr>
              <w:pStyle w:val="Tabletext"/>
            </w:pPr>
            <w:r w:rsidRPr="00B806B9">
              <w:t>Recreation: walkers, horse-riding disturbing waterbird feeding, breeding, and roosting</w:t>
            </w:r>
          </w:p>
        </w:tc>
        <w:tc>
          <w:tcPr>
            <w:tcW w:w="1158" w:type="dxa"/>
            <w:vAlign w:val="center"/>
          </w:tcPr>
          <w:p w14:paraId="21471032" w14:textId="77777777" w:rsidR="008C1AD8" w:rsidRDefault="008C1AD8" w:rsidP="00A15226">
            <w:pPr>
              <w:pStyle w:val="Tabletext"/>
              <w:jc w:val="center"/>
            </w:pPr>
            <w:r>
              <w:sym w:font="Wingdings" w:char="F0FC"/>
            </w:r>
            <w:r>
              <w:sym w:font="Wingdings" w:char="F0FC"/>
            </w:r>
          </w:p>
        </w:tc>
        <w:tc>
          <w:tcPr>
            <w:tcW w:w="1111" w:type="dxa"/>
            <w:vAlign w:val="center"/>
          </w:tcPr>
          <w:p w14:paraId="3E451858" w14:textId="77777777" w:rsidR="008C1AD8" w:rsidRDefault="008C1AD8" w:rsidP="00A15226">
            <w:pPr>
              <w:pStyle w:val="Tabletext"/>
              <w:jc w:val="center"/>
            </w:pPr>
            <w:r>
              <w:sym w:font="Wingdings" w:char="F0FC"/>
            </w:r>
          </w:p>
        </w:tc>
        <w:tc>
          <w:tcPr>
            <w:tcW w:w="1134" w:type="dxa"/>
            <w:vAlign w:val="center"/>
          </w:tcPr>
          <w:p w14:paraId="7BC3BB10" w14:textId="77777777" w:rsidR="008C1AD8" w:rsidRDefault="008C1AD8" w:rsidP="00A15226">
            <w:pPr>
              <w:pStyle w:val="Tabletext"/>
              <w:jc w:val="center"/>
            </w:pPr>
            <w:r>
              <w:sym w:font="Wingdings" w:char="F0FC"/>
            </w:r>
          </w:p>
        </w:tc>
        <w:tc>
          <w:tcPr>
            <w:tcW w:w="4819" w:type="dxa"/>
            <w:vAlign w:val="center"/>
          </w:tcPr>
          <w:p w14:paraId="1EEC3F83" w14:textId="77777777" w:rsidR="008C1AD8" w:rsidRDefault="008C1AD8" w:rsidP="00A15226">
            <w:pPr>
              <w:pStyle w:val="Tabletext"/>
            </w:pPr>
            <w:r>
              <w:t xml:space="preserve">Disturbance of waterbirds by human activities can negatively impact feeding behaviour and habitat use. The consequences for populations and individuals can include decreased time spent feeding, increased energy spent flying away from disturbances, nest abandonment and general population declines </w:t>
            </w:r>
            <w:sdt>
              <w:sdtPr>
                <w:rPr>
                  <w:color w:val="000000"/>
                </w:rPr>
                <w:tag w:val="MENDELEY_CITATION_v3_eyJjaXRhdGlvbklEIjoiTUVOREVMRVlfQ0lUQVRJT05fZjg4ZjRhYTAtMzRlNy00MGM4LWE5MDItNmQxMDM0YWE5YjMz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666156322"/>
                <w:placeholder>
                  <w:docPart w:val="53263D66753F864BA248D609BD120A46"/>
                </w:placeholder>
              </w:sdtPr>
              <w:sdtContent>
                <w:r w:rsidRPr="00273871">
                  <w:rPr>
                    <w:color w:val="000000"/>
                  </w:rPr>
                  <w:t>(DELWP, 2020)</w:t>
                </w:r>
              </w:sdtContent>
            </w:sdt>
          </w:p>
        </w:tc>
        <w:tc>
          <w:tcPr>
            <w:tcW w:w="3993" w:type="dxa"/>
            <w:vAlign w:val="center"/>
          </w:tcPr>
          <w:p w14:paraId="684D513D" w14:textId="77777777" w:rsidR="008C1AD8" w:rsidRPr="00C2405B" w:rsidRDefault="008C1AD8" w:rsidP="00A15226">
            <w:pPr>
              <w:pStyle w:val="Tabletext"/>
            </w:pPr>
            <w:r w:rsidRPr="00AB5601">
              <w:t xml:space="preserve">Urban development may increase levels of visitation to the </w:t>
            </w:r>
            <w:r>
              <w:t xml:space="preserve">areas of the Ramsar site within the Study Area. </w:t>
            </w:r>
            <w:r w:rsidRPr="00AB5601">
              <w:t xml:space="preserve">The issues associated with </w:t>
            </w:r>
            <w:r>
              <w:t>recreational use of the Ramsar site</w:t>
            </w:r>
            <w:r w:rsidRPr="00AB5601">
              <w:t xml:space="preserve"> are discussed further below</w:t>
            </w:r>
          </w:p>
        </w:tc>
      </w:tr>
      <w:tr w:rsidR="008C1AD8" w14:paraId="7D265518" w14:textId="77777777" w:rsidTr="00A15226">
        <w:trPr>
          <w:cantSplit/>
        </w:trPr>
        <w:tc>
          <w:tcPr>
            <w:tcW w:w="2121" w:type="dxa"/>
            <w:vAlign w:val="center"/>
          </w:tcPr>
          <w:p w14:paraId="22F41A7D" w14:textId="77777777" w:rsidR="008C1AD8" w:rsidRPr="00B806B9" w:rsidRDefault="008C1AD8" w:rsidP="00A15226">
            <w:pPr>
              <w:pStyle w:val="Tabletext"/>
            </w:pPr>
            <w:r w:rsidRPr="00B806B9">
              <w:t>Recreation: vehicles damaging saltmarsh</w:t>
            </w:r>
          </w:p>
        </w:tc>
        <w:tc>
          <w:tcPr>
            <w:tcW w:w="1158" w:type="dxa"/>
            <w:vAlign w:val="center"/>
          </w:tcPr>
          <w:p w14:paraId="09A8E024" w14:textId="77777777" w:rsidR="008C1AD8" w:rsidRDefault="008C1AD8" w:rsidP="00A15226">
            <w:pPr>
              <w:pStyle w:val="Tabletext"/>
              <w:jc w:val="center"/>
            </w:pPr>
          </w:p>
        </w:tc>
        <w:tc>
          <w:tcPr>
            <w:tcW w:w="1111" w:type="dxa"/>
            <w:vAlign w:val="center"/>
          </w:tcPr>
          <w:p w14:paraId="2EAB776E" w14:textId="77777777" w:rsidR="008C1AD8" w:rsidRDefault="008C1AD8" w:rsidP="00A15226">
            <w:pPr>
              <w:pStyle w:val="Tabletext"/>
              <w:jc w:val="center"/>
            </w:pPr>
          </w:p>
        </w:tc>
        <w:tc>
          <w:tcPr>
            <w:tcW w:w="1134" w:type="dxa"/>
            <w:vAlign w:val="center"/>
          </w:tcPr>
          <w:p w14:paraId="03119334" w14:textId="77777777" w:rsidR="008C1AD8" w:rsidRDefault="008C1AD8" w:rsidP="00A15226">
            <w:pPr>
              <w:pStyle w:val="Tabletext"/>
              <w:jc w:val="center"/>
            </w:pPr>
            <w:r>
              <w:sym w:font="Wingdings" w:char="F0FC"/>
            </w:r>
            <w:r>
              <w:sym w:font="Wingdings" w:char="F0FC"/>
            </w:r>
          </w:p>
        </w:tc>
        <w:tc>
          <w:tcPr>
            <w:tcW w:w="4819" w:type="dxa"/>
            <w:vAlign w:val="center"/>
          </w:tcPr>
          <w:p w14:paraId="5448D601" w14:textId="77777777" w:rsidR="008C1AD8" w:rsidRDefault="008C1AD8" w:rsidP="00A15226">
            <w:pPr>
              <w:pStyle w:val="Tabletext"/>
            </w:pPr>
            <w:r>
              <w:t xml:space="preserve">Vehicle damage to saltmarsh communities has been reported across the Ramsar site. Saltmarsh communities are slow recovering, and damage can range from subtle, to severe </w:t>
            </w:r>
            <w:sdt>
              <w:sdtPr>
                <w:rPr>
                  <w:color w:val="000000"/>
                </w:rPr>
                <w:tag w:val="MENDELEY_CITATION_v3_eyJjaXRhdGlvbklEIjoiTUVOREVMRVlfQ0lUQVRJT05fNmM4OTAxYWQtZjMwNi00NTEzLTk2YTQtOTVjZGZjZGFiNTlm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516961133"/>
                <w:placeholder>
                  <w:docPart w:val="53263D66753F864BA248D609BD120A46"/>
                </w:placeholder>
              </w:sdtPr>
              <w:sdtContent>
                <w:r w:rsidRPr="00273871">
                  <w:rPr>
                    <w:color w:val="000000"/>
                  </w:rPr>
                  <w:t>(DELWP, 2020)</w:t>
                </w:r>
              </w:sdtContent>
            </w:sdt>
          </w:p>
        </w:tc>
        <w:tc>
          <w:tcPr>
            <w:tcW w:w="3993" w:type="dxa"/>
            <w:vAlign w:val="center"/>
          </w:tcPr>
          <w:p w14:paraId="0946D357" w14:textId="77777777" w:rsidR="008C1AD8" w:rsidRPr="00C2405B" w:rsidRDefault="008C1AD8" w:rsidP="00A15226">
            <w:pPr>
              <w:pStyle w:val="Tabletext"/>
            </w:pPr>
            <w:r w:rsidRPr="00AB5601">
              <w:t xml:space="preserve">Urban development may increase levels of visitation to the </w:t>
            </w:r>
            <w:r>
              <w:t>areas of the Ramsar site within the Study Area</w:t>
            </w:r>
            <w:r w:rsidRPr="00AB5601">
              <w:t xml:space="preserve">. The issues associated with </w:t>
            </w:r>
            <w:r>
              <w:t>recreational use of the Ramsar site</w:t>
            </w:r>
            <w:r w:rsidRPr="00AB5601">
              <w:t xml:space="preserve"> are discussed further below</w:t>
            </w:r>
          </w:p>
        </w:tc>
      </w:tr>
      <w:tr w:rsidR="008C1AD8" w14:paraId="3A39C582" w14:textId="77777777" w:rsidTr="00A15226">
        <w:trPr>
          <w:cantSplit/>
          <w:trHeight w:val="447"/>
        </w:trPr>
        <w:tc>
          <w:tcPr>
            <w:tcW w:w="2121" w:type="dxa"/>
            <w:vAlign w:val="center"/>
          </w:tcPr>
          <w:p w14:paraId="429B652B" w14:textId="77777777" w:rsidR="008C1AD8" w:rsidRPr="00B806B9" w:rsidRDefault="008C1AD8" w:rsidP="00A15226">
            <w:pPr>
              <w:pStyle w:val="Tabletext"/>
            </w:pPr>
            <w:r w:rsidRPr="00B806B9">
              <w:t>Duck hunting impacts to non-target species</w:t>
            </w:r>
          </w:p>
        </w:tc>
        <w:tc>
          <w:tcPr>
            <w:tcW w:w="1158" w:type="dxa"/>
            <w:vAlign w:val="center"/>
          </w:tcPr>
          <w:p w14:paraId="5E84E83A" w14:textId="77777777" w:rsidR="008C1AD8" w:rsidRDefault="008C1AD8" w:rsidP="00A15226">
            <w:pPr>
              <w:pStyle w:val="Tabletext"/>
              <w:jc w:val="center"/>
            </w:pPr>
            <w:r>
              <w:sym w:font="Wingdings" w:char="F0FC"/>
            </w:r>
            <w:r>
              <w:sym w:font="Wingdings" w:char="F0FC"/>
            </w:r>
          </w:p>
        </w:tc>
        <w:tc>
          <w:tcPr>
            <w:tcW w:w="1111" w:type="dxa"/>
            <w:vAlign w:val="center"/>
          </w:tcPr>
          <w:p w14:paraId="2BCDEF75" w14:textId="77777777" w:rsidR="008C1AD8" w:rsidRDefault="008C1AD8" w:rsidP="00A15226">
            <w:pPr>
              <w:pStyle w:val="Tabletext"/>
              <w:jc w:val="center"/>
            </w:pPr>
            <w:r>
              <w:sym w:font="Wingdings" w:char="F0FC"/>
            </w:r>
            <w:r>
              <w:sym w:font="Wingdings" w:char="F0FC"/>
            </w:r>
          </w:p>
        </w:tc>
        <w:tc>
          <w:tcPr>
            <w:tcW w:w="1134" w:type="dxa"/>
            <w:vAlign w:val="center"/>
          </w:tcPr>
          <w:p w14:paraId="1668350C" w14:textId="77777777" w:rsidR="008C1AD8" w:rsidRDefault="008C1AD8" w:rsidP="00A15226">
            <w:pPr>
              <w:pStyle w:val="Tabletext"/>
              <w:jc w:val="center"/>
            </w:pPr>
            <w:r>
              <w:sym w:font="Wingdings" w:char="F0FC"/>
            </w:r>
            <w:r>
              <w:sym w:font="Wingdings" w:char="F0FC"/>
            </w:r>
          </w:p>
        </w:tc>
        <w:tc>
          <w:tcPr>
            <w:tcW w:w="4819" w:type="dxa"/>
            <w:vAlign w:val="center"/>
          </w:tcPr>
          <w:p w14:paraId="36C7C329" w14:textId="77777777" w:rsidR="008C1AD8" w:rsidRDefault="008C1AD8" w:rsidP="00A15226">
            <w:pPr>
              <w:pStyle w:val="Tabletext"/>
            </w:pPr>
            <w:r>
              <w:t xml:space="preserve">Hunting is permitted in areas of the Ramsar site, primarily between March and June. This overlaps with the presence of migratory shorebirds and Orange-bellied Parrots. Impacts to non-target species in the Ramsar site are a concern </w:t>
            </w:r>
            <w:sdt>
              <w:sdtPr>
                <w:rPr>
                  <w:color w:val="000000"/>
                </w:rPr>
                <w:tag w:val="MENDELEY_CITATION_v3_eyJjaXRhdGlvbklEIjoiTUVOREVMRVlfQ0lUQVRJT05fNDdkM2MxZWYtYTFiYS00NTkzLTgzYTUtNjk2Yzg5Zjg4YTN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561791119"/>
                <w:placeholder>
                  <w:docPart w:val="53263D66753F864BA248D609BD120A46"/>
                </w:placeholder>
              </w:sdtPr>
              <w:sdtContent>
                <w:r w:rsidRPr="00273871">
                  <w:rPr>
                    <w:color w:val="000000"/>
                  </w:rPr>
                  <w:t>(DELWP, 2020)</w:t>
                </w:r>
              </w:sdtContent>
            </w:sdt>
          </w:p>
        </w:tc>
        <w:tc>
          <w:tcPr>
            <w:tcW w:w="3993" w:type="dxa"/>
            <w:vAlign w:val="center"/>
          </w:tcPr>
          <w:p w14:paraId="2896BF68" w14:textId="77777777" w:rsidR="008C1AD8" w:rsidRPr="00C2405B" w:rsidRDefault="008C1AD8" w:rsidP="00A15226">
            <w:pPr>
              <w:pStyle w:val="Tabletext"/>
            </w:pPr>
            <w:r w:rsidRPr="00AB5601">
              <w:t xml:space="preserve">Urban development may increase levels of visitation to the </w:t>
            </w:r>
            <w:r>
              <w:t>areas of the Ramsar site within the Study Area</w:t>
            </w:r>
            <w:r w:rsidRPr="00AB5601">
              <w:t xml:space="preserve">. The issues associated with </w:t>
            </w:r>
            <w:r>
              <w:t>recreational use of the Ramsar site</w:t>
            </w:r>
            <w:r w:rsidRPr="00AB5601">
              <w:t xml:space="preserve"> are discussed further below</w:t>
            </w:r>
          </w:p>
        </w:tc>
      </w:tr>
    </w:tbl>
    <w:p w14:paraId="555AE611" w14:textId="77777777" w:rsidR="008C1AD8" w:rsidRPr="009F1678" w:rsidRDefault="008C1AD8" w:rsidP="008C1AD8">
      <w:pPr>
        <w:pStyle w:val="Bullet1"/>
        <w:numPr>
          <w:ilvl w:val="0"/>
          <w:numId w:val="0"/>
        </w:numPr>
        <w:ind w:left="360" w:hanging="360"/>
        <w:rPr>
          <w:sz w:val="16"/>
          <w:szCs w:val="18"/>
        </w:rPr>
        <w:sectPr w:rsidR="008C1AD8" w:rsidRPr="009F1678" w:rsidSect="00043552">
          <w:footerReference w:type="default" r:id="rId75"/>
          <w:pgSz w:w="16840" w:h="11900" w:orient="landscape"/>
          <w:pgMar w:top="1134" w:right="1247" w:bottom="1134" w:left="1247" w:header="708" w:footer="708" w:gutter="0"/>
          <w:pgNumType w:chapStyle="1"/>
          <w:cols w:space="708"/>
          <w:docGrid w:linePitch="360"/>
        </w:sectPr>
      </w:pPr>
      <w:r w:rsidRPr="009F1678">
        <w:rPr>
          <w:sz w:val="16"/>
          <w:szCs w:val="18"/>
        </w:rPr>
        <w:t>*Note that ‘</w:t>
      </w:r>
      <w:r w:rsidRPr="009F1678">
        <w:rPr>
          <w:sz w:val="16"/>
          <w:szCs w:val="18"/>
        </w:rPr>
        <w:sym w:font="Wingdings" w:char="F0FC"/>
      </w:r>
      <w:r w:rsidRPr="009F1678">
        <w:rPr>
          <w:sz w:val="16"/>
          <w:szCs w:val="18"/>
        </w:rPr>
        <w:sym w:font="Wingdings" w:char="F0FC"/>
      </w:r>
      <w:r w:rsidRPr="009F1678">
        <w:rPr>
          <w:sz w:val="16"/>
          <w:szCs w:val="18"/>
        </w:rPr>
        <w:t>’ indicates the highest priority threats for each location</w:t>
      </w:r>
    </w:p>
    <w:p w14:paraId="1B38EBDA" w14:textId="77777777" w:rsidR="008C1AD8" w:rsidRDefault="008C1AD8" w:rsidP="008C1AD8">
      <w:r w:rsidRPr="008064C9">
        <w:lastRenderedPageBreak/>
        <w:t xml:space="preserve">Based on the threats to </w:t>
      </w:r>
      <w:r>
        <w:t>the Ramsar site</w:t>
      </w:r>
      <w:r w:rsidRPr="008064C9">
        <w:t xml:space="preserve"> identified in the Ecological</w:t>
      </w:r>
      <w:r>
        <w:t xml:space="preserve"> Character Description </w:t>
      </w:r>
      <w:sdt>
        <w:sdtPr>
          <w:rPr>
            <w:color w:val="000000"/>
          </w:rPr>
          <w:tag w:val="MENDELEY_CITATION_v3_eyJjaXRhdGlvbklEIjoiTUVOREVMRVlfQ0lUQVRJT05fNDAyNGM3ZjQtYmYwNS00Nzk5LWE1YzQtZTNjN2ZkMWNmZDV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017959604"/>
          <w:placeholder>
            <w:docPart w:val="53263D66753F864BA248D609BD120A46"/>
          </w:placeholder>
        </w:sdtPr>
        <w:sdtContent>
          <w:r w:rsidRPr="00273871">
            <w:rPr>
              <w:color w:val="000000"/>
            </w:rPr>
            <w:t>(DELWP, 2020)</w:t>
          </w:r>
        </w:sdtContent>
      </w:sdt>
      <w:r>
        <w:t>, relevant potential indirect impacts under the Plan can be summarised as:</w:t>
      </w:r>
    </w:p>
    <w:p w14:paraId="71BCBD38" w14:textId="77777777" w:rsidR="008C1AD8" w:rsidRDefault="008C1AD8" w:rsidP="008C1AD8">
      <w:pPr>
        <w:pStyle w:val="Bullet1"/>
      </w:pPr>
      <w:r>
        <w:t xml:space="preserve">Changes to </w:t>
      </w:r>
      <w:r w:rsidRPr="00FC30E3">
        <w:t>water flows and quality</w:t>
      </w:r>
    </w:p>
    <w:p w14:paraId="70B401EE" w14:textId="77777777" w:rsidR="008C1AD8" w:rsidRDefault="008C1AD8" w:rsidP="008C1AD8">
      <w:pPr>
        <w:pStyle w:val="Bullet1"/>
      </w:pPr>
      <w:r w:rsidRPr="00FC30E3">
        <w:t>Disturbance from increased public access to natural areas</w:t>
      </w:r>
    </w:p>
    <w:p w14:paraId="44BAF994" w14:textId="77777777" w:rsidR="008C1AD8" w:rsidRDefault="008C1AD8" w:rsidP="008C1AD8">
      <w:r>
        <w:t>An assessment of these indirect impacts is provided below.</w:t>
      </w:r>
    </w:p>
    <w:p w14:paraId="54056ED1" w14:textId="77777777" w:rsidR="008C1AD8" w:rsidRDefault="008C1AD8" w:rsidP="008C1AD8">
      <w:pPr>
        <w:pStyle w:val="Heading4"/>
      </w:pPr>
      <w:r>
        <w:t>Changes to water flows and quality</w:t>
      </w:r>
    </w:p>
    <w:p w14:paraId="6F792FC6" w14:textId="77777777" w:rsidR="008C1AD8" w:rsidRPr="008B4FD3" w:rsidRDefault="008C1AD8" w:rsidP="008C1AD8">
      <w:pPr>
        <w:pStyle w:val="Heading5"/>
      </w:pPr>
      <w:r>
        <w:t>Mechanism of impact</w:t>
      </w:r>
    </w:p>
    <w:p w14:paraId="172AB5B2" w14:textId="77777777" w:rsidR="008C1AD8" w:rsidRDefault="008C1AD8" w:rsidP="008C1AD8">
      <w:r>
        <w:t xml:space="preserve">The Plan has the potential to impact on water flows and quality in the following ways </w:t>
      </w:r>
      <w:sdt>
        <w:sdtPr>
          <w:rPr>
            <w:color w:val="000000"/>
          </w:rPr>
          <w:tag w:val="MENDELEY_CITATION_v3_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"/>
          <w:id w:val="-1881938724"/>
          <w:placeholder>
            <w:docPart w:val="53263D66753F864BA248D609BD120A46"/>
          </w:placeholder>
        </w:sdtPr>
        <w:sdtContent>
          <w:r w:rsidRPr="00273871">
            <w:rPr>
              <w:color w:val="000000"/>
            </w:rPr>
            <w:t>(US EPA, 2022)</w:t>
          </w:r>
        </w:sdtContent>
      </w:sdt>
      <w:r>
        <w:t>:</w:t>
      </w:r>
    </w:p>
    <w:p w14:paraId="5C891D64" w14:textId="77777777" w:rsidR="008C1AD8" w:rsidRDefault="008C1AD8" w:rsidP="008C1AD8">
      <w:pPr>
        <w:pStyle w:val="Bullet1"/>
      </w:pPr>
      <w:r>
        <w:t>Increased impermeable surfaces in developed areas reduces infiltration and increases surface runoff volumes during rain events</w:t>
      </w:r>
    </w:p>
    <w:p w14:paraId="13397A38" w14:textId="77777777" w:rsidR="008C1AD8" w:rsidRDefault="008C1AD8" w:rsidP="008C1AD8">
      <w:pPr>
        <w:pStyle w:val="Bullet1"/>
      </w:pPr>
      <w:r>
        <w:t>The speed and efficiency of surface runoff flows to streams can be increased by stormwater drainage infrastructure</w:t>
      </w:r>
    </w:p>
    <w:p w14:paraId="1F12779C" w14:textId="77777777" w:rsidR="008C1AD8" w:rsidRDefault="008C1AD8" w:rsidP="008C1AD8">
      <w:pPr>
        <w:pStyle w:val="Bullet1"/>
      </w:pPr>
      <w:r>
        <w:t>Vegetation removal can reduce evapotranspiration</w:t>
      </w:r>
    </w:p>
    <w:p w14:paraId="2283572B" w14:textId="77777777" w:rsidR="008C1AD8" w:rsidRDefault="008C1AD8" w:rsidP="008C1AD8">
      <w:r>
        <w:t xml:space="preserve">Urbanisation can subsequently increase the frequency, magnitude and duration of high flow events, increase the speed of flow and likelihood of flash flooding, and decrease the lag time of flows (meaning that a flow event finishes more quickly). Stream flow characteristics during low flow periods can also be affected </w:t>
      </w:r>
      <w:sdt>
        <w:sdtPr>
          <w:rPr>
            <w:color w:val="000000"/>
          </w:rPr>
          <w:tag w:val="MENDELEY_CITATION_v3_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"/>
          <w:id w:val="-641723162"/>
          <w:placeholder>
            <w:docPart w:val="53263D66753F864BA248D609BD120A46"/>
          </w:placeholder>
        </w:sdtPr>
        <w:sdtContent>
          <w:r w:rsidRPr="00273871">
            <w:rPr>
              <w:color w:val="000000"/>
            </w:rPr>
            <w:t>(US EPA, 2022)</w:t>
          </w:r>
        </w:sdtContent>
      </w:sdt>
      <w:r>
        <w:t>.</w:t>
      </w:r>
    </w:p>
    <w:p w14:paraId="23B3C8A4" w14:textId="77777777" w:rsidR="008C1AD8" w:rsidRDefault="008C1AD8" w:rsidP="008C1AD8">
      <w:r>
        <w:t xml:space="preserve">Urban development can also impact upon water quality through polluting runoff. Stormwater from urban areas contains a range of pollutants, including sediments, nutrients, organics, heavy metals, bacteria, viruses, and litter </w:t>
      </w:r>
      <w:sdt>
        <w:sdtPr>
          <w:rPr>
            <w:color w:val="000000"/>
          </w:rPr>
          <w:tag w:val="MENDELEY_CITATION_v3_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"/>
          <w:id w:val="-360665814"/>
          <w:placeholder>
            <w:docPart w:val="53263D66753F864BA248D609BD120A46"/>
          </w:placeholder>
        </w:sdtPr>
        <w:sdtContent>
          <w:r>
            <w:rPr>
              <w:rFonts w:eastAsia="Times New Roman"/>
            </w:rPr>
            <w:t xml:space="preserve">(Shahzad </w:t>
          </w:r>
          <w:r>
            <w:rPr>
              <w:rFonts w:eastAsia="Times New Roman"/>
              <w:i/>
              <w:iCs/>
            </w:rPr>
            <w:t>et al.</w:t>
          </w:r>
          <w:r>
            <w:rPr>
              <w:rFonts w:eastAsia="Times New Roman"/>
            </w:rPr>
            <w:t>, 2022)</w:t>
          </w:r>
        </w:sdtContent>
      </w:sdt>
    </w:p>
    <w:p w14:paraId="43250203" w14:textId="77777777" w:rsidR="008C1AD8" w:rsidRDefault="008C1AD8" w:rsidP="008C1AD8">
      <w:pPr>
        <w:pStyle w:val="Heading5"/>
      </w:pPr>
      <w:r>
        <w:t>How impacts can affect the Ramsar site</w:t>
      </w:r>
    </w:p>
    <w:p w14:paraId="7DCAFD09" w14:textId="77777777" w:rsidR="008C1AD8" w:rsidRDefault="008C1AD8" w:rsidP="008C1AD8">
      <w:r>
        <w:t xml:space="preserve">Water flows and quality in the Ramsar site may be affected through development in the areas of the WGGA and NGGA that are hydrologically linked. </w:t>
      </w:r>
      <w:r w:rsidRPr="00A37023">
        <w:t xml:space="preserve">As outlined previously, </w:t>
      </w:r>
      <w:r>
        <w:t>this relates to</w:t>
      </w:r>
      <w:r w:rsidRPr="00A37023">
        <w:t xml:space="preserve"> Limeburners Bay (via Hovells Creek) and the Lake Connewarre Complex (via the Moorabool and Barwon Rivers) (see Section </w:t>
      </w:r>
      <w:r w:rsidRPr="00A37023">
        <w:fldChar w:fldCharType="begin"/>
      </w:r>
      <w:r w:rsidRPr="00A37023">
        <w:instrText xml:space="preserve"> REF _Ref113619573 \r \h  \* MERGEFORMAT </w:instrText>
      </w:r>
      <w:r w:rsidRPr="00A37023">
        <w:fldChar w:fldCharType="separate"/>
      </w:r>
      <w:r>
        <w:t>22.6</w:t>
      </w:r>
      <w:r w:rsidRPr="00A37023">
        <w:fldChar w:fldCharType="end"/>
      </w:r>
      <w:r w:rsidRPr="00A37023">
        <w:t>). The potential indirect impacts on water flows and quality for these areas is discussed below.</w:t>
      </w:r>
    </w:p>
    <w:p w14:paraId="6F5A3B34" w14:textId="77777777" w:rsidR="008C1AD8" w:rsidRDefault="008C1AD8" w:rsidP="008C1AD8">
      <w:pPr>
        <w:pStyle w:val="Heading6"/>
      </w:pPr>
      <w:r>
        <w:t>Point Wilson / Limeburners Bay</w:t>
      </w:r>
    </w:p>
    <w:p w14:paraId="739E1A2C" w14:textId="77777777" w:rsidR="008C1AD8" w:rsidRDefault="008C1AD8" w:rsidP="008C1AD8">
      <w:r>
        <w:t xml:space="preserve">Potential changes to water flows and quality at Point Wilson / Limeburners may impact vegetation and habitat for threatened fauna. </w:t>
      </w:r>
    </w:p>
    <w:p w14:paraId="135EF390" w14:textId="77777777" w:rsidR="008C1AD8" w:rsidRDefault="008C1AD8" w:rsidP="008C1AD8">
      <w:r>
        <w:t xml:space="preserve">The area supports both seagrass and saltmarsh vegetation. Mapping of seagrass distribution has identified that the Point Wilson area contains a mix of medium and sparse </w:t>
      </w:r>
      <w:r>
        <w:rPr>
          <w:i/>
          <w:iCs/>
        </w:rPr>
        <w:t xml:space="preserve">Zostera </w:t>
      </w:r>
      <w:r>
        <w:t xml:space="preserve">spp. and the only significant patches of </w:t>
      </w:r>
      <w:r>
        <w:rPr>
          <w:i/>
          <w:iCs/>
        </w:rPr>
        <w:t xml:space="preserve">Halophila ovalis </w:t>
      </w:r>
      <w:r>
        <w:t xml:space="preserve">that occur within the area. Point Wilson also supports saltmarsh, although the extent is likely to have reduced since the time of listing </w:t>
      </w:r>
      <w:sdt>
        <w:sdtPr>
          <w:rPr>
            <w:color w:val="000000"/>
          </w:rPr>
          <w:tag w:val="MENDELEY_CITATION_v3_eyJjaXRhdGlvbklEIjoiTUVOREVMRVlfQ0lUQVRJT05fMzRlMjdmMDAtNjI2My00ZDQwLWFlOTctZDRkZmE2NjE2Y2Uz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890074034"/>
          <w:placeholder>
            <w:docPart w:val="53263D66753F864BA248D609BD120A46"/>
          </w:placeholder>
        </w:sdtPr>
        <w:sdtContent>
          <w:r w:rsidRPr="00273871">
            <w:rPr>
              <w:color w:val="000000"/>
            </w:rPr>
            <w:t>(DELWP, 2020)</w:t>
          </w:r>
        </w:sdtContent>
      </w:sdt>
      <w:r>
        <w:t>.</w:t>
      </w:r>
    </w:p>
    <w:p w14:paraId="3CB28C3E" w14:textId="77777777" w:rsidR="008C1AD8" w:rsidRDefault="008C1AD8" w:rsidP="008C1AD8">
      <w:r>
        <w:t xml:space="preserve">The area also supports a number of threatened fauna species. This includes estuarine and marine fish, breeding of </w:t>
      </w:r>
      <w:r>
        <w:rPr>
          <w:i/>
          <w:iCs/>
        </w:rPr>
        <w:t xml:space="preserve">Sternula nereis </w:t>
      </w:r>
      <w:r>
        <w:t xml:space="preserve">(Fairy Tern), and a number of migratory shorebirds. The area along the coast between Point Wilson and the Werribee River mouth is also considered to contain the most important sites for the Orange Bellied Parrot in Victoria </w:t>
      </w:r>
      <w:sdt>
        <w:sdtPr>
          <w:rPr>
            <w:color w:val="000000"/>
          </w:rPr>
          <w:tag w:val="MENDELEY_CITATION_v3_eyJjaXRhdGlvbklEIjoiTUVOREVMRVlfQ0lUQVRJT05fZWFkMzRjZTgtOTMxNC00NDk4LWI3OTYtNTRhNjAyNzFjYmJl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678656495"/>
          <w:placeholder>
            <w:docPart w:val="53263D66753F864BA248D609BD120A46"/>
          </w:placeholder>
        </w:sdtPr>
        <w:sdtContent>
          <w:r w:rsidRPr="00273871">
            <w:rPr>
              <w:color w:val="000000"/>
            </w:rPr>
            <w:t>(DELWP, 2020)</w:t>
          </w:r>
        </w:sdtContent>
      </w:sdt>
      <w:r>
        <w:t>.</w:t>
      </w:r>
    </w:p>
    <w:p w14:paraId="28BAF174" w14:textId="77777777" w:rsidR="008C1AD8" w:rsidRDefault="008C1AD8" w:rsidP="008C1AD8">
      <w:r>
        <w:t>The potential influence on the hydrological values of the Point Wilson/Limeburners Bay area as a result of development within the NGGA is expected to be small given:</w:t>
      </w:r>
    </w:p>
    <w:p w14:paraId="26CDBB32" w14:textId="77777777" w:rsidR="008C1AD8" w:rsidRDefault="008C1AD8" w:rsidP="008C1AD8">
      <w:pPr>
        <w:pStyle w:val="Bullet1"/>
      </w:pPr>
      <w:r>
        <w:t>The small area of the development (4.6%) relative to the size of the Hovells Creek catchment</w:t>
      </w:r>
    </w:p>
    <w:p w14:paraId="3D932EA7" w14:textId="77777777" w:rsidR="008C1AD8" w:rsidRDefault="008C1AD8" w:rsidP="008C1AD8">
      <w:pPr>
        <w:pStyle w:val="Bullet1"/>
      </w:pPr>
      <w:r>
        <w:t>The greater apparent level of tidal versus freshwater influence of Limeburners Bay as indicated by the:</w:t>
      </w:r>
    </w:p>
    <w:p w14:paraId="52718D11" w14:textId="77777777" w:rsidR="008C1AD8" w:rsidRDefault="008C1AD8" w:rsidP="008C1AD8">
      <w:pPr>
        <w:pStyle w:val="Bullet2"/>
      </w:pPr>
      <w:r>
        <w:t>Relatively small size of Hovells Creek</w:t>
      </w:r>
    </w:p>
    <w:p w14:paraId="693D9B31" w14:textId="77777777" w:rsidR="008C1AD8" w:rsidRDefault="008C1AD8" w:rsidP="008C1AD8">
      <w:pPr>
        <w:pStyle w:val="Bullet2"/>
      </w:pPr>
      <w:r>
        <w:t>Location and extent of mangroves along the banks of Limeburners Bay</w:t>
      </w:r>
    </w:p>
    <w:p w14:paraId="7B7794B8" w14:textId="77777777" w:rsidR="008C1AD8" w:rsidRDefault="008C1AD8" w:rsidP="008C1AD8">
      <w:pPr>
        <w:pStyle w:val="Bullet2"/>
      </w:pPr>
      <w:r>
        <w:t xml:space="preserve">Fact that decreased </w:t>
      </w:r>
      <w:r w:rsidRPr="00614C3F">
        <w:t xml:space="preserve">salinity and altered water regimes </w:t>
      </w:r>
      <w:r>
        <w:t>as a result of stormwater inflows are not identified as a threat to the Point Wilson/Limeburners Bay area of the Ramsar site</w:t>
      </w:r>
    </w:p>
    <w:p w14:paraId="35914297" w14:textId="77777777" w:rsidR="008C1AD8" w:rsidRDefault="008C1AD8" w:rsidP="008C1AD8">
      <w:pPr>
        <w:pStyle w:val="Bullet1"/>
      </w:pPr>
      <w:r>
        <w:t>The distance between the NGGA and Limeburners Bay (approximately 9-10 km)</w:t>
      </w:r>
    </w:p>
    <w:p w14:paraId="20B47C57" w14:textId="77777777" w:rsidR="008C1AD8" w:rsidRPr="001E0BFF" w:rsidRDefault="008C1AD8" w:rsidP="008C1AD8">
      <w:r>
        <w:lastRenderedPageBreak/>
        <w:t xml:space="preserve">The measures described below, which will lead to more detailed analysis, mitigation and management of these potential impacts, will ensure that any residual risks associated with stormwater and catchment inflows are adequately addressed. </w:t>
      </w:r>
    </w:p>
    <w:p w14:paraId="4712D525" w14:textId="77777777" w:rsidR="008C1AD8" w:rsidRDefault="008C1AD8" w:rsidP="008C1AD8">
      <w:pPr>
        <w:pStyle w:val="Heading6"/>
      </w:pPr>
      <w:r>
        <w:t>Lake Connewarre Complex</w:t>
      </w:r>
    </w:p>
    <w:p w14:paraId="3887C77B" w14:textId="77777777" w:rsidR="008C1AD8" w:rsidRDefault="008C1AD8" w:rsidP="008C1AD8">
      <w:r>
        <w:t xml:space="preserve">The greatest risk in relation to stormwater and catchment inflows at the Ramsar site is at Lake Connewarre. The interaction between freshwater inflows and tidal exchange in the Lake Connewarre Complex is considered to be critical to the ecological character of the site. The Lake Connewarre Complex has a salinity gradient from fresher conditions at Reedy Lake to saline in the Barwon Estuary. The lake receives freshwater inflows from the Barwon river through Reedy Lake when flows overtop the boundary between the two wetlands. Fresh water flows are generally restricted to winter / spring when river discharge is the highest </w:t>
      </w:r>
      <w:sdt>
        <w:sdtPr>
          <w:rPr>
            <w:color w:val="000000"/>
          </w:rPr>
          <w:tag w:val="MENDELEY_CITATION_v3_eyJjaXRhdGlvbklEIjoiTUVOREVMRVlfQ0lUQVRJT05fOWRiMGM5M2YtYTAzYi00ZWJjLTgwYzAtOTY1MmZiN2E3MWVm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2139643213"/>
          <w:placeholder>
            <w:docPart w:val="53263D66753F864BA248D609BD120A46"/>
          </w:placeholder>
        </w:sdtPr>
        <w:sdtContent>
          <w:r w:rsidRPr="00273871">
            <w:rPr>
              <w:color w:val="000000"/>
            </w:rPr>
            <w:t>(DELWP, 2020)</w:t>
          </w:r>
        </w:sdtContent>
      </w:sdt>
      <w:r>
        <w:t>. Changes to the salinity caused by increased stormwater and catchment inflows has the potential to impact the vegetation of the site, and habitat for native fish.</w:t>
      </w:r>
    </w:p>
    <w:p w14:paraId="4BFC87C2" w14:textId="77777777" w:rsidR="008C1AD8" w:rsidRDefault="008C1AD8" w:rsidP="008C1AD8">
      <w:r>
        <w:t xml:space="preserve">Increased toxicants in catchment inflows from the Moorabool and Barwon Rivers has the potential to impact vegetation and threatened fauna habitat within the Lake Connewarre Complex. The lake contains 68 per cent of the total saltmarsh within the broader site, while also supporting mangrove shrubland and freshwater wetland vegetation including lignum shrubland. Reedy Lake, the Barwon River Estuary and Lake Connewarre are important areas for native fish where over 20 species have been recorded. The Barwon river estuary is also an important migratory route for native fish. Lake Connewarre supports significant numbers of migratory shorebirds and Reedy Lake within the Lake Connewarre Complex is an important breeding site for colonial nesting </w:t>
      </w:r>
      <w:sdt>
        <w:sdtPr>
          <w:rPr>
            <w:color w:val="000000"/>
          </w:rPr>
          <w:tag w:val="MENDELEY_CITATION_v3_eyJjaXRhdGlvbklEIjoiTUVOREVMRVlfQ0lUQVRJT05fN2JjNDBiNTktZDI4MC00NGZlLTg4MWUtOWJmMzhmOTQ4NTk4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440795999"/>
          <w:placeholder>
            <w:docPart w:val="53263D66753F864BA248D609BD120A46"/>
          </w:placeholder>
        </w:sdtPr>
        <w:sdtContent>
          <w:r w:rsidRPr="00273871">
            <w:rPr>
              <w:color w:val="000000"/>
            </w:rPr>
            <w:t>(DELWP, 2020)</w:t>
          </w:r>
        </w:sdtContent>
      </w:sdt>
      <w:r>
        <w:t>.</w:t>
      </w:r>
    </w:p>
    <w:p w14:paraId="31F101A8" w14:textId="77777777" w:rsidR="008C1AD8" w:rsidRDefault="008C1AD8" w:rsidP="008C1AD8">
      <w:r>
        <w:t>The potential influence on the interaction between freshwater inflows and tidal exchange in the Lake Connewarre Complex, and water quality indicators, as a result of development in the Growth Areas is expected to be small given:</w:t>
      </w:r>
    </w:p>
    <w:p w14:paraId="05D95E41" w14:textId="77777777" w:rsidR="008C1AD8" w:rsidRDefault="008C1AD8" w:rsidP="008C1AD8">
      <w:pPr>
        <w:pStyle w:val="Bullet1"/>
      </w:pPr>
      <w:r>
        <w:t>The distance between the two locations (around 41 km stream length)</w:t>
      </w:r>
    </w:p>
    <w:p w14:paraId="7F019D61" w14:textId="77777777" w:rsidR="008C1AD8" w:rsidRDefault="008C1AD8" w:rsidP="008C1AD8">
      <w:pPr>
        <w:pStyle w:val="Bullet1"/>
      </w:pPr>
      <w:r>
        <w:t>The effect of the Batesford Quarry in interrupting flows and connectivity</w:t>
      </w:r>
    </w:p>
    <w:p w14:paraId="7BFF9429" w14:textId="77777777" w:rsidR="008C1AD8" w:rsidRDefault="008C1AD8" w:rsidP="008C1AD8">
      <w:r>
        <w:t xml:space="preserve">The measures described below, which will lead to more detailed analysis, mitigation and management of these potential impacts, will ensure that any residual risks associated with stormwater and catchment inflows are adequately addressed. </w:t>
      </w:r>
    </w:p>
    <w:p w14:paraId="16E3E7C0" w14:textId="77777777" w:rsidR="008C1AD8" w:rsidRPr="006E01B7" w:rsidRDefault="008C1AD8" w:rsidP="008C1AD8">
      <w:pPr>
        <w:pStyle w:val="Heading5"/>
      </w:pPr>
      <w:r w:rsidRPr="006E01B7">
        <w:t>Commitments to address indirect impacts</w:t>
      </w:r>
    </w:p>
    <w:p w14:paraId="403E7828" w14:textId="77777777" w:rsidR="008C1AD8" w:rsidRDefault="008C1AD8" w:rsidP="008C1AD8">
      <w:r>
        <w:t>The Plan includes a specific Commitm</w:t>
      </w:r>
      <w:r w:rsidRPr="008F1767">
        <w:t>ent (</w:t>
      </w:r>
      <w:r w:rsidRPr="009E63A2">
        <w:t xml:space="preserve">Commitment </w:t>
      </w:r>
      <w:r>
        <w:t>9</w:t>
      </w:r>
      <w:r w:rsidRPr="008F1767">
        <w:t>) to</w:t>
      </w:r>
      <w:r w:rsidRPr="000221CA">
        <w:t xml:space="preserve"> minimise the indirect impacts of the development on protected matters associated with waterways, riparian areas and wetlands</w:t>
      </w:r>
      <w:r>
        <w:t>,</w:t>
      </w:r>
      <w:r w:rsidRPr="000221CA">
        <w:t xml:space="preserve"> including</w:t>
      </w:r>
      <w:r>
        <w:t xml:space="preserve"> the ecological character of the </w:t>
      </w:r>
      <w:r w:rsidRPr="008B7189">
        <w:t>Port Phillip Bay (Western Shoreline) and Bellarine Peninsula Ramsar site</w:t>
      </w:r>
      <w:r>
        <w:t xml:space="preserve">. The measures relevant to water flow and quality that will be undertaken to deliver on this Commitment include: </w:t>
      </w:r>
    </w:p>
    <w:p w14:paraId="37947458" w14:textId="77777777" w:rsidR="008C1AD8" w:rsidRDefault="008C1AD8" w:rsidP="008C1AD8">
      <w:pPr>
        <w:pStyle w:val="Bullet1"/>
      </w:pPr>
      <w:r>
        <w:t>Undertaking relevant technical studies to understand the key risks from development on protected matters associated with Hovells Creek and the Moorabool River. These studies will be undertaken prior to PSP preparation for each relevant precinct and will:</w:t>
      </w:r>
    </w:p>
    <w:p w14:paraId="55401754" w14:textId="77777777" w:rsidR="008C1AD8" w:rsidRDefault="008C1AD8" w:rsidP="008C1AD8">
      <w:pPr>
        <w:pStyle w:val="Bullet2"/>
      </w:pPr>
      <w:r>
        <w:t>Address potential risks associated with changes to water quality and hydrology as a result of development within the Growth Areas</w:t>
      </w:r>
    </w:p>
    <w:p w14:paraId="16CBD6AC" w14:textId="77777777" w:rsidR="008C1AD8" w:rsidRDefault="008C1AD8" w:rsidP="008C1AD8">
      <w:pPr>
        <w:pStyle w:val="Bullet2"/>
      </w:pPr>
      <w:r>
        <w:t>Identify appropriate measures, standards or targets to avoid and minimise adverse impacts on protected matters including, as relevant:</w:t>
      </w:r>
    </w:p>
    <w:p w14:paraId="24F74034" w14:textId="77777777" w:rsidR="008C1AD8" w:rsidRDefault="008C1AD8" w:rsidP="008C1AD8">
      <w:pPr>
        <w:pStyle w:val="Bullet3"/>
      </w:pPr>
      <w:r>
        <w:t>Water quality parameters</w:t>
      </w:r>
    </w:p>
    <w:p w14:paraId="3C66DBD0" w14:textId="77777777" w:rsidR="008C1AD8" w:rsidRDefault="008C1AD8" w:rsidP="008C1AD8">
      <w:pPr>
        <w:pStyle w:val="Bullet3"/>
      </w:pPr>
      <w:r>
        <w:t>Water retention and flow management requirements</w:t>
      </w:r>
    </w:p>
    <w:p w14:paraId="510B9AFF" w14:textId="77777777" w:rsidR="008C1AD8" w:rsidRDefault="008C1AD8" w:rsidP="008C1AD8">
      <w:pPr>
        <w:pStyle w:val="Bullet3"/>
      </w:pPr>
      <w:r>
        <w:t>Limits on extraction or use</w:t>
      </w:r>
    </w:p>
    <w:p w14:paraId="4545F9B6" w14:textId="77777777" w:rsidR="008C1AD8" w:rsidRDefault="008C1AD8" w:rsidP="008C1AD8">
      <w:pPr>
        <w:pStyle w:val="Bullet3"/>
      </w:pPr>
      <w:r>
        <w:t xml:space="preserve">Habitat buffer requirements </w:t>
      </w:r>
    </w:p>
    <w:p w14:paraId="28898320" w14:textId="77777777" w:rsidR="008C1AD8" w:rsidRDefault="008C1AD8" w:rsidP="008C1AD8">
      <w:pPr>
        <w:pStyle w:val="Bullet3"/>
      </w:pPr>
      <w:r>
        <w:t>Monitoring and reporting</w:t>
      </w:r>
    </w:p>
    <w:p w14:paraId="3E782B75" w14:textId="77777777" w:rsidR="008C1AD8" w:rsidRDefault="008C1AD8" w:rsidP="008C1AD8">
      <w:pPr>
        <w:pStyle w:val="Bullet1"/>
      </w:pPr>
      <w:r w:rsidRPr="008E2F0A">
        <w:t>Prepar</w:t>
      </w:r>
      <w:r>
        <w:t>ing</w:t>
      </w:r>
      <w:r w:rsidRPr="008E2F0A">
        <w:t xml:space="preserve"> guidelines based on the results of the relevant technical studies to guide the preparation of PSPs and decisions on planning permits and permit conditions to ensure risks to protected matters in relation to indirect and downstream impacts are adequately managed </w:t>
      </w:r>
    </w:p>
    <w:p w14:paraId="2327F043" w14:textId="77777777" w:rsidR="008C1AD8" w:rsidRDefault="008C1AD8" w:rsidP="008C1AD8">
      <w:pPr>
        <w:pStyle w:val="Bullet1"/>
      </w:pPr>
      <w:r>
        <w:t>Undertaking a planning scheme amendment or other appropriate process to ensure guidelines are considered during preparation of PSPs and in decisions on planning permits and permit conditions</w:t>
      </w:r>
    </w:p>
    <w:p w14:paraId="4E38FC20" w14:textId="77777777" w:rsidR="008C1AD8" w:rsidRDefault="008C1AD8" w:rsidP="008C1AD8">
      <w:pPr>
        <w:keepNext/>
        <w:keepLines/>
      </w:pPr>
      <w:r>
        <w:lastRenderedPageBreak/>
        <w:t>There are also a range of existing measures within the planning system that address changes to water flows and quality. The Geelong Planning Scheme includes requirements to:</w:t>
      </w:r>
    </w:p>
    <w:p w14:paraId="7B2D43E5" w14:textId="77777777" w:rsidR="008C1AD8" w:rsidRDefault="008C1AD8" w:rsidP="008C1AD8">
      <w:pPr>
        <w:pStyle w:val="Bullet1"/>
      </w:pPr>
      <w:r>
        <w:t>Ensure land use on floodplains minimises the risk of waterway contamination during flooding (Clause 13.03-1S)</w:t>
      </w:r>
    </w:p>
    <w:p w14:paraId="12929417" w14:textId="77777777" w:rsidR="008C1AD8" w:rsidRDefault="008C1AD8" w:rsidP="008C1AD8">
      <w:pPr>
        <w:pStyle w:val="Bullet1"/>
      </w:pPr>
      <w:r>
        <w:t>Prevent inappropriate development in areas prone to erosion (Clause 13.04-1S)</w:t>
      </w:r>
    </w:p>
    <w:p w14:paraId="1C47FF6A" w14:textId="77777777" w:rsidR="008C1AD8" w:rsidRDefault="008C1AD8" w:rsidP="008C1AD8">
      <w:pPr>
        <w:pStyle w:val="Bullet1"/>
      </w:pPr>
      <w:r>
        <w:t>R</w:t>
      </w:r>
      <w:r w:rsidRPr="00372B49">
        <w:t>etain natural drai</w:t>
      </w:r>
      <w:r>
        <w:t>nage corridors, minimise runoff volume from developed areas, filter sediment and waste from stormwater prior to discharge, ensure land use and development minimises nutrient contributions to runoff, and implement measures to minimise sediment discharge from construction sites</w:t>
      </w:r>
      <w:r w:rsidRPr="00372B49">
        <w:t xml:space="preserve"> (Clause 14.02-1S)</w:t>
      </w:r>
    </w:p>
    <w:p w14:paraId="111E3CCF" w14:textId="77777777" w:rsidR="008C1AD8" w:rsidRDefault="008C1AD8" w:rsidP="008C1AD8">
      <w:pPr>
        <w:pStyle w:val="Bullet1"/>
      </w:pPr>
      <w:r>
        <w:t>Minimise impacts to water quality through ensuring that land uses which have potential to produce contaminated runoff are appropriately sited and managed (Clause 14.02-2S)</w:t>
      </w:r>
    </w:p>
    <w:p w14:paraId="500F869F" w14:textId="77777777" w:rsidR="008C1AD8" w:rsidRDefault="008C1AD8" w:rsidP="008C1AD8">
      <w:pPr>
        <w:pStyle w:val="Bullet1"/>
      </w:pPr>
      <w:r>
        <w:t>Implement integrated water management to sustainably manage water supply and demand, water resources, wastewater, drainage, and stormwater</w:t>
      </w:r>
      <w:r w:rsidRPr="00372B49">
        <w:t xml:space="preserve"> (Clause 19.03-3S) </w:t>
      </w:r>
    </w:p>
    <w:p w14:paraId="7EAC6F27" w14:textId="77777777" w:rsidR="008C1AD8" w:rsidRDefault="008C1AD8" w:rsidP="008C1AD8">
      <w:r>
        <w:t xml:space="preserve">The Geelong Planning Scheme also includes a range of requirements to ensure stormwater management meets appropriate </w:t>
      </w:r>
      <w:r w:rsidRPr="00372B49">
        <w:t>objectives and standards, including objectives for stormwater qualit</w:t>
      </w:r>
      <w:r>
        <w:t xml:space="preserve">y. The key measures are </w:t>
      </w:r>
      <w:r w:rsidRPr="007E1F4E">
        <w:t>summarised in the BCS, Section 4.3</w:t>
      </w:r>
      <w:r>
        <w:t xml:space="preserve">, </w:t>
      </w:r>
      <w:r w:rsidRPr="007E1F4E">
        <w:t>Table 12</w:t>
      </w:r>
      <w:r>
        <w:t>. For example, a</w:t>
      </w:r>
      <w:r w:rsidRPr="00D12451">
        <w:t xml:space="preserve"> key objective/standard is Clause 56.07-4, which says - an application for subdivision or development must meet stormwater objectives and standards, including objectives for stormwater quality in the </w:t>
      </w:r>
      <w:r w:rsidRPr="00BF4675">
        <w:rPr>
          <w:i/>
          <w:iCs/>
        </w:rPr>
        <w:t xml:space="preserve">Urban Stormwater – Best Practice Environmental Management Guidelines </w:t>
      </w:r>
      <w:r w:rsidRPr="00D12451">
        <w:t>(Victorian Stormwater Committee, 1999)</w:t>
      </w:r>
      <w:r>
        <w:t>.</w:t>
      </w:r>
    </w:p>
    <w:p w14:paraId="383132DD" w14:textId="77777777" w:rsidR="008C1AD8" w:rsidRPr="008F1767" w:rsidRDefault="008C1AD8" w:rsidP="008C1AD8">
      <w:r w:rsidRPr="00372B49">
        <w:t>The NWGGA Framework Plan also includes various mitigation-related actions to address water flows and quality, including</w:t>
      </w:r>
      <w:r>
        <w:t xml:space="preserve"> implementation of</w:t>
      </w:r>
      <w:r w:rsidRPr="00372B49">
        <w:t xml:space="preserve"> riparian buffers</w:t>
      </w:r>
      <w:r>
        <w:t>,</w:t>
      </w:r>
      <w:r w:rsidRPr="00372B49">
        <w:t xml:space="preserve"> and the preparation of masterplans for Cowies Creek and Barwon and </w:t>
      </w:r>
      <w:r w:rsidRPr="008F1767">
        <w:t xml:space="preserve">Moorabool rivers for integrated water management. </w:t>
      </w:r>
    </w:p>
    <w:p w14:paraId="52792053" w14:textId="77777777" w:rsidR="008C1AD8" w:rsidRDefault="008C1AD8" w:rsidP="008C1AD8">
      <w:r w:rsidRPr="009E63A2">
        <w:t>Commitment 7</w:t>
      </w:r>
      <w:r w:rsidRPr="008F1767">
        <w:t xml:space="preserve"> of</w:t>
      </w:r>
      <w:r>
        <w:t xml:space="preserve"> the Plan ensures that these standard mitigation measures will continue to be implemented over the life of the Plan. Refer to </w:t>
      </w:r>
      <w:r w:rsidRPr="009E63A2">
        <w:t>Section 5.5 of Chapter 5</w:t>
      </w:r>
      <w:r w:rsidRPr="00533BC8">
        <w:t xml:space="preserve"> for</w:t>
      </w:r>
      <w:r>
        <w:t xml:space="preserve"> a more detailed description of these existing measures.</w:t>
      </w:r>
    </w:p>
    <w:p w14:paraId="0BD9FA67" w14:textId="77777777" w:rsidR="008C1AD8" w:rsidRDefault="008C1AD8" w:rsidP="008C1AD8">
      <w:r>
        <w:t xml:space="preserve">Implementation </w:t>
      </w:r>
      <w:r w:rsidRPr="008F1767">
        <w:t xml:space="preserve">of </w:t>
      </w:r>
      <w:r w:rsidRPr="009E63A2">
        <w:t xml:space="preserve">Commitments 7 and </w:t>
      </w:r>
      <w:r>
        <w:t>9</w:t>
      </w:r>
      <w:r w:rsidRPr="008F1767">
        <w:t xml:space="preserve"> under</w:t>
      </w:r>
      <w:r>
        <w:t xml:space="preserve"> the Plan will adequately minimise the risk of adverse impacts to the Ramsar site associated with changes to water flow and quality.</w:t>
      </w:r>
    </w:p>
    <w:p w14:paraId="44680A9F" w14:textId="77777777" w:rsidR="008C1AD8" w:rsidRPr="008D7054" w:rsidRDefault="008C1AD8" w:rsidP="008C1AD8">
      <w:pPr>
        <w:pStyle w:val="Heading4"/>
      </w:pPr>
      <w:r w:rsidRPr="008D7054">
        <w:t>Disturbance from increased public access to natural areas</w:t>
      </w:r>
    </w:p>
    <w:p w14:paraId="666C615B" w14:textId="77777777" w:rsidR="008C1AD8" w:rsidRDefault="008C1AD8" w:rsidP="008C1AD8">
      <w:pPr>
        <w:pStyle w:val="Heading5"/>
        <w:rPr>
          <w:rFonts w:eastAsiaTheme="majorEastAsia"/>
        </w:rPr>
      </w:pPr>
      <w:r>
        <w:rPr>
          <w:rFonts w:eastAsiaTheme="majorEastAsia"/>
        </w:rPr>
        <w:t>Mechanism of impact</w:t>
      </w:r>
    </w:p>
    <w:p w14:paraId="66DFD9F7" w14:textId="77777777" w:rsidR="008C1AD8" w:rsidRPr="008D7054" w:rsidRDefault="008C1AD8" w:rsidP="008C1AD8">
      <w:r w:rsidRPr="008D7054">
        <w:t xml:space="preserve">Development under the Plan will lead to increased numbers of people in the Greater Geelong region that may </w:t>
      </w:r>
      <w:r>
        <w:t>cause</w:t>
      </w:r>
      <w:r w:rsidRPr="008D7054">
        <w:t xml:space="preserve"> increased visitation to </w:t>
      </w:r>
      <w:r>
        <w:t>the Ramsar site</w:t>
      </w:r>
      <w:r w:rsidRPr="008D7054">
        <w:t xml:space="preserve">. This has the potential to indirectly impact </w:t>
      </w:r>
      <w:r>
        <w:t>the Ramsar site</w:t>
      </w:r>
      <w:r w:rsidRPr="008D7054">
        <w:t xml:space="preserve"> through increased public access.</w:t>
      </w:r>
    </w:p>
    <w:p w14:paraId="34B9C6E0" w14:textId="77777777" w:rsidR="008C1AD8" w:rsidRPr="008D7054" w:rsidRDefault="008C1AD8" w:rsidP="008C1AD8">
      <w:r w:rsidRPr="008D7054">
        <w:t xml:space="preserve">The following threats identified in the Ecological Character Description of </w:t>
      </w:r>
      <w:r>
        <w:t>the Ramsar site</w:t>
      </w:r>
      <w:r w:rsidRPr="008D7054">
        <w:t xml:space="preserve"> are relevant </w:t>
      </w:r>
      <w:r>
        <w:t xml:space="preserve">to this issue </w:t>
      </w:r>
      <w:sdt>
        <w:sdtPr>
          <w:rPr>
            <w:color w:val="000000"/>
          </w:rPr>
          <w:tag w:val="MENDELEY_CITATION_v3_eyJjaXRhdGlvbklEIjoiTUVOREVMRVlfQ0lUQVRJT05fZWNlNmVhM2EtNjU0ZS00MDI1LTg0M2QtNGEwNTJlZDQzZGR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221029093"/>
          <w:placeholder>
            <w:docPart w:val="53263D66753F864BA248D609BD120A46"/>
          </w:placeholder>
        </w:sdtPr>
        <w:sdtContent>
          <w:r w:rsidRPr="00273871">
            <w:rPr>
              <w:color w:val="000000"/>
            </w:rPr>
            <w:t>(DELWP, 2020)</w:t>
          </w:r>
        </w:sdtContent>
      </w:sdt>
      <w:r w:rsidRPr="008D7054">
        <w:t>:</w:t>
      </w:r>
    </w:p>
    <w:p w14:paraId="560F59AA" w14:textId="77777777" w:rsidR="008C1AD8" w:rsidRPr="008D7054" w:rsidRDefault="008C1AD8" w:rsidP="008C1AD8">
      <w:pPr>
        <w:pStyle w:val="Bullet1"/>
      </w:pPr>
      <w:r w:rsidRPr="008D7054">
        <w:t>Litter (including micro-plastics) effects biota</w:t>
      </w:r>
    </w:p>
    <w:p w14:paraId="25EFA3E1" w14:textId="77777777" w:rsidR="008C1AD8" w:rsidRPr="008D7054" w:rsidRDefault="008C1AD8" w:rsidP="008C1AD8">
      <w:pPr>
        <w:pStyle w:val="Bullet1"/>
      </w:pPr>
      <w:r w:rsidRPr="008D7054">
        <w:t>Boats, jets skis, kite surfers disturbing waterbirds</w:t>
      </w:r>
    </w:p>
    <w:p w14:paraId="756EAF66" w14:textId="77777777" w:rsidR="008C1AD8" w:rsidRPr="008D7054" w:rsidRDefault="008C1AD8" w:rsidP="008C1AD8">
      <w:pPr>
        <w:pStyle w:val="Bullet1"/>
      </w:pPr>
      <w:r w:rsidRPr="008D7054">
        <w:t>Walkers, horse-riding disturbing waterbird feeding, breeding, and roosting</w:t>
      </w:r>
    </w:p>
    <w:p w14:paraId="324BD2E4" w14:textId="77777777" w:rsidR="008C1AD8" w:rsidRPr="008D7054" w:rsidRDefault="008C1AD8" w:rsidP="008C1AD8">
      <w:pPr>
        <w:pStyle w:val="Bullet1"/>
      </w:pPr>
      <w:r w:rsidRPr="008D7054">
        <w:t>Vehicles damaging saltmarsh</w:t>
      </w:r>
    </w:p>
    <w:p w14:paraId="21E651D1" w14:textId="77777777" w:rsidR="008C1AD8" w:rsidRDefault="008C1AD8" w:rsidP="008C1AD8">
      <w:pPr>
        <w:pStyle w:val="Bullet1"/>
      </w:pPr>
      <w:r w:rsidRPr="008D7054">
        <w:t>Duck hunting impacts to non-target species</w:t>
      </w:r>
    </w:p>
    <w:p w14:paraId="1BDD825D" w14:textId="77777777" w:rsidR="008C1AD8" w:rsidRPr="00AF011E" w:rsidRDefault="008C1AD8" w:rsidP="008C1AD8">
      <w:r>
        <w:t>The Ramsar site</w:t>
      </w:r>
      <w:r w:rsidRPr="00AF011E">
        <w:t xml:space="preserve"> is close to </w:t>
      </w:r>
      <w:r>
        <w:t xml:space="preserve">existing developed areas and </w:t>
      </w:r>
      <w:r w:rsidRPr="00AF011E">
        <w:t xml:space="preserve">is a popular destination for recreational activities. The recreational values of the </w:t>
      </w:r>
      <w:r>
        <w:t>site</w:t>
      </w:r>
      <w:r w:rsidRPr="00AF011E">
        <w:t xml:space="preserve"> are also listed as a component of </w:t>
      </w:r>
      <w:r>
        <w:t>its</w:t>
      </w:r>
      <w:r w:rsidRPr="00AF011E">
        <w:t xml:space="preserve"> Ecological Character (See </w:t>
      </w:r>
      <w:r w:rsidRPr="00AF011E">
        <w:fldChar w:fldCharType="begin"/>
      </w:r>
      <w:r w:rsidRPr="00AF011E">
        <w:instrText xml:space="preserve"> REF _Ref112917031 \h  \* MERGEFORMAT </w:instrText>
      </w:r>
      <w:r w:rsidRPr="00AF011E">
        <w:fldChar w:fldCharType="separate"/>
      </w:r>
      <w:r>
        <w:t xml:space="preserve">Table </w:t>
      </w:r>
      <w:r>
        <w:rPr>
          <w:noProof/>
        </w:rPr>
        <w:t>22</w:t>
      </w:r>
      <w:r>
        <w:rPr>
          <w:noProof/>
        </w:rPr>
        <w:noBreakHyphen/>
        <w:t>2</w:t>
      </w:r>
      <w:r w:rsidRPr="00AF011E">
        <w:fldChar w:fldCharType="end"/>
      </w:r>
      <w:r w:rsidRPr="00AF011E">
        <w:t>)</w:t>
      </w:r>
      <w:r>
        <w:t xml:space="preserve"> </w:t>
      </w:r>
      <w:sdt>
        <w:sdtPr>
          <w:rPr>
            <w:color w:val="000000"/>
          </w:rPr>
          <w:tag w:val="MENDELEY_CITATION_v3_eyJjaXRhdGlvbklEIjoiTUVOREVMRVlfQ0lUQVRJT05fZjc2MGFkZDItMzdiNC00NmE5LWFjZWItN2M2YTU1NDg0MDRi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081330367"/>
          <w:placeholder>
            <w:docPart w:val="53263D66753F864BA248D609BD120A46"/>
          </w:placeholder>
        </w:sdtPr>
        <w:sdtContent>
          <w:r w:rsidRPr="00273871">
            <w:rPr>
              <w:color w:val="000000"/>
            </w:rPr>
            <w:t>(DELWP, 2020)</w:t>
          </w:r>
        </w:sdtContent>
      </w:sdt>
      <w:r w:rsidRPr="00AF011E">
        <w:t>.</w:t>
      </w:r>
    </w:p>
    <w:p w14:paraId="1BDEEF8C" w14:textId="77777777" w:rsidR="008C1AD8" w:rsidRDefault="008C1AD8" w:rsidP="008C1AD8">
      <w:r>
        <w:t xml:space="preserve">This indirect impact is considered relevant to the three areas of the Ramsar site which occur within the Study Area. </w:t>
      </w:r>
    </w:p>
    <w:p w14:paraId="52988575" w14:textId="77777777" w:rsidR="008C1AD8" w:rsidRDefault="008C1AD8" w:rsidP="008C1AD8">
      <w:pPr>
        <w:pStyle w:val="Heading6"/>
      </w:pPr>
      <w:r>
        <w:t xml:space="preserve">Point Wilson / Limeburners Bay </w:t>
      </w:r>
    </w:p>
    <w:p w14:paraId="4044AACD" w14:textId="77777777" w:rsidR="008C1AD8" w:rsidRDefault="008C1AD8" w:rsidP="008C1AD8">
      <w:r>
        <w:t>Point Wilson / Limeburners is a designated public area managed by the City, Parks Victoria, and DELWP and occurs within the vicinity of significant urban development</w:t>
      </w:r>
      <w:r w:rsidRPr="00A303EA">
        <w:t xml:space="preserve">. </w:t>
      </w:r>
      <w:r>
        <w:t xml:space="preserve">The area includes Limeburners Lagoon State Nature Reserve which is managed by the City and Parks Victoria </w:t>
      </w:r>
      <w:sdt>
        <w:sdtPr>
          <w:rPr>
            <w:color w:val="000000"/>
          </w:rPr>
          <w:tag w:val="MENDELEY_CITATION_v3_eyJjaXRhdGlvbklEIjoiTUVOREVMRVlfQ0lUQVRJT05fMmIxYTkxNTMtZGY1NC00NGU0LTgzM2UtY2U1OTJkNmMyYWNl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41601982"/>
          <w:placeholder>
            <w:docPart w:val="53263D66753F864BA248D609BD120A46"/>
          </w:placeholder>
        </w:sdtPr>
        <w:sdtContent>
          <w:r w:rsidRPr="00273871">
            <w:rPr>
              <w:color w:val="000000"/>
            </w:rPr>
            <w:t>(DELWP, 2020)</w:t>
          </w:r>
        </w:sdtContent>
      </w:sdt>
      <w:r>
        <w:t>.</w:t>
      </w:r>
    </w:p>
    <w:p w14:paraId="25595763" w14:textId="77777777" w:rsidR="008C1AD8" w:rsidRPr="00EB2470" w:rsidRDefault="008C1AD8" w:rsidP="008C1AD8">
      <w:pPr>
        <w:rPr>
          <w:highlight w:val="yellow"/>
        </w:rPr>
      </w:pPr>
      <w:r>
        <w:lastRenderedPageBreak/>
        <w:t xml:space="preserve">The area is used recreationally for </w:t>
      </w:r>
      <w:r w:rsidRPr="00A303EA">
        <w:t>duck hunting during the season (March to June), small craft boating (such as canoes, kayaks,</w:t>
      </w:r>
      <w:r w:rsidRPr="00AF011E">
        <w:t xml:space="preserve"> and small fishing boats)</w:t>
      </w:r>
      <w:r>
        <w:t xml:space="preserve">, recreational fishing, walking, and horse riding. There are a number of visitor restrictions enforced by Parks Victoria intended to protect the biodiversity values of the area </w:t>
      </w:r>
      <w:sdt>
        <w:sdtPr>
          <w:rPr>
            <w:color w:val="000000"/>
          </w:rPr>
          <w:tag w:val="MENDELEY_CITATION_v3_eyJjaXRhdGlvbklEIjoiTUVOREVMRVlfQ0lUQVRJT05fZmUwZmQ1OGUtNzMzMy00Mjg0LThhZmQtNzQyN2I5ZDdiYzFl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495073218"/>
          <w:placeholder>
            <w:docPart w:val="53263D66753F864BA248D609BD120A46"/>
          </w:placeholder>
        </w:sdtPr>
        <w:sdtContent>
          <w:r w:rsidRPr="00273871">
            <w:rPr>
              <w:color w:val="000000"/>
            </w:rPr>
            <w:t>(DELWP, 2020)</w:t>
          </w:r>
        </w:sdtContent>
      </w:sdt>
      <w:r>
        <w:t>.</w:t>
      </w:r>
    </w:p>
    <w:p w14:paraId="6F7A2D6E" w14:textId="77777777" w:rsidR="008C1AD8" w:rsidRPr="00AF011E" w:rsidRDefault="008C1AD8" w:rsidP="008C1AD8">
      <w:r>
        <w:t>While development under the Plan may increase visitation to Point Wilson / Limeburners Bay, it is considered unlikely that the increased visitation will significantly exacerbate the existing impacts of recreation on this section of the Ramsar site.</w:t>
      </w:r>
    </w:p>
    <w:p w14:paraId="3D2DC534" w14:textId="77777777" w:rsidR="008C1AD8" w:rsidRDefault="008C1AD8" w:rsidP="008C1AD8">
      <w:pPr>
        <w:pStyle w:val="Heading6"/>
        <w:ind w:left="0" w:firstLine="0"/>
      </w:pPr>
      <w:r>
        <w:t>The Lake Connewarre Complex</w:t>
      </w:r>
    </w:p>
    <w:p w14:paraId="1FF3397A" w14:textId="77777777" w:rsidR="008C1AD8" w:rsidRDefault="008C1AD8" w:rsidP="008C1AD8">
      <w:r>
        <w:t xml:space="preserve">The Lake Connewarre Complex is a designated public area managed by Parks Victoria and occurs within the vicinity of significant urban development. The majority of the area is managed as </w:t>
      </w:r>
      <w:r w:rsidRPr="00AF011E">
        <w:t>the Lake Connewarre State Game Reserve</w:t>
      </w:r>
      <w:r>
        <w:t xml:space="preserve">, with a small portion of land on the eastern and southern side of the lake managed as a Nature Conservation Reserve </w:t>
      </w:r>
      <w:sdt>
        <w:sdtPr>
          <w:rPr>
            <w:color w:val="000000"/>
          </w:rPr>
          <w:tag w:val="MENDELEY_CITATION_v3_eyJjaXRhdGlvbklEIjoiTUVOREVMRVlfQ0lUQVRJT05fNmVmNTAyMzYtZmQ0Zi00ZWZjLThmNmYtNTkxY2RkOWY0MDBi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469979434"/>
          <w:placeholder>
            <w:docPart w:val="53263D66753F864BA248D609BD120A46"/>
          </w:placeholder>
        </w:sdtPr>
        <w:sdtContent>
          <w:r w:rsidRPr="00273871">
            <w:rPr>
              <w:color w:val="000000"/>
            </w:rPr>
            <w:t>(DELWP, 2020)</w:t>
          </w:r>
        </w:sdtContent>
      </w:sdt>
      <w:r>
        <w:t>.</w:t>
      </w:r>
    </w:p>
    <w:p w14:paraId="50F0D223" w14:textId="77777777" w:rsidR="008C1AD8" w:rsidRDefault="008C1AD8" w:rsidP="008C1AD8">
      <w:r>
        <w:t xml:space="preserve">The area is used recreationally for </w:t>
      </w:r>
      <w:r w:rsidRPr="00AF011E">
        <w:t>fishing (with a recreational fishing licence), small craft boating (such as canoes, kayaks, and small fishing boats) and duck hunting within designated areas during duck hunting season</w:t>
      </w:r>
      <w:r>
        <w:t xml:space="preserve"> (March to June)</w:t>
      </w:r>
      <w:r w:rsidRPr="00AF011E">
        <w:t>.</w:t>
      </w:r>
      <w:r>
        <w:t xml:space="preserve"> There are a number of visitor restrictions enforced by Parks Victoria intended to protect the biodiversity values of the area </w:t>
      </w:r>
      <w:sdt>
        <w:sdtPr>
          <w:rPr>
            <w:color w:val="000000"/>
          </w:rPr>
          <w:tag w:val="MENDELEY_CITATION_v3_eyJjaXRhdGlvbklEIjoiTUVOREVMRVlfQ0lUQVRJT05fOGRiZDYwNTUtNWNlZi00MjFjLTgwNmUtZTRkOTAxNzA5NzQ0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2090685647"/>
          <w:placeholder>
            <w:docPart w:val="53263D66753F864BA248D609BD120A46"/>
          </w:placeholder>
        </w:sdtPr>
        <w:sdtContent>
          <w:r w:rsidRPr="00273871">
            <w:rPr>
              <w:color w:val="000000"/>
            </w:rPr>
            <w:t>(DELWP, 2020)</w:t>
          </w:r>
        </w:sdtContent>
      </w:sdt>
      <w:r>
        <w:t>.</w:t>
      </w:r>
    </w:p>
    <w:p w14:paraId="41BA7A3B" w14:textId="77777777" w:rsidR="008C1AD8" w:rsidRPr="00AF011E" w:rsidRDefault="008C1AD8" w:rsidP="008C1AD8">
      <w:bookmarkStart w:id="144" w:name="OLE_LINK3"/>
      <w:bookmarkStart w:id="145" w:name="OLE_LINK4"/>
      <w:r>
        <w:t>While development under the Plan may increase visitation to the Lake Connewarre Complex, it is considered unlikely that the increased visitation will significantly exacerbate the existing impacts of recreation on this section of the Ramsar site.</w:t>
      </w:r>
    </w:p>
    <w:bookmarkEnd w:id="144"/>
    <w:bookmarkEnd w:id="145"/>
    <w:p w14:paraId="29F00A64" w14:textId="77777777" w:rsidR="008C1AD8" w:rsidRDefault="008C1AD8" w:rsidP="008C1AD8">
      <w:pPr>
        <w:pStyle w:val="Heading6"/>
      </w:pPr>
      <w:r>
        <w:t>Werribee / Avalon</w:t>
      </w:r>
    </w:p>
    <w:p w14:paraId="78CB79D0" w14:textId="77777777" w:rsidR="008C1AD8" w:rsidRDefault="008C1AD8" w:rsidP="008C1AD8">
      <w:r w:rsidRPr="003B31DE">
        <w:t>Werribee / Avalon is comprised of the Melbourne Water Western Treatment Plant, the Spit Wildlife Reserve, Werribee River Regional Park, Avalon Airfield, and a number of other private</w:t>
      </w:r>
      <w:r>
        <w:t xml:space="preserve"> and publicly </w:t>
      </w:r>
      <w:r w:rsidRPr="003B31DE">
        <w:t xml:space="preserve">managed areas. The area </w:t>
      </w:r>
      <w:r>
        <w:t xml:space="preserve">is a designated public area and occurs between Melbourne and Geelong </w:t>
      </w:r>
      <w:sdt>
        <w:sdtPr>
          <w:rPr>
            <w:color w:val="000000"/>
          </w:rPr>
          <w:tag w:val="MENDELEY_CITATION_v3_eyJjaXRhdGlvbklEIjoiTUVOREVMRVlfQ0lUQVRJT05fZWY5MWM4Y2QtMjY1YS00ZWEyLTk5OWEtZTc4MGMzNTViZjU2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843360368"/>
          <w:placeholder>
            <w:docPart w:val="53263D66753F864BA248D609BD120A46"/>
          </w:placeholder>
        </w:sdtPr>
        <w:sdtContent>
          <w:r w:rsidRPr="00273871">
            <w:rPr>
              <w:color w:val="000000"/>
            </w:rPr>
            <w:t>(DELWP, 2020)</w:t>
          </w:r>
        </w:sdtContent>
      </w:sdt>
      <w:r>
        <w:t>.</w:t>
      </w:r>
    </w:p>
    <w:p w14:paraId="310D1873" w14:textId="77777777" w:rsidR="008C1AD8" w:rsidRPr="003B31DE" w:rsidRDefault="008C1AD8" w:rsidP="008C1AD8">
      <w:r>
        <w:t xml:space="preserve">The area </w:t>
      </w:r>
      <w:r w:rsidRPr="003B31DE">
        <w:t>is</w:t>
      </w:r>
      <w:r>
        <w:t xml:space="preserve"> used recreationally for</w:t>
      </w:r>
      <w:r w:rsidRPr="003B31DE">
        <w:t xml:space="preserve"> small craft boating (such as canoes, kayaks, and small fishing boats), walking, horse riding and duck hunting within designated areas during duck hunting season</w:t>
      </w:r>
      <w:r>
        <w:t xml:space="preserve"> (March to June)</w:t>
      </w:r>
      <w:r w:rsidRPr="003B31DE">
        <w:t xml:space="preserve">. Duck hunting is prohibited within </w:t>
      </w:r>
      <w:r>
        <w:t xml:space="preserve">two areas of Werribee / Avalon, </w:t>
      </w:r>
      <w:r w:rsidRPr="003B31DE">
        <w:t>the Spit Wildlife Reserve and the Western Treatment Plant</w:t>
      </w:r>
      <w:r>
        <w:t>,</w:t>
      </w:r>
      <w:r w:rsidRPr="003B31DE">
        <w:t xml:space="preserve"> to protect priority locations for feeding shorebirds. There are a number of other visitor restrictions enforced by Parks Victoria in </w:t>
      </w:r>
      <w:r>
        <w:t xml:space="preserve">parts of </w:t>
      </w:r>
      <w:r w:rsidRPr="003B31DE">
        <w:t>Werribee / Avalon to protect the biodiversity values of the area</w:t>
      </w:r>
      <w:r>
        <w:t xml:space="preserve"> </w:t>
      </w:r>
      <w:sdt>
        <w:sdtPr>
          <w:rPr>
            <w:color w:val="000000"/>
          </w:rPr>
          <w:tag w:val="MENDELEY_CITATION_v3_eyJjaXRhdGlvbklEIjoiTUVOREVMRVlfQ0lUQVRJT05fMDJhZDVlZWEtZmJlOS00YzU4LWE5ZmItOTkxMjJhYWFkZmI4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543640954"/>
          <w:placeholder>
            <w:docPart w:val="53263D66753F864BA248D609BD120A46"/>
          </w:placeholder>
        </w:sdtPr>
        <w:sdtContent>
          <w:r w:rsidRPr="00273871">
            <w:rPr>
              <w:color w:val="000000"/>
            </w:rPr>
            <w:t>(DELWP, 2020)</w:t>
          </w:r>
        </w:sdtContent>
      </w:sdt>
      <w:r w:rsidRPr="003B31DE">
        <w:t>.</w:t>
      </w:r>
    </w:p>
    <w:p w14:paraId="5E6FBF3B" w14:textId="77777777" w:rsidR="008C1AD8" w:rsidRDefault="008C1AD8" w:rsidP="008C1AD8">
      <w:r w:rsidRPr="003B31DE">
        <w:t xml:space="preserve">While development under the Plan may increase visitation to Werribee / Avalon, it is unlikely that the increased visitation will significantly exacerbate the existing impacts of recreation on this section of </w:t>
      </w:r>
      <w:r>
        <w:t>the Ramsar site</w:t>
      </w:r>
      <w:r w:rsidRPr="003B31DE">
        <w:t>.</w:t>
      </w:r>
    </w:p>
    <w:p w14:paraId="000810E8" w14:textId="77777777" w:rsidR="008C1AD8" w:rsidRDefault="008C1AD8" w:rsidP="008C1AD8">
      <w:pPr>
        <w:pStyle w:val="Heading5"/>
        <w:ind w:left="0" w:firstLine="0"/>
      </w:pPr>
      <w:r>
        <w:t>Conclusion</w:t>
      </w:r>
    </w:p>
    <w:p w14:paraId="507D38EC" w14:textId="77777777" w:rsidR="008C1AD8" w:rsidRDefault="008C1AD8" w:rsidP="008C1AD8">
      <w:r>
        <w:t xml:space="preserve">Three areas of the </w:t>
      </w:r>
      <w:r w:rsidRPr="00AF011E">
        <w:t xml:space="preserve">Port Phillip Bay (Western Shoreline) and Bellarine Peninsula Ramsar </w:t>
      </w:r>
      <w:r>
        <w:t>s</w:t>
      </w:r>
      <w:r w:rsidRPr="00AF011E">
        <w:t>ite</w:t>
      </w:r>
      <w:r>
        <w:t xml:space="preserve"> occur within the Study Area (Point Wilson / Limeburners Bay, Werribee / Avalon, and the Lake Connewarre Complex). These areas within the vicinity of highly urbanised locations and are subject to a range existing recreational pressure. The areas are currently managed by the City, Parks Victoria, and DEWLP, with a number of existing measures in place to protect the biodiversity of these areas. Although urban development in the Growth Areas may increase public use of the Ramsar site, it is unlikely that the threat will be significantly exacerbated by development under the Plan. </w:t>
      </w:r>
    </w:p>
    <w:p w14:paraId="6EFD88C1" w14:textId="77777777" w:rsidR="008C1AD8" w:rsidRPr="00004746" w:rsidRDefault="008C1AD8" w:rsidP="008C1AD8">
      <w:pPr>
        <w:pStyle w:val="Heading2"/>
      </w:pPr>
      <w:bookmarkStart w:id="146" w:name="_Ref98854442"/>
      <w:bookmarkStart w:id="147" w:name="_Toc116037298"/>
      <w:bookmarkStart w:id="148" w:name="_Toc135122695"/>
      <w:r>
        <w:t>Addressing obligations under the Ramsar convention</w:t>
      </w:r>
      <w:bookmarkEnd w:id="146"/>
      <w:bookmarkEnd w:id="147"/>
      <w:bookmarkEnd w:id="148"/>
    </w:p>
    <w:p w14:paraId="0F74457C" w14:textId="77777777" w:rsidR="008C1AD8" w:rsidRDefault="008C1AD8" w:rsidP="008C1AD8">
      <w:r>
        <w:t xml:space="preserve">To satisfy requirements under section 146J of the EPBC Act, section 4.6 of the ToR requires the Assessment Report to consider the extent to which the impacts of the Plan are consistent with Australia’s international obligations, including the Ramsar Convention. The Ramsar Convention's broad aims are to halt the worldwide loss of wetlands and to conserve, through wise use and management, those that remain. This requires international cooperation, policy making, capacity building and technology transfer. </w:t>
      </w:r>
    </w:p>
    <w:p w14:paraId="7A9A52C7" w14:textId="77777777" w:rsidR="008C1AD8" w:rsidRPr="004B37A3" w:rsidRDefault="008C1AD8" w:rsidP="008C1AD8">
      <w:r>
        <w:t xml:space="preserve">The Ramsar Convention has been considered in the development of the Plan, which includes consideration of avoidance, mitigation, and management measures for Ramsar wetlands. </w:t>
      </w:r>
      <w:r w:rsidRPr="004B37A3">
        <w:t xml:space="preserve">The Plan includes </w:t>
      </w:r>
      <w:r>
        <w:t xml:space="preserve">a specific commitment with a number of measures relevant to managing potential indirect impacts on the </w:t>
      </w:r>
      <w:r w:rsidRPr="00AF011E">
        <w:t xml:space="preserve">Port Phillip Bay (Western Shoreline) and Bellarine Peninsula Ramsar </w:t>
      </w:r>
      <w:r>
        <w:t>s</w:t>
      </w:r>
      <w:r w:rsidRPr="00AF011E">
        <w:t>ite</w:t>
      </w:r>
      <w:r>
        <w:t xml:space="preserve">. </w:t>
      </w:r>
    </w:p>
    <w:p w14:paraId="0D6686FF" w14:textId="77777777" w:rsidR="008C1AD8" w:rsidRDefault="008C1AD8" w:rsidP="008C1AD8">
      <w:r>
        <w:lastRenderedPageBreak/>
        <w:t xml:space="preserve">Impacts to the </w:t>
      </w:r>
      <w:r w:rsidRPr="00AF011E">
        <w:t xml:space="preserve">Port Phillip Bay (Western Shoreline) and Bellarine Peninsula Ramsar </w:t>
      </w:r>
      <w:r>
        <w:t>s</w:t>
      </w:r>
      <w:r w:rsidRPr="00AF011E">
        <w:t>ite</w:t>
      </w:r>
      <w:r>
        <w:t xml:space="preserve"> are unlikely and loss of wetlands due to the Plan is not foreseeable. The Plan is not considered to be inconsistent with the Ramsar Convention.</w:t>
      </w:r>
    </w:p>
    <w:bookmarkEnd w:id="121"/>
    <w:p w14:paraId="31558AED" w14:textId="77777777" w:rsidR="008C1AD8" w:rsidRDefault="008C1AD8" w:rsidP="008C1AD8"/>
    <w:p w14:paraId="39BF78F8" w14:textId="77777777" w:rsidR="008C1AD8" w:rsidRPr="00280B93" w:rsidRDefault="008C1AD8" w:rsidP="008C1AD8">
      <w:pPr>
        <w:sectPr w:rsidR="008C1AD8" w:rsidRPr="00280B93" w:rsidSect="00682DF2">
          <w:footerReference w:type="default" r:id="rId76"/>
          <w:pgSz w:w="11900" w:h="16840"/>
          <w:pgMar w:top="1247" w:right="1134" w:bottom="1247" w:left="1134" w:header="708" w:footer="708" w:gutter="0"/>
          <w:pgNumType w:chapStyle="1"/>
          <w:cols w:space="708"/>
          <w:docGrid w:linePitch="360"/>
        </w:sectPr>
      </w:pPr>
    </w:p>
    <w:p w14:paraId="019097E4" w14:textId="77777777" w:rsidR="008C1AD8" w:rsidRDefault="008C1AD8" w:rsidP="008C1AD8">
      <w:pPr>
        <w:pStyle w:val="Heading1"/>
      </w:pPr>
      <w:bookmarkStart w:id="149" w:name="_Toc135122696"/>
      <w:r>
        <w:lastRenderedPageBreak/>
        <w:t>Non-threatened migratory species</w:t>
      </w:r>
      <w:bookmarkEnd w:id="149"/>
    </w:p>
    <w:p w14:paraId="231FB87B" w14:textId="77777777" w:rsidR="008C1AD8" w:rsidRDefault="008C1AD8" w:rsidP="008C1AD8">
      <w:pPr>
        <w:pStyle w:val="Heading2"/>
      </w:pPr>
      <w:bookmarkStart w:id="150" w:name="_Toc116048303"/>
      <w:bookmarkStart w:id="151" w:name="_Toc135122697"/>
      <w:r>
        <w:t>Introduction</w:t>
      </w:r>
      <w:bookmarkEnd w:id="150"/>
      <w:bookmarkEnd w:id="151"/>
    </w:p>
    <w:p w14:paraId="12F5186F" w14:textId="77777777" w:rsidR="008C1AD8" w:rsidRDefault="008C1AD8" w:rsidP="008C1AD8">
      <w:r>
        <w:t xml:space="preserve">This chapter assesses potential impacts of implementing the Plan on non-threatened migratory species. Any species that are listed as both threatened and migratory are assessed in Chapter </w:t>
      </w:r>
      <w:r w:rsidRPr="009E63A2">
        <w:t>19</w:t>
      </w:r>
      <w:r w:rsidRPr="006D2133">
        <w:t>.</w:t>
      </w:r>
    </w:p>
    <w:p w14:paraId="5FB71FD2" w14:textId="77777777" w:rsidR="008C1AD8" w:rsidRDefault="008C1AD8" w:rsidP="008C1AD8">
      <w:r>
        <w:t>The chapter:</w:t>
      </w:r>
    </w:p>
    <w:p w14:paraId="0F4C940C" w14:textId="77777777" w:rsidR="008C1AD8" w:rsidRDefault="008C1AD8" w:rsidP="008C1AD8">
      <w:pPr>
        <w:pStyle w:val="Bullet1"/>
      </w:pPr>
      <w:r>
        <w:t>Sets out the regulatory requirements relating to migratory species</w:t>
      </w:r>
    </w:p>
    <w:p w14:paraId="07D83694" w14:textId="77777777" w:rsidR="008C1AD8" w:rsidRDefault="008C1AD8" w:rsidP="008C1AD8">
      <w:pPr>
        <w:pStyle w:val="Bullet1"/>
      </w:pPr>
      <w:r>
        <w:t>Identifies the species that are assessed</w:t>
      </w:r>
    </w:p>
    <w:p w14:paraId="0CB2714F" w14:textId="77777777" w:rsidR="008C1AD8" w:rsidRDefault="008C1AD8" w:rsidP="008C1AD8">
      <w:pPr>
        <w:pStyle w:val="Bullet1"/>
      </w:pPr>
      <w:r>
        <w:t>Provides an assessment of the species that are migratory shorebirds</w:t>
      </w:r>
    </w:p>
    <w:p w14:paraId="34B19740" w14:textId="77777777" w:rsidR="008C1AD8" w:rsidRDefault="008C1AD8" w:rsidP="008C1AD8">
      <w:pPr>
        <w:pStyle w:val="Bullet1"/>
      </w:pPr>
      <w:r>
        <w:t xml:space="preserve">Provides an assessment of the remaining species </w:t>
      </w:r>
    </w:p>
    <w:p w14:paraId="1C044AE5" w14:textId="77777777" w:rsidR="008C1AD8" w:rsidRDefault="008C1AD8" w:rsidP="008C1AD8">
      <w:pPr>
        <w:pStyle w:val="Heading2"/>
      </w:pPr>
      <w:bookmarkStart w:id="152" w:name="_Ref115882355"/>
      <w:bookmarkStart w:id="153" w:name="_Toc116048304"/>
      <w:bookmarkStart w:id="154" w:name="_Toc135122698"/>
      <w:r>
        <w:t>Regulatory requirements</w:t>
      </w:r>
      <w:bookmarkEnd w:id="152"/>
      <w:bookmarkEnd w:id="153"/>
      <w:bookmarkEnd w:id="154"/>
    </w:p>
    <w:p w14:paraId="6BB9E218" w14:textId="77777777" w:rsidR="008C1AD8" w:rsidRDefault="008C1AD8" w:rsidP="008C1AD8">
      <w:pPr>
        <w:pStyle w:val="Heading3"/>
      </w:pPr>
      <w:r>
        <w:t>EPBC Act approval considerations</w:t>
      </w:r>
    </w:p>
    <w:p w14:paraId="5523A7AE" w14:textId="77777777" w:rsidR="008C1AD8" w:rsidRPr="00193828" w:rsidRDefault="008C1AD8" w:rsidP="008C1AD8">
      <w:r w:rsidRPr="00193828">
        <w:t>Section 146L of the EPBC Act sets out the approval considerations in relation to migratory species. In summary, the outcomes of the Plan must not be inconsistent with any of the international agreements relating to migratory species. Of relevance to migratory birds are:</w:t>
      </w:r>
    </w:p>
    <w:p w14:paraId="53E4ACE1" w14:textId="77777777" w:rsidR="008C1AD8" w:rsidRPr="00193828" w:rsidRDefault="008C1AD8" w:rsidP="008C1AD8">
      <w:pPr>
        <w:pStyle w:val="Bullet1"/>
      </w:pPr>
      <w:r w:rsidRPr="00193828">
        <w:t>The Bonn Convention (or the Convention on the Conservation of Migratory Species)</w:t>
      </w:r>
    </w:p>
    <w:p w14:paraId="06C91872" w14:textId="77777777" w:rsidR="008C1AD8" w:rsidRPr="00193828" w:rsidRDefault="008C1AD8" w:rsidP="008C1AD8">
      <w:pPr>
        <w:pStyle w:val="Bullet1"/>
      </w:pPr>
      <w:r w:rsidRPr="00193828">
        <w:t>The bilateral agreements for the conservation of migratory birds between the Government of Australia and the Government of Japan (JAMBA), the Government of China (CAMBA), and the Government of the Republic of Korea (ROKAMBA)</w:t>
      </w:r>
    </w:p>
    <w:p w14:paraId="6BBB85AF" w14:textId="77777777" w:rsidR="008C1AD8" w:rsidRPr="00193828" w:rsidRDefault="008C1AD8" w:rsidP="008C1AD8">
      <w:r w:rsidRPr="00193828">
        <w:t xml:space="preserve">The </w:t>
      </w:r>
      <w:r w:rsidRPr="00193828">
        <w:rPr>
          <w:i/>
        </w:rPr>
        <w:t>Wildlife Conservation Plan For Migratory Shorebirds</w:t>
      </w:r>
      <w:r w:rsidRPr="00193828">
        <w:t xml:space="preserve"> </w:t>
      </w:r>
      <w:sdt>
        <w:sdtPr>
          <w:rPr>
            <w:color w:val="000000"/>
          </w:rPr>
          <w:tag w:val="MENDELEY_CITATION_v3_eyJjaXRhdGlvbklEIjoiTUVOREVMRVlfQ0lUQVRJT05fZWNlOGRiMTgtMGYyZS00YzBiLWFjZjAtYzI0YjJiZDZjZjQw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642276932"/>
          <w:placeholder>
            <w:docPart w:val="53263D66753F864BA248D609BD120A46"/>
          </w:placeholder>
        </w:sdtPr>
        <w:sdtContent>
          <w:r w:rsidRPr="00273871">
            <w:rPr>
              <w:color w:val="000000"/>
            </w:rPr>
            <w:t>(Commonwealth of Australia, 2015)</w:t>
          </w:r>
        </w:sdtContent>
      </w:sdt>
      <w:r w:rsidRPr="00193828">
        <w:t xml:space="preserve"> provides a useful summary of Australia’s commitments under these agreements. The key obligations (of relevance to this assessment) which cut across the various agreements in different forms are for Australia to:</w:t>
      </w:r>
    </w:p>
    <w:p w14:paraId="1404743A" w14:textId="77777777" w:rsidR="008C1AD8" w:rsidRPr="00193828" w:rsidRDefault="008C1AD8" w:rsidP="008C1AD8">
      <w:pPr>
        <w:pStyle w:val="Bullet1"/>
      </w:pPr>
      <w:r w:rsidRPr="00193828">
        <w:t>Conserve and where possible restore habitats</w:t>
      </w:r>
    </w:p>
    <w:p w14:paraId="09EB8CE5" w14:textId="77777777" w:rsidR="008C1AD8" w:rsidRPr="00193828" w:rsidRDefault="008C1AD8" w:rsidP="008C1AD8">
      <w:pPr>
        <w:pStyle w:val="Bullet1"/>
      </w:pPr>
      <w:r w:rsidRPr="00193828">
        <w:t>Mitigate and manage threats to migratory birds</w:t>
      </w:r>
    </w:p>
    <w:p w14:paraId="2C88ED08" w14:textId="77777777" w:rsidR="008C1AD8" w:rsidRDefault="008C1AD8" w:rsidP="008C1AD8">
      <w:r w:rsidRPr="00193828">
        <w:t>It is also noted in the Wildlife Conservation Plan that the EPBC Act is the key piece of legislation which gives effect to Australia’s international obligations. Following the process and meeting the requirements of the EPBC Act implicitly means that those obligations will be met.</w:t>
      </w:r>
      <w:r w:rsidRPr="00A17136">
        <w:t xml:space="preserve"> </w:t>
      </w:r>
    </w:p>
    <w:p w14:paraId="1BFA1C75" w14:textId="77777777" w:rsidR="008C1AD8" w:rsidRDefault="008C1AD8" w:rsidP="008C1AD8">
      <w:pPr>
        <w:pStyle w:val="Heading3"/>
      </w:pPr>
      <w:r>
        <w:t>Relevant guidelines and plans</w:t>
      </w:r>
    </w:p>
    <w:p w14:paraId="65227218" w14:textId="77777777" w:rsidR="008C1AD8" w:rsidRDefault="008C1AD8" w:rsidP="008C1AD8">
      <w:pPr>
        <w:pStyle w:val="Heading4"/>
      </w:pPr>
      <w:r>
        <w:t>EPBC Act Policy Statement 3.21</w:t>
      </w:r>
    </w:p>
    <w:p w14:paraId="757FE865" w14:textId="77777777" w:rsidR="008C1AD8" w:rsidRDefault="008C1AD8" w:rsidP="008C1AD8">
      <w:r w:rsidRPr="005B05FC">
        <w:t xml:space="preserve">There are 37 species of migratory shorebirds that are listed under the EPBC Act which regularly visit Australia during their non-breeding season. The </w:t>
      </w:r>
      <w:r w:rsidRPr="005B05FC">
        <w:rPr>
          <w:i/>
          <w:iCs/>
        </w:rPr>
        <w:t>EPBC Act Policy Statement 3.21 - Industry guidelines for avoiding, assessing and mitigating impacts on EPBC Act listed migratory shorebirds</w:t>
      </w:r>
      <w:r>
        <w:rPr>
          <w:i/>
          <w:iCs/>
        </w:rPr>
        <w:t xml:space="preserve"> </w:t>
      </w:r>
      <w:r>
        <w:t>(the migratory shorebird guidelines)</w:t>
      </w:r>
      <w:r>
        <w:rPr>
          <w:i/>
          <w:iCs/>
        </w:rPr>
        <w:t xml:space="preserve"> </w:t>
      </w:r>
      <w:sdt>
        <w:sdtPr>
          <w:rPr>
            <w:iCs/>
            <w:color w:val="000000"/>
          </w:rPr>
          <w:tag w:val="MENDELEY_CITATION_v3_eyJjaXRhdGlvbklEIjoiTUVOREVMRVlfQ0lUQVRJT05fNDJlYTRlYTUtOGIzZC00ODRkLWFjMzUtYTAwZmIzNTZmM2Vj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69136871"/>
          <w:placeholder>
            <w:docPart w:val="53263D66753F864BA248D609BD120A46"/>
          </w:placeholder>
        </w:sdtPr>
        <w:sdtEndPr>
          <w:rPr>
            <w:iCs w:val="0"/>
          </w:rPr>
        </w:sdtEndPr>
        <w:sdtContent>
          <w:r w:rsidRPr="00273871">
            <w:rPr>
              <w:color w:val="000000"/>
            </w:rPr>
            <w:t>(DoE, 2017)</w:t>
          </w:r>
        </w:sdtContent>
      </w:sdt>
      <w:r>
        <w:rPr>
          <w:i/>
          <w:iCs/>
        </w:rPr>
        <w:t xml:space="preserve"> </w:t>
      </w:r>
      <w:r>
        <w:t>provides guidance to assist proponents in avoiding, assessing and mitigating impacts to these migratory shorebirds.</w:t>
      </w:r>
    </w:p>
    <w:p w14:paraId="47035730" w14:textId="77777777" w:rsidR="008C1AD8" w:rsidRDefault="008C1AD8" w:rsidP="008C1AD8">
      <w:r>
        <w:t>These guidelines:</w:t>
      </w:r>
    </w:p>
    <w:p w14:paraId="6634A6E0" w14:textId="77777777" w:rsidR="008C1AD8" w:rsidRDefault="008C1AD8" w:rsidP="008C1AD8">
      <w:pPr>
        <w:pStyle w:val="Bullet1"/>
      </w:pPr>
      <w:r>
        <w:t>Outline legislative obligations for the protection of migratory shorebirds</w:t>
      </w:r>
    </w:p>
    <w:p w14:paraId="0CF2C26F" w14:textId="77777777" w:rsidR="008C1AD8" w:rsidRDefault="008C1AD8" w:rsidP="008C1AD8">
      <w:pPr>
        <w:pStyle w:val="Bullet1"/>
      </w:pPr>
      <w:r>
        <w:t>Define important habitat and provide guidance for identifying important habitat</w:t>
      </w:r>
    </w:p>
    <w:p w14:paraId="5819D4BE" w14:textId="77777777" w:rsidR="008C1AD8" w:rsidRDefault="008C1AD8" w:rsidP="008C1AD8">
      <w:pPr>
        <w:pStyle w:val="Bullet1"/>
      </w:pPr>
      <w:r>
        <w:t>Define an ecologically significant proportion of individuals for each species</w:t>
      </w:r>
    </w:p>
    <w:p w14:paraId="7203749B" w14:textId="77777777" w:rsidR="008C1AD8" w:rsidRDefault="008C1AD8" w:rsidP="008C1AD8">
      <w:pPr>
        <w:pStyle w:val="Bullet1"/>
      </w:pPr>
      <w:r>
        <w:t>Define a significant impact on migratory shorebirds and provide guidance on the kinds of actions which can result in significant impacts</w:t>
      </w:r>
    </w:p>
    <w:p w14:paraId="099D5A9E" w14:textId="77777777" w:rsidR="008C1AD8" w:rsidRPr="005B05FC" w:rsidRDefault="008C1AD8" w:rsidP="008C1AD8">
      <w:pPr>
        <w:pStyle w:val="Bullet1"/>
      </w:pPr>
      <w:r>
        <w:t>Provide guidance on ways to avoid and/or mitigate impacts to migratory shorebirds</w:t>
      </w:r>
    </w:p>
    <w:p w14:paraId="74AA200F" w14:textId="77777777" w:rsidR="008C1AD8" w:rsidRDefault="008C1AD8" w:rsidP="008C1AD8">
      <w:r>
        <w:lastRenderedPageBreak/>
        <w:t>The information in these guidelines have been considered as part of this assessment.</w:t>
      </w:r>
    </w:p>
    <w:p w14:paraId="3D9CD649" w14:textId="77777777" w:rsidR="008C1AD8" w:rsidRDefault="008C1AD8" w:rsidP="008C1AD8">
      <w:r>
        <w:t xml:space="preserve">Note that a detailed description of the definitions of important habitat and ecologically significant proportions of individuals for each species, and the way in which this information has been used in this assessment, is outlined in </w:t>
      </w:r>
      <w:r w:rsidRPr="009E63A2">
        <w:t>Chapter 12</w:t>
      </w:r>
      <w:r w:rsidRPr="00204897">
        <w:t xml:space="preserve">, </w:t>
      </w:r>
      <w:r w:rsidRPr="009E63A2">
        <w:t>Section 12.3.3.</w:t>
      </w:r>
    </w:p>
    <w:p w14:paraId="44D58B81" w14:textId="77777777" w:rsidR="008C1AD8" w:rsidRDefault="008C1AD8" w:rsidP="008C1AD8">
      <w:pPr>
        <w:pStyle w:val="Heading4"/>
      </w:pPr>
      <w:r>
        <w:t>Wildlife conservation plan for migratory shorebirds</w:t>
      </w:r>
    </w:p>
    <w:p w14:paraId="4F55BDA9" w14:textId="77777777" w:rsidR="008C1AD8" w:rsidRPr="00193828" w:rsidRDefault="008C1AD8" w:rsidP="008C1AD8">
      <w:r w:rsidRPr="00193828">
        <w:t xml:space="preserve">The Wildlife Conservation Plan for Migratory Shorebirds </w:t>
      </w:r>
      <w:sdt>
        <w:sdtPr>
          <w:rPr>
            <w:color w:val="000000"/>
          </w:rPr>
          <w:tag w:val="MENDELEY_CITATION_v3_eyJjaXRhdGlvbklEIjoiTUVOREVMRVlfQ0lUQVRJT05fYWVhNzM1NjAtZTRiMS00NGU5LWE2YTctMDMzNTM3MjU1MTU4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628617126"/>
          <w:placeholder>
            <w:docPart w:val="53263D66753F864BA248D609BD120A46"/>
          </w:placeholder>
        </w:sdtPr>
        <w:sdtContent>
          <w:r w:rsidRPr="00273871">
            <w:rPr>
              <w:color w:val="000000"/>
            </w:rPr>
            <w:t>(Commonwealth of Australia, 2015)</w:t>
          </w:r>
        </w:sdtContent>
      </w:sdt>
      <w:r w:rsidRPr="00193828">
        <w:t xml:space="preserve"> provides a framework to guide the conservation of migratory shorebirds in Australia. It:</w:t>
      </w:r>
    </w:p>
    <w:p w14:paraId="2759E885" w14:textId="77777777" w:rsidR="008C1AD8" w:rsidRPr="00193828" w:rsidRDefault="008C1AD8" w:rsidP="008C1AD8">
      <w:pPr>
        <w:pStyle w:val="Bullet1"/>
      </w:pPr>
      <w:r w:rsidRPr="00193828">
        <w:t>Summarises Australia’s commitments to migratory shorebirds under international conventions and agreements</w:t>
      </w:r>
    </w:p>
    <w:p w14:paraId="3F39EDEA" w14:textId="77777777" w:rsidR="008C1AD8" w:rsidRPr="00193828" w:rsidRDefault="008C1AD8" w:rsidP="008C1AD8">
      <w:pPr>
        <w:pStyle w:val="Bullet1"/>
      </w:pPr>
      <w:r w:rsidRPr="00193828">
        <w:t>Outlines national actions to support shorebird conservation</w:t>
      </w:r>
    </w:p>
    <w:p w14:paraId="2C68FB4E" w14:textId="77777777" w:rsidR="008C1AD8" w:rsidRPr="00193828" w:rsidRDefault="008C1AD8" w:rsidP="008C1AD8">
      <w:r w:rsidRPr="00193828">
        <w:t xml:space="preserve">The Wildlife Conservation Plan is consistent with the EPBC Act referral guidelines. Particularly in relation to the definition of important habitat and the discussion of threats. </w:t>
      </w:r>
    </w:p>
    <w:p w14:paraId="527DBC3F" w14:textId="77777777" w:rsidR="008C1AD8" w:rsidRDefault="008C1AD8" w:rsidP="008C1AD8">
      <w:pPr>
        <w:pStyle w:val="Heading4"/>
      </w:pPr>
      <w:r>
        <w:t>Wildlife conservation plan for seabirds</w:t>
      </w:r>
    </w:p>
    <w:p w14:paraId="3CAB9FB8" w14:textId="77777777" w:rsidR="008C1AD8" w:rsidRDefault="008C1AD8" w:rsidP="008C1AD8">
      <w:r>
        <w:t xml:space="preserve">The </w:t>
      </w:r>
      <w:r>
        <w:rPr>
          <w:i/>
          <w:iCs/>
        </w:rPr>
        <w:t>Wildlife Conservation Plan for Seabirds</w:t>
      </w:r>
      <w:r>
        <w:t xml:space="preserve"> </w:t>
      </w:r>
      <w:sdt>
        <w:sdtPr>
          <w:rPr>
            <w:color w:val="000000"/>
          </w:rPr>
          <w:tag w:val="MENDELEY_CITATION_v3_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"/>
          <w:id w:val="-2105490233"/>
          <w:placeholder>
            <w:docPart w:val="53263D66753F864BA248D609BD120A46"/>
          </w:placeholder>
        </w:sdtPr>
        <w:sdtContent>
          <w:r w:rsidRPr="00273871">
            <w:rPr>
              <w:color w:val="000000"/>
            </w:rPr>
            <w:t>(Commonwealth of Australia, 2020)</w:t>
          </w:r>
        </w:sdtContent>
      </w:sdt>
      <w:r>
        <w:rPr>
          <w:i/>
          <w:iCs/>
        </w:rPr>
        <w:t xml:space="preserve"> </w:t>
      </w:r>
      <w:r>
        <w:t>aims to facilitate a nationally coordinated effort to protect and conserve seabirds listed under the EPBC Act. This plan has a series of objectives which relate to:</w:t>
      </w:r>
    </w:p>
    <w:p w14:paraId="1F1B1FBA" w14:textId="77777777" w:rsidR="008C1AD8" w:rsidRDefault="008C1AD8" w:rsidP="008C1AD8">
      <w:pPr>
        <w:pStyle w:val="Bullet1"/>
      </w:pPr>
      <w:r>
        <w:t>Encouraging international collaboration to protect seabird habitats outside Australia</w:t>
      </w:r>
    </w:p>
    <w:p w14:paraId="6E9CD9CA" w14:textId="77777777" w:rsidR="008C1AD8" w:rsidRDefault="008C1AD8" w:rsidP="008C1AD8">
      <w:pPr>
        <w:pStyle w:val="Bullet1"/>
      </w:pPr>
      <w:r>
        <w:t>Increasing identification and protection of seabird habitat within Australia</w:t>
      </w:r>
    </w:p>
    <w:p w14:paraId="125C1591" w14:textId="77777777" w:rsidR="008C1AD8" w:rsidRDefault="008C1AD8" w:rsidP="008C1AD8">
      <w:pPr>
        <w:pStyle w:val="Bullet1"/>
      </w:pPr>
      <w:r>
        <w:t>Improving long-term survival of seabirds through research, monitoring, management and conservation activities</w:t>
      </w:r>
    </w:p>
    <w:p w14:paraId="71B426D3" w14:textId="77777777" w:rsidR="008C1AD8" w:rsidRDefault="008C1AD8" w:rsidP="008C1AD8">
      <w:pPr>
        <w:pStyle w:val="Bullet1"/>
      </w:pPr>
      <w:r>
        <w:t>Increasing community awareness of conserving seabirds and their habitats.</w:t>
      </w:r>
    </w:p>
    <w:p w14:paraId="274273FA" w14:textId="77777777" w:rsidR="008C1AD8" w:rsidRDefault="008C1AD8" w:rsidP="008C1AD8">
      <w:r>
        <w:t>This seabird conservation plan includes profiles on seabird species, including ecology, habitat use, threats, and recommended management actions. The profiles are intended for use by agencies, land managers, and environmental organisations to inform management priorities for each species.</w:t>
      </w:r>
    </w:p>
    <w:p w14:paraId="3B67F2F2" w14:textId="77777777" w:rsidR="008C1AD8" w:rsidRPr="00AF059C" w:rsidRDefault="008C1AD8" w:rsidP="008C1AD8">
      <w:r>
        <w:t>The information in this plan has been considered as part of this assessment.</w:t>
      </w:r>
    </w:p>
    <w:p w14:paraId="1DDFFF70" w14:textId="77777777" w:rsidR="008C1AD8" w:rsidRDefault="008C1AD8" w:rsidP="008C1AD8">
      <w:pPr>
        <w:pStyle w:val="Heading2"/>
      </w:pPr>
      <w:bookmarkStart w:id="155" w:name="_Toc116048305"/>
      <w:bookmarkStart w:id="156" w:name="_Toc135122699"/>
      <w:r>
        <w:t>Identification of species requiring assessment</w:t>
      </w:r>
      <w:bookmarkEnd w:id="155"/>
      <w:bookmarkEnd w:id="156"/>
    </w:p>
    <w:p w14:paraId="35573724" w14:textId="77777777" w:rsidR="008C1AD8" w:rsidRDefault="008C1AD8" w:rsidP="008C1AD8">
      <w:r>
        <w:t>A categorisation process was completed to identify Category 1 non-threatened migratory species which have potential to be impacted under the Plan. This process involved consideration of:</w:t>
      </w:r>
    </w:p>
    <w:p w14:paraId="6DEB368B" w14:textId="77777777" w:rsidR="008C1AD8" w:rsidRDefault="008C1AD8" w:rsidP="008C1AD8">
      <w:pPr>
        <w:pStyle w:val="Bullet1"/>
      </w:pPr>
      <w:r>
        <w:t xml:space="preserve">Guidance provided by the EPBC Act Significant Impact Guidelines 1.1 </w:t>
      </w:r>
      <w:sdt>
        <w:sdtPr>
          <w:rPr>
            <w:color w:val="000000"/>
          </w:rPr>
          <w:tag w:val="MENDELEY_CITATION_v3_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"/>
          <w:id w:val="-1359638"/>
          <w:placeholder>
            <w:docPart w:val="53263D66753F864BA248D609BD120A46"/>
          </w:placeholder>
        </w:sdtPr>
        <w:sdtContent>
          <w:r w:rsidRPr="00273871">
            <w:rPr>
              <w:color w:val="000000"/>
            </w:rPr>
            <w:t>(DoE, 2013)</w:t>
          </w:r>
        </w:sdtContent>
      </w:sdt>
      <w:r>
        <w:t xml:space="preserve">, draft referral guidelines </w:t>
      </w:r>
      <w:sdt>
        <w:sdtPr>
          <w:rPr>
            <w:color w:val="000000"/>
          </w:rPr>
          <w:tag w:val="MENDELEY_CITATION_v3_eyJjaXRhdGlvbklEIjoiTUVOREVMRVlfQ0lUQVRJT05fMDBkYzg1MDEtZTQzYS00NDcxLWE5MGMtM2UxMDkwZTE4NTI1IiwicHJvcGVydGllcyI6eyJub3RlSW5kZXgiOjB9LCJpc0VkaXRlZCI6ZmFsc2UsIm1hbnVhbE92ZXJyaWRlIjp7ImNpdGVwcm9jVGV4dCI6IihEb0UsIDIwMTVh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792972780"/>
          <w:placeholder>
            <w:docPart w:val="53263D66753F864BA248D609BD120A46"/>
          </w:placeholder>
        </w:sdtPr>
        <w:sdtContent>
          <w:r w:rsidRPr="00273871">
            <w:rPr>
              <w:color w:val="000000"/>
            </w:rPr>
            <w:t>(DoE, 2015a)</w:t>
          </w:r>
        </w:sdtContent>
      </w:sdt>
      <w:r>
        <w:t xml:space="preserve">, and migratory shorebird guidelines </w:t>
      </w:r>
      <w:sdt>
        <w:sdtPr>
          <w:rPr>
            <w:color w:val="000000"/>
          </w:rPr>
          <w:tag w:val="MENDELEY_CITATION_v3_eyJjaXRhdGlvbklEIjoiTUVOREVMRVlfQ0lUQVRJT05fMzFlZWIyNDUtMzcwMi00OTYyLThkNWMtZTQwNTkwYzhkNDIz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0238172"/>
          <w:placeholder>
            <w:docPart w:val="53263D66753F864BA248D609BD120A46"/>
          </w:placeholder>
        </w:sdtPr>
        <w:sdtContent>
          <w:r w:rsidRPr="00273871">
            <w:rPr>
              <w:color w:val="000000"/>
            </w:rPr>
            <w:t>(DoE, 2017)</w:t>
          </w:r>
        </w:sdtContent>
      </w:sdt>
      <w:r>
        <w:t xml:space="preserve"> and supporting documents </w:t>
      </w:r>
      <w:sdt>
        <w:sdtPr>
          <w:rPr>
            <w:color w:val="000000"/>
          </w:rPr>
          <w:tag w:val="MENDELEY_CITATION_v3_eyJjaXRhdGlvbklEIjoiTUVOREVMRVlfQ0lUQVRJT05fZmZhMjlmNTEtZDYxYS00MzRmLWEyODctNTIxMTQxM2NhZDcyIiwicHJvcGVydGllcyI6eyJub3RlSW5kZXgiOjB9LCJpc0VkaXRlZCI6ZmFsc2UsIm1hbnVhbE92ZXJyaWRlIjp7ImNpdGVwcm9jVGV4dCI6IihIYW5zZW4gPGk+ZXQgYWwuPC9pPiwgMjAxNjsgV2VsbGVyIDxpPmV0IGFsLjwvaT4sIDIwMjApIiwiaXNNYW51YWxseU92ZXJyaWRkZW4iOnRydWUsIm1hbnVhbE92ZXJyaWRlVGV4dCI6IihIYW5zZW4sIEZ1bGxlciBldCBhbC4sIDIwMTY7I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"/>
          <w:id w:val="573254274"/>
          <w:placeholder>
            <w:docPart w:val="53263D66753F864BA248D609BD120A46"/>
          </w:placeholder>
        </w:sdtPr>
        <w:sdtContent>
          <w:r w:rsidRPr="00273871">
            <w:rPr>
              <w:rFonts w:eastAsia="Times New Roman"/>
              <w:color w:val="000000"/>
            </w:rPr>
            <w:t>(Hansen, Fuller et al., 2016; Weller, Kidd et al., 2020)</w:t>
          </w:r>
        </w:sdtContent>
      </w:sdt>
    </w:p>
    <w:p w14:paraId="739863DC" w14:textId="77777777" w:rsidR="008C1AD8" w:rsidRDefault="008C1AD8" w:rsidP="008C1AD8">
      <w:pPr>
        <w:pStyle w:val="Bullet1"/>
      </w:pPr>
      <w:r>
        <w:t xml:space="preserve">Information from key sources such as Birdlife International’s Datazone database </w:t>
      </w:r>
      <w:sdt>
        <w:sdtPr>
          <w:rPr>
            <w:color w:val="000000"/>
          </w:rPr>
          <w:tag w:val="MENDELEY_CITATION_v3_eyJjaXRhdGlvbklEIjoiTUVOREVMRVlfQ0lUQVRJT05fM2Y3NDU3ODMtMDlmZS00ODk1LWExMWItZDZhZWZjNjYzZjA3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553161233"/>
          <w:placeholder>
            <w:docPart w:val="53263D66753F864BA248D609BD120A46"/>
          </w:placeholder>
        </w:sdtPr>
        <w:sdtContent>
          <w:r w:rsidRPr="00273871">
            <w:rPr>
              <w:color w:val="000000"/>
            </w:rPr>
            <w:t>(Birdlife International, 2022)</w:t>
          </w:r>
        </w:sdtContent>
      </w:sdt>
      <w:r>
        <w:t xml:space="preserve"> or other relevant information where available</w:t>
      </w:r>
    </w:p>
    <w:p w14:paraId="383BE862" w14:textId="77777777" w:rsidR="008C1AD8" w:rsidRDefault="008C1AD8" w:rsidP="008C1AD8">
      <w:pPr>
        <w:pStyle w:val="Bullet1"/>
      </w:pPr>
      <w:r>
        <w:t>VBA records of species within the Study Area</w:t>
      </w:r>
    </w:p>
    <w:p w14:paraId="6D4EBC02" w14:textId="77777777" w:rsidR="008C1AD8" w:rsidRDefault="008C1AD8" w:rsidP="008C1AD8">
      <w:r>
        <w:t xml:space="preserve">Refer to Chapter 12 for a detailed description of the categorisation approach, and Chapter 18 for the categorisation results for non-threatened migratory species. Migratory species that are also listed as threatened are addressed in </w:t>
      </w:r>
      <w:r w:rsidRPr="009E63A2">
        <w:t>Chapter 19.</w:t>
      </w:r>
      <w:r>
        <w:t xml:space="preserve"> </w:t>
      </w:r>
    </w:p>
    <w:p w14:paraId="008F92B7" w14:textId="77777777" w:rsidR="008C1AD8" w:rsidRDefault="008C1AD8" w:rsidP="008C1AD8">
      <w:pPr>
        <w:keepNext/>
        <w:keepLines/>
        <w:spacing w:before="60" w:after="60"/>
      </w:pPr>
      <w:r>
        <w:t>As a result of this categorisation process, 7 non-threatened migratory species were identified as Category 1 species requiring further assessment. They are all birds and include:</w:t>
      </w:r>
    </w:p>
    <w:p w14:paraId="1EFC1EDF" w14:textId="77777777" w:rsidR="008C1AD8" w:rsidRDefault="008C1AD8" w:rsidP="008C1AD8">
      <w:pPr>
        <w:pStyle w:val="Bullet1"/>
        <w:keepNext/>
        <w:keepLines/>
      </w:pPr>
      <w:r w:rsidRPr="00444750">
        <w:t>Common Greenshank</w:t>
      </w:r>
      <w:r>
        <w:t xml:space="preserve"> (</w:t>
      </w:r>
      <w:r w:rsidRPr="00444750">
        <w:rPr>
          <w:i/>
          <w:iCs/>
        </w:rPr>
        <w:t>Tringa nebularia</w:t>
      </w:r>
      <w:r>
        <w:t>)</w:t>
      </w:r>
    </w:p>
    <w:p w14:paraId="493900D1" w14:textId="77777777" w:rsidR="008C1AD8" w:rsidRDefault="008C1AD8" w:rsidP="008C1AD8">
      <w:pPr>
        <w:pStyle w:val="Bullet1"/>
        <w:ind w:left="357" w:hanging="357"/>
      </w:pPr>
      <w:r w:rsidRPr="00444750">
        <w:t>Double-banded Plover</w:t>
      </w:r>
      <w:r>
        <w:t xml:space="preserve"> (</w:t>
      </w:r>
      <w:r w:rsidRPr="00444750">
        <w:rPr>
          <w:i/>
          <w:iCs/>
        </w:rPr>
        <w:t>Charadrius bicinctus</w:t>
      </w:r>
      <w:r>
        <w:t>)</w:t>
      </w:r>
    </w:p>
    <w:p w14:paraId="2AE132EC" w14:textId="77777777" w:rsidR="008C1AD8" w:rsidRDefault="008C1AD8" w:rsidP="008C1AD8">
      <w:pPr>
        <w:pStyle w:val="Bullet1"/>
      </w:pPr>
      <w:r w:rsidRPr="00444750">
        <w:t>Latham's Snipe</w:t>
      </w:r>
      <w:r>
        <w:t xml:space="preserve"> (</w:t>
      </w:r>
      <w:r w:rsidRPr="00444750">
        <w:rPr>
          <w:i/>
          <w:iCs/>
        </w:rPr>
        <w:t>Gallinago hardwickii</w:t>
      </w:r>
      <w:r>
        <w:t>)</w:t>
      </w:r>
    </w:p>
    <w:p w14:paraId="1C6B5390" w14:textId="77777777" w:rsidR="008C1AD8" w:rsidRDefault="008C1AD8" w:rsidP="008C1AD8">
      <w:pPr>
        <w:pStyle w:val="Bullet1"/>
      </w:pPr>
      <w:r w:rsidRPr="00444750">
        <w:t>Little Tern</w:t>
      </w:r>
      <w:r>
        <w:t xml:space="preserve"> (</w:t>
      </w:r>
      <w:r w:rsidRPr="00444750">
        <w:rPr>
          <w:i/>
          <w:iCs/>
        </w:rPr>
        <w:t>Sternula albifrons</w:t>
      </w:r>
      <w:r>
        <w:t>)</w:t>
      </w:r>
    </w:p>
    <w:p w14:paraId="5C718E42" w14:textId="77777777" w:rsidR="008C1AD8" w:rsidRDefault="008C1AD8" w:rsidP="008C1AD8">
      <w:pPr>
        <w:pStyle w:val="Bullet1"/>
      </w:pPr>
      <w:r w:rsidRPr="00444750">
        <w:t>Marsh Sandpiper</w:t>
      </w:r>
      <w:r>
        <w:t xml:space="preserve"> (</w:t>
      </w:r>
      <w:r w:rsidRPr="00444750">
        <w:rPr>
          <w:i/>
          <w:iCs/>
        </w:rPr>
        <w:t>Tringa stagnatilis</w:t>
      </w:r>
      <w:r>
        <w:t>)</w:t>
      </w:r>
    </w:p>
    <w:p w14:paraId="0B6B56BE" w14:textId="77777777" w:rsidR="008C1AD8" w:rsidRDefault="008C1AD8" w:rsidP="008C1AD8">
      <w:pPr>
        <w:pStyle w:val="Bullet1"/>
        <w:ind w:left="357" w:hanging="357"/>
      </w:pPr>
      <w:r w:rsidRPr="00444750">
        <w:t>Red-necked Stint</w:t>
      </w:r>
      <w:r>
        <w:t xml:space="preserve"> (</w:t>
      </w:r>
      <w:r w:rsidRPr="00444750">
        <w:rPr>
          <w:i/>
          <w:iCs/>
        </w:rPr>
        <w:t>Calidris ruficollis</w:t>
      </w:r>
      <w:r>
        <w:t>)</w:t>
      </w:r>
    </w:p>
    <w:p w14:paraId="2FEB658E" w14:textId="77777777" w:rsidR="008C1AD8" w:rsidRPr="00C31F00" w:rsidRDefault="008C1AD8" w:rsidP="008C1AD8">
      <w:pPr>
        <w:pStyle w:val="Bullet1"/>
      </w:pPr>
      <w:r w:rsidRPr="00444750">
        <w:lastRenderedPageBreak/>
        <w:t>Sharp-tailed Sandpiper</w:t>
      </w:r>
      <w:r>
        <w:t xml:space="preserve"> (</w:t>
      </w:r>
      <w:r w:rsidRPr="00444750">
        <w:rPr>
          <w:i/>
          <w:iCs/>
        </w:rPr>
        <w:t>Calidris acuminata</w:t>
      </w:r>
      <w:r>
        <w:t>)</w:t>
      </w:r>
    </w:p>
    <w:p w14:paraId="74A3CAB4" w14:textId="77777777" w:rsidR="008C1AD8" w:rsidRPr="00BB1565" w:rsidRDefault="008C1AD8" w:rsidP="008C1AD8">
      <w:r>
        <w:t>Six</w:t>
      </w:r>
      <w:r w:rsidRPr="00BB1565">
        <w:t xml:space="preserve"> of these species (all species excluding the Little Tern) are migratory shorebirds. Guidance for the assessment of these species is provided in the migratory shorebird guidelines</w:t>
      </w:r>
      <w:r>
        <w:t xml:space="preserve"> </w:t>
      </w:r>
      <w:sdt>
        <w:sdtPr>
          <w:rPr>
            <w:color w:val="000000"/>
          </w:rPr>
          <w:tag w:val="MENDELEY_CITATION_v3_eyJjaXRhdGlvbklEIjoiTUVOREVMRVlfQ0lUQVRJT05fMmYwN2Y1ZTgtNzMxYS00OWMyLTk5ZDQtYjI1NDQwYjYzOTRh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670724132"/>
          <w:placeholder>
            <w:docPart w:val="53263D66753F864BA248D609BD120A46"/>
          </w:placeholder>
        </w:sdtPr>
        <w:sdtContent>
          <w:r w:rsidRPr="00273871">
            <w:rPr>
              <w:color w:val="000000"/>
            </w:rPr>
            <w:t>(DoE, 2017)</w:t>
          </w:r>
        </w:sdtContent>
      </w:sdt>
      <w:r w:rsidRPr="00BB1565">
        <w:t xml:space="preserve">, and these species have been assessed accordingly. The assessment of these </w:t>
      </w:r>
      <w:r>
        <w:t>six</w:t>
      </w:r>
      <w:r w:rsidRPr="00BB1565">
        <w:t xml:space="preserve"> species is presented in Section </w:t>
      </w:r>
      <w:r w:rsidRPr="00BB1565">
        <w:fldChar w:fldCharType="begin"/>
      </w:r>
      <w:r w:rsidRPr="00BB1565">
        <w:instrText xml:space="preserve"> REF _Ref115871952 \n </w:instrText>
      </w:r>
      <w:r>
        <w:instrText xml:space="preserve"> \* MERGEFORMAT </w:instrText>
      </w:r>
      <w:r w:rsidRPr="00BB1565">
        <w:fldChar w:fldCharType="separate"/>
      </w:r>
      <w:r>
        <w:t>23.4</w:t>
      </w:r>
      <w:r w:rsidRPr="00BB1565">
        <w:fldChar w:fldCharType="end"/>
      </w:r>
      <w:r w:rsidRPr="00BB1565">
        <w:t xml:space="preserve"> below.</w:t>
      </w:r>
    </w:p>
    <w:p w14:paraId="4AA45E97" w14:textId="77777777" w:rsidR="008C1AD8" w:rsidRPr="00BB1565" w:rsidRDefault="008C1AD8" w:rsidP="008C1AD8">
      <w:r w:rsidRPr="00BB1565">
        <w:t>The Little Tern is a migratory species which has no specific guidance available with regards to an appropriate assessment method. Assessment of the Little Tern has been completed by considering other guidance available for other species, including:</w:t>
      </w:r>
    </w:p>
    <w:p w14:paraId="1ECDA2CB" w14:textId="77777777" w:rsidR="008C1AD8" w:rsidRPr="00BB1565" w:rsidRDefault="008C1AD8" w:rsidP="008C1AD8">
      <w:pPr>
        <w:pStyle w:val="Bullet1"/>
      </w:pPr>
      <w:r w:rsidRPr="00BB1565">
        <w:t xml:space="preserve">The EPBC Act Significant Impact Guidelines 1.1 </w:t>
      </w:r>
      <w:sdt>
        <w:sdtPr>
          <w:rPr>
            <w:color w:val="000000"/>
          </w:rPr>
          <w:tag w:val="MENDELEY_CITATION_v3_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"/>
          <w:id w:val="1943733570"/>
          <w:placeholder>
            <w:docPart w:val="53263D66753F864BA248D609BD120A46"/>
          </w:placeholder>
        </w:sdtPr>
        <w:sdtContent>
          <w:r w:rsidRPr="00273871">
            <w:rPr>
              <w:color w:val="000000"/>
            </w:rPr>
            <w:t>(DoE, 2013)</w:t>
          </w:r>
        </w:sdtContent>
      </w:sdt>
      <w:r w:rsidRPr="00BB1565">
        <w:t xml:space="preserve">, migratory shorebird guidelines </w:t>
      </w:r>
      <w:sdt>
        <w:sdtPr>
          <w:rPr>
            <w:color w:val="000000"/>
          </w:rPr>
          <w:tag w:val="MENDELEY_CITATION_v3_eyJjaXRhdGlvbklEIjoiTUVOREVMRVlfQ0lUQVRJT05fYmUyMDg4MjUtNWZhMi00YzkwLWEyYWYtNmI1MmZhYWUwNWJh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959264231"/>
          <w:placeholder>
            <w:docPart w:val="53263D66753F864BA248D609BD120A46"/>
          </w:placeholder>
        </w:sdtPr>
        <w:sdtContent>
          <w:r w:rsidRPr="00273871">
            <w:rPr>
              <w:color w:val="000000"/>
            </w:rPr>
            <w:t>(DoE, 2017)</w:t>
          </w:r>
        </w:sdtContent>
      </w:sdt>
      <w:r w:rsidRPr="00BB1565">
        <w:t xml:space="preserve"> and draft referral guidelines </w:t>
      </w:r>
      <w:sdt>
        <w:sdtPr>
          <w:rPr>
            <w:color w:val="000000"/>
          </w:rPr>
          <w:tag w:val="MENDELEY_CITATION_v3_eyJjaXRhdGlvbklEIjoiTUVOREVMRVlfQ0lUQVRJT05fODA2ZWE0MDUtMWM4OS00MDcxLWEyMjYtZDNiNGEyZjc1YzZjIiwicHJvcGVydGllcyI6eyJub3RlSW5kZXgiOjB9LCJpc0VkaXRlZCI6ZmFsc2UsIm1hbnVhbE92ZXJyaWRlIjp7ImNpdGVwcm9jVGV4dCI6IihEb0UsIDIwMTVh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943352957"/>
          <w:placeholder>
            <w:docPart w:val="53263D66753F864BA248D609BD120A46"/>
          </w:placeholder>
        </w:sdtPr>
        <w:sdtContent>
          <w:r w:rsidRPr="00273871">
            <w:rPr>
              <w:color w:val="000000"/>
            </w:rPr>
            <w:t>(DoE, 2015a)</w:t>
          </w:r>
        </w:sdtContent>
      </w:sdt>
    </w:p>
    <w:p w14:paraId="51EB1AB7" w14:textId="77777777" w:rsidR="008C1AD8" w:rsidRPr="00BB1565" w:rsidRDefault="008C1AD8" w:rsidP="008C1AD8">
      <w:pPr>
        <w:pStyle w:val="Bullet1"/>
      </w:pPr>
      <w:r w:rsidRPr="00BB1565">
        <w:t xml:space="preserve">Species-specific information available within the draft Conservation Advice </w:t>
      </w:r>
      <w:sdt>
        <w:sdtPr>
          <w:rPr>
            <w:color w:val="000000"/>
          </w:rPr>
          <w:tag w:val="MENDELEY_CITATION_v3_eyJjaXRhdGlvbklEIjoiTUVOREVMRVlfQ0lUQVRJT05fMTUxMWVlMTItMDkzYi00OTYyLWJjYTctMmQxNDExYzExYWEy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276960212"/>
          <w:placeholder>
            <w:docPart w:val="53263D66753F864BA248D609BD120A46"/>
          </w:placeholder>
        </w:sdtPr>
        <w:sdtContent>
          <w:r w:rsidRPr="00273871">
            <w:rPr>
              <w:color w:val="000000"/>
            </w:rPr>
            <w:t>(DAWE, 2022)</w:t>
          </w:r>
        </w:sdtContent>
      </w:sdt>
      <w:r w:rsidRPr="00BB1565">
        <w:t xml:space="preserve">, the Wildlife Conservation Plan for Seabirds </w:t>
      </w:r>
      <w:sdt>
        <w:sdtPr>
          <w:rPr>
            <w:color w:val="000000"/>
          </w:rPr>
          <w:tag w:val="MENDELEY_CITATION_v3_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"/>
          <w:id w:val="1185253622"/>
          <w:placeholder>
            <w:docPart w:val="53263D66753F864BA248D609BD120A46"/>
          </w:placeholder>
        </w:sdtPr>
        <w:sdtContent>
          <w:r w:rsidRPr="00273871">
            <w:rPr>
              <w:color w:val="000000"/>
            </w:rPr>
            <w:t>(Commonwealth of Australia, 2020)</w:t>
          </w:r>
        </w:sdtContent>
      </w:sdt>
      <w:r>
        <w:t>,</w:t>
      </w:r>
      <w:r w:rsidRPr="00BB1565">
        <w:t xml:space="preserve"> and the Birdlife Datazone database </w:t>
      </w:r>
      <w:sdt>
        <w:sdtPr>
          <w:rPr>
            <w:color w:val="000000"/>
          </w:rPr>
          <w:tag w:val="MENDELEY_CITATION_v3_eyJjaXRhdGlvbklEIjoiTUVOREVMRVlfQ0lUQVRJT05fODM1Zjc4MWUtYTFjYS00ZDM5LWI1MDctYzQ1NjQ4NzViNGEy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1303994971"/>
          <w:placeholder>
            <w:docPart w:val="53263D66753F864BA248D609BD120A46"/>
          </w:placeholder>
        </w:sdtPr>
        <w:sdtContent>
          <w:r w:rsidRPr="00273871">
            <w:rPr>
              <w:color w:val="000000"/>
            </w:rPr>
            <w:t>(Birdlife International, 2022)</w:t>
          </w:r>
        </w:sdtContent>
      </w:sdt>
    </w:p>
    <w:p w14:paraId="436CB792" w14:textId="77777777" w:rsidR="008C1AD8" w:rsidRPr="00BB1565" w:rsidRDefault="008C1AD8" w:rsidP="008C1AD8">
      <w:r w:rsidRPr="00BB1565">
        <w:t xml:space="preserve">The assessment of the Little Tern is presented in Section </w:t>
      </w:r>
      <w:r w:rsidRPr="00BB1565">
        <w:fldChar w:fldCharType="begin"/>
      </w:r>
      <w:r w:rsidRPr="00BB1565">
        <w:instrText xml:space="preserve"> REF _Ref115872232 \n </w:instrText>
      </w:r>
      <w:r>
        <w:instrText xml:space="preserve"> \* MERGEFORMAT </w:instrText>
      </w:r>
      <w:r w:rsidRPr="00BB1565">
        <w:fldChar w:fldCharType="separate"/>
      </w:r>
      <w:r>
        <w:t>23.5</w:t>
      </w:r>
      <w:r w:rsidRPr="00BB1565">
        <w:fldChar w:fldCharType="end"/>
      </w:r>
      <w:r w:rsidRPr="00BB1565">
        <w:t xml:space="preserve"> below.</w:t>
      </w:r>
    </w:p>
    <w:p w14:paraId="3CCB34C1" w14:textId="77777777" w:rsidR="008C1AD8" w:rsidRDefault="008C1AD8" w:rsidP="008C1AD8">
      <w:pPr>
        <w:pStyle w:val="Heading2"/>
      </w:pPr>
      <w:bookmarkStart w:id="157" w:name="_Ref115871952"/>
      <w:bookmarkStart w:id="158" w:name="_Toc116048306"/>
      <w:bookmarkStart w:id="159" w:name="_Toc135122700"/>
      <w:r>
        <w:t>Assessment of migratory shorebirds</w:t>
      </w:r>
      <w:bookmarkEnd w:id="157"/>
      <w:bookmarkEnd w:id="158"/>
      <w:bookmarkEnd w:id="159"/>
    </w:p>
    <w:p w14:paraId="5AB3AC59" w14:textId="77777777" w:rsidR="008C1AD8" w:rsidRPr="005B05FC" w:rsidRDefault="008C1AD8" w:rsidP="008C1AD8">
      <w:pPr>
        <w:pStyle w:val="Heading3"/>
      </w:pPr>
      <w:r>
        <w:t>Background to migratory shorebirds</w:t>
      </w:r>
    </w:p>
    <w:p w14:paraId="39E7C32D" w14:textId="77777777" w:rsidR="008C1AD8" w:rsidRDefault="008C1AD8" w:rsidP="008C1AD8">
      <w:r w:rsidRPr="00056B1E">
        <w:t xml:space="preserve">Thirty-seven species of migratory shorebirds regularly visit Australia during their non-breeding season (from the Austral spring to autumn). The majority of those breed in the northern hemisphere and use the East Asian-Australasian Flyway which stretches from Siberia and Alaska, through east and south-east Asia, to Australia and New Zealand. They depend upon a range of sites along the flyway for breeding, staging, feeding, and roosting. In Australia, coastal and freshwater wetlands provide important habitat </w:t>
      </w:r>
      <w:sdt>
        <w:sdtPr>
          <w:rPr>
            <w:color w:val="000000"/>
          </w:rPr>
          <w:tag w:val="MENDELEY_CITATION_v3_eyJjaXRhdGlvbklEIjoiTUVOREVMRVlfQ0lUQVRJT05fMzQwZTFlODItYTg3ZS00MjNjLTk5MzgtYzA1NTAxNWJhZDg3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562481422"/>
          <w:placeholder>
            <w:docPart w:val="53263D66753F864BA248D609BD120A46"/>
          </w:placeholder>
        </w:sdtPr>
        <w:sdtContent>
          <w:r w:rsidRPr="00273871">
            <w:rPr>
              <w:color w:val="000000"/>
            </w:rPr>
            <w:t>(Commonwealth of Australia, 2015)</w:t>
          </w:r>
        </w:sdtContent>
      </w:sdt>
      <w:r w:rsidRPr="00056B1E">
        <w:t>.</w:t>
      </w:r>
    </w:p>
    <w:p w14:paraId="0B375DF5" w14:textId="77777777" w:rsidR="008C1AD8" w:rsidRDefault="008C1AD8" w:rsidP="008C1AD8">
      <w:pPr>
        <w:pStyle w:val="Heading3"/>
      </w:pPr>
      <w:r>
        <w:t>Overview of species being assessed</w:t>
      </w:r>
    </w:p>
    <w:p w14:paraId="661C33DA" w14:textId="77777777" w:rsidR="008C1AD8" w:rsidRDefault="008C1AD8" w:rsidP="008C1AD8">
      <w:r>
        <w:fldChar w:fldCharType="begin"/>
      </w:r>
      <w:r>
        <w:instrText xml:space="preserve"> REF _Ref115864276 </w:instrText>
      </w:r>
      <w:r>
        <w:fldChar w:fldCharType="separate"/>
      </w:r>
      <w:r>
        <w:t xml:space="preserve">Table </w:t>
      </w:r>
      <w:r>
        <w:rPr>
          <w:noProof/>
        </w:rPr>
        <w:t>23</w:t>
      </w:r>
      <w:r>
        <w:noBreakHyphen/>
      </w:r>
      <w:r>
        <w:rPr>
          <w:noProof/>
        </w:rPr>
        <w:t>1</w:t>
      </w:r>
      <w:r>
        <w:fldChar w:fldCharType="end"/>
      </w:r>
      <w:r>
        <w:t xml:space="preserve"> provides an overview of the records and important habitat for the six migratory shorebirds. Please refer to </w:t>
      </w:r>
      <w:hyperlink r:id="rId77" w:history="1">
        <w:r w:rsidRPr="00466211">
          <w:rPr>
            <w:rStyle w:val="Hyperlink"/>
          </w:rPr>
          <w:t>Map 23-1</w:t>
        </w:r>
      </w:hyperlink>
      <w:r w:rsidRPr="00204897">
        <w:t xml:space="preserve"> for</w:t>
      </w:r>
      <w:r>
        <w:t xml:space="preserve"> a map of the boundaries of Important Bird Areas (IBAs) identified in this table.</w:t>
      </w:r>
    </w:p>
    <w:p w14:paraId="62FE26B5" w14:textId="77777777" w:rsidR="008C1AD8" w:rsidRDefault="008C1AD8" w:rsidP="008C1AD8">
      <w:r>
        <w:t xml:space="preserve">Note that the Werribee/Avalon IBA and the </w:t>
      </w:r>
      <w:r w:rsidRPr="000F50ED">
        <w:rPr>
          <w:szCs w:val="18"/>
        </w:rPr>
        <w:t>Lake Connewarre and Barwon River Estuary IBA</w:t>
      </w:r>
      <w:r>
        <w:rPr>
          <w:szCs w:val="18"/>
        </w:rPr>
        <w:t xml:space="preserve"> are part of the Port Phillip Bay (Western Shoreline) and Bellarine Peninsula Ramsar site, and the Moolap IBA is currently being considered for inclusion within the Ramsar site </w:t>
      </w:r>
      <w:sdt>
        <w:sdtPr>
          <w:rPr>
            <w:color w:val="000000"/>
            <w:szCs w:val="18"/>
          </w:rPr>
          <w:tag w:val="MENDELEY_CITATION_v3_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"/>
          <w:id w:val="-1939827443"/>
          <w:placeholder>
            <w:docPart w:val="53263D66753F864BA248D609BD120A46"/>
          </w:placeholder>
        </w:sdtPr>
        <w:sdtEndPr>
          <w:rPr>
            <w:szCs w:val="20"/>
          </w:rPr>
        </w:sdtEndPr>
        <w:sdtContent>
          <w:r w:rsidRPr="00273871">
            <w:rPr>
              <w:color w:val="000000"/>
            </w:rPr>
            <w:t>(Engage Victoria, 2022)</w:t>
          </w:r>
        </w:sdtContent>
      </w:sdt>
      <w:r>
        <w:rPr>
          <w:szCs w:val="18"/>
        </w:rPr>
        <w:t>.</w:t>
      </w:r>
    </w:p>
    <w:p w14:paraId="4B1FD8E7" w14:textId="77777777" w:rsidR="008C1AD8" w:rsidRDefault="008C1AD8" w:rsidP="008C1AD8"/>
    <w:p w14:paraId="1FD0E605" w14:textId="77777777" w:rsidR="008C1AD8" w:rsidRDefault="008C1AD8" w:rsidP="008C1AD8">
      <w:pPr>
        <w:sectPr w:rsidR="008C1AD8" w:rsidSect="00280B93">
          <w:footerReference w:type="default" r:id="rId78"/>
          <w:pgSz w:w="11900" w:h="16840"/>
          <w:pgMar w:top="1247" w:right="1134" w:bottom="1247" w:left="1134" w:header="708" w:footer="708" w:gutter="0"/>
          <w:pgNumType w:start="1" w:chapStyle="1"/>
          <w:cols w:space="708"/>
          <w:docGrid w:linePitch="360"/>
        </w:sectPr>
      </w:pPr>
    </w:p>
    <w:p w14:paraId="2C1507F6" w14:textId="77777777" w:rsidR="008C1AD8" w:rsidRPr="001532BC" w:rsidRDefault="008C1AD8" w:rsidP="008C1AD8">
      <w:pPr>
        <w:pStyle w:val="Caption"/>
      </w:pPr>
      <w:bookmarkStart w:id="160" w:name="_Ref115864276"/>
      <w:bookmarkStart w:id="161" w:name="_Toc135122732"/>
      <w:r>
        <w:lastRenderedPageBreak/>
        <w:t xml:space="preserve">Table </w:t>
      </w:r>
      <w:r>
        <w:fldChar w:fldCharType="begin"/>
      </w:r>
      <w:r>
        <w:instrText xml:space="preserve"> STYLEREF 1 \s </w:instrText>
      </w:r>
      <w:r>
        <w:fldChar w:fldCharType="separate"/>
      </w:r>
      <w:r>
        <w:rPr>
          <w:noProof/>
        </w:rPr>
        <w:t>23</w:t>
      </w:r>
      <w:r>
        <w:fldChar w:fldCharType="end"/>
      </w:r>
      <w:r>
        <w:noBreakHyphen/>
      </w:r>
      <w:r>
        <w:fldChar w:fldCharType="begin"/>
      </w:r>
      <w:r>
        <w:instrText xml:space="preserve"> SEQ Table \* ARABIC \s 1 </w:instrText>
      </w:r>
      <w:r>
        <w:fldChar w:fldCharType="separate"/>
      </w:r>
      <w:r>
        <w:rPr>
          <w:noProof/>
        </w:rPr>
        <w:t>1</w:t>
      </w:r>
      <w:r>
        <w:fldChar w:fldCharType="end"/>
      </w:r>
      <w:bookmarkEnd w:id="160"/>
      <w:r>
        <w:t>: Overview of Category 1 migratory shorebirds</w:t>
      </w:r>
      <w:bookmarkEnd w:id="161"/>
    </w:p>
    <w:tbl>
      <w:tblPr>
        <w:tblStyle w:val="TableGrid"/>
        <w:tblW w:w="0" w:type="auto"/>
        <w:tblLook w:val="04A0" w:firstRow="1" w:lastRow="0" w:firstColumn="1" w:lastColumn="0" w:noHBand="0" w:noVBand="1"/>
      </w:tblPr>
      <w:tblGrid>
        <w:gridCol w:w="1179"/>
        <w:gridCol w:w="1038"/>
        <w:gridCol w:w="6749"/>
        <w:gridCol w:w="1164"/>
        <w:gridCol w:w="1164"/>
        <w:gridCol w:w="3042"/>
      </w:tblGrid>
      <w:tr w:rsidR="008C1AD8" w:rsidRPr="00667C67" w14:paraId="34028BB7" w14:textId="77777777" w:rsidTr="00A15226">
        <w:trPr>
          <w:tblHeader/>
        </w:trPr>
        <w:tc>
          <w:tcPr>
            <w:tcW w:w="411" w:type="pct"/>
            <w:shd w:val="clear" w:color="auto" w:fill="DBDBDB" w:themeFill="accent3" w:themeFillTint="66"/>
            <w:vAlign w:val="center"/>
          </w:tcPr>
          <w:p w14:paraId="3DDF4069" w14:textId="77777777" w:rsidR="008C1AD8" w:rsidRPr="00667C67" w:rsidRDefault="008C1AD8" w:rsidP="00A15226">
            <w:pPr>
              <w:pStyle w:val="Tabletext"/>
              <w:rPr>
                <w:b/>
                <w:bCs/>
              </w:rPr>
            </w:pPr>
            <w:r w:rsidRPr="00667C67">
              <w:rPr>
                <w:b/>
                <w:bCs/>
              </w:rPr>
              <w:t>Common name</w:t>
            </w:r>
          </w:p>
        </w:tc>
        <w:tc>
          <w:tcPr>
            <w:tcW w:w="362" w:type="pct"/>
            <w:shd w:val="clear" w:color="auto" w:fill="DBDBDB" w:themeFill="accent3" w:themeFillTint="66"/>
            <w:vAlign w:val="center"/>
          </w:tcPr>
          <w:p w14:paraId="38B6C008" w14:textId="77777777" w:rsidR="008C1AD8" w:rsidRPr="00667C67" w:rsidRDefault="008C1AD8" w:rsidP="00A15226">
            <w:pPr>
              <w:pStyle w:val="Tabletext"/>
              <w:rPr>
                <w:b/>
                <w:bCs/>
              </w:rPr>
            </w:pPr>
            <w:r w:rsidRPr="00667C67">
              <w:rPr>
                <w:b/>
                <w:bCs/>
              </w:rPr>
              <w:t>Scientific name</w:t>
            </w:r>
          </w:p>
        </w:tc>
        <w:tc>
          <w:tcPr>
            <w:tcW w:w="2354" w:type="pct"/>
            <w:shd w:val="clear" w:color="auto" w:fill="DBDBDB" w:themeFill="accent3" w:themeFillTint="66"/>
            <w:vAlign w:val="center"/>
          </w:tcPr>
          <w:p w14:paraId="55F1BC1C" w14:textId="77777777" w:rsidR="008C1AD8" w:rsidRPr="00667C67" w:rsidRDefault="008C1AD8" w:rsidP="00A15226">
            <w:pPr>
              <w:pStyle w:val="Tabletext"/>
              <w:rPr>
                <w:b/>
                <w:bCs/>
              </w:rPr>
            </w:pPr>
            <w:r>
              <w:rPr>
                <w:b/>
                <w:bCs/>
              </w:rPr>
              <w:t>Occurrence</w:t>
            </w:r>
          </w:p>
        </w:tc>
        <w:tc>
          <w:tcPr>
            <w:tcW w:w="406" w:type="pct"/>
            <w:shd w:val="clear" w:color="auto" w:fill="DBDBDB" w:themeFill="accent3" w:themeFillTint="66"/>
            <w:vAlign w:val="center"/>
          </w:tcPr>
          <w:p w14:paraId="35CA69C5" w14:textId="77777777" w:rsidR="008C1AD8" w:rsidRPr="00667C67" w:rsidRDefault="008C1AD8" w:rsidP="00A15226">
            <w:pPr>
              <w:pStyle w:val="Tabletext"/>
              <w:rPr>
                <w:b/>
                <w:bCs/>
              </w:rPr>
            </w:pPr>
            <w:r>
              <w:rPr>
                <w:b/>
                <w:bCs/>
              </w:rPr>
              <w:t>Map</w:t>
            </w:r>
          </w:p>
        </w:tc>
        <w:tc>
          <w:tcPr>
            <w:tcW w:w="406" w:type="pct"/>
            <w:shd w:val="clear" w:color="auto" w:fill="DBDBDB" w:themeFill="accent3" w:themeFillTint="66"/>
            <w:vAlign w:val="center"/>
          </w:tcPr>
          <w:p w14:paraId="31487E1D" w14:textId="77777777" w:rsidR="008C1AD8" w:rsidRPr="00667C67" w:rsidRDefault="008C1AD8" w:rsidP="00A15226">
            <w:pPr>
              <w:pStyle w:val="Tabletext"/>
              <w:rPr>
                <w:b/>
                <w:bCs/>
              </w:rPr>
            </w:pPr>
            <w:r w:rsidRPr="00667C67">
              <w:rPr>
                <w:b/>
                <w:bCs/>
              </w:rPr>
              <w:t>ESP* threshold</w:t>
            </w:r>
          </w:p>
        </w:tc>
        <w:tc>
          <w:tcPr>
            <w:tcW w:w="1062" w:type="pct"/>
            <w:shd w:val="clear" w:color="auto" w:fill="DBDBDB" w:themeFill="accent3" w:themeFillTint="66"/>
            <w:vAlign w:val="center"/>
          </w:tcPr>
          <w:p w14:paraId="451AE651" w14:textId="77777777" w:rsidR="008C1AD8" w:rsidRPr="00667C67" w:rsidRDefault="008C1AD8" w:rsidP="00A15226">
            <w:pPr>
              <w:pStyle w:val="Tabletext"/>
              <w:rPr>
                <w:b/>
                <w:bCs/>
              </w:rPr>
            </w:pPr>
            <w:r w:rsidRPr="00667C67">
              <w:rPr>
                <w:b/>
                <w:bCs/>
              </w:rPr>
              <w:t>Location of important habitat^</w:t>
            </w:r>
          </w:p>
        </w:tc>
      </w:tr>
      <w:tr w:rsidR="008C1AD8" w:rsidRPr="00F37E4F" w14:paraId="1C458CF7" w14:textId="77777777" w:rsidTr="00A15226">
        <w:tc>
          <w:tcPr>
            <w:tcW w:w="411" w:type="pct"/>
            <w:vAlign w:val="center"/>
          </w:tcPr>
          <w:p w14:paraId="60B6C099" w14:textId="77777777" w:rsidR="008C1AD8" w:rsidRPr="00F37E4F" w:rsidRDefault="008C1AD8" w:rsidP="00A15226">
            <w:pPr>
              <w:pStyle w:val="Tabletext"/>
              <w:rPr>
                <w:highlight w:val="yellow"/>
              </w:rPr>
            </w:pPr>
            <w:r w:rsidRPr="00F37E4F">
              <w:t>Common Greenshank</w:t>
            </w:r>
          </w:p>
        </w:tc>
        <w:tc>
          <w:tcPr>
            <w:tcW w:w="362" w:type="pct"/>
            <w:vAlign w:val="center"/>
          </w:tcPr>
          <w:p w14:paraId="5E07949B" w14:textId="77777777" w:rsidR="008C1AD8" w:rsidRPr="00F37E4F" w:rsidRDefault="008C1AD8" w:rsidP="00A15226">
            <w:pPr>
              <w:pStyle w:val="Tabletext"/>
              <w:rPr>
                <w:highlight w:val="yellow"/>
              </w:rPr>
            </w:pPr>
            <w:r w:rsidRPr="00F37E4F">
              <w:rPr>
                <w:i/>
                <w:iCs/>
              </w:rPr>
              <w:t>Tringa nebularia</w:t>
            </w:r>
          </w:p>
        </w:tc>
        <w:tc>
          <w:tcPr>
            <w:tcW w:w="2354" w:type="pct"/>
            <w:vAlign w:val="center"/>
          </w:tcPr>
          <w:p w14:paraId="63DCF525" w14:textId="77777777" w:rsidR="008C1AD8" w:rsidRPr="00F37E4F" w:rsidRDefault="008C1AD8" w:rsidP="00A15226">
            <w:pPr>
              <w:pStyle w:val="Tabletext"/>
            </w:pPr>
            <w:r w:rsidRPr="009E63A2">
              <w:t xml:space="preserve">There </w:t>
            </w:r>
            <w:r w:rsidRPr="00FA0799">
              <w:t>h</w:t>
            </w:r>
            <w:r>
              <w:t>ave</w:t>
            </w:r>
            <w:r w:rsidRPr="009E63A2">
              <w:t xml:space="preserve"> been 1,287 records (4,625 individuals</w:t>
            </w:r>
            <w:r w:rsidRPr="00FA0799">
              <w:t>) of the Common Greenshank within the Study Area over the past five years. This is above the threshold of an ecologically significant proportion of records for the species.</w:t>
            </w:r>
          </w:p>
          <w:p w14:paraId="2EB5696E" w14:textId="77777777" w:rsidR="008C1AD8" w:rsidRPr="00F37E4F" w:rsidRDefault="008C1AD8" w:rsidP="00A15226">
            <w:pPr>
              <w:pStyle w:val="Tabletext"/>
            </w:pPr>
            <w:r w:rsidRPr="00F37E4F">
              <w:t xml:space="preserve">Most of these </w:t>
            </w:r>
            <w:r w:rsidRPr="001532BC">
              <w:t>individuals (</w:t>
            </w:r>
            <w:r w:rsidRPr="009E63A2">
              <w:t>over 2,800</w:t>
            </w:r>
            <w:r w:rsidRPr="00FA0799">
              <w:t>) occur</w:t>
            </w:r>
            <w:r w:rsidRPr="001532BC">
              <w:t xml:space="preserve"> along the northern coastline of Port Phillip Bay, extending from Avalon Beach in the west to the boundary of the Study Area in the east. This area is part of the Werribee/Avalon IBA.</w:t>
            </w:r>
          </w:p>
          <w:p w14:paraId="009A6467" w14:textId="77777777" w:rsidR="008C1AD8" w:rsidRPr="00F37E4F" w:rsidRDefault="008C1AD8" w:rsidP="00A15226">
            <w:pPr>
              <w:pStyle w:val="Tabletext"/>
            </w:pPr>
            <w:r w:rsidRPr="00F37E4F">
              <w:t xml:space="preserve">A substantial proportion of individuals </w:t>
            </w:r>
            <w:r w:rsidRPr="00FA0799">
              <w:t>(</w:t>
            </w:r>
            <w:r w:rsidRPr="009E63A2">
              <w:t>approximately 800</w:t>
            </w:r>
            <w:r w:rsidRPr="00FA0799">
              <w:t>) also</w:t>
            </w:r>
            <w:r w:rsidRPr="00F37E4F">
              <w:t xml:space="preserve"> occur within the Lake Connewarre </w:t>
            </w:r>
            <w:r>
              <w:t>Complex. This area is part of the Lake Connewarre and Barwon River Estuary IBA.</w:t>
            </w:r>
          </w:p>
          <w:p w14:paraId="3E0A62D0" w14:textId="77777777" w:rsidR="008C1AD8" w:rsidRPr="00F37E4F" w:rsidRDefault="008C1AD8" w:rsidP="00A15226">
            <w:pPr>
              <w:pStyle w:val="Tabletext"/>
            </w:pPr>
            <w:r w:rsidRPr="00F37E4F">
              <w:t>Individuals are also recorded to occur within the Moolap region</w:t>
            </w:r>
            <w:r>
              <w:t>.  This area is part of the Moolap IBA.</w:t>
            </w:r>
          </w:p>
        </w:tc>
        <w:tc>
          <w:tcPr>
            <w:tcW w:w="406" w:type="pct"/>
            <w:vAlign w:val="center"/>
          </w:tcPr>
          <w:p w14:paraId="2F7DA386" w14:textId="77777777" w:rsidR="008C1AD8" w:rsidRPr="00FA0799" w:rsidRDefault="008C1AD8" w:rsidP="00A15226">
            <w:pPr>
              <w:pStyle w:val="Tabletext"/>
            </w:pPr>
            <w:hyperlink r:id="rId79" w:history="1">
              <w:r w:rsidRPr="00466211">
                <w:rPr>
                  <w:rStyle w:val="Hyperlink"/>
                </w:rPr>
                <w:t>Map 23-2</w:t>
              </w:r>
            </w:hyperlink>
          </w:p>
        </w:tc>
        <w:tc>
          <w:tcPr>
            <w:tcW w:w="406" w:type="pct"/>
            <w:vAlign w:val="center"/>
          </w:tcPr>
          <w:p w14:paraId="01F72872" w14:textId="77777777" w:rsidR="008C1AD8" w:rsidRPr="00F37E4F" w:rsidRDefault="008C1AD8" w:rsidP="00A15226">
            <w:pPr>
              <w:pStyle w:val="Tabletext"/>
              <w:rPr>
                <w:highlight w:val="yellow"/>
              </w:rPr>
            </w:pPr>
            <w:r w:rsidRPr="00F37E4F">
              <w:t xml:space="preserve">110 individuals within the last 5 years </w:t>
            </w:r>
            <w:sdt>
              <w:sdtPr>
                <w:rPr>
                  <w:color w:val="000000"/>
                </w:rPr>
                <w:tag w:val="MENDELEY_CITATION_v3_eyJjaXRhdGlvbklEIjoiTUVOREVMRVlfQ0lUQVRJT05fMDY2ZGYwMjQtZjA4MC00M2M2LWE4MjktYjViN2JiNzY5OTNhIiwicHJvcGVydGllcyI6eyJub3RlSW5kZXgiOjB9LCJpc0VkaXRlZCI6ZmFsc2UsIm1hbnVhbE92ZXJyaWRlIjp7ImNpdGVwcm9jVGV4dCI6IihIYW5zZW4gPGk+ZXQgYWwuPC9pPiwgMjAxNjsgRG9FLCAyMDE3KSIsImlzTWFudWFsbHlPdmVycmlkZGVuIjp0cnVlLCJtYW51YWxPdmVycmlkZVRleHQiOiIoRG9FLCAyMDE3OyBIYW5zZW4sIEZ1bGxlciBldCBhbC4sIDIwMTYp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546028470"/>
                <w:placeholder>
                  <w:docPart w:val="53263D66753F864BA248D609BD120A46"/>
                </w:placeholder>
              </w:sdtPr>
              <w:sdtContent>
                <w:r w:rsidRPr="00273871">
                  <w:rPr>
                    <w:rFonts w:eastAsia="Times New Roman"/>
                    <w:color w:val="000000"/>
                  </w:rPr>
                  <w:t>(DoE, 2017; Hansen, Fuller et al., 2016)</w:t>
                </w:r>
              </w:sdtContent>
            </w:sdt>
            <w:r w:rsidRPr="00F37E4F">
              <w:t>.</w:t>
            </w:r>
          </w:p>
        </w:tc>
        <w:tc>
          <w:tcPr>
            <w:tcW w:w="1062" w:type="pct"/>
            <w:vAlign w:val="center"/>
          </w:tcPr>
          <w:p w14:paraId="01D74BF3" w14:textId="77777777" w:rsidR="008C1AD8" w:rsidRPr="00F37E4F" w:rsidRDefault="008C1AD8" w:rsidP="00A15226">
            <w:pPr>
              <w:pStyle w:val="Tabletext"/>
            </w:pPr>
            <w:r w:rsidRPr="00F37E4F">
              <w:t>Important habitat for the Common Greenshank has been mapped by Birdlife Australia within the Study Area in the following localities</w:t>
            </w:r>
            <w:r>
              <w:t xml:space="preserve"> </w:t>
            </w:r>
            <w:sdt>
              <w:sdtPr>
                <w:rPr>
                  <w:color w:val="000000"/>
                </w:rPr>
                <w:tag w:val="MENDELEY_CITATION_v3_eyJjaXRhdGlvbklEIjoiTUVOREVMRVlfQ0lUQVRJT05fODdkZTBlM2ItMzk0ZS00MTc3LWE5MWQtYmIxYTZmOWJkYzc0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396252908"/>
                <w:placeholder>
                  <w:docPart w:val="53263D66753F864BA248D609BD120A46"/>
                </w:placeholder>
              </w:sdtPr>
              <w:sdtContent>
                <w:r w:rsidRPr="00273871">
                  <w:rPr>
                    <w:rFonts w:eastAsia="Times New Roman"/>
                    <w:color w:val="000000"/>
                  </w:rPr>
                  <w:t>(Weller, Kidd et al., 2020)</w:t>
                </w:r>
              </w:sdtContent>
            </w:sdt>
            <w:r w:rsidRPr="00F37E4F">
              <w:t>:</w:t>
            </w:r>
          </w:p>
          <w:p w14:paraId="3B89550A" w14:textId="77777777" w:rsidR="008C1AD8" w:rsidRPr="00F37E4F" w:rsidRDefault="008C1AD8" w:rsidP="00A15226">
            <w:pPr>
              <w:pStyle w:val="Bullet1"/>
            </w:pPr>
            <w:r w:rsidRPr="00F37E4F">
              <w:t>Lake Connewarre and Barwon River Estuary IBA</w:t>
            </w:r>
          </w:p>
          <w:p w14:paraId="1E902E1B" w14:textId="77777777" w:rsidR="008C1AD8" w:rsidRPr="00F37E4F" w:rsidRDefault="008C1AD8" w:rsidP="00A15226">
            <w:pPr>
              <w:pStyle w:val="Bullet1"/>
            </w:pPr>
            <w:r w:rsidRPr="00F37E4F">
              <w:t>Werribee/Avalon IBA</w:t>
            </w:r>
          </w:p>
        </w:tc>
      </w:tr>
      <w:tr w:rsidR="008C1AD8" w:rsidRPr="00F37E4F" w14:paraId="58C91D5B" w14:textId="77777777" w:rsidTr="00A15226">
        <w:tc>
          <w:tcPr>
            <w:tcW w:w="411" w:type="pct"/>
            <w:vAlign w:val="center"/>
          </w:tcPr>
          <w:p w14:paraId="333D9A53" w14:textId="77777777" w:rsidR="008C1AD8" w:rsidRPr="00F37E4F" w:rsidRDefault="008C1AD8" w:rsidP="00A15226">
            <w:pPr>
              <w:pStyle w:val="Tabletext"/>
              <w:rPr>
                <w:highlight w:val="yellow"/>
              </w:rPr>
            </w:pPr>
            <w:r w:rsidRPr="00F37E4F">
              <w:t>Double-banded Plover</w:t>
            </w:r>
          </w:p>
        </w:tc>
        <w:tc>
          <w:tcPr>
            <w:tcW w:w="362" w:type="pct"/>
            <w:vAlign w:val="center"/>
          </w:tcPr>
          <w:p w14:paraId="5D563DA3" w14:textId="77777777" w:rsidR="008C1AD8" w:rsidRPr="00F37E4F" w:rsidRDefault="008C1AD8" w:rsidP="00A15226">
            <w:pPr>
              <w:pStyle w:val="Tabletext"/>
              <w:rPr>
                <w:highlight w:val="yellow"/>
              </w:rPr>
            </w:pPr>
            <w:r w:rsidRPr="00F37E4F">
              <w:rPr>
                <w:i/>
                <w:iCs/>
              </w:rPr>
              <w:t>Charadrius bicinctus</w:t>
            </w:r>
          </w:p>
        </w:tc>
        <w:tc>
          <w:tcPr>
            <w:tcW w:w="2354" w:type="pct"/>
            <w:vAlign w:val="center"/>
          </w:tcPr>
          <w:p w14:paraId="50878E19" w14:textId="77777777" w:rsidR="008C1AD8" w:rsidRPr="00F37E4F" w:rsidRDefault="008C1AD8" w:rsidP="00A15226">
            <w:pPr>
              <w:pStyle w:val="Tabletext"/>
            </w:pPr>
            <w:r w:rsidRPr="009E63A2">
              <w:t>There has been 1 record (3 individuals</w:t>
            </w:r>
            <w:r w:rsidRPr="00FA0799">
              <w:t>) of the Double-banded Plover within the Study Area over the past</w:t>
            </w:r>
            <w:r w:rsidRPr="00F37E4F">
              <w:t xml:space="preserve"> 5 years. These individuals are recorded to occur along the northern coastline of Port Phillip Bay, adjacent to The Spit Wildlife Reserve</w:t>
            </w:r>
            <w:r>
              <w:t>. This is below the threshold of an ecologically significant proportion of records for the species.</w:t>
            </w:r>
          </w:p>
          <w:p w14:paraId="7B6346E5" w14:textId="77777777" w:rsidR="008C1AD8" w:rsidRDefault="008C1AD8" w:rsidP="00A15226">
            <w:pPr>
              <w:pStyle w:val="Tabletext"/>
            </w:pPr>
            <w:r w:rsidRPr="00F37E4F">
              <w:t xml:space="preserve">While few individuals of the Double-banded Plover have been recorded within the last 5 years, it is noted that when historical records are considered, a substantial </w:t>
            </w:r>
            <w:r w:rsidRPr="00667C67">
              <w:t>number</w:t>
            </w:r>
            <w:r w:rsidRPr="00F37E4F">
              <w:t xml:space="preserve"> of individuals has been recorded within the Study Area within recent years </w:t>
            </w:r>
            <w:r w:rsidRPr="00FA0799">
              <w:t>(</w:t>
            </w:r>
            <w:r w:rsidRPr="009E63A2">
              <w:t>7,992 individuals</w:t>
            </w:r>
            <w:r w:rsidRPr="00FA0799">
              <w:t xml:space="preserve"> from</w:t>
            </w:r>
            <w:r w:rsidRPr="00F37E4F">
              <w:t xml:space="preserve"> 1990 onwards). These records occur</w:t>
            </w:r>
            <w:r>
              <w:t>:</w:t>
            </w:r>
          </w:p>
          <w:p w14:paraId="2AA3BC06" w14:textId="77777777" w:rsidR="008C1AD8" w:rsidRPr="00430A2A" w:rsidRDefault="008C1AD8" w:rsidP="00A15226">
            <w:pPr>
              <w:pStyle w:val="Bullet1"/>
            </w:pPr>
            <w:r w:rsidRPr="00430A2A">
              <w:t>Along the northern shoreline of Port Phillip Bay. A small number of records also occur in the vicinity of Limeburners Bay. This area is part of the Werribee/Avalon IBA</w:t>
            </w:r>
          </w:p>
          <w:p w14:paraId="6670FD2E" w14:textId="77777777" w:rsidR="008C1AD8" w:rsidRDefault="008C1AD8" w:rsidP="00A15226">
            <w:pPr>
              <w:pStyle w:val="Bullet1"/>
            </w:pPr>
            <w:r w:rsidRPr="00430A2A">
              <w:t>Within the Lake Connewarre Complex</w:t>
            </w:r>
            <w:r>
              <w:t>. This area is part of the Lake Connewarre and Barwon River Estuary IBA</w:t>
            </w:r>
          </w:p>
          <w:p w14:paraId="17ADC719" w14:textId="77777777" w:rsidR="008C1AD8" w:rsidRPr="00430A2A" w:rsidRDefault="008C1AD8" w:rsidP="00A15226">
            <w:pPr>
              <w:pStyle w:val="Bullet1"/>
            </w:pPr>
            <w:r w:rsidRPr="00430A2A">
              <w:t>In the Moolap locality.</w:t>
            </w:r>
            <w:r>
              <w:t xml:space="preserve"> This area is part of the Moolap IBA</w:t>
            </w:r>
          </w:p>
        </w:tc>
        <w:tc>
          <w:tcPr>
            <w:tcW w:w="406" w:type="pct"/>
            <w:vAlign w:val="center"/>
          </w:tcPr>
          <w:p w14:paraId="00BBC774" w14:textId="77777777" w:rsidR="008C1AD8" w:rsidRPr="00FA0799" w:rsidRDefault="008C1AD8" w:rsidP="00A15226">
            <w:pPr>
              <w:pStyle w:val="Tabletext"/>
            </w:pPr>
            <w:hyperlink r:id="rId80" w:history="1">
              <w:r w:rsidRPr="00466211">
                <w:rPr>
                  <w:rStyle w:val="Hyperlink"/>
                </w:rPr>
                <w:t>Map 23-3</w:t>
              </w:r>
            </w:hyperlink>
          </w:p>
          <w:p w14:paraId="3EDF578D" w14:textId="77777777" w:rsidR="008C1AD8" w:rsidRPr="00FA0799" w:rsidRDefault="008C1AD8" w:rsidP="00A15226">
            <w:pPr>
              <w:pStyle w:val="Tabletext"/>
            </w:pPr>
            <w:r w:rsidRPr="00FA0799">
              <w:t>and</w:t>
            </w:r>
          </w:p>
          <w:p w14:paraId="192E8EB9" w14:textId="77777777" w:rsidR="008C1AD8" w:rsidRPr="00F37E4F" w:rsidRDefault="008C1AD8" w:rsidP="00A15226">
            <w:pPr>
              <w:pStyle w:val="Tabletext"/>
            </w:pPr>
            <w:hyperlink r:id="rId81" w:history="1">
              <w:r w:rsidRPr="00466211">
                <w:rPr>
                  <w:rStyle w:val="Hyperlink"/>
                </w:rPr>
                <w:t>Map-23-4</w:t>
              </w:r>
            </w:hyperlink>
          </w:p>
        </w:tc>
        <w:tc>
          <w:tcPr>
            <w:tcW w:w="406" w:type="pct"/>
            <w:vAlign w:val="center"/>
          </w:tcPr>
          <w:p w14:paraId="2A260DA0" w14:textId="77777777" w:rsidR="008C1AD8" w:rsidRPr="00F37E4F" w:rsidRDefault="008C1AD8" w:rsidP="00A15226">
            <w:pPr>
              <w:pStyle w:val="Tabletext"/>
              <w:rPr>
                <w:highlight w:val="yellow"/>
              </w:rPr>
            </w:pPr>
            <w:r w:rsidRPr="00F37E4F">
              <w:t xml:space="preserve">19 individuals within the last 5 years </w:t>
            </w:r>
            <w:sdt>
              <w:sdtPr>
                <w:rPr>
                  <w:color w:val="000000"/>
                </w:rPr>
                <w:tag w:val="MENDELEY_CITATION_v3_eyJjaXRhdGlvbklEIjoiTUVOREVMRVlfQ0lUQVRJT05fYWY5ZmQzYWQtYzI2Ny00OTI0LWEzNDQtNzkwOWQ4ZDYzOTY1IiwicHJvcGVydGllcyI6eyJub3RlSW5kZXgiOjB9LCJpc0VkaXRlZCI6ZmFsc2UsIm1hbnVhbE92ZXJyaWRlIjp7ImNpdGVwcm9jVGV4dCI6IihIYW5zZW4gPGk+ZXQgYWwuPC9pPiwgMjAxNjsgRG9FLCAyMDE3KSIsImlzTWFudWFsbHlPdmVycmlkZGVuIjp0cnVlLCJtYW51YWxPdmVycmlkZVRleHQiOiIoRG9FLCAyMDE3OyBIYW5zZW4sIEZ1bGxlciBldCBhbC4sIDIwMTYp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459736422"/>
                <w:placeholder>
                  <w:docPart w:val="53263D66753F864BA248D609BD120A46"/>
                </w:placeholder>
              </w:sdtPr>
              <w:sdtContent>
                <w:r w:rsidRPr="00273871">
                  <w:rPr>
                    <w:rFonts w:eastAsia="Times New Roman"/>
                    <w:color w:val="000000"/>
                  </w:rPr>
                  <w:t>(DoE, 2017; Hansen, Fuller et al., 2016)</w:t>
                </w:r>
              </w:sdtContent>
            </w:sdt>
            <w:r w:rsidRPr="00F37E4F">
              <w:t>.</w:t>
            </w:r>
          </w:p>
        </w:tc>
        <w:tc>
          <w:tcPr>
            <w:tcW w:w="1062" w:type="pct"/>
            <w:vAlign w:val="center"/>
          </w:tcPr>
          <w:p w14:paraId="10E5725E" w14:textId="77777777" w:rsidR="008C1AD8" w:rsidRPr="00F37E4F" w:rsidRDefault="008C1AD8" w:rsidP="00A15226">
            <w:pPr>
              <w:pStyle w:val="Tabletext"/>
            </w:pPr>
            <w:r w:rsidRPr="00F37E4F">
              <w:t xml:space="preserve">Important habitat for the Double-banded Plover has been mapped by Birdlife Australia within the Study Area in the following localities </w:t>
            </w:r>
            <w:sdt>
              <w:sdtPr>
                <w:rPr>
                  <w:color w:val="000000"/>
                </w:rPr>
                <w:tag w:val="MENDELEY_CITATION_v3_eyJjaXRhdGlvbklEIjoiTUVOREVMRVlfQ0lUQVRJT05fMjhjMzU3ZDYtNzhhMS00ZjJhLThmMTYtMWY4MjdiNmI2NzVi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2115625455"/>
                <w:placeholder>
                  <w:docPart w:val="53263D66753F864BA248D609BD120A46"/>
                </w:placeholder>
              </w:sdtPr>
              <w:sdtContent>
                <w:r w:rsidRPr="00273871">
                  <w:rPr>
                    <w:rFonts w:eastAsia="Times New Roman"/>
                    <w:color w:val="000000"/>
                  </w:rPr>
                  <w:t>(Weller, Kidd et al., 2020)</w:t>
                </w:r>
              </w:sdtContent>
            </w:sdt>
            <w:r w:rsidRPr="00F37E4F">
              <w:t>:</w:t>
            </w:r>
          </w:p>
          <w:p w14:paraId="4D613F50" w14:textId="77777777" w:rsidR="008C1AD8" w:rsidRPr="00F37E4F" w:rsidRDefault="008C1AD8" w:rsidP="00A15226">
            <w:pPr>
              <w:pStyle w:val="Bullet1"/>
            </w:pPr>
            <w:r w:rsidRPr="00F37E4F">
              <w:t>Lake Connewarre and Barwon River Estuary IBA</w:t>
            </w:r>
          </w:p>
          <w:p w14:paraId="26C6BEA0" w14:textId="77777777" w:rsidR="008C1AD8" w:rsidRPr="00F37E4F" w:rsidRDefault="008C1AD8" w:rsidP="00A15226">
            <w:pPr>
              <w:pStyle w:val="Bullet1"/>
            </w:pPr>
            <w:r w:rsidRPr="00F37E4F">
              <w:t>Werribee/Avalon IBA</w:t>
            </w:r>
          </w:p>
          <w:p w14:paraId="318BBC72" w14:textId="77777777" w:rsidR="008C1AD8" w:rsidRPr="00F37E4F" w:rsidRDefault="008C1AD8" w:rsidP="00A15226">
            <w:pPr>
              <w:pStyle w:val="Bullet1"/>
            </w:pPr>
            <w:r w:rsidRPr="00F37E4F">
              <w:t>Moolap IBA</w:t>
            </w:r>
          </w:p>
        </w:tc>
      </w:tr>
      <w:tr w:rsidR="008C1AD8" w:rsidRPr="00F37E4F" w14:paraId="74721189" w14:textId="77777777" w:rsidTr="00A15226">
        <w:tc>
          <w:tcPr>
            <w:tcW w:w="411" w:type="pct"/>
            <w:vAlign w:val="center"/>
          </w:tcPr>
          <w:p w14:paraId="367811E3" w14:textId="77777777" w:rsidR="008C1AD8" w:rsidRPr="00F37E4F" w:rsidRDefault="008C1AD8" w:rsidP="00A15226">
            <w:pPr>
              <w:pStyle w:val="Tabletext"/>
              <w:rPr>
                <w:highlight w:val="yellow"/>
              </w:rPr>
            </w:pPr>
            <w:r w:rsidRPr="00F37E4F">
              <w:t>Latham's Snipe</w:t>
            </w:r>
          </w:p>
        </w:tc>
        <w:tc>
          <w:tcPr>
            <w:tcW w:w="362" w:type="pct"/>
            <w:vAlign w:val="center"/>
          </w:tcPr>
          <w:p w14:paraId="37530589" w14:textId="77777777" w:rsidR="008C1AD8" w:rsidRPr="00F37E4F" w:rsidRDefault="008C1AD8" w:rsidP="00A15226">
            <w:pPr>
              <w:pStyle w:val="Tabletext"/>
              <w:rPr>
                <w:highlight w:val="yellow"/>
              </w:rPr>
            </w:pPr>
            <w:r w:rsidRPr="00F37E4F">
              <w:rPr>
                <w:i/>
                <w:iCs/>
              </w:rPr>
              <w:t>Gallinago hardwickii</w:t>
            </w:r>
          </w:p>
        </w:tc>
        <w:tc>
          <w:tcPr>
            <w:tcW w:w="2354" w:type="pct"/>
            <w:vAlign w:val="center"/>
          </w:tcPr>
          <w:p w14:paraId="07082AF8" w14:textId="77777777" w:rsidR="008C1AD8" w:rsidRPr="00F37E4F" w:rsidRDefault="008C1AD8" w:rsidP="00A15226">
            <w:pPr>
              <w:pStyle w:val="Tabletext"/>
            </w:pPr>
            <w:r w:rsidRPr="009E63A2">
              <w:t xml:space="preserve">There </w:t>
            </w:r>
            <w:r w:rsidRPr="00FA0799">
              <w:t>have</w:t>
            </w:r>
            <w:r w:rsidRPr="009E63A2">
              <w:t xml:space="preserve"> been 241 records (940 individuals</w:t>
            </w:r>
            <w:r w:rsidRPr="00FA0799">
              <w:t>) of the Latham’s Snipe within the Study Area over the past 5 years. This is above the threshold of an ecologically significant proportion</w:t>
            </w:r>
            <w:r>
              <w:t xml:space="preserve"> of records for the species.</w:t>
            </w:r>
          </w:p>
          <w:p w14:paraId="5F652989" w14:textId="77777777" w:rsidR="008C1AD8" w:rsidRDefault="008C1AD8" w:rsidP="00A15226">
            <w:pPr>
              <w:pStyle w:val="Tabletext"/>
            </w:pPr>
            <w:r w:rsidRPr="00F37E4F">
              <w:t xml:space="preserve">The majority of these individuals (over </w:t>
            </w:r>
            <w:r w:rsidRPr="009E63A2">
              <w:t>580 individuals</w:t>
            </w:r>
            <w:r w:rsidRPr="00FA0799">
              <w:t>) occur</w:t>
            </w:r>
            <w:r w:rsidRPr="00F37E4F">
              <w:t xml:space="preserve"> either within the downstream reaches of the Barwon River or within the Lake Connewarre </w:t>
            </w:r>
            <w:r>
              <w:lastRenderedPageBreak/>
              <w:t>Complex. This area is part of the Lake Connewarre and Barwon River Estuary IBA.</w:t>
            </w:r>
          </w:p>
          <w:p w14:paraId="46F74483" w14:textId="77777777" w:rsidR="008C1AD8" w:rsidRDefault="008C1AD8" w:rsidP="00A15226">
            <w:pPr>
              <w:pStyle w:val="Tabletext"/>
            </w:pPr>
            <w:r>
              <w:t>Most of the remaining individuals occur</w:t>
            </w:r>
            <w:r w:rsidRPr="00F37E4F">
              <w:t xml:space="preserve"> along the northern coastline of Port Phillip Bay, adjacent to The Spit Wildlife Reserve.</w:t>
            </w:r>
            <w:r>
              <w:t xml:space="preserve"> A small number of individuals also occur</w:t>
            </w:r>
            <w:r w:rsidRPr="00F37E4F">
              <w:t xml:space="preserve"> adjacent to Limeburners Ba</w:t>
            </w:r>
            <w:r>
              <w:t xml:space="preserve">y. This area is part of the Werribee/Avalon IBA. </w:t>
            </w:r>
          </w:p>
          <w:p w14:paraId="170C23F8" w14:textId="77777777" w:rsidR="008C1AD8" w:rsidRPr="00F37E4F" w:rsidRDefault="008C1AD8" w:rsidP="00A15226">
            <w:pPr>
              <w:pStyle w:val="Tabletext"/>
            </w:pPr>
            <w:r w:rsidRPr="00F37E4F">
              <w:t xml:space="preserve">A small number of records occur </w:t>
            </w:r>
            <w:r>
              <w:t xml:space="preserve">in the </w:t>
            </w:r>
            <w:r w:rsidRPr="00F37E4F">
              <w:t xml:space="preserve">Moolap locality. </w:t>
            </w:r>
            <w:r>
              <w:t>This area is part of the Moolap IBA.</w:t>
            </w:r>
          </w:p>
          <w:p w14:paraId="47CC946B" w14:textId="77777777" w:rsidR="008C1AD8" w:rsidRPr="00F37E4F" w:rsidRDefault="008C1AD8" w:rsidP="00A15226">
            <w:pPr>
              <w:pStyle w:val="Tabletext"/>
            </w:pPr>
            <w:r w:rsidRPr="00F37E4F">
              <w:t xml:space="preserve">A single </w:t>
            </w:r>
            <w:r>
              <w:t>record</w:t>
            </w:r>
            <w:r w:rsidRPr="00F37E4F">
              <w:t xml:space="preserve"> occurs adjacent to Cowies Creek, approximately 600 m east of the boundary of WGGA.</w:t>
            </w:r>
            <w:r>
              <w:t xml:space="preserve"> </w:t>
            </w:r>
            <w:r w:rsidRPr="00F37E4F">
              <w:t>A small number of records also occur in the southern area of the Study Area along Thompson Creek and adjacent to Merri</w:t>
            </w:r>
            <w:r>
              <w:t>j</w:t>
            </w:r>
            <w:r w:rsidRPr="00F37E4F">
              <w:t>ig Creek.</w:t>
            </w:r>
            <w:r>
              <w:t xml:space="preserve"> There is no mapped important habitat in either of these locations. Further, the small number of individuals suggests that neither of these sites are likely to constitute important habitat for the species.</w:t>
            </w:r>
          </w:p>
        </w:tc>
        <w:tc>
          <w:tcPr>
            <w:tcW w:w="406" w:type="pct"/>
            <w:vAlign w:val="center"/>
          </w:tcPr>
          <w:p w14:paraId="0E66B6F9" w14:textId="77777777" w:rsidR="008C1AD8" w:rsidRPr="00FA0799" w:rsidRDefault="008C1AD8" w:rsidP="00A15226">
            <w:pPr>
              <w:pStyle w:val="Tabletext"/>
            </w:pPr>
            <w:hyperlink r:id="rId82" w:history="1">
              <w:r w:rsidRPr="00466211">
                <w:rPr>
                  <w:rStyle w:val="Hyperlink"/>
                </w:rPr>
                <w:t>Map 23-5</w:t>
              </w:r>
            </w:hyperlink>
          </w:p>
        </w:tc>
        <w:tc>
          <w:tcPr>
            <w:tcW w:w="406" w:type="pct"/>
            <w:vAlign w:val="center"/>
          </w:tcPr>
          <w:p w14:paraId="158629BA" w14:textId="77777777" w:rsidR="008C1AD8" w:rsidRPr="00F37E4F" w:rsidRDefault="008C1AD8" w:rsidP="00A15226">
            <w:pPr>
              <w:pStyle w:val="Tabletext"/>
              <w:rPr>
                <w:highlight w:val="yellow"/>
              </w:rPr>
            </w:pPr>
            <w:r w:rsidRPr="00F37E4F">
              <w:t xml:space="preserve">18 individuals within the last 5 years </w:t>
            </w:r>
            <w:sdt>
              <w:sdtPr>
                <w:rPr>
                  <w:color w:val="000000"/>
                </w:rPr>
                <w:tag w:val="MENDELEY_CITATION_v3_eyJjaXRhdGlvbklEIjoiTUVOREVMRVlfQ0lUQVRJT05fMjNmZTFiY2YtZjlkMy00ZTBmLWE2YzYtOTA4ZGFkNDQ4Mzk4IiwicHJvcGVydGllcyI6eyJub3RlSW5kZXgiOjB9LCJpc0VkaXRlZCI6ZmFsc2UsIm1hbnVhbE92ZXJyaWRlIjp7ImNpdGVwcm9jVGV4dCI6IihIYW5zZW4gPGk+ZXQgYWwuPC9pPiwgMjAxNjsgRG9FLCAyMDE3KSIsImlzTWFudWFsbHlPdmVycmlkZGVuIjp0cnVlLCJtYW51YWxPdmVycmlkZVRleHQiOiIoRG9FLCAyMDE3OyBIYW5zZW4sIEZ1bGxlciBldCBhbC4sIDIwMTYp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991238154"/>
                <w:placeholder>
                  <w:docPart w:val="53263D66753F864BA248D609BD120A46"/>
                </w:placeholder>
              </w:sdtPr>
              <w:sdtContent>
                <w:r w:rsidRPr="00273871">
                  <w:rPr>
                    <w:rFonts w:eastAsia="Times New Roman"/>
                    <w:color w:val="000000"/>
                  </w:rPr>
                  <w:t xml:space="preserve">(DoE, 2017; </w:t>
                </w:r>
                <w:r w:rsidRPr="00273871">
                  <w:rPr>
                    <w:rFonts w:eastAsia="Times New Roman"/>
                    <w:color w:val="000000"/>
                  </w:rPr>
                  <w:lastRenderedPageBreak/>
                  <w:t>Hansen, Fuller et al., 2016)</w:t>
                </w:r>
              </w:sdtContent>
            </w:sdt>
            <w:r w:rsidRPr="00F37E4F">
              <w:t>.</w:t>
            </w:r>
          </w:p>
        </w:tc>
        <w:tc>
          <w:tcPr>
            <w:tcW w:w="1062" w:type="pct"/>
            <w:vAlign w:val="center"/>
          </w:tcPr>
          <w:p w14:paraId="56FB920C" w14:textId="77777777" w:rsidR="008C1AD8" w:rsidRPr="00F37E4F" w:rsidRDefault="008C1AD8" w:rsidP="00A15226">
            <w:pPr>
              <w:pStyle w:val="Tabletext"/>
            </w:pPr>
            <w:r w:rsidRPr="00F37E4F">
              <w:lastRenderedPageBreak/>
              <w:t xml:space="preserve">Important habitat for the Latham’s Snipe has been mapped by Birdlife Australia within the Study Area in the following localities </w:t>
            </w:r>
            <w:sdt>
              <w:sdtPr>
                <w:rPr>
                  <w:color w:val="000000"/>
                </w:rPr>
                <w:tag w:val="MENDELEY_CITATION_v3_eyJjaXRhdGlvbklEIjoiTUVOREVMRVlfQ0lUQVRJT05fNmQyMDIzN2QtNjZhMC00MDAyLWI4NjAtYjZmNTUxN2ExMDMx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1181894516"/>
                <w:placeholder>
                  <w:docPart w:val="53263D66753F864BA248D609BD120A46"/>
                </w:placeholder>
              </w:sdtPr>
              <w:sdtContent>
                <w:r w:rsidRPr="00273871">
                  <w:rPr>
                    <w:rFonts w:eastAsia="Times New Roman"/>
                    <w:color w:val="000000"/>
                  </w:rPr>
                  <w:t>(Weller, Kidd et al., 2020)</w:t>
                </w:r>
              </w:sdtContent>
            </w:sdt>
            <w:r w:rsidRPr="00F37E4F">
              <w:t>:</w:t>
            </w:r>
          </w:p>
          <w:p w14:paraId="0C1EA929" w14:textId="77777777" w:rsidR="008C1AD8" w:rsidRPr="00F37E4F" w:rsidRDefault="008C1AD8" w:rsidP="00A15226">
            <w:pPr>
              <w:pStyle w:val="Bullet1"/>
            </w:pPr>
            <w:r w:rsidRPr="00F37E4F">
              <w:lastRenderedPageBreak/>
              <w:t>Lake Connewarre and Barwon River Estuary IBA</w:t>
            </w:r>
          </w:p>
          <w:p w14:paraId="0F4C325C" w14:textId="77777777" w:rsidR="008C1AD8" w:rsidRPr="00F37E4F" w:rsidRDefault="008C1AD8" w:rsidP="00A15226">
            <w:pPr>
              <w:pStyle w:val="Bullet1"/>
            </w:pPr>
            <w:r w:rsidRPr="00F37E4F">
              <w:t>Moolap IBA</w:t>
            </w:r>
          </w:p>
          <w:p w14:paraId="7934AA31" w14:textId="77777777" w:rsidR="008C1AD8" w:rsidRPr="00F37E4F" w:rsidRDefault="008C1AD8" w:rsidP="00A15226">
            <w:pPr>
              <w:pStyle w:val="Tabletext"/>
              <w:rPr>
                <w:highlight w:val="yellow"/>
              </w:rPr>
            </w:pPr>
          </w:p>
        </w:tc>
      </w:tr>
      <w:tr w:rsidR="008C1AD8" w:rsidRPr="00F37E4F" w14:paraId="3899F053" w14:textId="77777777" w:rsidTr="00A15226">
        <w:tc>
          <w:tcPr>
            <w:tcW w:w="411" w:type="pct"/>
            <w:vAlign w:val="center"/>
          </w:tcPr>
          <w:p w14:paraId="571798A6" w14:textId="77777777" w:rsidR="008C1AD8" w:rsidRPr="00F37E4F" w:rsidRDefault="008C1AD8" w:rsidP="00A15226">
            <w:pPr>
              <w:pStyle w:val="Tabletext"/>
              <w:rPr>
                <w:highlight w:val="yellow"/>
              </w:rPr>
            </w:pPr>
            <w:r w:rsidRPr="00F37E4F">
              <w:lastRenderedPageBreak/>
              <w:t>Marsh Sandpiper</w:t>
            </w:r>
          </w:p>
        </w:tc>
        <w:tc>
          <w:tcPr>
            <w:tcW w:w="362" w:type="pct"/>
            <w:vAlign w:val="center"/>
          </w:tcPr>
          <w:p w14:paraId="3F47F717" w14:textId="77777777" w:rsidR="008C1AD8" w:rsidRPr="00F37E4F" w:rsidRDefault="008C1AD8" w:rsidP="00A15226">
            <w:pPr>
              <w:pStyle w:val="Tabletext"/>
              <w:rPr>
                <w:highlight w:val="yellow"/>
              </w:rPr>
            </w:pPr>
            <w:r w:rsidRPr="00F37E4F">
              <w:rPr>
                <w:i/>
                <w:iCs/>
              </w:rPr>
              <w:t>Tringa stagnatilis</w:t>
            </w:r>
          </w:p>
        </w:tc>
        <w:tc>
          <w:tcPr>
            <w:tcW w:w="2354" w:type="pct"/>
            <w:vAlign w:val="center"/>
          </w:tcPr>
          <w:p w14:paraId="46DEFE94" w14:textId="77777777" w:rsidR="008C1AD8" w:rsidRDefault="008C1AD8" w:rsidP="00A15226">
            <w:pPr>
              <w:pStyle w:val="Tabletext"/>
            </w:pPr>
            <w:r w:rsidRPr="009E63A2">
              <w:t>There have been 980 records (4,714 individuals</w:t>
            </w:r>
            <w:r w:rsidRPr="00FA0799">
              <w:t>) of the Marsh Sandpiper within the Study Area over the past 5 years. This is above the threshold of an ecologically significant proportion of records for the species.</w:t>
            </w:r>
          </w:p>
          <w:p w14:paraId="73D949B5" w14:textId="77777777" w:rsidR="008C1AD8" w:rsidRDefault="008C1AD8" w:rsidP="00A15226">
            <w:pPr>
              <w:pStyle w:val="Tabletext"/>
            </w:pPr>
            <w:r w:rsidRPr="00CB68D3">
              <w:t xml:space="preserve">Most of these </w:t>
            </w:r>
            <w:r w:rsidRPr="00FA0799">
              <w:t>individuals (</w:t>
            </w:r>
            <w:r w:rsidRPr="009E63A2">
              <w:t>over 4,000</w:t>
            </w:r>
            <w:r w:rsidRPr="00FA0799">
              <w:t>) occur</w:t>
            </w:r>
            <w:r w:rsidRPr="00CB68D3">
              <w:t xml:space="preserve"> along the northern coastline of Port Phillip </w:t>
            </w:r>
            <w:r w:rsidRPr="006A3B0E">
              <w:t>Bay, extending from Avalon Beach in the west to the boundary of the Study Area in the east.</w:t>
            </w:r>
            <w:r>
              <w:t xml:space="preserve"> This area is part of the Werribee/Avalon IBA.</w:t>
            </w:r>
          </w:p>
          <w:p w14:paraId="71ED8BB4" w14:textId="77777777" w:rsidR="008C1AD8" w:rsidRDefault="008C1AD8" w:rsidP="00A15226">
            <w:pPr>
              <w:pStyle w:val="Tabletext"/>
            </w:pPr>
            <w:r>
              <w:t xml:space="preserve">A substantial proportion of </w:t>
            </w:r>
            <w:r w:rsidRPr="00FA0799">
              <w:t>individuals (</w:t>
            </w:r>
            <w:r w:rsidRPr="009E63A2">
              <w:t>over 200</w:t>
            </w:r>
            <w:r w:rsidRPr="00FA0799">
              <w:t>) also</w:t>
            </w:r>
            <w:r>
              <w:t xml:space="preserve"> occur within the Lake Connewarre Complex. This area is part of the Lake Connewarre and Barwon River Estuary IBA.</w:t>
            </w:r>
          </w:p>
          <w:p w14:paraId="41156842" w14:textId="77777777" w:rsidR="008C1AD8" w:rsidRPr="00F37E4F" w:rsidRDefault="008C1AD8" w:rsidP="00A15226">
            <w:pPr>
              <w:pStyle w:val="Tabletext"/>
              <w:rPr>
                <w:highlight w:val="yellow"/>
              </w:rPr>
            </w:pPr>
            <w:r>
              <w:t>Individuals are also recorded to occur within the Moolap region. This area is part of the Moolap IBA.</w:t>
            </w:r>
          </w:p>
        </w:tc>
        <w:tc>
          <w:tcPr>
            <w:tcW w:w="406" w:type="pct"/>
            <w:vAlign w:val="center"/>
          </w:tcPr>
          <w:p w14:paraId="6D4D8D28" w14:textId="77777777" w:rsidR="008C1AD8" w:rsidRPr="0005212B" w:rsidRDefault="008C1AD8" w:rsidP="00A15226">
            <w:pPr>
              <w:pStyle w:val="Tabletext"/>
            </w:pPr>
            <w:hyperlink r:id="rId83" w:history="1">
              <w:r w:rsidRPr="00466211">
                <w:rPr>
                  <w:rStyle w:val="Hyperlink"/>
                </w:rPr>
                <w:t>Map 23-6</w:t>
              </w:r>
            </w:hyperlink>
          </w:p>
        </w:tc>
        <w:tc>
          <w:tcPr>
            <w:tcW w:w="406" w:type="pct"/>
            <w:vAlign w:val="center"/>
          </w:tcPr>
          <w:p w14:paraId="532D27EC" w14:textId="77777777" w:rsidR="008C1AD8" w:rsidRPr="00F37E4F" w:rsidRDefault="008C1AD8" w:rsidP="00A15226">
            <w:pPr>
              <w:pStyle w:val="Tabletext"/>
              <w:rPr>
                <w:highlight w:val="yellow"/>
              </w:rPr>
            </w:pPr>
            <w:r>
              <w:t xml:space="preserve">130 individuals within the last 5 years </w:t>
            </w:r>
            <w:sdt>
              <w:sdtPr>
                <w:rPr>
                  <w:color w:val="000000"/>
                </w:rPr>
                <w:tag w:val="MENDELEY_CITATION_v3_eyJjaXRhdGlvbklEIjoiTUVOREVMRVlfQ0lUQVRJT05fYjk1NWIyYWMtYTgxMi00N2YzLTgyNmYtNzJjNTNiMmRjZThlIiwicHJvcGVydGllcyI6eyJub3RlSW5kZXgiOjB9LCJpc0VkaXRlZCI6ZmFsc2UsIm1hbnVhbE92ZXJyaWRlIjp7ImNpdGVwcm9jVGV4dCI6IihIYW5zZW4gPGk+ZXQgYWwuPC9pPiwgMjAxNjsgRG9FLCAyMDE3KSIsImlzTWFudWFsbHlPdmVycmlkZGVuIjp0cnVlLCJtYW51YWxPdmVycmlkZVRleHQiOiIoRG9FLCAyMDE3OyBIYW5zZW4sIEZ1bGxlciBldCBhbC4sIDIwMTYp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296332270"/>
                <w:placeholder>
                  <w:docPart w:val="53263D66753F864BA248D609BD120A46"/>
                </w:placeholder>
              </w:sdtPr>
              <w:sdtContent>
                <w:r w:rsidRPr="00273871">
                  <w:rPr>
                    <w:rFonts w:eastAsia="Times New Roman"/>
                    <w:color w:val="000000"/>
                  </w:rPr>
                  <w:t>(DoE, 2017; Hansen, Fuller et al., 2016)</w:t>
                </w:r>
              </w:sdtContent>
            </w:sdt>
            <w:r>
              <w:t>.</w:t>
            </w:r>
          </w:p>
        </w:tc>
        <w:tc>
          <w:tcPr>
            <w:tcW w:w="1062" w:type="pct"/>
            <w:vAlign w:val="center"/>
          </w:tcPr>
          <w:p w14:paraId="06617443" w14:textId="77777777" w:rsidR="008C1AD8" w:rsidRPr="00E63B82" w:rsidRDefault="008C1AD8" w:rsidP="00A15226">
            <w:pPr>
              <w:pStyle w:val="Tabletext"/>
            </w:pPr>
            <w:r>
              <w:t xml:space="preserve">Important habitat for the Marsh Sandpiper has been mapped by Birdlife Australia within the Study Area in the following localities </w:t>
            </w:r>
            <w:sdt>
              <w:sdtPr>
                <w:rPr>
                  <w:color w:val="000000"/>
                </w:rPr>
                <w:tag w:val="MENDELEY_CITATION_v3_eyJjaXRhdGlvbklEIjoiTUVOREVMRVlfQ0lUQVRJT05fMDJmZGEwNDQtNjA4NS00NGJmLThhMDQtYWE4OWY1NDQ3N2Yx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1313835651"/>
                <w:placeholder>
                  <w:docPart w:val="53263D66753F864BA248D609BD120A46"/>
                </w:placeholder>
              </w:sdtPr>
              <w:sdtContent>
                <w:r w:rsidRPr="00273871">
                  <w:rPr>
                    <w:rFonts w:eastAsia="Times New Roman"/>
                    <w:color w:val="000000"/>
                  </w:rPr>
                  <w:t>(Weller, Kidd et al., 2020)</w:t>
                </w:r>
              </w:sdtContent>
            </w:sdt>
            <w:r w:rsidRPr="00F37E4F">
              <w:t>:</w:t>
            </w:r>
          </w:p>
          <w:p w14:paraId="63B5D48D" w14:textId="77777777" w:rsidR="008C1AD8" w:rsidRDefault="008C1AD8" w:rsidP="00A15226">
            <w:pPr>
              <w:pStyle w:val="Bullet1"/>
            </w:pPr>
            <w:r>
              <w:t xml:space="preserve">Werribee/Avalon </w:t>
            </w:r>
            <w:r w:rsidRPr="00E63B82">
              <w:t>IBA</w:t>
            </w:r>
          </w:p>
          <w:p w14:paraId="51A8177D" w14:textId="77777777" w:rsidR="008C1AD8" w:rsidRPr="00F37E4F" w:rsidRDefault="008C1AD8" w:rsidP="00A15226">
            <w:pPr>
              <w:pStyle w:val="Bullet1"/>
            </w:pPr>
            <w:r>
              <w:t>Moolap IBA</w:t>
            </w:r>
          </w:p>
        </w:tc>
      </w:tr>
      <w:tr w:rsidR="008C1AD8" w:rsidRPr="00F37E4F" w14:paraId="4FAB1A24" w14:textId="77777777" w:rsidTr="00A15226">
        <w:tc>
          <w:tcPr>
            <w:tcW w:w="411" w:type="pct"/>
            <w:vAlign w:val="center"/>
          </w:tcPr>
          <w:p w14:paraId="04A578CC" w14:textId="77777777" w:rsidR="008C1AD8" w:rsidRPr="00F37E4F" w:rsidRDefault="008C1AD8" w:rsidP="00A15226">
            <w:pPr>
              <w:pStyle w:val="Tabletext"/>
              <w:rPr>
                <w:highlight w:val="yellow"/>
              </w:rPr>
            </w:pPr>
            <w:r w:rsidRPr="00F37E4F">
              <w:t>Red-necked Stint</w:t>
            </w:r>
          </w:p>
        </w:tc>
        <w:tc>
          <w:tcPr>
            <w:tcW w:w="362" w:type="pct"/>
            <w:vAlign w:val="center"/>
          </w:tcPr>
          <w:p w14:paraId="5B17D903" w14:textId="77777777" w:rsidR="008C1AD8" w:rsidRPr="00F37E4F" w:rsidRDefault="008C1AD8" w:rsidP="00A15226">
            <w:pPr>
              <w:pStyle w:val="Tabletext"/>
              <w:rPr>
                <w:highlight w:val="yellow"/>
              </w:rPr>
            </w:pPr>
            <w:r w:rsidRPr="00F37E4F">
              <w:rPr>
                <w:i/>
                <w:iCs/>
              </w:rPr>
              <w:t>Calidris ruficollis</w:t>
            </w:r>
          </w:p>
        </w:tc>
        <w:tc>
          <w:tcPr>
            <w:tcW w:w="2354" w:type="pct"/>
            <w:vAlign w:val="center"/>
          </w:tcPr>
          <w:p w14:paraId="3CED3D0E" w14:textId="77777777" w:rsidR="008C1AD8" w:rsidRDefault="008C1AD8" w:rsidP="00A15226">
            <w:pPr>
              <w:pStyle w:val="Tabletext"/>
            </w:pPr>
            <w:r w:rsidRPr="009E63A2">
              <w:t>There have been 104 records (21,042 individuals</w:t>
            </w:r>
            <w:r w:rsidRPr="0005212B">
              <w:t>) of the Red-necked Stint within the Study Area over the past 5 years. This is above the threshold of an ecologically significant proportion of records for the species.</w:t>
            </w:r>
          </w:p>
          <w:p w14:paraId="744C0A50" w14:textId="77777777" w:rsidR="008C1AD8" w:rsidRDefault="008C1AD8" w:rsidP="00A15226">
            <w:pPr>
              <w:pStyle w:val="Tabletext"/>
            </w:pPr>
            <w:r>
              <w:t>All of these recent individuals occur along the northern coastline of Port Phillip Bay, extending from Avalon Beach in the west to the boundary of the Study Area in the east.  This area is part of the Werribee/Avalon IBA.</w:t>
            </w:r>
          </w:p>
          <w:p w14:paraId="2434A32A" w14:textId="77777777" w:rsidR="008C1AD8" w:rsidRPr="00F37E4F" w:rsidRDefault="008C1AD8" w:rsidP="00A15226">
            <w:pPr>
              <w:pStyle w:val="Tabletext"/>
              <w:rPr>
                <w:highlight w:val="yellow"/>
              </w:rPr>
            </w:pPr>
            <w:r>
              <w:t>While there are no records in these localities within the last 5 years, w</w:t>
            </w:r>
            <w:r w:rsidRPr="00D7361D">
              <w:t xml:space="preserve">hen date filters are removed and all available records of the species are considered, </w:t>
            </w:r>
            <w:r w:rsidRPr="00D7361D">
              <w:lastRenderedPageBreak/>
              <w:t xml:space="preserve">substantial records of the species occur within the Lake Connewarre </w:t>
            </w:r>
            <w:r>
              <w:t>Complex</w:t>
            </w:r>
            <w:r w:rsidRPr="00D7361D">
              <w:t xml:space="preserve"> </w:t>
            </w:r>
            <w:r>
              <w:t xml:space="preserve">(part of the Lake Connewarre and Barwon River Estuary IBA) </w:t>
            </w:r>
            <w:r w:rsidRPr="00D7361D">
              <w:t>and in the Moolap locality</w:t>
            </w:r>
            <w:r>
              <w:t xml:space="preserve"> (part of the Moolap IBA).</w:t>
            </w:r>
          </w:p>
        </w:tc>
        <w:tc>
          <w:tcPr>
            <w:tcW w:w="406" w:type="pct"/>
            <w:vAlign w:val="center"/>
          </w:tcPr>
          <w:p w14:paraId="12643EBA" w14:textId="77777777" w:rsidR="008C1AD8" w:rsidRPr="0005212B" w:rsidRDefault="008C1AD8" w:rsidP="00A15226">
            <w:pPr>
              <w:pStyle w:val="Tabletext"/>
            </w:pPr>
            <w:hyperlink r:id="rId84" w:history="1">
              <w:r w:rsidRPr="00466211">
                <w:rPr>
                  <w:rStyle w:val="Hyperlink"/>
                </w:rPr>
                <w:t>Map 23-7</w:t>
              </w:r>
            </w:hyperlink>
          </w:p>
        </w:tc>
        <w:tc>
          <w:tcPr>
            <w:tcW w:w="406" w:type="pct"/>
            <w:vAlign w:val="center"/>
          </w:tcPr>
          <w:p w14:paraId="2AC72F74" w14:textId="77777777" w:rsidR="008C1AD8" w:rsidRPr="00F37E4F" w:rsidRDefault="008C1AD8" w:rsidP="00A15226">
            <w:pPr>
              <w:pStyle w:val="Tabletext"/>
              <w:rPr>
                <w:highlight w:val="yellow"/>
              </w:rPr>
            </w:pPr>
            <w:r>
              <w:t xml:space="preserve">475 individuals within the last 5 years </w:t>
            </w:r>
            <w:sdt>
              <w:sdtPr>
                <w:rPr>
                  <w:color w:val="000000"/>
                </w:rPr>
                <w:tag w:val="MENDELEY_CITATION_v3_eyJjaXRhdGlvbklEIjoiTUVOREVMRVlfQ0lUQVRJT05fYjE5MDYyMmMtYTY5OC00MmRkLTkxNzUtYjA4ODQ4N2FmMGFiIiwicHJvcGVydGllcyI6eyJub3RlSW5kZXgiOjB9LCJpc0VkaXRlZCI6ZmFsc2UsIm1hbnVhbE92ZXJyaWRlIjp7ImNpdGVwcm9jVGV4dCI6IihIYW5zZW4gPGk+ZXQgYWwuPC9pPiwgMjAxNjsgRG9FLCAyMDE3KSIsImlzTWFudWFsbHlPdmVycmlkZGVuIjp0cnVlLCJtYW51YWxPdmVycmlkZVRleHQiOiIoRG9FLCAyMDE3OyBIYW5zZW4sIEZ1bGxlciBldCBhbC4sIDIwMTYp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94631825"/>
                <w:placeholder>
                  <w:docPart w:val="53263D66753F864BA248D609BD120A46"/>
                </w:placeholder>
              </w:sdtPr>
              <w:sdtContent>
                <w:r w:rsidRPr="00273871">
                  <w:rPr>
                    <w:rFonts w:eastAsia="Times New Roman"/>
                    <w:color w:val="000000"/>
                  </w:rPr>
                  <w:t>(DoE, 2017; Hansen, Fuller et al., 2016)</w:t>
                </w:r>
              </w:sdtContent>
            </w:sdt>
            <w:r>
              <w:t>.</w:t>
            </w:r>
          </w:p>
        </w:tc>
        <w:tc>
          <w:tcPr>
            <w:tcW w:w="1062" w:type="pct"/>
            <w:vAlign w:val="center"/>
          </w:tcPr>
          <w:p w14:paraId="36742C5D" w14:textId="77777777" w:rsidR="008C1AD8" w:rsidRDefault="008C1AD8" w:rsidP="00A15226">
            <w:pPr>
              <w:pStyle w:val="Tabletext"/>
            </w:pPr>
            <w:r>
              <w:t xml:space="preserve">Important habitat for the Red-necked Stint has been mapped by Birdlife Australia within the Study Area in the following localities </w:t>
            </w:r>
            <w:sdt>
              <w:sdtPr>
                <w:rPr>
                  <w:color w:val="000000"/>
                </w:rPr>
                <w:tag w:val="MENDELEY_CITATION_v3_eyJjaXRhdGlvbklEIjoiTUVOREVMRVlfQ0lUQVRJT05fNjJiYjIyNjQtYWFhNS00YmE2LWFkNGMtOTgxNTdhODVmODBj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2091500660"/>
                <w:placeholder>
                  <w:docPart w:val="53263D66753F864BA248D609BD120A46"/>
                </w:placeholder>
              </w:sdtPr>
              <w:sdtContent>
                <w:r w:rsidRPr="00273871">
                  <w:rPr>
                    <w:rFonts w:eastAsia="Times New Roman"/>
                    <w:color w:val="000000"/>
                  </w:rPr>
                  <w:t>(Weller, Kidd et al., 2020)</w:t>
                </w:r>
              </w:sdtContent>
            </w:sdt>
            <w:r w:rsidRPr="00F37E4F">
              <w:t>:</w:t>
            </w:r>
          </w:p>
          <w:p w14:paraId="21D6C09B" w14:textId="77777777" w:rsidR="008C1AD8" w:rsidRPr="00E63B82" w:rsidRDefault="008C1AD8" w:rsidP="00A15226">
            <w:pPr>
              <w:pStyle w:val="Bullet1"/>
            </w:pPr>
            <w:r w:rsidRPr="00E63B82">
              <w:t>Lake Connewarre and Barwon River Estuary IBA</w:t>
            </w:r>
          </w:p>
          <w:p w14:paraId="46A7C576" w14:textId="77777777" w:rsidR="008C1AD8" w:rsidRPr="00E63B82" w:rsidRDefault="008C1AD8" w:rsidP="00A15226">
            <w:pPr>
              <w:pStyle w:val="Bullet1"/>
            </w:pPr>
            <w:r w:rsidRPr="00E63B82">
              <w:t>Werribee/Avalon IBA</w:t>
            </w:r>
          </w:p>
          <w:p w14:paraId="2D4F20D3" w14:textId="77777777" w:rsidR="008C1AD8" w:rsidRPr="00F37E4F" w:rsidRDefault="008C1AD8" w:rsidP="00A15226">
            <w:pPr>
              <w:pStyle w:val="Bullet1"/>
            </w:pPr>
            <w:r w:rsidRPr="00E63B82">
              <w:lastRenderedPageBreak/>
              <w:t>Moolap IBA</w:t>
            </w:r>
          </w:p>
        </w:tc>
      </w:tr>
      <w:tr w:rsidR="008C1AD8" w:rsidRPr="00F37E4F" w14:paraId="4604F093" w14:textId="77777777" w:rsidTr="00A15226">
        <w:tc>
          <w:tcPr>
            <w:tcW w:w="411" w:type="pct"/>
            <w:vAlign w:val="center"/>
          </w:tcPr>
          <w:p w14:paraId="7216A899" w14:textId="77777777" w:rsidR="008C1AD8" w:rsidRPr="00F37E4F" w:rsidRDefault="008C1AD8" w:rsidP="00A15226">
            <w:pPr>
              <w:pStyle w:val="Tabletext"/>
              <w:rPr>
                <w:highlight w:val="yellow"/>
              </w:rPr>
            </w:pPr>
            <w:r w:rsidRPr="00F37E4F">
              <w:lastRenderedPageBreak/>
              <w:t>Sharp-tailed Sandpiper</w:t>
            </w:r>
          </w:p>
        </w:tc>
        <w:tc>
          <w:tcPr>
            <w:tcW w:w="362" w:type="pct"/>
            <w:vAlign w:val="center"/>
          </w:tcPr>
          <w:p w14:paraId="6A4EE765" w14:textId="77777777" w:rsidR="008C1AD8" w:rsidRPr="00F37E4F" w:rsidRDefault="008C1AD8" w:rsidP="00A15226">
            <w:pPr>
              <w:pStyle w:val="Tabletext"/>
              <w:rPr>
                <w:highlight w:val="yellow"/>
              </w:rPr>
            </w:pPr>
            <w:r w:rsidRPr="00F37E4F">
              <w:rPr>
                <w:i/>
                <w:iCs/>
              </w:rPr>
              <w:t>Calidris acuminata</w:t>
            </w:r>
          </w:p>
        </w:tc>
        <w:tc>
          <w:tcPr>
            <w:tcW w:w="2354" w:type="pct"/>
            <w:vAlign w:val="center"/>
          </w:tcPr>
          <w:p w14:paraId="70100A98" w14:textId="77777777" w:rsidR="008C1AD8" w:rsidRDefault="008C1AD8" w:rsidP="00A15226">
            <w:pPr>
              <w:pStyle w:val="Tabletext"/>
            </w:pPr>
            <w:r w:rsidRPr="009E63A2">
              <w:t>There have been 138 records (11,075 individuals</w:t>
            </w:r>
            <w:r w:rsidRPr="0005212B">
              <w:t>) of the Sharp-tailed Sandpiper within the Study Area over the past 5 years. This is above the threshold of an ecologically significant proportion of records for the species.</w:t>
            </w:r>
          </w:p>
          <w:p w14:paraId="3273618E" w14:textId="77777777" w:rsidR="008C1AD8" w:rsidRDefault="008C1AD8" w:rsidP="00A15226">
            <w:pPr>
              <w:pStyle w:val="Tabletext"/>
            </w:pPr>
            <w:r>
              <w:t>These recent records primarily occur along the northern coastline of Port Phillip Bay, within or adjacent to The Spit Wildlife Reserve. This area is part of the Werribee/Avalon IBA.</w:t>
            </w:r>
          </w:p>
          <w:p w14:paraId="0F72537D" w14:textId="77777777" w:rsidR="008C1AD8" w:rsidRPr="00F37E4F" w:rsidRDefault="008C1AD8" w:rsidP="00A15226">
            <w:pPr>
              <w:pStyle w:val="Tabletext"/>
              <w:rPr>
                <w:highlight w:val="yellow"/>
              </w:rPr>
            </w:pPr>
            <w:r>
              <w:t>While there are limited records in other localities within the last 5 years, w</w:t>
            </w:r>
            <w:r w:rsidRPr="00D7361D">
              <w:t xml:space="preserve">hen date filters are removed and all available records of the species are considered, substantial records of the species occur within the Lake Connewarre </w:t>
            </w:r>
            <w:r>
              <w:t>Complex</w:t>
            </w:r>
            <w:r w:rsidRPr="00D7361D">
              <w:t xml:space="preserve"> </w:t>
            </w:r>
            <w:r>
              <w:t xml:space="preserve">(part of the Lake Connewarre and Barwon River Estuary IBA) </w:t>
            </w:r>
            <w:r w:rsidRPr="00D7361D">
              <w:t>and in the Moolap locality</w:t>
            </w:r>
            <w:r>
              <w:t xml:space="preserve"> (part of the Moolap IBA). </w:t>
            </w:r>
            <w:r w:rsidRPr="00D7361D">
              <w:t xml:space="preserve">A small number of records also occur in the vicinity of Limeburners </w:t>
            </w:r>
            <w:r>
              <w:t>Bay (part of the Werribee/Avalon IBA).</w:t>
            </w:r>
          </w:p>
        </w:tc>
        <w:tc>
          <w:tcPr>
            <w:tcW w:w="406" w:type="pct"/>
            <w:vAlign w:val="center"/>
          </w:tcPr>
          <w:p w14:paraId="2FF9A027" w14:textId="77777777" w:rsidR="008C1AD8" w:rsidRPr="0005212B" w:rsidRDefault="008C1AD8" w:rsidP="00A15226">
            <w:pPr>
              <w:pStyle w:val="Tabletext"/>
            </w:pPr>
            <w:hyperlink r:id="rId85" w:history="1">
              <w:r w:rsidRPr="00466211">
                <w:rPr>
                  <w:rStyle w:val="Hyperlink"/>
                </w:rPr>
                <w:t>Map 23-8</w:t>
              </w:r>
            </w:hyperlink>
          </w:p>
        </w:tc>
        <w:tc>
          <w:tcPr>
            <w:tcW w:w="406" w:type="pct"/>
            <w:vAlign w:val="center"/>
          </w:tcPr>
          <w:p w14:paraId="1681C56C" w14:textId="77777777" w:rsidR="008C1AD8" w:rsidRPr="00F37E4F" w:rsidRDefault="008C1AD8" w:rsidP="00A15226">
            <w:pPr>
              <w:pStyle w:val="Tabletext"/>
              <w:rPr>
                <w:highlight w:val="yellow"/>
              </w:rPr>
            </w:pPr>
            <w:r>
              <w:t xml:space="preserve">85 individuals within the last 5 years </w:t>
            </w:r>
            <w:sdt>
              <w:sdtPr>
                <w:rPr>
                  <w:color w:val="000000"/>
                </w:rPr>
                <w:tag w:val="MENDELEY_CITATION_v3_eyJjaXRhdGlvbklEIjoiTUVOREVMRVlfQ0lUQVRJT05fNjFmMmEyNDctY2ZjMS00MjUzLTg2MDEtNjA4YmE4YzRhYTQyIiwicHJvcGVydGllcyI6eyJub3RlSW5kZXgiOjB9LCJpc0VkaXRlZCI6ZmFsc2UsIm1hbnVhbE92ZXJyaWRlIjp7ImNpdGVwcm9jVGV4dCI6IihIYW5zZW4gPGk+ZXQgYWwuPC9pPiwgMjAxNjsgRG9FLCAyMDE3KSIsImlzTWFudWFsbHlPdmVycmlkZGVuIjp0cnVlLCJtYW51YWxPdmVycmlkZVRleHQiOiIoRG9FLCAyMDE3OyBIYW5zZW4sIEZ1bGxlciBldCBhbC4sIDIwMTYp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866291249"/>
                <w:placeholder>
                  <w:docPart w:val="53263D66753F864BA248D609BD120A46"/>
                </w:placeholder>
              </w:sdtPr>
              <w:sdtContent>
                <w:r w:rsidRPr="00273871">
                  <w:rPr>
                    <w:rFonts w:eastAsia="Times New Roman"/>
                    <w:color w:val="000000"/>
                  </w:rPr>
                  <w:t>(DoE, 2017; Hansen, Fuller et al., 2016)</w:t>
                </w:r>
              </w:sdtContent>
            </w:sdt>
            <w:r>
              <w:t>.</w:t>
            </w:r>
          </w:p>
        </w:tc>
        <w:tc>
          <w:tcPr>
            <w:tcW w:w="1062" w:type="pct"/>
            <w:vAlign w:val="center"/>
          </w:tcPr>
          <w:p w14:paraId="0B7F7E21" w14:textId="77777777" w:rsidR="008C1AD8" w:rsidRDefault="008C1AD8" w:rsidP="00A15226">
            <w:pPr>
              <w:pStyle w:val="Tabletext"/>
            </w:pPr>
            <w:r>
              <w:t xml:space="preserve">Important habitat for the Sharp-tailed Sandpiper has been mapped by Birdlife Australia within the Study Area in the following areas </w:t>
            </w:r>
            <w:sdt>
              <w:sdtPr>
                <w:rPr>
                  <w:color w:val="000000"/>
                </w:rPr>
                <w:tag w:val="MENDELEY_CITATION_v3_eyJjaXRhdGlvbklEIjoiTUVOREVMRVlfQ0lUQVRJT05fYTNlNWRlNDQtZjk0ZC00OTJjLWIwZjQtMjg0NTk2ZjMyYmUx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1808283481"/>
                <w:placeholder>
                  <w:docPart w:val="53263D66753F864BA248D609BD120A46"/>
                </w:placeholder>
              </w:sdtPr>
              <w:sdtContent>
                <w:r w:rsidRPr="00273871">
                  <w:rPr>
                    <w:rFonts w:eastAsia="Times New Roman"/>
                    <w:color w:val="000000"/>
                  </w:rPr>
                  <w:t>(Weller, Kidd et al., 2020)</w:t>
                </w:r>
              </w:sdtContent>
            </w:sdt>
            <w:r w:rsidRPr="00F37E4F">
              <w:t>:</w:t>
            </w:r>
          </w:p>
          <w:p w14:paraId="35166CD0" w14:textId="77777777" w:rsidR="008C1AD8" w:rsidRPr="00E63B82" w:rsidRDefault="008C1AD8" w:rsidP="00A15226">
            <w:pPr>
              <w:pStyle w:val="Bullet1"/>
            </w:pPr>
            <w:r w:rsidRPr="00E63B82">
              <w:t>Lake Connewarre and Barwon River Estuary IBA</w:t>
            </w:r>
          </w:p>
          <w:p w14:paraId="38594393" w14:textId="77777777" w:rsidR="008C1AD8" w:rsidRPr="00E63B82" w:rsidRDefault="008C1AD8" w:rsidP="00A15226">
            <w:pPr>
              <w:pStyle w:val="Bullet1"/>
            </w:pPr>
            <w:r w:rsidRPr="00E63B82">
              <w:t>Werribee/Avalon IBA</w:t>
            </w:r>
          </w:p>
          <w:p w14:paraId="53823A57" w14:textId="77777777" w:rsidR="008C1AD8" w:rsidRPr="00F37E4F" w:rsidRDefault="008C1AD8" w:rsidP="00A15226">
            <w:pPr>
              <w:pStyle w:val="Bullet1"/>
            </w:pPr>
            <w:r w:rsidRPr="00E63B82">
              <w:t>Moolap IBA</w:t>
            </w:r>
          </w:p>
        </w:tc>
      </w:tr>
    </w:tbl>
    <w:p w14:paraId="468E107E" w14:textId="77777777" w:rsidR="008C1AD8" w:rsidRDefault="008C1AD8" w:rsidP="008C1AD8">
      <w:pPr>
        <w:pStyle w:val="Bullet1"/>
        <w:numPr>
          <w:ilvl w:val="0"/>
          <w:numId w:val="0"/>
        </w:numPr>
        <w:ind w:left="360" w:hanging="360"/>
        <w:rPr>
          <w:sz w:val="16"/>
          <w:szCs w:val="16"/>
        </w:rPr>
      </w:pPr>
      <w:r w:rsidRPr="00F37E4F">
        <w:rPr>
          <w:sz w:val="16"/>
          <w:szCs w:val="16"/>
        </w:rPr>
        <w:t>*ESP – Ecologically Significant Proportion</w:t>
      </w:r>
    </w:p>
    <w:p w14:paraId="531B8A7D" w14:textId="77777777" w:rsidR="008C1AD8" w:rsidRDefault="008C1AD8" w:rsidP="008C1AD8">
      <w:pPr>
        <w:pStyle w:val="Bullet1"/>
        <w:numPr>
          <w:ilvl w:val="0"/>
          <w:numId w:val="0"/>
        </w:numPr>
        <w:ind w:left="360" w:hanging="360"/>
        <w:rPr>
          <w:sz w:val="16"/>
          <w:szCs w:val="16"/>
        </w:rPr>
      </w:pPr>
      <w:r w:rsidRPr="009E63A2">
        <w:rPr>
          <w:sz w:val="16"/>
          <w:szCs w:val="16"/>
        </w:rPr>
        <w:t xml:space="preserve">^ Refer to </w:t>
      </w:r>
      <w:hyperlink r:id="rId86" w:history="1">
        <w:r w:rsidRPr="00466211">
          <w:rPr>
            <w:rStyle w:val="Hyperlink"/>
            <w:sz w:val="16"/>
            <w:szCs w:val="16"/>
          </w:rPr>
          <w:t>Map 23-1</w:t>
        </w:r>
      </w:hyperlink>
      <w:r w:rsidRPr="009E63A2">
        <w:rPr>
          <w:sz w:val="16"/>
          <w:szCs w:val="16"/>
        </w:rPr>
        <w:t xml:space="preserve"> for a map of important habitat</w:t>
      </w:r>
    </w:p>
    <w:p w14:paraId="629CB9A5" w14:textId="77777777" w:rsidR="008C1AD8" w:rsidRPr="00F37E4F" w:rsidRDefault="008C1AD8" w:rsidP="008C1AD8">
      <w:pPr>
        <w:pStyle w:val="Bullet1"/>
        <w:numPr>
          <w:ilvl w:val="0"/>
          <w:numId w:val="0"/>
        </w:numPr>
        <w:ind w:left="360" w:hanging="360"/>
        <w:rPr>
          <w:sz w:val="16"/>
          <w:szCs w:val="16"/>
        </w:rPr>
      </w:pPr>
    </w:p>
    <w:p w14:paraId="318ADFC9" w14:textId="77777777" w:rsidR="008C1AD8" w:rsidRDefault="008C1AD8" w:rsidP="008C1AD8">
      <w:pPr>
        <w:pStyle w:val="Bullet1"/>
        <w:numPr>
          <w:ilvl w:val="0"/>
          <w:numId w:val="0"/>
        </w:numPr>
        <w:ind w:left="360" w:hanging="360"/>
        <w:rPr>
          <w:highlight w:val="yellow"/>
        </w:rPr>
        <w:sectPr w:rsidR="008C1AD8" w:rsidSect="00E37DF7">
          <w:headerReference w:type="even" r:id="rId87"/>
          <w:footerReference w:type="default" r:id="rId88"/>
          <w:headerReference w:type="first" r:id="rId89"/>
          <w:pgSz w:w="16840" w:h="11900" w:orient="landscape"/>
          <w:pgMar w:top="1134" w:right="1247" w:bottom="1134" w:left="1247" w:header="708" w:footer="708" w:gutter="0"/>
          <w:pgNumType w:chapStyle="1"/>
          <w:cols w:space="708"/>
          <w:docGrid w:linePitch="360"/>
        </w:sectPr>
      </w:pPr>
    </w:p>
    <w:p w14:paraId="37B7EAA0" w14:textId="77777777" w:rsidR="008C1AD8" w:rsidRDefault="008C1AD8" w:rsidP="008C1AD8">
      <w:pPr>
        <w:pStyle w:val="Heading3"/>
      </w:pPr>
      <w:r>
        <w:lastRenderedPageBreak/>
        <w:t>Approach to assessment</w:t>
      </w:r>
    </w:p>
    <w:p w14:paraId="25B0D657" w14:textId="77777777" w:rsidR="008C1AD8" w:rsidRDefault="008C1AD8" w:rsidP="008C1AD8">
      <w:pPr>
        <w:pStyle w:val="Heading4"/>
      </w:pPr>
      <w:r>
        <w:t>Guidance which informed assessment approach</w:t>
      </w:r>
    </w:p>
    <w:p w14:paraId="0C1B95C2" w14:textId="77777777" w:rsidR="008C1AD8" w:rsidRPr="00256851" w:rsidRDefault="008C1AD8" w:rsidP="008C1AD8">
      <w:pPr>
        <w:pStyle w:val="Heading5"/>
      </w:pPr>
      <w:r w:rsidRPr="00256851">
        <w:t>Impact pathways</w:t>
      </w:r>
    </w:p>
    <w:p w14:paraId="194CF843" w14:textId="77777777" w:rsidR="008C1AD8" w:rsidRPr="00256851" w:rsidRDefault="008C1AD8" w:rsidP="008C1AD8">
      <w:r w:rsidRPr="00256851">
        <w:t>The migratory shorebird guidelines set out four pathways by which impacts can be significant to migratory shorebirds:</w:t>
      </w:r>
    </w:p>
    <w:p w14:paraId="38DCF270" w14:textId="77777777" w:rsidR="008C1AD8" w:rsidRPr="00256851" w:rsidRDefault="008C1AD8" w:rsidP="008C1AD8">
      <w:pPr>
        <w:pStyle w:val="Bullet1"/>
      </w:pPr>
      <w:r w:rsidRPr="00256851">
        <w:t>Loss of important habitat</w:t>
      </w:r>
    </w:p>
    <w:p w14:paraId="0F4D9333" w14:textId="77777777" w:rsidR="008C1AD8" w:rsidRPr="00256851" w:rsidRDefault="008C1AD8" w:rsidP="008C1AD8">
      <w:pPr>
        <w:pStyle w:val="Bullet1"/>
      </w:pPr>
      <w:r w:rsidRPr="00256851">
        <w:t xml:space="preserve">Degradation of important habitat leading to a </w:t>
      </w:r>
      <w:r w:rsidRPr="00256851">
        <w:rPr>
          <w:iCs/>
        </w:rPr>
        <w:t xml:space="preserve">substantial reduction </w:t>
      </w:r>
      <w:r w:rsidRPr="00256851">
        <w:t xml:space="preserve">in migratory shorebird numbers </w:t>
      </w:r>
    </w:p>
    <w:p w14:paraId="2E14BD35" w14:textId="77777777" w:rsidR="008C1AD8" w:rsidRPr="00256851" w:rsidRDefault="008C1AD8" w:rsidP="008C1AD8">
      <w:pPr>
        <w:pStyle w:val="Bullet1"/>
      </w:pPr>
      <w:r w:rsidRPr="00256851">
        <w:t xml:space="preserve">Increased </w:t>
      </w:r>
      <w:r w:rsidRPr="00256851">
        <w:rPr>
          <w:bCs/>
        </w:rPr>
        <w:t xml:space="preserve">disturbance within important habitat </w:t>
      </w:r>
      <w:r w:rsidRPr="00256851">
        <w:t xml:space="preserve">leading to a </w:t>
      </w:r>
      <w:r w:rsidRPr="00256851">
        <w:rPr>
          <w:iCs/>
        </w:rPr>
        <w:t xml:space="preserve">substantial reduction </w:t>
      </w:r>
      <w:r w:rsidRPr="00256851">
        <w:t xml:space="preserve">in migratory shorebird numbers </w:t>
      </w:r>
    </w:p>
    <w:p w14:paraId="6CAB5E23" w14:textId="77777777" w:rsidR="008C1AD8" w:rsidRPr="00256851" w:rsidRDefault="008C1AD8" w:rsidP="008C1AD8">
      <w:pPr>
        <w:pStyle w:val="Bullet1"/>
      </w:pPr>
      <w:r w:rsidRPr="00256851">
        <w:rPr>
          <w:bCs/>
        </w:rPr>
        <w:t xml:space="preserve">Direct mortality </w:t>
      </w:r>
      <w:r w:rsidRPr="00256851">
        <w:t xml:space="preserve">of birds leading to a </w:t>
      </w:r>
      <w:r w:rsidRPr="00256851">
        <w:rPr>
          <w:iCs/>
        </w:rPr>
        <w:t xml:space="preserve">substantial reduction </w:t>
      </w:r>
      <w:r w:rsidRPr="00256851">
        <w:t xml:space="preserve">in migratory shorebird numbers </w:t>
      </w:r>
    </w:p>
    <w:p w14:paraId="05475449" w14:textId="77777777" w:rsidR="008C1AD8" w:rsidRPr="00256851" w:rsidRDefault="008C1AD8" w:rsidP="008C1AD8">
      <w:pPr>
        <w:pStyle w:val="Heading5"/>
      </w:pPr>
      <w:r w:rsidRPr="00256851">
        <w:t>Avoiding and/or mitigating impacts</w:t>
      </w:r>
    </w:p>
    <w:p w14:paraId="1C7939D5" w14:textId="77777777" w:rsidR="008C1AD8" w:rsidRPr="00256851" w:rsidRDefault="008C1AD8" w:rsidP="008C1AD8">
      <w:r w:rsidRPr="00256851">
        <w:t>The migratory shorebird guidelines also outline a set of general measures to avoid and/or mitigate impacts to shorebirds. Measures include:</w:t>
      </w:r>
    </w:p>
    <w:p w14:paraId="71AC5487" w14:textId="77777777" w:rsidR="008C1AD8" w:rsidRPr="00256851" w:rsidRDefault="008C1AD8" w:rsidP="008C1AD8">
      <w:pPr>
        <w:pStyle w:val="Bullet1"/>
      </w:pPr>
      <w:r w:rsidRPr="00256851">
        <w:t>Making every effort to avoid habitat loss</w:t>
      </w:r>
    </w:p>
    <w:p w14:paraId="7B33A910" w14:textId="77777777" w:rsidR="008C1AD8" w:rsidRPr="00256851" w:rsidRDefault="008C1AD8" w:rsidP="008C1AD8">
      <w:pPr>
        <w:pStyle w:val="Bullet1"/>
      </w:pPr>
      <w:r w:rsidRPr="00256851">
        <w:t>Ensuring habitat is not degraded through the introduction of exotic species; changes to hydrology or water quality (including toxic inflows); fragmentation of habitat or exposure to litter or pollutants; and exposure of acid sulphate soils</w:t>
      </w:r>
    </w:p>
    <w:p w14:paraId="07E9CBEB" w14:textId="77777777" w:rsidR="008C1AD8" w:rsidRPr="00256851" w:rsidRDefault="008C1AD8" w:rsidP="008C1AD8">
      <w:pPr>
        <w:pStyle w:val="Bullet1"/>
      </w:pPr>
      <w:r w:rsidRPr="00256851">
        <w:t>Mitigating against the impacts of disturbance</w:t>
      </w:r>
    </w:p>
    <w:p w14:paraId="2F40A8A6" w14:textId="77777777" w:rsidR="008C1AD8" w:rsidRPr="00256851" w:rsidRDefault="008C1AD8" w:rsidP="008C1AD8">
      <w:pPr>
        <w:pStyle w:val="Bullet1"/>
      </w:pPr>
      <w:r w:rsidRPr="00256851">
        <w:t>Considerations around direct mortality to shorebirds</w:t>
      </w:r>
    </w:p>
    <w:p w14:paraId="5E92BD92" w14:textId="77777777" w:rsidR="008C1AD8" w:rsidRPr="00256851" w:rsidRDefault="008C1AD8" w:rsidP="008C1AD8">
      <w:pPr>
        <w:pStyle w:val="Bullet1"/>
      </w:pPr>
      <w:r w:rsidRPr="00256851">
        <w:t>Consideration of climate change</w:t>
      </w:r>
    </w:p>
    <w:p w14:paraId="3E7F7F01" w14:textId="77777777" w:rsidR="008C1AD8" w:rsidRPr="00256851" w:rsidRDefault="008C1AD8" w:rsidP="008C1AD8">
      <w:pPr>
        <w:pStyle w:val="Heading4"/>
      </w:pPr>
      <w:r w:rsidRPr="00256851">
        <w:t>Approach to analysing impacts</w:t>
      </w:r>
    </w:p>
    <w:p w14:paraId="3C381198" w14:textId="77777777" w:rsidR="008C1AD8" w:rsidRPr="00256851" w:rsidRDefault="008C1AD8" w:rsidP="008C1AD8">
      <w:r w:rsidRPr="00256851">
        <w:t>This assessment primarily draws on the concepts presented in the migratory shorebird guidelines and is based on:</w:t>
      </w:r>
    </w:p>
    <w:p w14:paraId="4E07D1F4" w14:textId="77777777" w:rsidR="008C1AD8" w:rsidRPr="00256851" w:rsidRDefault="008C1AD8" w:rsidP="008C1AD8">
      <w:pPr>
        <w:pStyle w:val="Bullet1"/>
      </w:pPr>
      <w:r w:rsidRPr="00256851">
        <w:t>Analysis of potential direct and indirect impacts with a focus on:</w:t>
      </w:r>
    </w:p>
    <w:p w14:paraId="1D0E6066" w14:textId="77777777" w:rsidR="008C1AD8" w:rsidRPr="00256851" w:rsidRDefault="008C1AD8" w:rsidP="008C1AD8">
      <w:pPr>
        <w:pStyle w:val="Bullet2"/>
      </w:pPr>
      <w:r w:rsidRPr="00256851">
        <w:t>The four potential impact pathways set out in the guidelines</w:t>
      </w:r>
    </w:p>
    <w:p w14:paraId="4B94EBF7" w14:textId="77777777" w:rsidR="008C1AD8" w:rsidRPr="00256851" w:rsidRDefault="008C1AD8" w:rsidP="008C1AD8">
      <w:pPr>
        <w:pStyle w:val="Bullet2"/>
      </w:pPr>
      <w:r w:rsidRPr="00256851">
        <w:t>The general measures to avoid and/or mitigate impacts to shorebirds set out in the guidelines</w:t>
      </w:r>
    </w:p>
    <w:p w14:paraId="2B2D4470" w14:textId="77777777" w:rsidR="008C1AD8" w:rsidRPr="00256851" w:rsidRDefault="008C1AD8" w:rsidP="008C1AD8">
      <w:pPr>
        <w:pStyle w:val="Bullet1"/>
      </w:pPr>
      <w:r w:rsidRPr="00256851">
        <w:t xml:space="preserve">Consideration of regulatory requirements for migratory species </w:t>
      </w:r>
    </w:p>
    <w:p w14:paraId="02A75123" w14:textId="77777777" w:rsidR="008C1AD8" w:rsidRPr="00256851" w:rsidRDefault="008C1AD8" w:rsidP="008C1AD8">
      <w:r w:rsidRPr="00256851">
        <w:t>The potential loss of important habitat was calculated by:</w:t>
      </w:r>
    </w:p>
    <w:p w14:paraId="67E05406" w14:textId="77777777" w:rsidR="008C1AD8" w:rsidRPr="00256851" w:rsidRDefault="008C1AD8" w:rsidP="008C1AD8">
      <w:pPr>
        <w:pStyle w:val="Bullet1"/>
      </w:pPr>
      <w:r w:rsidRPr="00256851">
        <w:t>Considering the locations of mapped important habitat for each of the shorebird species with regards to areas of development under the Plan</w:t>
      </w:r>
    </w:p>
    <w:p w14:paraId="24045FBF" w14:textId="77777777" w:rsidR="008C1AD8" w:rsidRPr="00256851" w:rsidRDefault="008C1AD8" w:rsidP="008C1AD8">
      <w:pPr>
        <w:pStyle w:val="Bullet1"/>
      </w:pPr>
      <w:r w:rsidRPr="00256851">
        <w:t>Considering potential changes to hydrology, water quality or vegetation structural changes near important habitat sites</w:t>
      </w:r>
    </w:p>
    <w:p w14:paraId="56D9ECA4" w14:textId="77777777" w:rsidR="008C1AD8" w:rsidRPr="00256851" w:rsidRDefault="008C1AD8" w:rsidP="008C1AD8">
      <w:r w:rsidRPr="00256851">
        <w:t>Potential degradation and disturbance within important habitat, and potential direct mortality of migratory shorebirds were assessed through:</w:t>
      </w:r>
    </w:p>
    <w:p w14:paraId="015829A5" w14:textId="77777777" w:rsidR="008C1AD8" w:rsidRPr="00256851" w:rsidRDefault="008C1AD8" w:rsidP="008C1AD8">
      <w:pPr>
        <w:pStyle w:val="Bullet1"/>
        <w:numPr>
          <w:ilvl w:val="0"/>
          <w:numId w:val="44"/>
        </w:numPr>
      </w:pPr>
      <w:r w:rsidRPr="00256851">
        <w:t>Identifying how the Plan that may lead to these impacts</w:t>
      </w:r>
    </w:p>
    <w:p w14:paraId="2E425F28" w14:textId="77777777" w:rsidR="008C1AD8" w:rsidRPr="00256851" w:rsidRDefault="008C1AD8" w:rsidP="008C1AD8">
      <w:pPr>
        <w:pStyle w:val="Bullet1"/>
        <w:numPr>
          <w:ilvl w:val="0"/>
          <w:numId w:val="44"/>
        </w:numPr>
      </w:pPr>
      <w:r w:rsidRPr="00256851">
        <w:t xml:space="preserve">Considering how those activities are proposed to be managed under the Plan </w:t>
      </w:r>
    </w:p>
    <w:p w14:paraId="43494E8F" w14:textId="77777777" w:rsidR="008C1AD8" w:rsidRPr="00256851" w:rsidRDefault="008C1AD8" w:rsidP="008C1AD8">
      <w:pPr>
        <w:pStyle w:val="Bullet1"/>
        <w:numPr>
          <w:ilvl w:val="0"/>
          <w:numId w:val="44"/>
        </w:numPr>
      </w:pPr>
      <w:r w:rsidRPr="00256851">
        <w:t>Analysing the residual risk to important habitat and shorebirds</w:t>
      </w:r>
    </w:p>
    <w:p w14:paraId="6E579ECC" w14:textId="77777777" w:rsidR="008C1AD8" w:rsidRPr="00256851" w:rsidRDefault="008C1AD8" w:rsidP="008C1AD8">
      <w:pPr>
        <w:pStyle w:val="Heading4"/>
      </w:pPr>
      <w:r w:rsidRPr="00256851">
        <w:t>Approach to EPBC Act approval considerations</w:t>
      </w:r>
    </w:p>
    <w:p w14:paraId="3273EE59" w14:textId="77777777" w:rsidR="008C1AD8" w:rsidRPr="00256851" w:rsidRDefault="008C1AD8" w:rsidP="008C1AD8">
      <w:r w:rsidRPr="00256851">
        <w:t xml:space="preserve">Regulatory requirements were considered at the end of the assessment by drawing together the results of the impact analysis, examination of the benefits of the conservation measures in the Plan and reviewing any specific requirements for migratory species. </w:t>
      </w:r>
    </w:p>
    <w:p w14:paraId="248B97F0" w14:textId="77777777" w:rsidR="008C1AD8" w:rsidRPr="00256851" w:rsidRDefault="008C1AD8" w:rsidP="008C1AD8">
      <w:pPr>
        <w:pStyle w:val="Heading3"/>
      </w:pPr>
      <w:bookmarkStart w:id="162" w:name="_Toc6301293"/>
      <w:bookmarkStart w:id="163" w:name="_Ref116390760"/>
      <w:r w:rsidRPr="00256851">
        <w:lastRenderedPageBreak/>
        <w:t>Impact analysis</w:t>
      </w:r>
      <w:bookmarkEnd w:id="162"/>
      <w:bookmarkEnd w:id="163"/>
    </w:p>
    <w:p w14:paraId="1A50903B" w14:textId="77777777" w:rsidR="008C1AD8" w:rsidRPr="00256851" w:rsidRDefault="008C1AD8" w:rsidP="008C1AD8">
      <w:r w:rsidRPr="00256851">
        <w:t xml:space="preserve">This section considers the potential impacts to migratory shorebirds against the four impact pathways identified in the migratory shorebird guidelines </w:t>
      </w:r>
      <w:sdt>
        <w:sdtPr>
          <w:rPr>
            <w:color w:val="000000"/>
          </w:rPr>
          <w:tag w:val="MENDELEY_CITATION_v3_eyJjaXRhdGlvbklEIjoiTUVOREVMRVlfQ0lUQVRJT05fMGI1MGJjODktNDQ3ZS00NTM1LWE3YjYtYTg1MmFhNDJlODhj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550299599"/>
          <w:placeholder>
            <w:docPart w:val="53263D66753F864BA248D609BD120A46"/>
          </w:placeholder>
        </w:sdtPr>
        <w:sdtContent>
          <w:r w:rsidRPr="00273871">
            <w:rPr>
              <w:color w:val="000000"/>
            </w:rPr>
            <w:t>(DoE, 2017)</w:t>
          </w:r>
        </w:sdtContent>
      </w:sdt>
      <w:r w:rsidRPr="00256851">
        <w:t xml:space="preserve">. It also provides a brief consideration of climate change and an evaluation of the outcomes for shorebirds as listed migratory species. </w:t>
      </w:r>
    </w:p>
    <w:p w14:paraId="1FB9EA32" w14:textId="77777777" w:rsidR="008C1AD8" w:rsidRPr="00256851" w:rsidRDefault="008C1AD8" w:rsidP="008C1AD8">
      <w:pPr>
        <w:pStyle w:val="Heading4"/>
        <w:rPr>
          <w:color w:val="auto"/>
        </w:rPr>
      </w:pPr>
      <w:r w:rsidRPr="00256851">
        <w:rPr>
          <w:color w:val="auto"/>
        </w:rPr>
        <w:t>Loss of important habitat</w:t>
      </w:r>
    </w:p>
    <w:p w14:paraId="3A5A53EF" w14:textId="77777777" w:rsidR="008C1AD8" w:rsidRPr="00256851" w:rsidRDefault="008C1AD8" w:rsidP="008C1AD8">
      <w:r w:rsidRPr="00256851">
        <w:t xml:space="preserve">As outlined in the migratory shorebird guidelines </w:t>
      </w:r>
      <w:sdt>
        <w:sdtPr>
          <w:rPr>
            <w:color w:val="000000"/>
          </w:rPr>
          <w:tag w:val="MENDELEY_CITATION_v3_eyJjaXRhdGlvbklEIjoiTUVOREVMRVlfQ0lUQVRJT05fOGQ0MzNkNTItZTliZC00ZjAxLWI2OGYtNjFmMDIzNWE3OWFk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2050524369"/>
          <w:placeholder>
            <w:docPart w:val="53263D66753F864BA248D609BD120A46"/>
          </w:placeholder>
        </w:sdtPr>
        <w:sdtContent>
          <w:r w:rsidRPr="00273871">
            <w:rPr>
              <w:color w:val="000000"/>
            </w:rPr>
            <w:t>(DoE, 2017)</w:t>
          </w:r>
        </w:sdtContent>
      </w:sdt>
      <w:r w:rsidRPr="00256851">
        <w:t>, loss of important habitat can occur through either:</w:t>
      </w:r>
    </w:p>
    <w:p w14:paraId="3652D483" w14:textId="77777777" w:rsidR="008C1AD8" w:rsidRPr="00256851" w:rsidRDefault="008C1AD8" w:rsidP="008C1AD8">
      <w:pPr>
        <w:pStyle w:val="Bullet1"/>
      </w:pPr>
      <w:r w:rsidRPr="00256851">
        <w:t xml:space="preserve">Direct loss: e.g., through clearing, inundation, infilling or draining </w:t>
      </w:r>
    </w:p>
    <w:p w14:paraId="22AF7384" w14:textId="77777777" w:rsidR="008C1AD8" w:rsidRPr="00256851" w:rsidRDefault="008C1AD8" w:rsidP="008C1AD8">
      <w:pPr>
        <w:pStyle w:val="Bullet1"/>
      </w:pPr>
      <w:r w:rsidRPr="00256851">
        <w:t xml:space="preserve">Indirect loss: e.g., through changes to hydrology, water quality, or vegetation structural changes near roosting areas </w:t>
      </w:r>
    </w:p>
    <w:p w14:paraId="3FEF6532" w14:textId="77777777" w:rsidR="008C1AD8" w:rsidRPr="00256851" w:rsidRDefault="008C1AD8" w:rsidP="008C1AD8">
      <w:pPr>
        <w:pStyle w:val="Heading5"/>
      </w:pPr>
      <w:r w:rsidRPr="00256851">
        <w:t>Direct loss</w:t>
      </w:r>
    </w:p>
    <w:p w14:paraId="5E0A0BA0" w14:textId="77777777" w:rsidR="008C1AD8" w:rsidRDefault="008C1AD8" w:rsidP="008C1AD8">
      <w:r w:rsidRPr="00256851">
        <w:t>There will be no direct loss of important habitat due to development under the Plan. No important</w:t>
      </w:r>
      <w:r>
        <w:t xml:space="preserve"> habitat is located within, or immediately adjacent to, the Strategic Assessment Area.</w:t>
      </w:r>
    </w:p>
    <w:p w14:paraId="426CD882" w14:textId="77777777" w:rsidR="008C1AD8" w:rsidRDefault="008C1AD8" w:rsidP="008C1AD8">
      <w:r>
        <w:t xml:space="preserve">Important habitat for migratory shorebirds in the Study Area is located as follows </w:t>
      </w:r>
      <w:sdt>
        <w:sdtPr>
          <w:rPr>
            <w:color w:val="000000"/>
          </w:rPr>
          <w:tag w:val="MENDELEY_CITATION_v3_eyJjaXRhdGlvbklEIjoiTUVOREVMRVlfQ0lUQVRJT05fZjc1Mzc5NWItM2QwOS00NDdhLWE1ZTgtYWQ2YjI1NDQwNTU3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1414542422"/>
          <w:placeholder>
            <w:docPart w:val="53263D66753F864BA248D609BD120A46"/>
          </w:placeholder>
        </w:sdtPr>
        <w:sdtContent>
          <w:r w:rsidRPr="00273871">
            <w:rPr>
              <w:rFonts w:eastAsia="Times New Roman"/>
              <w:color w:val="000000"/>
            </w:rPr>
            <w:t>(Weller, Kidd et al., 2020)</w:t>
          </w:r>
        </w:sdtContent>
      </w:sdt>
      <w:r>
        <w:t>:</w:t>
      </w:r>
    </w:p>
    <w:p w14:paraId="64BAD5D5" w14:textId="77777777" w:rsidR="008C1AD8" w:rsidRPr="00BE5270" w:rsidRDefault="008C1AD8" w:rsidP="008C1AD8">
      <w:pPr>
        <w:pStyle w:val="Bullet1"/>
      </w:pPr>
      <w:r w:rsidRPr="00BE5270">
        <w:t>Lake Connewarre and Barwon River Estuary IBA</w:t>
      </w:r>
      <w:r>
        <w:t xml:space="preserve"> – this IBA is located over 7 km south-south-east of the Strategic Assessment Area</w:t>
      </w:r>
    </w:p>
    <w:p w14:paraId="6EAA27B7" w14:textId="77777777" w:rsidR="008C1AD8" w:rsidRPr="00BE5270" w:rsidRDefault="008C1AD8" w:rsidP="008C1AD8">
      <w:pPr>
        <w:pStyle w:val="Bullet1"/>
      </w:pPr>
      <w:r w:rsidRPr="00BE5270">
        <w:t>Werribee/Avalon IBA</w:t>
      </w:r>
      <w:r>
        <w:t xml:space="preserve"> – this IBA is located approximately 2 km to the east of the Strategic Assessment Area</w:t>
      </w:r>
    </w:p>
    <w:p w14:paraId="10C2816F" w14:textId="77777777" w:rsidR="008C1AD8" w:rsidRPr="00BE5270" w:rsidRDefault="008C1AD8" w:rsidP="008C1AD8">
      <w:pPr>
        <w:pStyle w:val="Bullet1"/>
      </w:pPr>
      <w:r w:rsidRPr="00BE5270">
        <w:t>Moolap IBA</w:t>
      </w:r>
      <w:r>
        <w:t xml:space="preserve"> – this IBA is located over 5 km east-south-east of the Strategic Assessment Area</w:t>
      </w:r>
    </w:p>
    <w:p w14:paraId="10EC2CA9" w14:textId="77777777" w:rsidR="008C1AD8" w:rsidRPr="00256851" w:rsidRDefault="008C1AD8" w:rsidP="008C1AD8">
      <w:pPr>
        <w:pStyle w:val="Heading5"/>
      </w:pPr>
      <w:r w:rsidRPr="00256851">
        <w:t>Indirect loss</w:t>
      </w:r>
    </w:p>
    <w:p w14:paraId="4F79FEC0" w14:textId="77777777" w:rsidR="008C1AD8" w:rsidRPr="00256851" w:rsidRDefault="008C1AD8" w:rsidP="008C1AD8">
      <w:pPr>
        <w:pStyle w:val="Heading6"/>
      </w:pPr>
      <w:r w:rsidRPr="00256851">
        <w:t>Changes to hydrology and water quality</w:t>
      </w:r>
    </w:p>
    <w:p w14:paraId="162EDDCD" w14:textId="77777777" w:rsidR="008C1AD8" w:rsidRPr="00256851" w:rsidRDefault="008C1AD8" w:rsidP="008C1AD8">
      <w:r w:rsidRPr="00256851">
        <w:t>Urban development and transport have the potential to lead to changes to hydrology and water quality. This is related to a range of factors but includes:</w:t>
      </w:r>
    </w:p>
    <w:p w14:paraId="1EFFB0FB" w14:textId="77777777" w:rsidR="008C1AD8" w:rsidRPr="00256851" w:rsidRDefault="008C1AD8" w:rsidP="008C1AD8">
      <w:pPr>
        <w:pStyle w:val="Bullet1"/>
      </w:pPr>
      <w:r w:rsidRPr="00256851">
        <w:t>Potential disruption to natural water flows</w:t>
      </w:r>
    </w:p>
    <w:p w14:paraId="523546CD" w14:textId="77777777" w:rsidR="008C1AD8" w:rsidRPr="00256851" w:rsidRDefault="008C1AD8" w:rsidP="008C1AD8">
      <w:pPr>
        <w:pStyle w:val="Bullet1"/>
      </w:pPr>
      <w:r w:rsidRPr="00256851">
        <w:t>The increase of hard surfaces leading to increased runoff</w:t>
      </w:r>
    </w:p>
    <w:p w14:paraId="60EA1A76" w14:textId="77777777" w:rsidR="008C1AD8" w:rsidRPr="00256851" w:rsidRDefault="008C1AD8" w:rsidP="008C1AD8">
      <w:pPr>
        <w:pStyle w:val="Bullet1"/>
      </w:pPr>
      <w:r w:rsidRPr="00256851">
        <w:t>Potential introduction of a range of contaminants that may affect water quality (e.g., nutrients, chemicals)</w:t>
      </w:r>
    </w:p>
    <w:p w14:paraId="1006019A" w14:textId="77777777" w:rsidR="008C1AD8" w:rsidRPr="00256851" w:rsidRDefault="008C1AD8" w:rsidP="008C1AD8">
      <w:r w:rsidRPr="00256851">
        <w:t>Migratory shorebird habitat that would be at risk of these effects are sites that are:</w:t>
      </w:r>
    </w:p>
    <w:p w14:paraId="51783787" w14:textId="77777777" w:rsidR="008C1AD8" w:rsidRPr="00256851" w:rsidRDefault="008C1AD8" w:rsidP="008C1AD8">
      <w:pPr>
        <w:pStyle w:val="Bullet1"/>
      </w:pPr>
      <w:r w:rsidRPr="00256851">
        <w:t>In close proximity to development areas</w:t>
      </w:r>
    </w:p>
    <w:p w14:paraId="0BF713EE" w14:textId="77777777" w:rsidR="008C1AD8" w:rsidRPr="00256851" w:rsidRDefault="008C1AD8" w:rsidP="008C1AD8">
      <w:pPr>
        <w:pStyle w:val="Bullet1"/>
      </w:pPr>
      <w:r w:rsidRPr="00256851">
        <w:t>Hydrologically well connected (e.g., downstream) to development areas</w:t>
      </w:r>
    </w:p>
    <w:p w14:paraId="20C45BCB" w14:textId="77777777" w:rsidR="008C1AD8" w:rsidRDefault="008C1AD8" w:rsidP="008C1AD8">
      <w:r>
        <w:t>None of the identified IBAs are in close proximity to development areas. However, some of the IBAs are downstream of development areas.</w:t>
      </w:r>
    </w:p>
    <w:p w14:paraId="2802356B" w14:textId="77777777" w:rsidR="008C1AD8" w:rsidRPr="00303057" w:rsidRDefault="008C1AD8" w:rsidP="008C1AD8">
      <w:r w:rsidRPr="00303057">
        <w:t>Of the identified IBAs, the following areas are downstream of development under the Plan:</w:t>
      </w:r>
    </w:p>
    <w:p w14:paraId="77C805F6" w14:textId="77777777" w:rsidR="008C1AD8" w:rsidRPr="00303057" w:rsidRDefault="008C1AD8" w:rsidP="008C1AD8">
      <w:pPr>
        <w:pStyle w:val="Bullet1"/>
      </w:pPr>
      <w:r w:rsidRPr="00303057">
        <w:t xml:space="preserve">Lake Connewarre and Barwon River Estuary IBA is downstream of the WGGA via the Moorabool River, which discharges into the Barwon River. Approximately 39 per cent of the WGGA, and a small proportion of the NGGA (~2 per cent), drains into the Moorabool River </w:t>
      </w:r>
      <w:sdt>
        <w:sdtPr>
          <w:rPr>
            <w:color w:val="000000"/>
          </w:rPr>
          <w:tag w:val="MENDELEY_CITATION_v3_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"/>
          <w:id w:val="1458288801"/>
          <w:placeholder>
            <w:docPart w:val="53263D66753F864BA248D609BD120A46"/>
          </w:placeholder>
        </w:sdtPr>
        <w:sdtContent>
          <w:r w:rsidRPr="00273871">
            <w:rPr>
              <w:color w:val="000000"/>
            </w:rPr>
            <w:t>(The City of Greater Geelong, 2016)</w:t>
          </w:r>
        </w:sdtContent>
      </w:sdt>
    </w:p>
    <w:p w14:paraId="4F99A221" w14:textId="77777777" w:rsidR="008C1AD8" w:rsidRPr="00303057" w:rsidRDefault="008C1AD8" w:rsidP="008C1AD8">
      <w:pPr>
        <w:pStyle w:val="Bullet1"/>
      </w:pPr>
      <w:r w:rsidRPr="00303057">
        <w:t xml:space="preserve">Werribee/Avalon IBA is partially downstream of the Strategic Assessment Area. The westernmost section of this IBA, Limeburners Bay, is part of the Hovells Creek catchment. Approximately 52 per cent of the NGGA will drain to the Hovells Creek Catchment </w:t>
      </w:r>
      <w:sdt>
        <w:sdtPr>
          <w:rPr>
            <w:color w:val="000000"/>
          </w:rPr>
          <w:tag w:val="MENDELEY_CITATION_v3_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"/>
          <w:id w:val="2043092391"/>
          <w:placeholder>
            <w:docPart w:val="53263D66753F864BA248D609BD120A46"/>
          </w:placeholder>
        </w:sdtPr>
        <w:sdtContent>
          <w:r w:rsidRPr="00273871">
            <w:rPr>
              <w:color w:val="000000"/>
            </w:rPr>
            <w:t>(The City of Greater Geelong, 2016)</w:t>
          </w:r>
        </w:sdtContent>
      </w:sdt>
      <w:r w:rsidRPr="00303057">
        <w:t>. Other areas of this IBA, however, are not hydrologically linked to the Strategic Assessment Area</w:t>
      </w:r>
    </w:p>
    <w:p w14:paraId="53EDBE41" w14:textId="77777777" w:rsidR="008C1AD8" w:rsidRDefault="008C1AD8" w:rsidP="008C1AD8">
      <w:r w:rsidRPr="00303057">
        <w:t>The Moolap IBA is not downstream of the Strategic Assessment Area.</w:t>
      </w:r>
    </w:p>
    <w:p w14:paraId="62A89D87" w14:textId="77777777" w:rsidR="008C1AD8" w:rsidRDefault="008C1AD8" w:rsidP="008C1AD8">
      <w:pPr>
        <w:keepNext/>
        <w:keepLines/>
      </w:pPr>
      <w:r>
        <w:lastRenderedPageBreak/>
        <w:t xml:space="preserve">The Plan includes a specific </w:t>
      </w:r>
      <w:r w:rsidRPr="00096932">
        <w:t>Commitment (</w:t>
      </w:r>
      <w:r w:rsidRPr="009E63A2">
        <w:t xml:space="preserve">Commitment </w:t>
      </w:r>
      <w:r>
        <w:t>9</w:t>
      </w:r>
      <w:r w:rsidRPr="00096932">
        <w:t>) to min</w:t>
      </w:r>
      <w:r w:rsidRPr="000221CA">
        <w:t>imise the indirect impacts of the development on protected matters associated with waterways, riparian areas and wetlands</w:t>
      </w:r>
      <w:r>
        <w:t>,</w:t>
      </w:r>
      <w:r w:rsidRPr="000221CA">
        <w:t xml:space="preserve"> including</w:t>
      </w:r>
      <w:r>
        <w:t xml:space="preserve"> EPBC listed threatened and migratory birds. The measures relevant to changes to hydrology and water quality that will be undertaken to deliver on this Commitment include: </w:t>
      </w:r>
    </w:p>
    <w:p w14:paraId="79B01CAE" w14:textId="77777777" w:rsidR="008C1AD8" w:rsidRDefault="008C1AD8" w:rsidP="008C1AD8">
      <w:pPr>
        <w:pStyle w:val="Bullet1"/>
      </w:pPr>
      <w:r>
        <w:t>Undertaking relevant technical studies to understand the key risks from development on protected matters associated with Hovells Creek and the Moorabool River. These studies will:</w:t>
      </w:r>
    </w:p>
    <w:p w14:paraId="74493AD7" w14:textId="77777777" w:rsidR="008C1AD8" w:rsidRDefault="008C1AD8" w:rsidP="008C1AD8">
      <w:pPr>
        <w:pStyle w:val="Bullet2"/>
      </w:pPr>
      <w:r>
        <w:t>Address potential risks associated with changes to water quality and hydrology as a result of development within the Growth Areas</w:t>
      </w:r>
    </w:p>
    <w:p w14:paraId="38633F12" w14:textId="77777777" w:rsidR="008C1AD8" w:rsidRDefault="008C1AD8" w:rsidP="008C1AD8">
      <w:pPr>
        <w:pStyle w:val="Bullet2"/>
      </w:pPr>
      <w:r>
        <w:t>Identify appropriate measures, standards or targets to avoid and minimise adverse impacts on protected matters including, as relevant:</w:t>
      </w:r>
    </w:p>
    <w:p w14:paraId="52775DD8" w14:textId="77777777" w:rsidR="008C1AD8" w:rsidRDefault="008C1AD8" w:rsidP="008C1AD8">
      <w:pPr>
        <w:pStyle w:val="Bullet3"/>
      </w:pPr>
      <w:r>
        <w:t>Water quality parameters</w:t>
      </w:r>
    </w:p>
    <w:p w14:paraId="48580C2C" w14:textId="77777777" w:rsidR="008C1AD8" w:rsidRDefault="008C1AD8" w:rsidP="008C1AD8">
      <w:pPr>
        <w:pStyle w:val="Bullet3"/>
      </w:pPr>
      <w:r>
        <w:t>Water retention and flow management requirements</w:t>
      </w:r>
    </w:p>
    <w:p w14:paraId="74D7D29E" w14:textId="77777777" w:rsidR="008C1AD8" w:rsidRDefault="008C1AD8" w:rsidP="008C1AD8">
      <w:pPr>
        <w:pStyle w:val="Bullet3"/>
      </w:pPr>
      <w:r>
        <w:t>Limits on extraction or use</w:t>
      </w:r>
    </w:p>
    <w:p w14:paraId="16B7E10D" w14:textId="77777777" w:rsidR="008C1AD8" w:rsidRDefault="008C1AD8" w:rsidP="008C1AD8">
      <w:pPr>
        <w:pStyle w:val="Bullet3"/>
      </w:pPr>
      <w:r>
        <w:t xml:space="preserve">Habitat buffer requirements </w:t>
      </w:r>
    </w:p>
    <w:p w14:paraId="2741678C" w14:textId="77777777" w:rsidR="008C1AD8" w:rsidRDefault="008C1AD8" w:rsidP="008C1AD8">
      <w:pPr>
        <w:pStyle w:val="Bullet3"/>
      </w:pPr>
      <w:r>
        <w:t>Monitoring and reporting</w:t>
      </w:r>
    </w:p>
    <w:p w14:paraId="132E25B4" w14:textId="77777777" w:rsidR="008C1AD8" w:rsidRDefault="008C1AD8" w:rsidP="008C1AD8">
      <w:pPr>
        <w:pStyle w:val="Bullet1"/>
      </w:pPr>
      <w:r w:rsidRPr="008E2F0A">
        <w:t>Prepar</w:t>
      </w:r>
      <w:r>
        <w:t>ing</w:t>
      </w:r>
      <w:r w:rsidRPr="008E2F0A">
        <w:t xml:space="preserve"> guidelines based on the results of the relevant technical studies to guide the preparation of PSPs and decisions on planning permits and permit conditions to ensure risks to protected matters in relation to indirect and downstream impacts are adequately managed </w:t>
      </w:r>
    </w:p>
    <w:p w14:paraId="6C691493" w14:textId="77777777" w:rsidR="008C1AD8" w:rsidRDefault="008C1AD8" w:rsidP="008C1AD8">
      <w:pPr>
        <w:pStyle w:val="Bullet1"/>
      </w:pPr>
      <w:r>
        <w:t>Undertaking a planning scheme amendment or other appropriate process to ensure guidelines are considered during preparation of PSPs and in decisions on planning permits and permit conditions</w:t>
      </w:r>
    </w:p>
    <w:p w14:paraId="16472F5C" w14:textId="77777777" w:rsidR="008C1AD8" w:rsidRDefault="008C1AD8" w:rsidP="008C1AD8">
      <w:r>
        <w:t>There are also a range of existing measures within the planning system that address changes to hydrology and water quality. The Geelong Planning Scheme includes requirements to:</w:t>
      </w:r>
    </w:p>
    <w:p w14:paraId="43F09BBD" w14:textId="77777777" w:rsidR="008C1AD8" w:rsidRDefault="008C1AD8" w:rsidP="008C1AD8">
      <w:pPr>
        <w:pStyle w:val="Bullet1"/>
      </w:pPr>
      <w:r>
        <w:t>Ensure land use on floodplains minimises the risk of waterway contamination during flooding (Clause 13.03-1S)</w:t>
      </w:r>
    </w:p>
    <w:p w14:paraId="009367CC" w14:textId="77777777" w:rsidR="008C1AD8" w:rsidRDefault="008C1AD8" w:rsidP="008C1AD8">
      <w:pPr>
        <w:pStyle w:val="Bullet1"/>
      </w:pPr>
      <w:r>
        <w:t>Prevent inappropriate development in areas prone to erosion (Clause 13.04-1S)</w:t>
      </w:r>
    </w:p>
    <w:p w14:paraId="3201B130" w14:textId="77777777" w:rsidR="008C1AD8" w:rsidRDefault="008C1AD8" w:rsidP="008C1AD8">
      <w:pPr>
        <w:pStyle w:val="Bullet1"/>
      </w:pPr>
      <w:r>
        <w:t>R</w:t>
      </w:r>
      <w:r w:rsidRPr="00372B49">
        <w:t>etain natural drai</w:t>
      </w:r>
      <w:r>
        <w:t>nage corridors, minimise runoff volume from developed areas, filter sediment and waste from stormwater prior to discharge, ensure land use and development minimises nutrient contributions to runoff, and implement measures to minimise sediment discharge from construction sites</w:t>
      </w:r>
      <w:r w:rsidRPr="00372B49">
        <w:t xml:space="preserve"> (Clause 14.02-1S)</w:t>
      </w:r>
    </w:p>
    <w:p w14:paraId="05F73B22" w14:textId="77777777" w:rsidR="008C1AD8" w:rsidRDefault="008C1AD8" w:rsidP="008C1AD8">
      <w:pPr>
        <w:pStyle w:val="Bullet1"/>
      </w:pPr>
      <w:r>
        <w:t>Minimise impacts to water quality through ensuring that land uses which have potential to produce contaminated runoff are appropriately sited and managed (Clause 14.02-2S)</w:t>
      </w:r>
    </w:p>
    <w:p w14:paraId="78A44B45" w14:textId="77777777" w:rsidR="008C1AD8" w:rsidRDefault="008C1AD8" w:rsidP="008C1AD8">
      <w:pPr>
        <w:pStyle w:val="Bullet1"/>
      </w:pPr>
      <w:r>
        <w:t>Implement integrated water management to sustainably manage water supply and demand, water resources, wastewater, drainage, and stormwater</w:t>
      </w:r>
      <w:r w:rsidRPr="00372B49">
        <w:t xml:space="preserve"> (Clause 19.03-3S) </w:t>
      </w:r>
    </w:p>
    <w:p w14:paraId="51E89C4D" w14:textId="77777777" w:rsidR="008C1AD8" w:rsidRDefault="008C1AD8" w:rsidP="008C1AD8">
      <w:r>
        <w:t xml:space="preserve">The Geelong Planning Scheme also includes a range of requirements to ensure stormwater management meets appropriate </w:t>
      </w:r>
      <w:r w:rsidRPr="00372B49">
        <w:t xml:space="preserve">objectives and standards, including objectives for stormwater quality </w:t>
      </w:r>
      <w:r>
        <w:t>(for example, see Clause 53.18).</w:t>
      </w:r>
    </w:p>
    <w:p w14:paraId="63C10C5D" w14:textId="77777777" w:rsidR="008C1AD8" w:rsidRDefault="008C1AD8" w:rsidP="008C1AD8">
      <w:r w:rsidRPr="00372B49">
        <w:t xml:space="preserve">The NWGGA Framework Plan also includes various mitigation-related actions to address </w:t>
      </w:r>
      <w:r>
        <w:t>changes to hydrology and water quality</w:t>
      </w:r>
      <w:r w:rsidRPr="00372B49">
        <w:t>, including</w:t>
      </w:r>
      <w:r>
        <w:t xml:space="preserve"> implementation of</w:t>
      </w:r>
      <w:r w:rsidRPr="00372B49">
        <w:t xml:space="preserve"> riparian buffers</w:t>
      </w:r>
      <w:r>
        <w:t>,</w:t>
      </w:r>
      <w:r w:rsidRPr="00372B49">
        <w:t xml:space="preserve"> and the preparation of masterplans for Cowies Creek and Barwon and Moorabool rivers for integrated water management. </w:t>
      </w:r>
    </w:p>
    <w:p w14:paraId="00043630" w14:textId="77777777" w:rsidR="008C1AD8" w:rsidRPr="00096932" w:rsidRDefault="008C1AD8" w:rsidP="008C1AD8">
      <w:r w:rsidRPr="009E63A2">
        <w:t>Commitment 7</w:t>
      </w:r>
      <w:r w:rsidRPr="00096932">
        <w:t xml:space="preserve"> of the Plan ensures that these standard mitigation measures will continue to be implemented over the life of the Plan. Refer to </w:t>
      </w:r>
      <w:r w:rsidRPr="009E63A2">
        <w:t>Section 5.5 of Chapter 5</w:t>
      </w:r>
      <w:r w:rsidRPr="00096932">
        <w:t xml:space="preserve"> for a more detailed description of these existing measures.</w:t>
      </w:r>
    </w:p>
    <w:p w14:paraId="3C9F8037" w14:textId="77777777" w:rsidR="008C1AD8" w:rsidRPr="00ED7557" w:rsidRDefault="008C1AD8" w:rsidP="008C1AD8">
      <w:r w:rsidRPr="00096932">
        <w:t xml:space="preserve">Implementation of </w:t>
      </w:r>
      <w:r w:rsidRPr="009E63A2">
        <w:t xml:space="preserve">Commitments 7 and </w:t>
      </w:r>
      <w:r>
        <w:t>9</w:t>
      </w:r>
      <w:r w:rsidRPr="00096932">
        <w:t xml:space="preserve"> under</w:t>
      </w:r>
      <w:r>
        <w:t xml:space="preserve"> the Plan will adequately minimise the risk of adverse impacts associated with changes to hydrology and water quality</w:t>
      </w:r>
    </w:p>
    <w:p w14:paraId="4E06A156" w14:textId="77777777" w:rsidR="008C1AD8" w:rsidRPr="00256851" w:rsidRDefault="008C1AD8" w:rsidP="008C1AD8">
      <w:pPr>
        <w:pStyle w:val="Heading6"/>
      </w:pPr>
      <w:r w:rsidRPr="00256851">
        <w:t>Changes to vegetation structure</w:t>
      </w:r>
    </w:p>
    <w:p w14:paraId="6F684265" w14:textId="77777777" w:rsidR="008C1AD8" w:rsidRPr="00A17136" w:rsidRDefault="008C1AD8" w:rsidP="008C1AD8">
      <w:r w:rsidRPr="00256851">
        <w:t xml:space="preserve">Changes to vegetation structure can arise from factors such as increased vegetation cover or encroachment of buildings </w:t>
      </w:r>
      <w:sdt>
        <w:sdtPr>
          <w:rPr>
            <w:color w:val="000000"/>
          </w:rPr>
          <w:tag w:val="MENDELEY_CITATION_v3_eyJjaXRhdGlvbklEIjoiTUVOREVMRVlfQ0lUQVRJT05fZWIxYTU4MTEtNjBjNi00OTdkLWE2NWYtNWY2NzIwMWU3OWUz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696504979"/>
          <w:placeholder>
            <w:docPart w:val="53263D66753F864BA248D609BD120A46"/>
          </w:placeholder>
        </w:sdtPr>
        <w:sdtContent>
          <w:r w:rsidRPr="00273871">
            <w:rPr>
              <w:color w:val="000000"/>
            </w:rPr>
            <w:t>(DoE, 2017)</w:t>
          </w:r>
        </w:sdtContent>
      </w:sdt>
      <w:r w:rsidRPr="00256851">
        <w:t>. This may be possible at sites that are in close proximity to development.</w:t>
      </w:r>
      <w:r w:rsidRPr="00A17136">
        <w:t xml:space="preserve"> </w:t>
      </w:r>
    </w:p>
    <w:p w14:paraId="0DC81AF3" w14:textId="77777777" w:rsidR="008C1AD8" w:rsidRPr="00DC5242" w:rsidRDefault="008C1AD8" w:rsidP="008C1AD8">
      <w:r w:rsidRPr="00DC5242">
        <w:t xml:space="preserve">As outlined above, no areas of important habitat are located close to areas of development under the Plan. Subsequently, the Plan will not </w:t>
      </w:r>
      <w:r>
        <w:t>contribute to this threat in areas of important habitat in the Study Area.</w:t>
      </w:r>
    </w:p>
    <w:p w14:paraId="50BE924D" w14:textId="77777777" w:rsidR="008C1AD8" w:rsidRPr="00256851" w:rsidRDefault="008C1AD8" w:rsidP="008C1AD8">
      <w:pPr>
        <w:pStyle w:val="Heading4"/>
        <w:rPr>
          <w:color w:val="auto"/>
        </w:rPr>
      </w:pPr>
      <w:r w:rsidRPr="00256851">
        <w:rPr>
          <w:color w:val="auto"/>
        </w:rPr>
        <w:lastRenderedPageBreak/>
        <w:t xml:space="preserve">Degradation of important habitat leading to a substantial reduction in migratory shorebird numbers </w:t>
      </w:r>
    </w:p>
    <w:p w14:paraId="39FF6C64" w14:textId="77777777" w:rsidR="008C1AD8" w:rsidRPr="00256851" w:rsidRDefault="008C1AD8" w:rsidP="008C1AD8">
      <w:r w:rsidRPr="00256851">
        <w:t xml:space="preserve">The migratory shorebird guidelines </w:t>
      </w:r>
      <w:sdt>
        <w:sdtPr>
          <w:rPr>
            <w:color w:val="000000"/>
          </w:rPr>
          <w:tag w:val="MENDELEY_CITATION_v3_eyJjaXRhdGlvbklEIjoiTUVOREVMRVlfQ0lUQVRJT05fYTA0N2RkOWItZDc1Ny00MzYxLThkMjYtYWY5ZjhkNDhjZmQz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001736071"/>
          <w:placeholder>
            <w:docPart w:val="53263D66753F864BA248D609BD120A46"/>
          </w:placeholder>
        </w:sdtPr>
        <w:sdtContent>
          <w:r w:rsidRPr="00273871">
            <w:rPr>
              <w:color w:val="000000"/>
            </w:rPr>
            <w:t>(DoE, 2017)</w:t>
          </w:r>
        </w:sdtContent>
      </w:sdt>
      <w:r w:rsidRPr="00256851">
        <w:t xml:space="preserve"> set out examples of the types of activities that can lead to degradation of important habitat. They include:</w:t>
      </w:r>
    </w:p>
    <w:p w14:paraId="16EDF8B2" w14:textId="77777777" w:rsidR="008C1AD8" w:rsidRPr="00256851" w:rsidRDefault="008C1AD8" w:rsidP="008C1AD8">
      <w:pPr>
        <w:pStyle w:val="Bullet1"/>
      </w:pPr>
      <w:r w:rsidRPr="00256851">
        <w:t>Activities occurring in coastal or estuarine environments. For example:</w:t>
      </w:r>
    </w:p>
    <w:p w14:paraId="426A7944" w14:textId="77777777" w:rsidR="008C1AD8" w:rsidRPr="00256851" w:rsidRDefault="008C1AD8" w:rsidP="008C1AD8">
      <w:pPr>
        <w:pStyle w:val="Bullet2"/>
      </w:pPr>
      <w:r w:rsidRPr="00256851">
        <w:t xml:space="preserve">Substantial loss of marine or estuarine vegetation </w:t>
      </w:r>
    </w:p>
    <w:p w14:paraId="09BAECD0" w14:textId="77777777" w:rsidR="008C1AD8" w:rsidRPr="00256851" w:rsidRDefault="008C1AD8" w:rsidP="008C1AD8">
      <w:pPr>
        <w:pStyle w:val="Bullet2"/>
      </w:pPr>
      <w:r w:rsidRPr="00256851">
        <w:t xml:space="preserve">Invasion of intertidal mudflats by weeds </w:t>
      </w:r>
    </w:p>
    <w:p w14:paraId="631BA97F" w14:textId="77777777" w:rsidR="008C1AD8" w:rsidRPr="00256851" w:rsidRDefault="008C1AD8" w:rsidP="008C1AD8">
      <w:pPr>
        <w:pStyle w:val="Bullet2"/>
      </w:pPr>
      <w:r w:rsidRPr="00256851">
        <w:t>Exposure of acid sulfate soils</w:t>
      </w:r>
    </w:p>
    <w:p w14:paraId="37426758" w14:textId="77777777" w:rsidR="008C1AD8" w:rsidRPr="00256851" w:rsidRDefault="008C1AD8" w:rsidP="008C1AD8">
      <w:pPr>
        <w:pStyle w:val="Bullet1"/>
      </w:pPr>
      <w:r w:rsidRPr="00256851">
        <w:t xml:space="preserve">Water pollution and changes to the water regime </w:t>
      </w:r>
    </w:p>
    <w:p w14:paraId="09837EA1" w14:textId="77777777" w:rsidR="008C1AD8" w:rsidRPr="00A17136" w:rsidRDefault="008C1AD8" w:rsidP="008C1AD8">
      <w:pPr>
        <w:pStyle w:val="Heading5"/>
      </w:pPr>
      <w:r w:rsidRPr="00256851">
        <w:t>Activities in coastal or estuarine environments</w:t>
      </w:r>
    </w:p>
    <w:p w14:paraId="149D89EF" w14:textId="77777777" w:rsidR="008C1AD8" w:rsidRPr="00D17965" w:rsidRDefault="008C1AD8" w:rsidP="008C1AD8">
      <w:r w:rsidRPr="00D17965">
        <w:t>The Strategic Assessment Area is mostly comprised of agricultural areas and grassland habitats, and mostly does not include estuarine or coastal environments. The only coastal/estuarine environment is within the south-eastern arm of the Strategic Assessment Area, which extends along Cowies Creek to the edge of Corio Bay. This area is subject to existing development, and no new development will occur here under the Plan. Development under the Plan will instead occur further inland and will be concentrated within the two Growth Areas.</w:t>
      </w:r>
    </w:p>
    <w:p w14:paraId="7AC14613" w14:textId="77777777" w:rsidR="008C1AD8" w:rsidRPr="00D17965" w:rsidRDefault="008C1AD8" w:rsidP="008C1AD8">
      <w:r w:rsidRPr="00D17965">
        <w:t>As development under the Plan will not occur in coastal or estuarine environments, the Plan will not result in substantial loss of marine or estuarine vegetation, and further will not result in invasion of intertidal mudflats by weeds.</w:t>
      </w:r>
    </w:p>
    <w:p w14:paraId="63AA4634" w14:textId="77777777" w:rsidR="008C1AD8" w:rsidRPr="00B0497C" w:rsidRDefault="008C1AD8" w:rsidP="008C1AD8">
      <w:r w:rsidRPr="00B0497C">
        <w:t xml:space="preserve">Further, the location of </w:t>
      </w:r>
      <w:r>
        <w:t>coastal</w:t>
      </w:r>
      <w:r w:rsidRPr="00B0497C">
        <w:t xml:space="preserve"> acid sulfate soils within Geelong have been mapped. The Strategic Assessment Area does not contain any </w:t>
      </w:r>
      <w:r>
        <w:t>coastal</w:t>
      </w:r>
      <w:r w:rsidRPr="00B0497C">
        <w:t xml:space="preserve"> acid sulfate soils </w:t>
      </w:r>
      <w:sdt>
        <w:sdtPr>
          <w:rPr>
            <w:color w:val="000000"/>
          </w:rPr>
          <w:tag w:val="MENDELEY_CITATION_v3_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"/>
          <w:id w:val="-406147226"/>
          <w:placeholder>
            <w:docPart w:val="53263D66753F864BA248D609BD120A46"/>
          </w:placeholder>
        </w:sdtPr>
        <w:sdtContent>
          <w:r w:rsidRPr="00273871">
            <w:rPr>
              <w:color w:val="000000"/>
            </w:rPr>
            <w:t>(Department of Jobs Precincts and Regions, 2022)</w:t>
          </w:r>
        </w:sdtContent>
      </w:sdt>
      <w:r w:rsidRPr="00B0497C">
        <w:t>. Development under the Plan will not result in exposure of acid sulfate soils.</w:t>
      </w:r>
    </w:p>
    <w:p w14:paraId="16542A1C" w14:textId="77777777" w:rsidR="008C1AD8" w:rsidRPr="00256851" w:rsidRDefault="008C1AD8" w:rsidP="008C1AD8">
      <w:pPr>
        <w:pStyle w:val="Heading5"/>
      </w:pPr>
      <w:r w:rsidRPr="00256851">
        <w:t>Water pollution and changes to the water regime</w:t>
      </w:r>
    </w:p>
    <w:p w14:paraId="35E03942" w14:textId="77777777" w:rsidR="008C1AD8" w:rsidRPr="00256851" w:rsidRDefault="008C1AD8" w:rsidP="008C1AD8">
      <w:r w:rsidRPr="00256851">
        <w:t xml:space="preserve">Potential water pollution and changes to the water regime are similar issues to those discussed above in relation to hydrology and water quality. </w:t>
      </w:r>
    </w:p>
    <w:p w14:paraId="76015E95" w14:textId="77777777" w:rsidR="008C1AD8" w:rsidRPr="00DC5242" w:rsidRDefault="008C1AD8" w:rsidP="008C1AD8">
      <w:r w:rsidRPr="00DC5242">
        <w:t xml:space="preserve">As outlined above, </w:t>
      </w:r>
      <w:r w:rsidRPr="00096932">
        <w:t xml:space="preserve">implementation of </w:t>
      </w:r>
      <w:r w:rsidRPr="009E63A2">
        <w:t xml:space="preserve">Commitments 7 and </w:t>
      </w:r>
      <w:r>
        <w:t>9</w:t>
      </w:r>
      <w:r w:rsidRPr="00096932">
        <w:t xml:space="preserve"> under the</w:t>
      </w:r>
      <w:r>
        <w:t xml:space="preserve"> Plan will adequately minimise the risk of adverse impacts associated with changes to hydrology and water quality</w:t>
      </w:r>
    </w:p>
    <w:p w14:paraId="2D967084" w14:textId="77777777" w:rsidR="008C1AD8" w:rsidRPr="00256851" w:rsidRDefault="008C1AD8" w:rsidP="008C1AD8">
      <w:pPr>
        <w:pStyle w:val="Heading4"/>
        <w:rPr>
          <w:color w:val="auto"/>
        </w:rPr>
      </w:pPr>
      <w:r w:rsidRPr="00256851">
        <w:rPr>
          <w:color w:val="auto"/>
        </w:rPr>
        <w:t xml:space="preserve">Increased disturbance within important habitat leading to a substantial reduction in migratory shorebird numbers </w:t>
      </w:r>
    </w:p>
    <w:p w14:paraId="7F67517D" w14:textId="77777777" w:rsidR="008C1AD8" w:rsidRPr="00256851" w:rsidRDefault="008C1AD8" w:rsidP="008C1AD8">
      <w:r w:rsidRPr="00256851">
        <w:t xml:space="preserve">As outlined in the migratory shorebird guidelines </w:t>
      </w:r>
      <w:sdt>
        <w:sdtPr>
          <w:rPr>
            <w:color w:val="000000"/>
          </w:rPr>
          <w:tag w:val="MENDELEY_CITATION_v3_eyJjaXRhdGlvbklEIjoiTUVOREVMRVlfQ0lUQVRJT05fNzNhZjU3OGQtODRhZS00ZDVmLTlkN2QtNDU0NDBlNTI4ZDZh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36813736"/>
          <w:placeholder>
            <w:docPart w:val="53263D66753F864BA248D609BD120A46"/>
          </w:placeholder>
        </w:sdtPr>
        <w:sdtContent>
          <w:r w:rsidRPr="00273871">
            <w:rPr>
              <w:color w:val="000000"/>
            </w:rPr>
            <w:t>(DoE, 2017)</w:t>
          </w:r>
        </w:sdtContent>
      </w:sdt>
      <w:r w:rsidRPr="00256851">
        <w:t xml:space="preserve"> increased disturbance to migratory shorebirds is a key threat within Australia. It may occur through:</w:t>
      </w:r>
    </w:p>
    <w:p w14:paraId="39AE2AF0" w14:textId="77777777" w:rsidR="008C1AD8" w:rsidRPr="00256851" w:rsidRDefault="008C1AD8" w:rsidP="008C1AD8">
      <w:pPr>
        <w:pStyle w:val="Bullet1"/>
      </w:pPr>
      <w:r w:rsidRPr="00256851">
        <w:t>Construction activities (e.g., demolition)</w:t>
      </w:r>
    </w:p>
    <w:p w14:paraId="69B1FCB2" w14:textId="77777777" w:rsidR="008C1AD8" w:rsidRPr="00256851" w:rsidRDefault="008C1AD8" w:rsidP="008C1AD8">
      <w:pPr>
        <w:pStyle w:val="Bullet1"/>
      </w:pPr>
      <w:r w:rsidRPr="00256851">
        <w:t>Residential and recreational activities such as four-wheel-driving, jet- and water-skiing, power boating, fishing, walking, windsurfing, kite-surfing, walking dogs, noise, and night-lighting</w:t>
      </w:r>
    </w:p>
    <w:p w14:paraId="6C382BC0" w14:textId="77777777" w:rsidR="008C1AD8" w:rsidRPr="00256851" w:rsidRDefault="008C1AD8" w:rsidP="008C1AD8">
      <w:r w:rsidRPr="00256851">
        <w:t>Migratory shorebird habitat that would be at risk of these effects are sites that are:</w:t>
      </w:r>
    </w:p>
    <w:p w14:paraId="41F364F4" w14:textId="77777777" w:rsidR="008C1AD8" w:rsidRPr="00256851" w:rsidRDefault="008C1AD8" w:rsidP="008C1AD8">
      <w:pPr>
        <w:pStyle w:val="Bullet1"/>
      </w:pPr>
      <w:r w:rsidRPr="00256851">
        <w:t>In close proximity to development areas</w:t>
      </w:r>
    </w:p>
    <w:p w14:paraId="3174B663" w14:textId="77777777" w:rsidR="008C1AD8" w:rsidRPr="00256851" w:rsidRDefault="008C1AD8" w:rsidP="008C1AD8">
      <w:pPr>
        <w:pStyle w:val="Bullet1"/>
      </w:pPr>
      <w:r w:rsidRPr="00256851">
        <w:t>Publicly accessible for recreation (particularly where this is not managed to protect shorebirds)</w:t>
      </w:r>
    </w:p>
    <w:p w14:paraId="6585D452" w14:textId="77777777" w:rsidR="008C1AD8" w:rsidRPr="00256851" w:rsidRDefault="008C1AD8" w:rsidP="008C1AD8">
      <w:pPr>
        <w:pStyle w:val="Bullet1"/>
      </w:pPr>
      <w:r w:rsidRPr="00256851">
        <w:t>Adjacent to recreation areas (e.g., waterways used for boating etc)</w:t>
      </w:r>
    </w:p>
    <w:p w14:paraId="5A2F3E41" w14:textId="77777777" w:rsidR="008C1AD8" w:rsidRDefault="008C1AD8" w:rsidP="008C1AD8">
      <w:r>
        <w:t>The Plan has potential to increase the risk of disturbance to shorebird habitat from increased public access to natural areas through increasing the population size of the Geelong region. However, it is also recognised that the Geelong region is already substantially developed, with an existing large population size, in addition to a large number of visitors to the region. Therefore, disturbance of natural areas from public access is considered an existing threat in the region. It is unlikely that the Plan would substantially exacerbate this threat beyond its current levels in the region.</w:t>
      </w:r>
    </w:p>
    <w:p w14:paraId="6174361A" w14:textId="77777777" w:rsidR="008C1AD8" w:rsidRDefault="008C1AD8" w:rsidP="008C1AD8">
      <w:pPr>
        <w:keepNext/>
        <w:keepLines/>
      </w:pPr>
      <w:r>
        <w:lastRenderedPageBreak/>
        <w:t xml:space="preserve">There are a range of existing measures in place to manage human disturbance to important shorebird habitat. The Lake Connewarre and Barwon River Estuary IBA and the Werribee/Avalon IBA both have existing wildlife reserves in key areas of habitat within these IBAs. These reserves are managed by Parks Victoria to protect and enhance flora and fauna values while supporting appropriate community use. Refer to </w:t>
      </w:r>
      <w:r>
        <w:fldChar w:fldCharType="begin"/>
      </w:r>
      <w:r>
        <w:instrText xml:space="preserve"> REF _Ref115880998 </w:instrText>
      </w:r>
      <w:r>
        <w:fldChar w:fldCharType="separate"/>
      </w:r>
      <w:r>
        <w:t xml:space="preserve">Table </w:t>
      </w:r>
      <w:r>
        <w:rPr>
          <w:noProof/>
        </w:rPr>
        <w:t>23</w:t>
      </w:r>
      <w:r>
        <w:noBreakHyphen/>
      </w:r>
      <w:r>
        <w:rPr>
          <w:noProof/>
        </w:rPr>
        <w:t>2</w:t>
      </w:r>
      <w:r>
        <w:fldChar w:fldCharType="end"/>
      </w:r>
      <w:r>
        <w:t xml:space="preserve"> for further information on the characteristics of each reserve, existing management measures in place, and for a list of the migratory shorebird species which have important habitat within the reserve.</w:t>
      </w:r>
    </w:p>
    <w:p w14:paraId="424C7244" w14:textId="77777777" w:rsidR="008C1AD8" w:rsidRDefault="008C1AD8" w:rsidP="008C1AD8">
      <w:r>
        <w:t xml:space="preserve">Further, while the Moolap IBA does not have a reserve in place, the site is managed under the Moolap Coastal Strategic Framework Plan. Refer to </w:t>
      </w:r>
      <w:r>
        <w:fldChar w:fldCharType="begin"/>
      </w:r>
      <w:r>
        <w:instrText xml:space="preserve"> REF _Ref115880998 </w:instrText>
      </w:r>
      <w:r>
        <w:fldChar w:fldCharType="separate"/>
      </w:r>
      <w:r>
        <w:t xml:space="preserve">Table </w:t>
      </w:r>
      <w:r>
        <w:rPr>
          <w:noProof/>
        </w:rPr>
        <w:t>23</w:t>
      </w:r>
      <w:r>
        <w:noBreakHyphen/>
      </w:r>
      <w:r>
        <w:rPr>
          <w:noProof/>
        </w:rPr>
        <w:t>2</w:t>
      </w:r>
      <w:r>
        <w:fldChar w:fldCharType="end"/>
      </w:r>
      <w:r>
        <w:t xml:space="preserve"> for further information on the characteristics of this area, existing management measures in place, and for a list of the migratory shorebird species which have important habitat at this site.</w:t>
      </w:r>
    </w:p>
    <w:p w14:paraId="09C866FC" w14:textId="77777777" w:rsidR="008C1AD8" w:rsidRDefault="008C1AD8" w:rsidP="008C1AD8">
      <w:r>
        <w:t>Overall, it is considered that the existing management measures of each of the areas of important habitat will adequately minimise the risk of adverse impacts associated with disturbance of important shorebird habitat.</w:t>
      </w:r>
    </w:p>
    <w:p w14:paraId="68238193" w14:textId="77777777" w:rsidR="008C1AD8" w:rsidRDefault="008C1AD8" w:rsidP="008C1AD8"/>
    <w:p w14:paraId="352ECECD" w14:textId="77777777" w:rsidR="008C1AD8" w:rsidRDefault="008C1AD8" w:rsidP="008C1AD8"/>
    <w:p w14:paraId="5FC0659D" w14:textId="77777777" w:rsidR="008C1AD8" w:rsidRPr="008A3C18" w:rsidRDefault="008C1AD8" w:rsidP="008C1AD8">
      <w:pPr>
        <w:sectPr w:rsidR="008C1AD8" w:rsidRPr="008A3C18" w:rsidSect="00136254">
          <w:headerReference w:type="even" r:id="rId90"/>
          <w:footerReference w:type="default" r:id="rId91"/>
          <w:headerReference w:type="first" r:id="rId92"/>
          <w:pgSz w:w="11900" w:h="16840"/>
          <w:pgMar w:top="1247" w:right="1134" w:bottom="1247" w:left="1134" w:header="708" w:footer="708" w:gutter="0"/>
          <w:pgNumType w:chapStyle="1"/>
          <w:cols w:space="708"/>
          <w:docGrid w:linePitch="360"/>
        </w:sectPr>
      </w:pPr>
    </w:p>
    <w:p w14:paraId="73071B63" w14:textId="77777777" w:rsidR="008C1AD8" w:rsidRDefault="008C1AD8" w:rsidP="008C1AD8">
      <w:pPr>
        <w:pStyle w:val="Caption"/>
      </w:pPr>
      <w:bookmarkStart w:id="164" w:name="_Ref115880998"/>
      <w:bookmarkStart w:id="165" w:name="_Toc135122733"/>
      <w:r>
        <w:lastRenderedPageBreak/>
        <w:t xml:space="preserve">Table </w:t>
      </w:r>
      <w:r>
        <w:fldChar w:fldCharType="begin"/>
      </w:r>
      <w:r>
        <w:instrText xml:space="preserve"> STYLEREF 1 \s </w:instrText>
      </w:r>
      <w:r>
        <w:fldChar w:fldCharType="separate"/>
      </w:r>
      <w:r>
        <w:rPr>
          <w:noProof/>
        </w:rPr>
        <w:t>23</w:t>
      </w:r>
      <w:r>
        <w:fldChar w:fldCharType="end"/>
      </w:r>
      <w:r>
        <w:noBreakHyphen/>
      </w:r>
      <w:r>
        <w:fldChar w:fldCharType="begin"/>
      </w:r>
      <w:r>
        <w:instrText xml:space="preserve"> SEQ Table \* ARABIC \s 1 </w:instrText>
      </w:r>
      <w:r>
        <w:fldChar w:fldCharType="separate"/>
      </w:r>
      <w:r>
        <w:rPr>
          <w:noProof/>
        </w:rPr>
        <w:t>2</w:t>
      </w:r>
      <w:r>
        <w:fldChar w:fldCharType="end"/>
      </w:r>
      <w:bookmarkEnd w:id="164"/>
      <w:r>
        <w:t>: Existing management of important shorebird habitat within the Study Area</w:t>
      </w:r>
      <w:bookmarkEnd w:id="165"/>
    </w:p>
    <w:tbl>
      <w:tblPr>
        <w:tblStyle w:val="TableGrid"/>
        <w:tblW w:w="5000" w:type="pct"/>
        <w:tblLook w:val="04A0" w:firstRow="1" w:lastRow="0" w:firstColumn="1" w:lastColumn="0" w:noHBand="0" w:noVBand="1"/>
      </w:tblPr>
      <w:tblGrid>
        <w:gridCol w:w="1270"/>
        <w:gridCol w:w="2268"/>
        <w:gridCol w:w="1987"/>
        <w:gridCol w:w="4109"/>
        <w:gridCol w:w="4702"/>
      </w:tblGrid>
      <w:tr w:rsidR="008C1AD8" w14:paraId="08A24250" w14:textId="77777777" w:rsidTr="00A15226">
        <w:trPr>
          <w:tblHeader/>
        </w:trPr>
        <w:tc>
          <w:tcPr>
            <w:tcW w:w="443" w:type="pct"/>
            <w:shd w:val="clear" w:color="auto" w:fill="D0CECE" w:themeFill="background2" w:themeFillShade="E6"/>
            <w:vAlign w:val="center"/>
          </w:tcPr>
          <w:p w14:paraId="72B29F9F" w14:textId="77777777" w:rsidR="008C1AD8" w:rsidRPr="00A24D0E" w:rsidRDefault="008C1AD8" w:rsidP="00A15226">
            <w:pPr>
              <w:pStyle w:val="Tabletext"/>
              <w:rPr>
                <w:b/>
                <w:bCs/>
              </w:rPr>
            </w:pPr>
            <w:r>
              <w:rPr>
                <w:b/>
                <w:bCs/>
              </w:rPr>
              <w:t>IBA</w:t>
            </w:r>
          </w:p>
        </w:tc>
        <w:tc>
          <w:tcPr>
            <w:tcW w:w="791" w:type="pct"/>
            <w:shd w:val="clear" w:color="auto" w:fill="D0CECE" w:themeFill="background2" w:themeFillShade="E6"/>
            <w:vAlign w:val="center"/>
          </w:tcPr>
          <w:p w14:paraId="49A27DF0" w14:textId="77777777" w:rsidR="008C1AD8" w:rsidRDefault="008C1AD8" w:rsidP="00A15226">
            <w:pPr>
              <w:pStyle w:val="Tabletext"/>
              <w:rPr>
                <w:b/>
                <w:bCs/>
              </w:rPr>
            </w:pPr>
            <w:r>
              <w:rPr>
                <w:b/>
                <w:bCs/>
              </w:rPr>
              <w:t>Habitat supported by the IBA</w:t>
            </w:r>
          </w:p>
        </w:tc>
        <w:tc>
          <w:tcPr>
            <w:tcW w:w="693" w:type="pct"/>
            <w:shd w:val="clear" w:color="auto" w:fill="D0CECE" w:themeFill="background2" w:themeFillShade="E6"/>
            <w:vAlign w:val="center"/>
          </w:tcPr>
          <w:p w14:paraId="79C63EAB" w14:textId="77777777" w:rsidR="008C1AD8" w:rsidRPr="00A24D0E" w:rsidRDefault="008C1AD8" w:rsidP="00A15226">
            <w:pPr>
              <w:pStyle w:val="Tabletext"/>
              <w:rPr>
                <w:b/>
                <w:bCs/>
              </w:rPr>
            </w:pPr>
            <w:r>
              <w:rPr>
                <w:b/>
                <w:bCs/>
              </w:rPr>
              <w:t>Managed areas within IBA</w:t>
            </w:r>
          </w:p>
        </w:tc>
        <w:tc>
          <w:tcPr>
            <w:tcW w:w="1433" w:type="pct"/>
            <w:shd w:val="clear" w:color="auto" w:fill="D0CECE" w:themeFill="background2" w:themeFillShade="E6"/>
            <w:vAlign w:val="center"/>
          </w:tcPr>
          <w:p w14:paraId="455F2832" w14:textId="77777777" w:rsidR="008C1AD8" w:rsidRPr="00A24D0E" w:rsidRDefault="008C1AD8" w:rsidP="00A15226">
            <w:pPr>
              <w:pStyle w:val="Tabletext"/>
              <w:rPr>
                <w:b/>
                <w:bCs/>
              </w:rPr>
            </w:pPr>
            <w:r>
              <w:rPr>
                <w:b/>
                <w:bCs/>
              </w:rPr>
              <w:t>Location and description</w:t>
            </w:r>
          </w:p>
        </w:tc>
        <w:tc>
          <w:tcPr>
            <w:tcW w:w="1640" w:type="pct"/>
            <w:shd w:val="clear" w:color="auto" w:fill="D0CECE" w:themeFill="background2" w:themeFillShade="E6"/>
            <w:vAlign w:val="center"/>
          </w:tcPr>
          <w:p w14:paraId="6E95EC97" w14:textId="77777777" w:rsidR="008C1AD8" w:rsidRPr="00A24D0E" w:rsidRDefault="008C1AD8" w:rsidP="00A15226">
            <w:pPr>
              <w:pStyle w:val="Tabletext"/>
              <w:rPr>
                <w:b/>
                <w:bCs/>
              </w:rPr>
            </w:pPr>
            <w:r w:rsidRPr="00A24D0E">
              <w:rPr>
                <w:b/>
                <w:bCs/>
              </w:rPr>
              <w:t>Existing management</w:t>
            </w:r>
          </w:p>
        </w:tc>
      </w:tr>
      <w:tr w:rsidR="008C1AD8" w14:paraId="0CD1E412" w14:textId="77777777" w:rsidTr="00A15226">
        <w:tc>
          <w:tcPr>
            <w:tcW w:w="443" w:type="pct"/>
            <w:vAlign w:val="center"/>
          </w:tcPr>
          <w:p w14:paraId="53D6A84A" w14:textId="77777777" w:rsidR="008C1AD8" w:rsidRDefault="008C1AD8" w:rsidP="00A15226">
            <w:pPr>
              <w:pStyle w:val="Tabletext"/>
            </w:pPr>
            <w:r w:rsidRPr="00303057">
              <w:t>Lake Connewarre and Barwon River Estuary IBA</w:t>
            </w:r>
          </w:p>
        </w:tc>
        <w:tc>
          <w:tcPr>
            <w:tcW w:w="791" w:type="pct"/>
            <w:vAlign w:val="center"/>
          </w:tcPr>
          <w:p w14:paraId="6D0305AF" w14:textId="77777777" w:rsidR="008C1AD8" w:rsidRDefault="008C1AD8" w:rsidP="00A15226">
            <w:pPr>
              <w:pStyle w:val="Tabletext"/>
            </w:pPr>
            <w:r>
              <w:t>Common Greenshank; Double-banded Plover; Latham’s Snipe; Red-necked Stint; Sharp-tailed Sandpiper</w:t>
            </w:r>
          </w:p>
        </w:tc>
        <w:tc>
          <w:tcPr>
            <w:tcW w:w="693" w:type="pct"/>
            <w:vAlign w:val="center"/>
          </w:tcPr>
          <w:p w14:paraId="27FDEC82" w14:textId="77777777" w:rsidR="008C1AD8" w:rsidRDefault="008C1AD8" w:rsidP="00A15226">
            <w:pPr>
              <w:pStyle w:val="Tabletext"/>
            </w:pPr>
            <w:r>
              <w:t>Lake Connewarre Wildlife Reserve</w:t>
            </w:r>
          </w:p>
        </w:tc>
        <w:tc>
          <w:tcPr>
            <w:tcW w:w="1433" w:type="pct"/>
            <w:vAlign w:val="center"/>
          </w:tcPr>
          <w:p w14:paraId="5366FA49" w14:textId="77777777" w:rsidR="008C1AD8" w:rsidRDefault="008C1AD8" w:rsidP="00A15226">
            <w:pPr>
              <w:pStyle w:val="Tabletext"/>
            </w:pPr>
            <w:r>
              <w:t>This reserve is located within the Lake Connewarre Complex and is part of the Port Phillip Bay (Western Shoreline) and Bellarine Peninsula Ramsar site. It is a large, shallow estuarine lagoon, and contains a diverse range of wetlands and vegetation including mangroves and saltmarsh communities.</w:t>
            </w:r>
          </w:p>
        </w:tc>
        <w:tc>
          <w:tcPr>
            <w:tcW w:w="1640" w:type="pct"/>
            <w:vAlign w:val="center"/>
          </w:tcPr>
          <w:p w14:paraId="309CB22A" w14:textId="77777777" w:rsidR="008C1AD8" w:rsidRDefault="008C1AD8" w:rsidP="00A15226">
            <w:pPr>
              <w:pStyle w:val="Tabletext"/>
            </w:pPr>
            <w:r>
              <w:t>This reserve is managed by Parks Victoria.</w:t>
            </w:r>
          </w:p>
          <w:p w14:paraId="066BC177" w14:textId="77777777" w:rsidR="008C1AD8" w:rsidRDefault="008C1AD8" w:rsidP="00A15226">
            <w:pPr>
              <w:pStyle w:val="Tabletext"/>
            </w:pPr>
            <w:r>
              <w:t xml:space="preserve">The reserve is large and has variable restrictions in different areas of the reserve. </w:t>
            </w:r>
          </w:p>
          <w:p w14:paraId="6EE99B4A" w14:textId="77777777" w:rsidR="008C1AD8" w:rsidRDefault="008C1AD8" w:rsidP="00A15226">
            <w:pPr>
              <w:pStyle w:val="Tabletext"/>
            </w:pPr>
            <w:r>
              <w:t>Dogs are permitted on a leash in some locations and are prohibited in other areas.</w:t>
            </w:r>
          </w:p>
          <w:p w14:paraId="12F75468" w14:textId="77777777" w:rsidR="008C1AD8" w:rsidRDefault="008C1AD8" w:rsidP="00A15226">
            <w:pPr>
              <w:pStyle w:val="Tabletext"/>
            </w:pPr>
            <w:r>
              <w:t>The following are prohibited in some areas, yet permitted in other areas: horses, vehicles (excluding management vehicles), firearms, camping, and generators.</w:t>
            </w:r>
          </w:p>
          <w:p w14:paraId="356DCA43" w14:textId="77777777" w:rsidR="008C1AD8" w:rsidRDefault="008C1AD8" w:rsidP="00A15226">
            <w:pPr>
              <w:pStyle w:val="Tabletext"/>
            </w:pPr>
            <w:r>
              <w:t>Fires are prohibited and boating zones apply throughout the reserve.</w:t>
            </w:r>
          </w:p>
          <w:sdt>
            <w:sdtPr>
              <w:rPr>
                <w:color w:val="000000"/>
              </w:rPr>
              <w:tag w:val="MENDELEY_CITATION_v3_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"/>
              <w:id w:val="18202451"/>
              <w:placeholder>
                <w:docPart w:val="53263D66753F864BA248D609BD120A46"/>
              </w:placeholder>
            </w:sdtPr>
            <w:sdtContent>
              <w:p w14:paraId="4FF533D2" w14:textId="77777777" w:rsidR="008C1AD8" w:rsidRDefault="008C1AD8" w:rsidP="00A15226">
                <w:pPr>
                  <w:pStyle w:val="Tabletext"/>
                </w:pPr>
                <w:r w:rsidRPr="00273871">
                  <w:rPr>
                    <w:color w:val="000000"/>
                  </w:rPr>
                  <w:t>(Parks Victoria, 2022g, 2022f, 2022i, 2022a, 2022e)</w:t>
                </w:r>
              </w:p>
            </w:sdtContent>
          </w:sdt>
        </w:tc>
      </w:tr>
      <w:tr w:rsidR="008C1AD8" w14:paraId="36127B92" w14:textId="77777777" w:rsidTr="00A15226">
        <w:tc>
          <w:tcPr>
            <w:tcW w:w="443" w:type="pct"/>
            <w:vMerge w:val="restart"/>
            <w:vAlign w:val="center"/>
          </w:tcPr>
          <w:p w14:paraId="6B2745C7" w14:textId="77777777" w:rsidR="008C1AD8" w:rsidRDefault="008C1AD8" w:rsidP="00A15226">
            <w:pPr>
              <w:pStyle w:val="Tabletext"/>
            </w:pPr>
            <w:r>
              <w:t>Werribee/ Avalon IBA</w:t>
            </w:r>
          </w:p>
        </w:tc>
        <w:tc>
          <w:tcPr>
            <w:tcW w:w="791" w:type="pct"/>
            <w:vMerge w:val="restart"/>
            <w:vAlign w:val="center"/>
          </w:tcPr>
          <w:p w14:paraId="5CACC8D2" w14:textId="77777777" w:rsidR="008C1AD8" w:rsidRDefault="008C1AD8" w:rsidP="00A15226">
            <w:pPr>
              <w:pStyle w:val="Tabletext"/>
            </w:pPr>
            <w:r>
              <w:t>Common Greenshank; Double-banded Plover; Marsh Sandpiper; Red-necked Stint; Sharp-tailed Sandpiper</w:t>
            </w:r>
          </w:p>
        </w:tc>
        <w:tc>
          <w:tcPr>
            <w:tcW w:w="693" w:type="pct"/>
            <w:vAlign w:val="center"/>
          </w:tcPr>
          <w:p w14:paraId="6BA0FEEC" w14:textId="77777777" w:rsidR="008C1AD8" w:rsidRDefault="008C1AD8" w:rsidP="00A15226">
            <w:pPr>
              <w:pStyle w:val="Tabletext"/>
            </w:pPr>
            <w:r>
              <w:t xml:space="preserve">Limeburners Lagoon Flora and Fauna Reserve </w:t>
            </w:r>
          </w:p>
        </w:tc>
        <w:tc>
          <w:tcPr>
            <w:tcW w:w="1433" w:type="pct"/>
            <w:vAlign w:val="center"/>
          </w:tcPr>
          <w:p w14:paraId="1A608D63" w14:textId="77777777" w:rsidR="008C1AD8" w:rsidRDefault="008C1AD8" w:rsidP="00A15226">
            <w:pPr>
              <w:pStyle w:val="Tabletext"/>
            </w:pPr>
            <w:r>
              <w:t>This reserve is located within Limeburners Bay and is part of the Port Phillip Bay (Western Shoreline) and Bellarine Peninsula Ramsar site. It is part of a broad, sandy estuarine inlet, with shallow tidal water. The inlet supports shoreline, sandy spit and seagrass environments.</w:t>
            </w:r>
          </w:p>
        </w:tc>
        <w:tc>
          <w:tcPr>
            <w:tcW w:w="1640" w:type="pct"/>
            <w:vAlign w:val="center"/>
          </w:tcPr>
          <w:p w14:paraId="051CC6CA" w14:textId="77777777" w:rsidR="008C1AD8" w:rsidRDefault="008C1AD8" w:rsidP="00A15226">
            <w:pPr>
              <w:pStyle w:val="Tabletext"/>
            </w:pPr>
            <w:r>
              <w:t xml:space="preserve">This reserve is managed by Parks Victoria. </w:t>
            </w:r>
          </w:p>
          <w:p w14:paraId="3C02F339" w14:textId="77777777" w:rsidR="008C1AD8" w:rsidRDefault="008C1AD8" w:rsidP="00A15226">
            <w:pPr>
              <w:pStyle w:val="Tabletext"/>
            </w:pPr>
            <w:r>
              <w:t>The following are not permitted: dogs, cats, other pets, horses, bicycles, fires, firearms, and vehicles (excluding management vehicles).</w:t>
            </w:r>
          </w:p>
          <w:sdt>
            <w:sdtPr>
              <w:rPr>
                <w:color w:val="000000"/>
              </w:rPr>
              <w:tag w:val="MENDELEY_CITATION_v3_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"/>
              <w:id w:val="1376279548"/>
              <w:placeholder>
                <w:docPart w:val="53263D66753F864BA248D609BD120A46"/>
              </w:placeholder>
            </w:sdtPr>
            <w:sdtContent>
              <w:p w14:paraId="5839A241" w14:textId="77777777" w:rsidR="008C1AD8" w:rsidRDefault="008C1AD8" w:rsidP="00A15226">
                <w:pPr>
                  <w:pStyle w:val="Tabletext"/>
                </w:pPr>
                <w:r w:rsidRPr="00273871">
                  <w:rPr>
                    <w:color w:val="000000"/>
                  </w:rPr>
                  <w:t>(Parks Victoria, 2022d)</w:t>
                </w:r>
              </w:p>
            </w:sdtContent>
          </w:sdt>
        </w:tc>
      </w:tr>
      <w:tr w:rsidR="008C1AD8" w14:paraId="0EB4D8FA" w14:textId="77777777" w:rsidTr="00A15226">
        <w:tc>
          <w:tcPr>
            <w:tcW w:w="443" w:type="pct"/>
            <w:vMerge/>
            <w:vAlign w:val="center"/>
          </w:tcPr>
          <w:p w14:paraId="7E1B4F5A" w14:textId="77777777" w:rsidR="008C1AD8" w:rsidRDefault="008C1AD8" w:rsidP="00A15226">
            <w:pPr>
              <w:pStyle w:val="Tabletext"/>
            </w:pPr>
          </w:p>
        </w:tc>
        <w:tc>
          <w:tcPr>
            <w:tcW w:w="791" w:type="pct"/>
            <w:vMerge/>
            <w:vAlign w:val="center"/>
          </w:tcPr>
          <w:p w14:paraId="78C01C30" w14:textId="77777777" w:rsidR="008C1AD8" w:rsidRDefault="008C1AD8" w:rsidP="00A15226">
            <w:pPr>
              <w:pStyle w:val="Tabletext"/>
            </w:pPr>
          </w:p>
        </w:tc>
        <w:tc>
          <w:tcPr>
            <w:tcW w:w="693" w:type="pct"/>
            <w:vAlign w:val="center"/>
          </w:tcPr>
          <w:p w14:paraId="7D065E3C" w14:textId="77777777" w:rsidR="008C1AD8" w:rsidRDefault="008C1AD8" w:rsidP="00A15226">
            <w:pPr>
              <w:pStyle w:val="Tabletext"/>
            </w:pPr>
            <w:r>
              <w:t xml:space="preserve">The Spit Wildlife Reserve </w:t>
            </w:r>
          </w:p>
        </w:tc>
        <w:tc>
          <w:tcPr>
            <w:tcW w:w="1433" w:type="pct"/>
            <w:vAlign w:val="center"/>
          </w:tcPr>
          <w:p w14:paraId="785A2D4A" w14:textId="77777777" w:rsidR="008C1AD8" w:rsidRPr="00AC0C99" w:rsidRDefault="008C1AD8" w:rsidP="00A15226">
            <w:pPr>
              <w:pStyle w:val="Tabletext"/>
            </w:pPr>
            <w:r>
              <w:t>This reserve is located within the Port Wilson area and is part of the Port Phillip Bay (Western Shoreline) and Bellarine Peninsula Ramsar site. It contains sand spits, a lagoon, mudflats and areas of saltmarsh.</w:t>
            </w:r>
          </w:p>
        </w:tc>
        <w:tc>
          <w:tcPr>
            <w:tcW w:w="1640" w:type="pct"/>
            <w:vAlign w:val="center"/>
          </w:tcPr>
          <w:p w14:paraId="368855B6" w14:textId="77777777" w:rsidR="008C1AD8" w:rsidRDefault="008C1AD8" w:rsidP="00A15226">
            <w:pPr>
              <w:pStyle w:val="Tabletext"/>
            </w:pPr>
            <w:r>
              <w:t xml:space="preserve">This reserve is managed by Parks Victoria. </w:t>
            </w:r>
          </w:p>
          <w:p w14:paraId="274CFB43" w14:textId="77777777" w:rsidR="008C1AD8" w:rsidRDefault="008C1AD8" w:rsidP="00A15226">
            <w:pPr>
              <w:pStyle w:val="Tabletext"/>
            </w:pPr>
            <w:r>
              <w:t>Public access to this reserve is partially restricted.</w:t>
            </w:r>
          </w:p>
          <w:p w14:paraId="4F501281" w14:textId="77777777" w:rsidR="008C1AD8" w:rsidRDefault="008C1AD8" w:rsidP="00A15226">
            <w:pPr>
              <w:pStyle w:val="Tabletext"/>
            </w:pPr>
            <w:r>
              <w:t xml:space="preserve">At publicly accessible sites, dogs and vehicles (excluding management vehicles) are prohibited. Boating zones also apply </w:t>
            </w:r>
            <w:sdt>
              <w:sdtPr>
                <w:rPr>
                  <w:color w:val="000000"/>
                </w:rPr>
                <w:tag w:val="MENDELEY_CITATION_v3_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"/>
                <w:id w:val="1120495532"/>
                <w:placeholder>
                  <w:docPart w:val="53263D66753F864BA248D609BD120A46"/>
                </w:placeholder>
              </w:sdtPr>
              <w:sdtContent>
                <w:r w:rsidRPr="00273871">
                  <w:rPr>
                    <w:color w:val="000000"/>
                  </w:rPr>
                  <w:t>(Parks Victoria, 2022c, 2022j)</w:t>
                </w:r>
              </w:sdtContent>
            </w:sdt>
            <w:r>
              <w:t>.</w:t>
            </w:r>
          </w:p>
          <w:p w14:paraId="4DE2BE8C" w14:textId="77777777" w:rsidR="008C1AD8" w:rsidRDefault="008C1AD8" w:rsidP="00A15226">
            <w:pPr>
              <w:pStyle w:val="Tabletext"/>
            </w:pPr>
            <w:r>
              <w:t xml:space="preserve">Public access to some areas of the reserve is restricted and require a permit from Melbourne Water as the site is adjacent to the Werribee Sewage Farm </w:t>
            </w:r>
            <w:sdt>
              <w:sdtPr>
                <w:rPr>
                  <w:color w:val="000000"/>
                </w:rPr>
                <w:tag w:val="MENDELEY_CITATION_v3_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"/>
                <w:id w:val="1604377533"/>
                <w:placeholder>
                  <w:docPart w:val="53263D66753F864BA248D609BD120A46"/>
                </w:placeholder>
              </w:sdtPr>
              <w:sdtContent>
                <w:r w:rsidRPr="00273871">
                  <w:rPr>
                    <w:color w:val="000000"/>
                  </w:rPr>
                  <w:t>(Conservation Volunteers Australia, 2022)</w:t>
                </w:r>
              </w:sdtContent>
            </w:sdt>
            <w:r>
              <w:t>.</w:t>
            </w:r>
          </w:p>
        </w:tc>
      </w:tr>
      <w:tr w:rsidR="008C1AD8" w14:paraId="302306E8" w14:textId="77777777" w:rsidTr="00A15226">
        <w:tc>
          <w:tcPr>
            <w:tcW w:w="443" w:type="pct"/>
            <w:vAlign w:val="center"/>
          </w:tcPr>
          <w:p w14:paraId="4AF4B9AC" w14:textId="77777777" w:rsidR="008C1AD8" w:rsidRDefault="008C1AD8" w:rsidP="00A15226">
            <w:pPr>
              <w:pStyle w:val="Tabletext"/>
            </w:pPr>
            <w:r>
              <w:lastRenderedPageBreak/>
              <w:t>Moolap IBA</w:t>
            </w:r>
          </w:p>
        </w:tc>
        <w:tc>
          <w:tcPr>
            <w:tcW w:w="791" w:type="pct"/>
            <w:vAlign w:val="center"/>
          </w:tcPr>
          <w:p w14:paraId="2983E6EF" w14:textId="77777777" w:rsidR="008C1AD8" w:rsidRDefault="008C1AD8" w:rsidP="00A15226">
            <w:pPr>
              <w:pStyle w:val="Tabletext"/>
            </w:pPr>
            <w:r>
              <w:t>Double-banded Plover; Latham’s Snipe; Marsh Sandpiper; Red-necked Stint; Sharp-tailed Sandpiper</w:t>
            </w:r>
          </w:p>
        </w:tc>
        <w:tc>
          <w:tcPr>
            <w:tcW w:w="693" w:type="pct"/>
            <w:vAlign w:val="center"/>
          </w:tcPr>
          <w:p w14:paraId="443F246F" w14:textId="77777777" w:rsidR="008C1AD8" w:rsidRDefault="008C1AD8" w:rsidP="00A15226">
            <w:pPr>
              <w:pStyle w:val="Tabletext"/>
            </w:pPr>
            <w:r>
              <w:t>‘Wetlands and Former Saltworks Precinct’ within the Moolap Coastal Strategic Framework Plan</w:t>
            </w:r>
          </w:p>
        </w:tc>
        <w:tc>
          <w:tcPr>
            <w:tcW w:w="1433" w:type="pct"/>
            <w:vAlign w:val="center"/>
          </w:tcPr>
          <w:p w14:paraId="45658659" w14:textId="77777777" w:rsidR="008C1AD8" w:rsidRDefault="008C1AD8" w:rsidP="00A15226">
            <w:pPr>
              <w:pStyle w:val="Tabletext"/>
            </w:pPr>
            <w:r>
              <w:t>The Moolap Coastal Strategic Plan outlines the management objectives and strategies for the Moolap area. The area covered by the Strategic Plan includes the Moolap IBA, in addition to areas of land outside of the IBA.</w:t>
            </w:r>
          </w:p>
          <w:p w14:paraId="62DFDDDF" w14:textId="77777777" w:rsidR="008C1AD8" w:rsidRDefault="008C1AD8" w:rsidP="00A15226">
            <w:pPr>
              <w:pStyle w:val="Tabletext"/>
            </w:pPr>
            <w:r>
              <w:t>The majority of the Moolap IBA is located in the ‘Wetlands and Former Saltworks Precinct’ of the Strategic Plan.</w:t>
            </w:r>
          </w:p>
          <w:p w14:paraId="414F902C" w14:textId="77777777" w:rsidR="008C1AD8" w:rsidRDefault="008C1AD8" w:rsidP="00A15226">
            <w:pPr>
              <w:pStyle w:val="Tabletext"/>
            </w:pPr>
            <w:r>
              <w:t xml:space="preserve">The area includes salt pans separated by bunds (from a former saltworks) which is used as a feeding location by many migratory birds. Seagrass meadows occur in the shallow bay area adjacent to the salt bunds. </w:t>
            </w:r>
          </w:p>
        </w:tc>
        <w:tc>
          <w:tcPr>
            <w:tcW w:w="1640" w:type="pct"/>
            <w:vAlign w:val="center"/>
          </w:tcPr>
          <w:p w14:paraId="245AD1DC" w14:textId="77777777" w:rsidR="008C1AD8" w:rsidRDefault="008C1AD8" w:rsidP="00A15226">
            <w:pPr>
              <w:pStyle w:val="Tabletext"/>
            </w:pPr>
            <w:r>
              <w:t>The overarching goal for the Precinct is that the area be managed and coordinated to prioritise environmental outcomes and to respond to existing values and risks.</w:t>
            </w:r>
          </w:p>
          <w:p w14:paraId="4B31B1A6" w14:textId="77777777" w:rsidR="008C1AD8" w:rsidRDefault="008C1AD8" w:rsidP="00A15226">
            <w:pPr>
              <w:pStyle w:val="Tabletext"/>
            </w:pPr>
            <w:r>
              <w:t>With regards to disturbance management, the Strategic Plan contains a range of strategies, including:</w:t>
            </w:r>
          </w:p>
          <w:p w14:paraId="4C790725" w14:textId="77777777" w:rsidR="008C1AD8" w:rsidRDefault="008C1AD8" w:rsidP="00A15226">
            <w:pPr>
              <w:pStyle w:val="Bullet1"/>
            </w:pPr>
            <w:r>
              <w:t>Facilitating while managing public access to enable recreation and passive enjoyment of the area while conserving environmental values</w:t>
            </w:r>
          </w:p>
          <w:p w14:paraId="5A13E81D" w14:textId="77777777" w:rsidR="008C1AD8" w:rsidRDefault="008C1AD8" w:rsidP="00A15226">
            <w:pPr>
              <w:pStyle w:val="Bullet1"/>
            </w:pPr>
            <w:r>
              <w:t>Avoiding and managing risks of domestic animals entering conservation areas</w:t>
            </w:r>
          </w:p>
          <w:p w14:paraId="48BC79ED" w14:textId="77777777" w:rsidR="008C1AD8" w:rsidRDefault="008C1AD8" w:rsidP="00A15226">
            <w:pPr>
              <w:pStyle w:val="Bullet1"/>
            </w:pPr>
            <w:r>
              <w:t>Avoiding boating and marine infrastructure where it would impact ecological values</w:t>
            </w:r>
          </w:p>
          <w:sdt>
            <w:sdtPr>
              <w:rPr>
                <w:color w:val="000000"/>
              </w:rPr>
              <w:tag w:val="MENDELEY_CITATION_v3_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"/>
              <w:id w:val="899416571"/>
              <w:placeholder>
                <w:docPart w:val="53263D66753F864BA248D609BD120A46"/>
              </w:placeholder>
            </w:sdtPr>
            <w:sdtContent>
              <w:p w14:paraId="019E4754" w14:textId="77777777" w:rsidR="008C1AD8" w:rsidRDefault="008C1AD8" w:rsidP="00A15226">
                <w:pPr>
                  <w:pStyle w:val="Tabletext"/>
                </w:pPr>
                <w:r w:rsidRPr="00273871">
                  <w:rPr>
                    <w:color w:val="000000"/>
                  </w:rPr>
                  <w:t>(DELWP, 2019)</w:t>
                </w:r>
              </w:p>
            </w:sdtContent>
          </w:sdt>
        </w:tc>
      </w:tr>
    </w:tbl>
    <w:p w14:paraId="4ACCBE42" w14:textId="77777777" w:rsidR="008C1AD8" w:rsidRDefault="008C1AD8" w:rsidP="008C1AD8"/>
    <w:p w14:paraId="2BABD65D" w14:textId="77777777" w:rsidR="008C1AD8" w:rsidRDefault="008C1AD8" w:rsidP="008C1AD8"/>
    <w:p w14:paraId="7A4B6AA0" w14:textId="77777777" w:rsidR="008C1AD8" w:rsidRDefault="008C1AD8" w:rsidP="008C1AD8">
      <w:pPr>
        <w:sectPr w:rsidR="008C1AD8" w:rsidSect="00A24D0E">
          <w:headerReference w:type="even" r:id="rId93"/>
          <w:footerReference w:type="default" r:id="rId94"/>
          <w:headerReference w:type="first" r:id="rId95"/>
          <w:pgSz w:w="16840" w:h="11900" w:orient="landscape"/>
          <w:pgMar w:top="1134" w:right="1247" w:bottom="1134" w:left="1247" w:header="708" w:footer="708" w:gutter="0"/>
          <w:pgNumType w:chapStyle="1"/>
          <w:cols w:space="708"/>
          <w:docGrid w:linePitch="360"/>
        </w:sectPr>
      </w:pPr>
    </w:p>
    <w:p w14:paraId="3A4668D9" w14:textId="77777777" w:rsidR="008C1AD8" w:rsidRPr="00FE3C4C" w:rsidRDefault="008C1AD8" w:rsidP="008C1AD8">
      <w:pPr>
        <w:pStyle w:val="Heading4"/>
        <w:rPr>
          <w:color w:val="auto"/>
        </w:rPr>
      </w:pPr>
      <w:r w:rsidRPr="00FE3C4C">
        <w:rPr>
          <w:color w:val="auto"/>
        </w:rPr>
        <w:lastRenderedPageBreak/>
        <w:t xml:space="preserve">Direct mortality of birds leading to a substantial reduction in migratory shorebird numbers </w:t>
      </w:r>
    </w:p>
    <w:p w14:paraId="3A3115E3" w14:textId="77777777" w:rsidR="008C1AD8" w:rsidRPr="00FE3C4C" w:rsidRDefault="008C1AD8" w:rsidP="008C1AD8">
      <w:pPr>
        <w:keepNext/>
        <w:keepLines/>
      </w:pPr>
      <w:r w:rsidRPr="00FE3C4C">
        <w:t xml:space="preserve">As outlined in the migratory shorebird guidelines </w:t>
      </w:r>
      <w:sdt>
        <w:sdtPr>
          <w:rPr>
            <w:color w:val="000000"/>
          </w:rPr>
          <w:tag w:val="MENDELEY_CITATION_v3_eyJjaXRhdGlvbklEIjoiTUVOREVMRVlfQ0lUQVRJT05fZWJhODcwYTYtM2U3ZS00OTM1LTlkMWEtOGE0YTE5ZWU0NDIy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798375574"/>
          <w:placeholder>
            <w:docPart w:val="53263D66753F864BA248D609BD120A46"/>
          </w:placeholder>
        </w:sdtPr>
        <w:sdtContent>
          <w:r w:rsidRPr="00273871">
            <w:rPr>
              <w:color w:val="000000"/>
            </w:rPr>
            <w:t>(DoE, 2017)</w:t>
          </w:r>
        </w:sdtContent>
      </w:sdt>
      <w:r w:rsidRPr="00FE3C4C">
        <w:t>, direct mortality of birds may result from activities relating to:</w:t>
      </w:r>
    </w:p>
    <w:p w14:paraId="08218321" w14:textId="77777777" w:rsidR="008C1AD8" w:rsidRPr="00FE3C4C" w:rsidRDefault="008C1AD8" w:rsidP="008C1AD8">
      <w:pPr>
        <w:pStyle w:val="Bullet1"/>
      </w:pPr>
      <w:r w:rsidRPr="00FE3C4C">
        <w:t>Bird strike due to:</w:t>
      </w:r>
    </w:p>
    <w:p w14:paraId="08B03E6A" w14:textId="77777777" w:rsidR="008C1AD8" w:rsidRPr="00FE3C4C" w:rsidRDefault="008C1AD8" w:rsidP="008C1AD8">
      <w:pPr>
        <w:pStyle w:val="Bullet2"/>
      </w:pPr>
      <w:r w:rsidRPr="00FE3C4C">
        <w:t>Development of wind farms in migration or movement pathways</w:t>
      </w:r>
    </w:p>
    <w:p w14:paraId="6C572F8A" w14:textId="77777777" w:rsidR="008C1AD8" w:rsidRPr="00FE3C4C" w:rsidRDefault="008C1AD8" w:rsidP="008C1AD8">
      <w:pPr>
        <w:pStyle w:val="Bullet2"/>
      </w:pPr>
      <w:r w:rsidRPr="00FE3C4C">
        <w:t>Aeroplanes or fixed structures such as towers with support cables</w:t>
      </w:r>
    </w:p>
    <w:p w14:paraId="67C7A276" w14:textId="77777777" w:rsidR="008C1AD8" w:rsidRPr="00FE3C4C" w:rsidRDefault="008C1AD8" w:rsidP="008C1AD8">
      <w:pPr>
        <w:pStyle w:val="Bullet1"/>
      </w:pPr>
      <w:r w:rsidRPr="00FE3C4C">
        <w:t>Inappropriate waste management and chemical or oils spills</w:t>
      </w:r>
    </w:p>
    <w:p w14:paraId="70B08745" w14:textId="77777777" w:rsidR="008C1AD8" w:rsidRPr="00FE3C4C" w:rsidRDefault="008C1AD8" w:rsidP="008C1AD8">
      <w:pPr>
        <w:pStyle w:val="Heading5"/>
      </w:pPr>
      <w:r w:rsidRPr="00FE3C4C">
        <w:t>Bird strike</w:t>
      </w:r>
    </w:p>
    <w:p w14:paraId="3F424C51" w14:textId="77777777" w:rsidR="008C1AD8" w:rsidRPr="00FE3C4C" w:rsidRDefault="008C1AD8" w:rsidP="008C1AD8">
      <w:r w:rsidRPr="00FE3C4C">
        <w:t xml:space="preserve">Development under the Plan does not relate to windfarms, aeroplanes, or large fixed structures with support cables. Risks of significant bird strike due to the development are considered to be low. </w:t>
      </w:r>
    </w:p>
    <w:p w14:paraId="6D7688A1" w14:textId="77777777" w:rsidR="008C1AD8" w:rsidRPr="00FE3C4C" w:rsidRDefault="008C1AD8" w:rsidP="008C1AD8">
      <w:pPr>
        <w:pStyle w:val="Heading5"/>
      </w:pPr>
      <w:r w:rsidRPr="00FE3C4C">
        <w:t>Inappropriate waste management and chemical or oils spills</w:t>
      </w:r>
    </w:p>
    <w:p w14:paraId="77647415" w14:textId="77777777" w:rsidR="008C1AD8" w:rsidRPr="00FE3C4C" w:rsidRDefault="008C1AD8" w:rsidP="008C1AD8">
      <w:r w:rsidRPr="00FE3C4C">
        <w:t xml:space="preserve">Potential impacts due to inappropriate waste management and chemical or oils spills are similar issues to those discussed above in relation to hydrology and water quality. </w:t>
      </w:r>
    </w:p>
    <w:p w14:paraId="63C64389" w14:textId="77777777" w:rsidR="008C1AD8" w:rsidRPr="00FE3C4C" w:rsidRDefault="008C1AD8" w:rsidP="008C1AD8">
      <w:r w:rsidRPr="00FE3C4C">
        <w:t xml:space="preserve">As outlined above, implementation </w:t>
      </w:r>
      <w:r w:rsidRPr="00096932">
        <w:t xml:space="preserve">of </w:t>
      </w:r>
      <w:r w:rsidRPr="009E63A2">
        <w:t xml:space="preserve">Commitments 7 and </w:t>
      </w:r>
      <w:r>
        <w:t>9</w:t>
      </w:r>
      <w:r w:rsidRPr="00FE3C4C">
        <w:t xml:space="preserve"> under the Plan will adequately minimise the risk of adverse impacts associated with changes to hydrology and water quality.</w:t>
      </w:r>
    </w:p>
    <w:p w14:paraId="4819CCFD" w14:textId="77777777" w:rsidR="008C1AD8" w:rsidRPr="00FE3C4C" w:rsidRDefault="008C1AD8" w:rsidP="008C1AD8">
      <w:pPr>
        <w:pStyle w:val="Heading4"/>
      </w:pPr>
      <w:r w:rsidRPr="00FE3C4C">
        <w:t>Consideration of climate change</w:t>
      </w:r>
    </w:p>
    <w:p w14:paraId="20D9E72B" w14:textId="77777777" w:rsidR="008C1AD8" w:rsidRPr="00A17136" w:rsidRDefault="008C1AD8" w:rsidP="008C1AD8">
      <w:r w:rsidRPr="00FE3C4C">
        <w:t xml:space="preserve">The migratory shorebird guidelines </w:t>
      </w:r>
      <w:sdt>
        <w:sdtPr>
          <w:rPr>
            <w:color w:val="000000"/>
          </w:rPr>
          <w:tag w:val="MENDELEY_CITATION_v3_eyJjaXRhdGlvbklEIjoiTUVOREVMRVlfQ0lUQVRJT05fNjNhMTNiZGMtMzk0My00NGE1LThlODUtZDkyNjFiYmY5OGYw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53698607"/>
          <w:placeholder>
            <w:docPart w:val="53263D66753F864BA248D609BD120A46"/>
          </w:placeholder>
        </w:sdtPr>
        <w:sdtContent>
          <w:r w:rsidRPr="00273871">
            <w:rPr>
              <w:color w:val="000000"/>
            </w:rPr>
            <w:t>(DoE, 2017)</w:t>
          </w:r>
        </w:sdtContent>
      </w:sdt>
      <w:r w:rsidRPr="00FE3C4C">
        <w:t xml:space="preserve">  suggest that “areas landward of important shorebird habitat areas should be maintained in an undeveloped state to allow the natural coastal processes of erosion and accretion to respond to possible rising sea levels”.</w:t>
      </w:r>
      <w:r w:rsidRPr="00A17136">
        <w:t xml:space="preserve"> </w:t>
      </w:r>
    </w:p>
    <w:p w14:paraId="62862D9E" w14:textId="77777777" w:rsidR="008C1AD8" w:rsidRPr="00B0497C" w:rsidRDefault="008C1AD8" w:rsidP="008C1AD8">
      <w:r w:rsidRPr="00B0497C">
        <w:t>The Strategic Assessment Area is not located in proximity to important shorebird habitat within the Study Area, nor is it located landward of any area of important bird habitat. Subsequently, development under the Plan will not exacerbate potential issues at important bird areas associated with rising sea levels.</w:t>
      </w:r>
    </w:p>
    <w:p w14:paraId="5090EDCC" w14:textId="77777777" w:rsidR="008C1AD8" w:rsidRPr="00FE3C4C" w:rsidRDefault="008C1AD8" w:rsidP="008C1AD8">
      <w:r w:rsidRPr="009E63A2">
        <w:t>Section 29.5 of Chapter 29</w:t>
      </w:r>
      <w:r>
        <w:t xml:space="preserve"> </w:t>
      </w:r>
      <w:r w:rsidRPr="00FE3C4C">
        <w:t xml:space="preserve">describes how the Plan more broadly has considered the extent to which it facilitates adaptation to climate change for MNES, including consideration of any particularly vulnerable matters. </w:t>
      </w:r>
    </w:p>
    <w:p w14:paraId="62FF9E6C" w14:textId="77777777" w:rsidR="008C1AD8" w:rsidRPr="00FE3C4C" w:rsidRDefault="008C1AD8" w:rsidP="008C1AD8">
      <w:pPr>
        <w:pStyle w:val="Heading4"/>
      </w:pPr>
      <w:r w:rsidRPr="00FE3C4C">
        <w:t>Evaluation of the outcome for migratory shorebirds</w:t>
      </w:r>
    </w:p>
    <w:p w14:paraId="036D83FB" w14:textId="77777777" w:rsidR="008C1AD8" w:rsidRPr="00FE3C4C" w:rsidRDefault="008C1AD8" w:rsidP="008C1AD8">
      <w:r w:rsidRPr="00FE3C4C">
        <w:t xml:space="preserve">As outlined in Section </w:t>
      </w:r>
      <w:r>
        <w:fldChar w:fldCharType="begin"/>
      </w:r>
      <w:r>
        <w:instrText xml:space="preserve"> REF _Ref115882355 \n  \* MERGEFORMAT </w:instrText>
      </w:r>
      <w:r>
        <w:fldChar w:fldCharType="separate"/>
      </w:r>
      <w:r>
        <w:t>23.2</w:t>
      </w:r>
      <w:r>
        <w:fldChar w:fldCharType="end"/>
      </w:r>
      <w:r w:rsidRPr="00FE3C4C">
        <w:t>, the outcomes of the Plan must not be inconsistent with any of the international agreements relating to migratory species. The key obligations (of relevance to this assessment) which cut across the various agreements in different forms are for Australia to:</w:t>
      </w:r>
    </w:p>
    <w:p w14:paraId="1B6CF97F" w14:textId="77777777" w:rsidR="008C1AD8" w:rsidRPr="00FE3C4C" w:rsidRDefault="008C1AD8" w:rsidP="008C1AD8">
      <w:pPr>
        <w:pStyle w:val="Bullet1"/>
      </w:pPr>
      <w:r w:rsidRPr="00FE3C4C">
        <w:t>Conserve and where possible restore habitats</w:t>
      </w:r>
    </w:p>
    <w:p w14:paraId="3EAC314A" w14:textId="77777777" w:rsidR="008C1AD8" w:rsidRPr="00FE3C4C" w:rsidRDefault="008C1AD8" w:rsidP="008C1AD8">
      <w:pPr>
        <w:pStyle w:val="Bullet1"/>
      </w:pPr>
      <w:r w:rsidRPr="00FE3C4C">
        <w:t>Mitigate and manage threats to shorebirds</w:t>
      </w:r>
    </w:p>
    <w:p w14:paraId="6EEBA78A" w14:textId="77777777" w:rsidR="008C1AD8" w:rsidRPr="00FE3C4C" w:rsidRDefault="008C1AD8" w:rsidP="008C1AD8">
      <w:r w:rsidRPr="00FE3C4C">
        <w:t>The Plan is not inconsistent with these obligations</w:t>
      </w:r>
      <w:r>
        <w:t>, as:</w:t>
      </w:r>
    </w:p>
    <w:p w14:paraId="61875A28" w14:textId="77777777" w:rsidR="008C1AD8" w:rsidRPr="00FE3C4C" w:rsidRDefault="008C1AD8" w:rsidP="008C1AD8">
      <w:pPr>
        <w:pStyle w:val="Bullet1"/>
      </w:pPr>
      <w:r>
        <w:t>There will be n</w:t>
      </w:r>
      <w:r w:rsidRPr="00FE3C4C">
        <w:t>o direct impacts to important habitat</w:t>
      </w:r>
    </w:p>
    <w:p w14:paraId="209AA87E" w14:textId="77777777" w:rsidR="008C1AD8" w:rsidRPr="00FE3C4C" w:rsidRDefault="008C1AD8" w:rsidP="008C1AD8">
      <w:pPr>
        <w:pStyle w:val="Bullet1"/>
      </w:pPr>
      <w:r w:rsidRPr="00FE3C4C">
        <w:t>Indirect impacts to important habitat will be adequately controlled through commitments under the Plan and through existing land management frameworks in the region</w:t>
      </w:r>
    </w:p>
    <w:p w14:paraId="683EBC31" w14:textId="77777777" w:rsidR="008C1AD8" w:rsidRPr="00FE3C4C" w:rsidRDefault="008C1AD8" w:rsidP="008C1AD8">
      <w:pPr>
        <w:pStyle w:val="Heading3"/>
      </w:pPr>
      <w:bookmarkStart w:id="166" w:name="_Toc6301295"/>
      <w:r w:rsidRPr="00FE3C4C">
        <w:t>Conclusion</w:t>
      </w:r>
      <w:bookmarkEnd w:id="166"/>
    </w:p>
    <w:p w14:paraId="49C69C83" w14:textId="77777777" w:rsidR="008C1AD8" w:rsidRPr="00FE3C4C" w:rsidRDefault="008C1AD8" w:rsidP="008C1AD8">
      <w:r w:rsidRPr="00FE3C4C">
        <w:t>The Plan will not result in residual adverse impacts to migratory shorebirds. No important habitat will be lost, and potential indirect impacts will be suitably mitigated and managed.</w:t>
      </w:r>
    </w:p>
    <w:p w14:paraId="636F18F7" w14:textId="77777777" w:rsidR="008C1AD8" w:rsidRDefault="008C1AD8" w:rsidP="008C1AD8">
      <w:r w:rsidRPr="00FE3C4C">
        <w:t>The outcomes of the Plan for these species meets the regulatory requirements for listed migratory species under the EPBC Act.</w:t>
      </w:r>
    </w:p>
    <w:p w14:paraId="381DB198" w14:textId="77777777" w:rsidR="008C1AD8" w:rsidRPr="002A66C3" w:rsidRDefault="008C1AD8" w:rsidP="008C1AD8">
      <w:pPr>
        <w:pStyle w:val="Heading2"/>
      </w:pPr>
      <w:bookmarkStart w:id="167" w:name="_Ref115872232"/>
      <w:bookmarkStart w:id="168" w:name="_Toc116048307"/>
      <w:bookmarkStart w:id="169" w:name="_Toc135122701"/>
      <w:r>
        <w:lastRenderedPageBreak/>
        <w:t>Assessment of migratory birds which do not have guidelines</w:t>
      </w:r>
      <w:bookmarkEnd w:id="167"/>
      <w:bookmarkEnd w:id="168"/>
      <w:bookmarkEnd w:id="169"/>
    </w:p>
    <w:p w14:paraId="6632E357" w14:textId="77777777" w:rsidR="008C1AD8" w:rsidRPr="002A5710" w:rsidRDefault="008C1AD8" w:rsidP="008C1AD8">
      <w:pPr>
        <w:pStyle w:val="Heading3"/>
      </w:pPr>
      <w:bookmarkStart w:id="170" w:name="_Ref116389797"/>
      <w:r>
        <w:t>Overview of the Little Tern</w:t>
      </w:r>
      <w:bookmarkEnd w:id="170"/>
    </w:p>
    <w:p w14:paraId="4948799D" w14:textId="77777777" w:rsidR="008C1AD8" w:rsidRDefault="008C1AD8" w:rsidP="008C1AD8">
      <w:pPr>
        <w:pStyle w:val="Heading4"/>
      </w:pPr>
      <w:r>
        <w:t>Species background</w:t>
      </w:r>
    </w:p>
    <w:p w14:paraId="7C6E6348" w14:textId="77777777" w:rsidR="008C1AD8" w:rsidRDefault="008C1AD8" w:rsidP="008C1AD8">
      <w:pPr>
        <w:pStyle w:val="Heading5"/>
      </w:pPr>
      <w:r>
        <w:t>EPBC Act listing and description</w:t>
      </w:r>
    </w:p>
    <w:p w14:paraId="31E3CCE6" w14:textId="77777777" w:rsidR="008C1AD8" w:rsidRDefault="008C1AD8" w:rsidP="008C1AD8">
      <w:r>
        <w:t xml:space="preserve">The Little Tern is listed as migratory under the EPBC Act and is currently on FPAL to be listed as Vulnerable </w:t>
      </w:r>
      <w:sdt>
        <w:sdtPr>
          <w:rPr>
            <w:color w:val="000000"/>
          </w:rPr>
          <w:tag w:val="MENDELEY_CITATION_v3_eyJjaXRhdGlvbklEIjoiTUVOREVMRVlfQ0lUQVRJT05fMWQ0MWRmODctYzM2OS00Zjk0LTlhZWEtMzA1NGMyNzA2ZjEw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487707761"/>
          <w:placeholder>
            <w:docPart w:val="53263D66753F864BA248D609BD120A46"/>
          </w:placeholder>
        </w:sdtPr>
        <w:sdtContent>
          <w:r w:rsidRPr="00273871">
            <w:rPr>
              <w:color w:val="000000"/>
            </w:rPr>
            <w:t>(DAWE, 2022)</w:t>
          </w:r>
        </w:sdtContent>
      </w:sdt>
      <w:r>
        <w:t>.</w:t>
      </w:r>
    </w:p>
    <w:p w14:paraId="0B386442" w14:textId="77777777" w:rsidR="008C1AD8" w:rsidRDefault="008C1AD8" w:rsidP="008C1AD8">
      <w:r>
        <w:t xml:space="preserve">It is the smallest tern in the Australian region </w:t>
      </w:r>
      <w:sdt>
        <w:sdtPr>
          <w:rPr>
            <w:color w:val="000000"/>
          </w:rPr>
          <w:tag w:val="MENDELEY_CITATION_v3_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"/>
          <w:id w:val="1499160298"/>
          <w:placeholder>
            <w:docPart w:val="53263D66753F864BA248D609BD120A46"/>
          </w:placeholder>
        </w:sdtPr>
        <w:sdtContent>
          <w:r w:rsidRPr="00273871">
            <w:rPr>
              <w:color w:val="000000"/>
            </w:rPr>
            <w:t>(Commonwealth of Australia, 2020)</w:t>
          </w:r>
        </w:sdtContent>
      </w:sdt>
      <w:r>
        <w:t xml:space="preserve">. The species has a silver-grey back and a white underside, and a black cap on its head with a triangular white patch on its forehead </w:t>
      </w:r>
      <w:sdt>
        <w:sdtPr>
          <w:rPr>
            <w:color w:val="000000"/>
          </w:rPr>
          <w:tag w:val="MENDELEY_CITATION_v3_eyJjaXRhdGlvbklEIjoiTUVOREVMRVlfQ0lUQVRJT05fNGU5Mjk3ZjYtZjFhYS00N2FkLTg5NDItZTVhMTJhYTZjZjMz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602804628"/>
          <w:placeholder>
            <w:docPart w:val="53263D66753F864BA248D609BD120A46"/>
          </w:placeholder>
        </w:sdtPr>
        <w:sdtContent>
          <w:r w:rsidRPr="00273871">
            <w:rPr>
              <w:color w:val="000000"/>
            </w:rPr>
            <w:t>(DAWE, 2022)</w:t>
          </w:r>
        </w:sdtContent>
      </w:sdt>
      <w:r>
        <w:t>.</w:t>
      </w:r>
    </w:p>
    <w:p w14:paraId="0D6ADD25" w14:textId="77777777" w:rsidR="008C1AD8" w:rsidRDefault="008C1AD8" w:rsidP="008C1AD8">
      <w:pPr>
        <w:pStyle w:val="Heading5"/>
      </w:pPr>
      <w:r>
        <w:t>Ecology</w:t>
      </w:r>
    </w:p>
    <w:p w14:paraId="57B28B83" w14:textId="77777777" w:rsidR="008C1AD8" w:rsidRPr="00097BF3" w:rsidRDefault="008C1AD8" w:rsidP="008C1AD8">
      <w:pPr>
        <w:pStyle w:val="Header"/>
        <w:rPr>
          <w:color w:val="000000"/>
        </w:rPr>
      </w:pPr>
      <w:r>
        <w:t xml:space="preserve">Nesting occurs in small loose colonies or occasionally solitarily. Nests are a shallow scrape or depression, and can be found on beaches, sand-spits, banks, ridges, islets or on sand dunes. Nests may also occur on artificial banks or excavated areas of dredge spoil. Nesting occurs in areas with little vegetation cover, and the species will abandon old nesting sites if vegetation becomes too dense. </w:t>
      </w:r>
    </w:p>
    <w:p w14:paraId="779F0DD5" w14:textId="77777777" w:rsidR="008C1AD8" w:rsidRDefault="008C1AD8" w:rsidP="008C1AD8">
      <w:r>
        <w:t xml:space="preserve">The species lays between 1-3 eggs. Incubation occurs over 17-22 days, with fledging occurring at 17-19 days </w:t>
      </w:r>
      <w:sdt>
        <w:sdtPr>
          <w:rPr>
            <w:color w:val="000000"/>
          </w:rPr>
          <w:tag w:val="MENDELEY_CITATION_v3_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"/>
          <w:id w:val="-1782337223"/>
          <w:placeholder>
            <w:docPart w:val="53263D66753F864BA248D609BD120A46"/>
          </w:placeholder>
        </w:sdtPr>
        <w:sdtContent>
          <w:r w:rsidRPr="00273871">
            <w:rPr>
              <w:color w:val="000000"/>
            </w:rPr>
            <w:t>(Commonwealth of Australia, 2020)</w:t>
          </w:r>
        </w:sdtContent>
      </w:sdt>
      <w:r>
        <w:t>.</w:t>
      </w:r>
    </w:p>
    <w:p w14:paraId="2BE29E24" w14:textId="77777777" w:rsidR="008C1AD8" w:rsidRDefault="008C1AD8" w:rsidP="008C1AD8">
      <w:r>
        <w:t xml:space="preserve">The Little Tern feeds on fish and crustaceans, and forages by plunging into water </w:t>
      </w:r>
      <w:sdt>
        <w:sdtPr>
          <w:rPr>
            <w:color w:val="000000"/>
          </w:rPr>
          <w:tag w:val="MENDELEY_CITATION_v3_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"/>
          <w:id w:val="640159819"/>
          <w:placeholder>
            <w:docPart w:val="53263D66753F864BA248D609BD120A46"/>
          </w:placeholder>
        </w:sdtPr>
        <w:sdtContent>
          <w:r w:rsidRPr="00273871">
            <w:rPr>
              <w:color w:val="000000"/>
            </w:rPr>
            <w:t>(Commonwealth of Australia, 2020)</w:t>
          </w:r>
        </w:sdtContent>
      </w:sdt>
      <w:r>
        <w:t xml:space="preserve">. Foraging occurs in shallow waters of estuaries, coastal lagoons and lakes, as well as along open coasts </w:t>
      </w:r>
      <w:sdt>
        <w:sdtPr>
          <w:rPr>
            <w:color w:val="000000"/>
          </w:rPr>
          <w:tag w:val="MENDELEY_CITATION_v3_eyJjaXRhdGlvbklEIjoiTUVOREVMRVlfQ0lUQVRJT05fMDNkMGM3NmQtZTgyYi00YzM2LWFmNmItYmM1MTZjZjgzNzI4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1317567091"/>
          <w:placeholder>
            <w:docPart w:val="53263D66753F864BA248D609BD120A46"/>
          </w:placeholder>
        </w:sdtPr>
        <w:sdtContent>
          <w:r w:rsidRPr="00273871">
            <w:rPr>
              <w:color w:val="000000"/>
            </w:rPr>
            <w:t>(DAWE, 2022)</w:t>
          </w:r>
        </w:sdtContent>
      </w:sdt>
      <w:r>
        <w:t>.</w:t>
      </w:r>
    </w:p>
    <w:p w14:paraId="2FD98500" w14:textId="77777777" w:rsidR="008C1AD8" w:rsidRDefault="008C1AD8" w:rsidP="008C1AD8">
      <w:r>
        <w:t xml:space="preserve">Roosting mostly occurs on sand-spits, banks and bars in sheltered environments </w:t>
      </w:r>
      <w:sdt>
        <w:sdtPr>
          <w:rPr>
            <w:color w:val="000000"/>
          </w:rPr>
          <w:tag w:val="MENDELEY_CITATION_v3_eyJjaXRhdGlvbklEIjoiTUVOREVMRVlfQ0lUQVRJT05fYzMwNzQ2OTktYWMwOS00MDY5LThjMGItMTRlMWUzMTE2NjBi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827901503"/>
          <w:placeholder>
            <w:docPart w:val="53263D66753F864BA248D609BD120A46"/>
          </w:placeholder>
        </w:sdtPr>
        <w:sdtContent>
          <w:r w:rsidRPr="00273871">
            <w:rPr>
              <w:color w:val="000000"/>
            </w:rPr>
            <w:t>(DAWE, 2022)</w:t>
          </w:r>
        </w:sdtContent>
      </w:sdt>
      <w:r>
        <w:t>.</w:t>
      </w:r>
    </w:p>
    <w:p w14:paraId="46D01423" w14:textId="77777777" w:rsidR="008C1AD8" w:rsidRDefault="008C1AD8" w:rsidP="008C1AD8">
      <w:pPr>
        <w:pStyle w:val="Heading5"/>
      </w:pPr>
      <w:r>
        <w:t>Distribution and habitat</w:t>
      </w:r>
    </w:p>
    <w:p w14:paraId="37A152F7" w14:textId="77777777" w:rsidR="008C1AD8" w:rsidRDefault="008C1AD8" w:rsidP="008C1AD8">
      <w:r>
        <w:t xml:space="preserve">The Little Tern is distributed around most of the Australian coast, excluding the south-western corner of Australia </w:t>
      </w:r>
      <w:sdt>
        <w:sdtPr>
          <w:rPr>
            <w:color w:val="000000"/>
          </w:rPr>
          <w:tag w:val="MENDELEY_CITATION_v3_eyJjaXRhdGlvbklEIjoiTUVOREVMRVlfQ0lUQVRJT05fMzA4ZTNkYjMtNTU3MC00MTMxLTk2MmQtNzQ1ZmM5NzFmZTZl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1569004546"/>
          <w:placeholder>
            <w:docPart w:val="53263D66753F864BA248D609BD120A46"/>
          </w:placeholder>
        </w:sdtPr>
        <w:sdtContent>
          <w:r w:rsidRPr="00273871">
            <w:rPr>
              <w:color w:val="000000"/>
            </w:rPr>
            <w:t>(DAWE, 2022)</w:t>
          </w:r>
        </w:sdtContent>
      </w:sdt>
      <w:r>
        <w:t>.</w:t>
      </w:r>
    </w:p>
    <w:p w14:paraId="42F895D0" w14:textId="77777777" w:rsidR="008C1AD8" w:rsidRDefault="008C1AD8" w:rsidP="008C1AD8">
      <w:r>
        <w:t xml:space="preserve">In Australia, the species inhabits sheltered coastal environments. Environments which are surrounded by narrow shallow lakes and channels are preferred to more exposed environments, such as spits in large lakes or ocean beaches </w:t>
      </w:r>
      <w:sdt>
        <w:sdtPr>
          <w:rPr>
            <w:color w:val="000000"/>
          </w:rPr>
          <w:tag w:val="MENDELEY_CITATION_v3_eyJjaXRhdGlvbklEIjoiTUVOREVMRVlfQ0lUQVRJT05fZTYwNmUxZGQtMzNiMS00ZmRkLWE1ZGQtNzQxMmExODg4NDVi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368384371"/>
          <w:placeholder>
            <w:docPart w:val="53263D66753F864BA248D609BD120A46"/>
          </w:placeholder>
        </w:sdtPr>
        <w:sdtContent>
          <w:r w:rsidRPr="00273871">
            <w:rPr>
              <w:color w:val="000000"/>
            </w:rPr>
            <w:t>(DAWE, 2022)</w:t>
          </w:r>
        </w:sdtContent>
      </w:sdt>
      <w:r>
        <w:t>.</w:t>
      </w:r>
    </w:p>
    <w:p w14:paraId="55981C5C" w14:textId="77777777" w:rsidR="008C1AD8" w:rsidRDefault="008C1AD8" w:rsidP="008C1AD8">
      <w:pPr>
        <w:pStyle w:val="Heading5"/>
      </w:pPr>
      <w:r>
        <w:t>Populations</w:t>
      </w:r>
    </w:p>
    <w:p w14:paraId="4784E06B" w14:textId="77777777" w:rsidR="008C1AD8" w:rsidRPr="002A5710" w:rsidRDefault="008C1AD8" w:rsidP="008C1AD8">
      <w:r w:rsidRPr="002A5710">
        <w:t>While the Little Tern is a species which has a large global distribution and population size, the Australian population is geographically distinct. Its occurrence in Australia can be divided into three groups:</w:t>
      </w:r>
    </w:p>
    <w:p w14:paraId="4FA25165" w14:textId="77777777" w:rsidR="008C1AD8" w:rsidRPr="002A5710" w:rsidRDefault="008C1AD8" w:rsidP="008C1AD8">
      <w:pPr>
        <w:pStyle w:val="Bullet1"/>
        <w:rPr>
          <w:szCs w:val="18"/>
        </w:rPr>
      </w:pPr>
      <w:r w:rsidRPr="002A5710">
        <w:rPr>
          <w:szCs w:val="18"/>
        </w:rPr>
        <w:t xml:space="preserve">A sub-population that occurs in south-eastern Australia and New Zealand. It breeds in multiple areas in Australia, including Tasmania, South Australia, Victoria, NSW, and in Queensland </w:t>
      </w:r>
      <w:sdt>
        <w:sdtPr>
          <w:rPr>
            <w:color w:val="000000"/>
            <w:szCs w:val="18"/>
          </w:rPr>
          <w:tag w:val="MENDELEY_CITATION_v3_eyJjaXRhdGlvbklEIjoiTUVOREVMRVlfQ0lUQVRJT05fY2NjYjk1ZmMtM2UwYS00YzI2LWE1YTYtMzQ0MWQ5YzFmODc5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1954707380"/>
          <w:placeholder>
            <w:docPart w:val="53263D66753F864BA248D609BD120A46"/>
          </w:placeholder>
        </w:sdtPr>
        <w:sdtEndPr>
          <w:rPr>
            <w:szCs w:val="20"/>
          </w:rPr>
        </w:sdtEndPr>
        <w:sdtContent>
          <w:r w:rsidRPr="00273871">
            <w:rPr>
              <w:color w:val="000000"/>
            </w:rPr>
            <w:t>(DAWE, 2022)</w:t>
          </w:r>
        </w:sdtContent>
      </w:sdt>
      <w:r w:rsidRPr="002A5710">
        <w:rPr>
          <w:szCs w:val="18"/>
        </w:rPr>
        <w:t xml:space="preserve">. This sub-population may be at risk from the Plan </w:t>
      </w:r>
    </w:p>
    <w:p w14:paraId="21197872" w14:textId="77777777" w:rsidR="008C1AD8" w:rsidRPr="002A5710" w:rsidRDefault="008C1AD8" w:rsidP="008C1AD8">
      <w:pPr>
        <w:pStyle w:val="Bullet1"/>
        <w:rPr>
          <w:szCs w:val="18"/>
        </w:rPr>
      </w:pPr>
      <w:r w:rsidRPr="002A5710">
        <w:rPr>
          <w:szCs w:val="18"/>
        </w:rPr>
        <w:t xml:space="preserve">A sub-population that breeds in northern Australia between Cape York and Broome </w:t>
      </w:r>
      <w:sdt>
        <w:sdtPr>
          <w:rPr>
            <w:color w:val="000000"/>
            <w:szCs w:val="18"/>
          </w:rPr>
          <w:tag w:val="MENDELEY_CITATION_v3_eyJjaXRhdGlvbklEIjoiTUVOREVMRVlfQ0lUQVRJT05fMGE0ZDMzNTAtMzJlYS00ZGI3LTljODQtM2FhZmU5NWY4NWE2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1913452232"/>
          <w:placeholder>
            <w:docPart w:val="53263D66753F864BA248D609BD120A46"/>
          </w:placeholder>
        </w:sdtPr>
        <w:sdtEndPr>
          <w:rPr>
            <w:szCs w:val="20"/>
          </w:rPr>
        </w:sdtEndPr>
        <w:sdtContent>
          <w:r w:rsidRPr="00273871">
            <w:rPr>
              <w:color w:val="000000"/>
            </w:rPr>
            <w:t>(DAWE, 2022)</w:t>
          </w:r>
        </w:sdtContent>
      </w:sdt>
      <w:r w:rsidRPr="002A5710">
        <w:rPr>
          <w:szCs w:val="18"/>
        </w:rPr>
        <w:t>. This sub-population is not at risk from the Plan</w:t>
      </w:r>
    </w:p>
    <w:p w14:paraId="692E5E57" w14:textId="77777777" w:rsidR="008C1AD8" w:rsidRPr="002A5710" w:rsidRDefault="008C1AD8" w:rsidP="008C1AD8">
      <w:pPr>
        <w:pStyle w:val="Bullet1"/>
        <w:rPr>
          <w:szCs w:val="18"/>
        </w:rPr>
      </w:pPr>
      <w:r w:rsidRPr="002A5710">
        <w:rPr>
          <w:szCs w:val="18"/>
        </w:rPr>
        <w:t xml:space="preserve">A sub-population that breeds in north-east Asia and migrates to northern and eastern Australia during the non-breeding season. It is recognised that most threats to the species </w:t>
      </w:r>
      <w:r>
        <w:rPr>
          <w:szCs w:val="18"/>
        </w:rPr>
        <w:t xml:space="preserve">in Australia </w:t>
      </w:r>
      <w:r w:rsidRPr="002A5710">
        <w:rPr>
          <w:szCs w:val="18"/>
        </w:rPr>
        <w:t xml:space="preserve">are associated with breeding, and therefore that the sub-population of non-breeding visitors is unlikely to be at risk </w:t>
      </w:r>
      <w:sdt>
        <w:sdtPr>
          <w:rPr>
            <w:color w:val="000000"/>
            <w:szCs w:val="18"/>
          </w:rPr>
          <w:tag w:val="MENDELEY_CITATION_v3_eyJjaXRhdGlvbklEIjoiTUVOREVMRVlfQ0lUQVRJT05fZTMxZWE2ZmYtMTljYS00ZDYyLWI0NjctZmQxYjlkNTk1N2Mx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16011441"/>
          <w:placeholder>
            <w:docPart w:val="53263D66753F864BA248D609BD120A46"/>
          </w:placeholder>
        </w:sdtPr>
        <w:sdtEndPr>
          <w:rPr>
            <w:szCs w:val="20"/>
          </w:rPr>
        </w:sdtEndPr>
        <w:sdtContent>
          <w:r w:rsidRPr="00273871">
            <w:rPr>
              <w:color w:val="000000"/>
            </w:rPr>
            <w:t>(DAWE, 2022)</w:t>
          </w:r>
        </w:sdtContent>
      </w:sdt>
      <w:r w:rsidRPr="002A5710">
        <w:rPr>
          <w:szCs w:val="18"/>
        </w:rPr>
        <w:t>. This sub-population is not at risk from the Plan</w:t>
      </w:r>
    </w:p>
    <w:p w14:paraId="32E620E6" w14:textId="77777777" w:rsidR="008C1AD8" w:rsidRDefault="008C1AD8" w:rsidP="008C1AD8">
      <w:r w:rsidRPr="002A5710">
        <w:t xml:space="preserve">For the purpose of this assessment, only the south-eastern sub-population of the species is considered. The estimated population size of the south-eastern sub-population is 1,200 mature individuals </w:t>
      </w:r>
      <w:sdt>
        <w:sdtPr>
          <w:rPr>
            <w:color w:val="000000"/>
          </w:rPr>
          <w:tag w:val="MENDELEY_CITATION_v3_eyJjaXRhdGlvbklEIjoiTUVOREVMRVlfQ0lUQVRJT05fYzI0MTYxZWEtYmJlMS00ZTk5LWE3NDEtNmNlZTlkZjgxMDk3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584763926"/>
          <w:placeholder>
            <w:docPart w:val="53263D66753F864BA248D609BD120A46"/>
          </w:placeholder>
        </w:sdtPr>
        <w:sdtContent>
          <w:r w:rsidRPr="00273871">
            <w:rPr>
              <w:color w:val="000000"/>
            </w:rPr>
            <w:t>(DAWE, 2022)</w:t>
          </w:r>
        </w:sdtContent>
      </w:sdt>
      <w:r w:rsidRPr="002A5710">
        <w:t xml:space="preserve">. </w:t>
      </w:r>
    </w:p>
    <w:p w14:paraId="4188E39B" w14:textId="77777777" w:rsidR="008C1AD8" w:rsidRPr="00916FFC" w:rsidRDefault="008C1AD8" w:rsidP="008C1AD8">
      <w:pPr>
        <w:pStyle w:val="Heading5"/>
      </w:pPr>
      <w:r>
        <w:lastRenderedPageBreak/>
        <w:t>Threats</w:t>
      </w:r>
    </w:p>
    <w:p w14:paraId="3B909929" w14:textId="77777777" w:rsidR="008C1AD8" w:rsidRDefault="008C1AD8" w:rsidP="008C1AD8">
      <w:pPr>
        <w:keepNext/>
        <w:keepLines/>
      </w:pPr>
      <w:r>
        <w:t xml:space="preserve">The following threats have been identified for the Little Tern </w:t>
      </w:r>
      <w:sdt>
        <w:sdtPr>
          <w:rPr>
            <w:color w:val="000000"/>
          </w:rPr>
          <w:tag w:val="MENDELEY_CITATION_v3_eyJjaXRhdGlvbklEIjoiTUVOREVMRVlfQ0lUQVRJT05fZDczZGY2NTQtY2Q3Mi00YTMzLWFhNDctMGY3MmVjZmJjMjk2IiwicHJvcGVydGllcyI6eyJub3RlSW5kZXgiOjB9LCJpc0VkaXRlZCI6ZmFsc2UsIm1hbnVhbE92ZXJyaWRlIjp7ImNpdGVwcm9jVGV4dCI6IihDb21tb253ZWFsdGggb2YgQXVzdHJhbGlhLCAyMDIwOyBCaXJkbGlmZSBJbnRlcm5hdGlvbmFsLCAyMDIyOyBEQVdFLCAyMDIyKSIsImlzTWFudWFsbHlPdmVycmlkZGVuIjp0cnVlLCJtYW51YWxPdmVycmlkZVRleHQiOiIoQmlyZGxpZmUgSW50ZXJuYXRpb25hbCwgMjAyMjsgQ29tbW9ud2VhbHRoIG9mIEF1c3RyYWxpYSwgMjAyMDsgREFXRSwgMjAyMmIp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"/>
          <w:id w:val="1708682321"/>
          <w:placeholder>
            <w:docPart w:val="53263D66753F864BA248D609BD120A46"/>
          </w:placeholder>
        </w:sdtPr>
        <w:sdtContent>
          <w:r w:rsidRPr="00273871">
            <w:rPr>
              <w:color w:val="000000"/>
            </w:rPr>
            <w:t>(Birdlife International, 2022; Commonwealth of Australia, 2020; DAWE, 2022b)</w:t>
          </w:r>
        </w:sdtContent>
      </w:sdt>
      <w:r>
        <w:t>:</w:t>
      </w:r>
    </w:p>
    <w:p w14:paraId="35508A4B" w14:textId="77777777" w:rsidR="008C1AD8" w:rsidRDefault="008C1AD8" w:rsidP="008C1AD8">
      <w:pPr>
        <w:pStyle w:val="Bullet1"/>
        <w:keepNext/>
        <w:ind w:left="357" w:hanging="357"/>
      </w:pPr>
      <w:r>
        <w:t>Habitat loss due to development</w:t>
      </w:r>
    </w:p>
    <w:p w14:paraId="6DD63543" w14:textId="77777777" w:rsidR="008C1AD8" w:rsidRDefault="008C1AD8" w:rsidP="008C1AD8">
      <w:pPr>
        <w:pStyle w:val="Bullet1"/>
      </w:pPr>
      <w:r>
        <w:t xml:space="preserve">Human disturbance </w:t>
      </w:r>
    </w:p>
    <w:p w14:paraId="4DC63942" w14:textId="77777777" w:rsidR="008C1AD8" w:rsidRDefault="008C1AD8" w:rsidP="008C1AD8">
      <w:pPr>
        <w:pStyle w:val="Bullet1"/>
      </w:pPr>
      <w:r>
        <w:t xml:space="preserve">Altered hydrological regimes </w:t>
      </w:r>
    </w:p>
    <w:p w14:paraId="488F84CC" w14:textId="77777777" w:rsidR="008C1AD8" w:rsidRDefault="008C1AD8" w:rsidP="008C1AD8">
      <w:pPr>
        <w:pStyle w:val="Bullet1"/>
      </w:pPr>
      <w:r>
        <w:t>Invasive weeds</w:t>
      </w:r>
    </w:p>
    <w:p w14:paraId="44E66E8F" w14:textId="77777777" w:rsidR="008C1AD8" w:rsidRDefault="008C1AD8" w:rsidP="008C1AD8">
      <w:pPr>
        <w:pStyle w:val="Bullet1"/>
      </w:pPr>
      <w:r>
        <w:t>Predation by native and invasive species</w:t>
      </w:r>
    </w:p>
    <w:p w14:paraId="572C45BB" w14:textId="77777777" w:rsidR="008C1AD8" w:rsidRDefault="008C1AD8" w:rsidP="008C1AD8">
      <w:pPr>
        <w:pStyle w:val="Bullet1"/>
      </w:pPr>
      <w:r>
        <w:t>Climate change</w:t>
      </w:r>
    </w:p>
    <w:p w14:paraId="587BF258" w14:textId="77777777" w:rsidR="008C1AD8" w:rsidRDefault="008C1AD8" w:rsidP="008C1AD8">
      <w:pPr>
        <w:pStyle w:val="Bullet1"/>
      </w:pPr>
      <w:r>
        <w:t>Hybridisation with the Australian Fairy Tern</w:t>
      </w:r>
    </w:p>
    <w:p w14:paraId="260D0AE3" w14:textId="77777777" w:rsidR="008C1AD8" w:rsidRDefault="008C1AD8" w:rsidP="008C1AD8">
      <w:pPr>
        <w:pStyle w:val="Bullet1"/>
      </w:pPr>
      <w:r>
        <w:t>Pollution</w:t>
      </w:r>
    </w:p>
    <w:p w14:paraId="5D67760A" w14:textId="77777777" w:rsidR="008C1AD8" w:rsidRDefault="008C1AD8" w:rsidP="008C1AD8">
      <w:pPr>
        <w:pStyle w:val="Bullet1"/>
      </w:pPr>
      <w:r>
        <w:t>Overfishing</w:t>
      </w:r>
    </w:p>
    <w:p w14:paraId="652833B9" w14:textId="77777777" w:rsidR="008C1AD8" w:rsidRDefault="008C1AD8" w:rsidP="008C1AD8">
      <w:pPr>
        <w:pStyle w:val="Heading4"/>
      </w:pPr>
      <w:r>
        <w:t>Guidance material and definitions of an ecologically significant proportion of individuals and important habitat</w:t>
      </w:r>
    </w:p>
    <w:p w14:paraId="52553518" w14:textId="77777777" w:rsidR="008C1AD8" w:rsidRDefault="008C1AD8" w:rsidP="008C1AD8">
      <w:pPr>
        <w:pStyle w:val="Heading5"/>
      </w:pPr>
      <w:r>
        <w:t>Definition of an ecologically significant proportion of individuals</w:t>
      </w:r>
    </w:p>
    <w:p w14:paraId="29E2C159" w14:textId="77777777" w:rsidR="008C1AD8" w:rsidRDefault="008C1AD8" w:rsidP="008C1AD8">
      <w:r>
        <w:t>There</w:t>
      </w:r>
      <w:r w:rsidRPr="00376B2A">
        <w:t xml:space="preserve"> is a lack of guidance </w:t>
      </w:r>
      <w:r>
        <w:t xml:space="preserve">for the Little Tern </w:t>
      </w:r>
      <w:r w:rsidRPr="00376B2A">
        <w:t>regarding the definition of an ecologically significant proportion o</w:t>
      </w:r>
      <w:r>
        <w:t xml:space="preserve">f individuals. However, it is noted that both the EPBC Act Policy Statement 3.21 and the Migratory Bird Referral Guidelines consider 0.1 per cent of the total population of a species to be a threshold of national importance </w:t>
      </w:r>
      <w:sdt>
        <w:sdtPr>
          <w:rPr>
            <w:color w:val="000000"/>
          </w:rPr>
          <w:tag w:val="MENDELEY_CITATION_v3_eyJjaXRhdGlvbklEIjoiTUVOREVMRVlfQ0lUQVRJT05fYmE4ODg0OWMtM2FhYS00MzJlLWJjZjEtOGNjOGUzODY4ZmYyIiwicHJvcGVydGllcyI6eyJub3RlSW5kZXgiOjB9LCJpc0VkaXRlZCI6ZmFsc2UsIm1hbnVhbE92ZXJyaWRlIjp7ImNpdGVwcm9jVGV4dCI6IihEb0UsIDIwMTVh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"/>
          <w:id w:val="-66421367"/>
          <w:placeholder>
            <w:docPart w:val="53263D66753F864BA248D609BD120A46"/>
          </w:placeholder>
        </w:sdtPr>
        <w:sdtContent>
          <w:r w:rsidRPr="00273871">
            <w:rPr>
              <w:color w:val="000000"/>
            </w:rPr>
            <w:t>(DoE, 2015a, 2017)</w:t>
          </w:r>
        </w:sdtContent>
      </w:sdt>
      <w:r>
        <w:t>. Subsequently, an ecologically significant proportion of individuals of the Little Tern is considered to be 0.1 per cent of the population.</w:t>
      </w:r>
    </w:p>
    <w:p w14:paraId="7B202ED2" w14:textId="77777777" w:rsidR="008C1AD8" w:rsidRPr="00916FFC" w:rsidRDefault="008C1AD8" w:rsidP="008C1AD8">
      <w:pPr>
        <w:pStyle w:val="Tabletext"/>
        <w:rPr>
          <w:szCs w:val="18"/>
        </w:rPr>
      </w:pPr>
      <w:r w:rsidRPr="002A5710">
        <w:rPr>
          <w:szCs w:val="18"/>
        </w:rPr>
        <w:t>The estimated population size of the south-eastern sub-population</w:t>
      </w:r>
      <w:r>
        <w:rPr>
          <w:szCs w:val="18"/>
        </w:rPr>
        <w:t xml:space="preserve"> of the Little Tern</w:t>
      </w:r>
      <w:r w:rsidRPr="002A5710">
        <w:rPr>
          <w:szCs w:val="18"/>
        </w:rPr>
        <w:t xml:space="preserve"> is 1,200 mature individuals </w:t>
      </w:r>
      <w:sdt>
        <w:sdtPr>
          <w:rPr>
            <w:color w:val="000000"/>
            <w:szCs w:val="18"/>
          </w:rPr>
          <w:tag w:val="MENDELEY_CITATION_v3_eyJjaXRhdGlvbklEIjoiTUVOREVMRVlfQ0lUQVRJT05fZmRmMGQ1ZTAtNmYyZS00ZGI2LWFlMDItZmI5NjgwM2I2NjNj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126292137"/>
          <w:placeholder>
            <w:docPart w:val="53263D66753F864BA248D609BD120A46"/>
          </w:placeholder>
        </w:sdtPr>
        <w:sdtEndPr>
          <w:rPr>
            <w:szCs w:val="20"/>
          </w:rPr>
        </w:sdtEndPr>
        <w:sdtContent>
          <w:r w:rsidRPr="00273871">
            <w:rPr>
              <w:color w:val="000000"/>
            </w:rPr>
            <w:t>(DAWE, 2022)</w:t>
          </w:r>
        </w:sdtContent>
      </w:sdt>
      <w:r w:rsidRPr="002A5710">
        <w:rPr>
          <w:szCs w:val="18"/>
        </w:rPr>
        <w:t>. The threshold of an ecologically significant proportion of this species is therefore 12 individuals.</w:t>
      </w:r>
      <w:r>
        <w:rPr>
          <w:szCs w:val="18"/>
        </w:rPr>
        <w:t xml:space="preserve"> </w:t>
      </w:r>
    </w:p>
    <w:p w14:paraId="1CB13709" w14:textId="77777777" w:rsidR="008C1AD8" w:rsidRDefault="008C1AD8" w:rsidP="008C1AD8">
      <w:pPr>
        <w:pStyle w:val="Heading5"/>
      </w:pPr>
      <w:r>
        <w:t>Definition of important habitat</w:t>
      </w:r>
    </w:p>
    <w:p w14:paraId="55991AC7" w14:textId="77777777" w:rsidR="008C1AD8" w:rsidRDefault="008C1AD8" w:rsidP="008C1AD8">
      <w:r>
        <w:t>As the Little Tern is not included in specific guidance materials for migratory species, there is a lack of general guidance relating to the definition of important habitat for this species.</w:t>
      </w:r>
    </w:p>
    <w:p w14:paraId="6DA51B35" w14:textId="77777777" w:rsidR="008C1AD8" w:rsidRDefault="008C1AD8" w:rsidP="008C1AD8">
      <w:r>
        <w:t xml:space="preserve">However, the Little Tern has a range of other information sources available which provide descriptions of the species’ ecology and habitat use. These sources include the draft Conservation Advice </w:t>
      </w:r>
      <w:sdt>
        <w:sdtPr>
          <w:rPr>
            <w:color w:val="000000"/>
          </w:rPr>
          <w:tag w:val="MENDELEY_CITATION_v3_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"/>
          <w:id w:val="1262801947"/>
          <w:placeholder>
            <w:docPart w:val="53263D66753F864BA248D609BD120A46"/>
          </w:placeholder>
        </w:sdtPr>
        <w:sdtContent>
          <w:r w:rsidRPr="00273871">
            <w:rPr>
              <w:color w:val="000000"/>
            </w:rPr>
            <w:t>(DAWE, 2022)</w:t>
          </w:r>
        </w:sdtContent>
      </w:sdt>
      <w:r w:rsidRPr="00CE1A11">
        <w:rPr>
          <w:szCs w:val="18"/>
        </w:rPr>
        <w:t xml:space="preserve">, </w:t>
      </w:r>
      <w:r w:rsidRPr="00CE1A11">
        <w:t xml:space="preserve">the Wildlife Conservation Plan for Seabirds </w:t>
      </w:r>
      <w:sdt>
        <w:sdtPr>
          <w:rPr>
            <w:color w:val="000000"/>
          </w:rPr>
          <w:tag w:val="MENDELEY_CITATION_v3_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"/>
          <w:id w:val="1474870933"/>
          <w:placeholder>
            <w:docPart w:val="53263D66753F864BA248D609BD120A46"/>
          </w:placeholder>
        </w:sdtPr>
        <w:sdtContent>
          <w:r w:rsidRPr="00273871">
            <w:rPr>
              <w:color w:val="000000"/>
            </w:rPr>
            <w:t>(Commonwealth of Australia, 2020)</w:t>
          </w:r>
        </w:sdtContent>
      </w:sdt>
      <w:r w:rsidRPr="00CE1A11">
        <w:t>,</w:t>
      </w:r>
      <w:r w:rsidRPr="00CE1A11">
        <w:rPr>
          <w:szCs w:val="18"/>
        </w:rPr>
        <w:t xml:space="preserve"> </w:t>
      </w:r>
      <w:r w:rsidRPr="00CE1A11">
        <w:t>and Birdlife International’s</w:t>
      </w:r>
      <w:r w:rsidRPr="006A21B6">
        <w:t xml:space="preserve"> Datazone database </w:t>
      </w:r>
      <w:sdt>
        <w:sdtPr>
          <w:rPr>
            <w:color w:val="000000"/>
          </w:rPr>
          <w:tag w:val="MENDELEY_CITATION_v3_eyJjaXRhdGlvbklEIjoiTUVOREVMRVlfQ0lUQVRJT05fZTA5ODYyYmMtZmRkZC00ZTliLWFiNTktMmQxNzRkYzU5NGZj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611203424"/>
          <w:placeholder>
            <w:docPart w:val="53263D66753F864BA248D609BD120A46"/>
          </w:placeholder>
        </w:sdtPr>
        <w:sdtContent>
          <w:r w:rsidRPr="00273871">
            <w:rPr>
              <w:color w:val="000000"/>
            </w:rPr>
            <w:t>(Birdlife International, 2022)</w:t>
          </w:r>
        </w:sdtContent>
      </w:sdt>
      <w:r w:rsidRPr="006A21B6">
        <w:t>.</w:t>
      </w:r>
    </w:p>
    <w:p w14:paraId="7211B510" w14:textId="77777777" w:rsidR="008C1AD8" w:rsidRDefault="008C1AD8" w:rsidP="008C1AD8">
      <w:r>
        <w:t>While it is not possible to precisely define important habitat for the Little Tern, it is considered likely that important habitat would contain the following features:</w:t>
      </w:r>
    </w:p>
    <w:p w14:paraId="2C5C2DE9" w14:textId="77777777" w:rsidR="008C1AD8" w:rsidRDefault="008C1AD8" w:rsidP="008C1AD8">
      <w:pPr>
        <w:pStyle w:val="Bullet1"/>
      </w:pPr>
      <w:r>
        <w:t>Sheltered coastal or estuarine environments with suitably open areas for roosting and nesting; and</w:t>
      </w:r>
    </w:p>
    <w:p w14:paraId="675A0A4D" w14:textId="77777777" w:rsidR="008C1AD8" w:rsidRDefault="008C1AD8" w:rsidP="008C1AD8">
      <w:pPr>
        <w:pStyle w:val="Bullet1"/>
      </w:pPr>
      <w:r>
        <w:t>Areas of shallow waters suitable for foraging; and</w:t>
      </w:r>
    </w:p>
    <w:p w14:paraId="044A10D5" w14:textId="77777777" w:rsidR="008C1AD8" w:rsidRDefault="008C1AD8" w:rsidP="008C1AD8">
      <w:pPr>
        <w:pStyle w:val="Bullet1"/>
      </w:pPr>
      <w:r>
        <w:t>A large number of known records of the species, or known nesting records of the species</w:t>
      </w:r>
    </w:p>
    <w:p w14:paraId="28745B3A" w14:textId="77777777" w:rsidR="008C1AD8" w:rsidRPr="00916FFC" w:rsidRDefault="008C1AD8" w:rsidP="008C1AD8">
      <w:r>
        <w:t>Note that important habitat is described qualitatively for this species and has not been mapped within the Study Area.</w:t>
      </w:r>
    </w:p>
    <w:p w14:paraId="12DC7B1E" w14:textId="77777777" w:rsidR="008C1AD8" w:rsidRDefault="008C1AD8" w:rsidP="008C1AD8">
      <w:pPr>
        <w:pStyle w:val="Heading4"/>
      </w:pPr>
      <w:r>
        <w:t>Occurrence in the Study Area</w:t>
      </w:r>
    </w:p>
    <w:p w14:paraId="2F6BE678" w14:textId="77777777" w:rsidR="008C1AD8" w:rsidRDefault="008C1AD8" w:rsidP="008C1AD8">
      <w:r>
        <w:t xml:space="preserve">Refer to </w:t>
      </w:r>
      <w:hyperlink r:id="rId96" w:history="1">
        <w:r w:rsidRPr="00466211">
          <w:rPr>
            <w:rStyle w:val="Hyperlink"/>
          </w:rPr>
          <w:t>Map 23-9</w:t>
        </w:r>
      </w:hyperlink>
      <w:r w:rsidRPr="00196684">
        <w:t xml:space="preserve"> for</w:t>
      </w:r>
      <w:r>
        <w:t xml:space="preserve"> a map of species’ records within the Study Area. Note that important habitat within the Study Area is described qualitatively for this species and has not been mapped.</w:t>
      </w:r>
    </w:p>
    <w:p w14:paraId="597568C0" w14:textId="77777777" w:rsidR="008C1AD8" w:rsidRDefault="008C1AD8" w:rsidP="008C1AD8">
      <w:pPr>
        <w:pStyle w:val="Heading5"/>
      </w:pPr>
      <w:r>
        <w:t>Records</w:t>
      </w:r>
    </w:p>
    <w:p w14:paraId="084081D1" w14:textId="77777777" w:rsidR="008C1AD8" w:rsidRPr="002A5710" w:rsidRDefault="008C1AD8" w:rsidP="008C1AD8">
      <w:r w:rsidRPr="009E63A2">
        <w:t>There are 735 records (3,779 individuals</w:t>
      </w:r>
      <w:r w:rsidRPr="00196684">
        <w:t>) of the Little Tern within the Study Area. Of these</w:t>
      </w:r>
      <w:r w:rsidRPr="009E63A2">
        <w:t>, 3,188</w:t>
      </w:r>
      <w:r w:rsidRPr="00196684">
        <w:t xml:space="preserve"> individuals have</w:t>
      </w:r>
      <w:r w:rsidRPr="002A5710">
        <w:t xml:space="preserve"> been recorded from 1990 onwards. </w:t>
      </w:r>
      <w:r>
        <w:t>This is above the threshold for an ecologically significant proportion of individuals (12 individuals).</w:t>
      </w:r>
    </w:p>
    <w:p w14:paraId="2DC0F044" w14:textId="77777777" w:rsidR="008C1AD8" w:rsidRPr="002A5710" w:rsidRDefault="008C1AD8" w:rsidP="008C1AD8">
      <w:r w:rsidRPr="002A5710">
        <w:lastRenderedPageBreak/>
        <w:t xml:space="preserve">Of the records from 1990 </w:t>
      </w:r>
      <w:r w:rsidRPr="00196684">
        <w:t xml:space="preserve">onwards, most </w:t>
      </w:r>
      <w:r w:rsidRPr="009E63A2">
        <w:t>(over 2,500</w:t>
      </w:r>
      <w:r>
        <w:t xml:space="preserve"> individuals</w:t>
      </w:r>
      <w:r w:rsidRPr="00196684">
        <w:t xml:space="preserve">) occur along the northern coastline of Port Phillip Bay, extending from Avalon Beach in the west to the boundary of the Study Area in the east. Over </w:t>
      </w:r>
      <w:r w:rsidRPr="009E63A2">
        <w:t>300 individuals</w:t>
      </w:r>
      <w:r w:rsidRPr="00196684">
        <w:t xml:space="preserve"> have also been recorded in the Moolap locality. A smaller number of </w:t>
      </w:r>
      <w:r w:rsidRPr="009E63A2">
        <w:t>individuals (67)</w:t>
      </w:r>
      <w:r w:rsidRPr="00196684">
        <w:t xml:space="preserve"> have been</w:t>
      </w:r>
      <w:r w:rsidRPr="002A5710">
        <w:t xml:space="preserve"> recorded since 1990 within the Lake Connewarre </w:t>
      </w:r>
      <w:r>
        <w:t>C</w:t>
      </w:r>
      <w:r w:rsidRPr="002A5710">
        <w:t>omplex</w:t>
      </w:r>
      <w:r>
        <w:t>.</w:t>
      </w:r>
    </w:p>
    <w:p w14:paraId="5DCE232A" w14:textId="77777777" w:rsidR="008C1AD8" w:rsidRDefault="008C1AD8" w:rsidP="008C1AD8">
      <w:pPr>
        <w:pStyle w:val="Heading5"/>
      </w:pPr>
      <w:r>
        <w:t>Important habitat</w:t>
      </w:r>
    </w:p>
    <w:p w14:paraId="4827E084" w14:textId="77777777" w:rsidR="008C1AD8" w:rsidRDefault="008C1AD8" w:rsidP="008C1AD8">
      <w:r>
        <w:t>Based on the locations of records and the landscape characteristics within the Study Area, it is likely that important habitat for the Little Tern occurs along t</w:t>
      </w:r>
      <w:r w:rsidRPr="002A5710">
        <w:t>he northern coastline of Port Phillip Bay</w:t>
      </w:r>
      <w:r>
        <w:t xml:space="preserve"> (</w:t>
      </w:r>
      <w:r w:rsidRPr="002A5710">
        <w:t>extending from Avalon Beach in the west to the boundary of the Study Area in the east</w:t>
      </w:r>
      <w:r>
        <w:t xml:space="preserve">), in the </w:t>
      </w:r>
      <w:r w:rsidRPr="002A5710">
        <w:t>Moolap locality</w:t>
      </w:r>
      <w:r>
        <w:t xml:space="preserve">, and at the </w:t>
      </w:r>
      <w:r w:rsidRPr="002A5710">
        <w:t xml:space="preserve">Lake Connewarre </w:t>
      </w:r>
      <w:r>
        <w:t>C</w:t>
      </w:r>
      <w:r w:rsidRPr="002A5710">
        <w:t>omplex</w:t>
      </w:r>
      <w:r>
        <w:t>.</w:t>
      </w:r>
    </w:p>
    <w:p w14:paraId="3CDD1520" w14:textId="77777777" w:rsidR="008C1AD8" w:rsidRDefault="008C1AD8" w:rsidP="008C1AD8">
      <w:r>
        <w:t xml:space="preserve">It is noted that each of these locations are mapped to provide important habitat for multiple other migratory shorebird species by Birdlife Australia (as the Werribee/Avalon IBA, the Moolap IBA and the Lake Connewarre and Barwon River Estuary IBA) </w:t>
      </w:r>
      <w:sdt>
        <w:sdtPr>
          <w:rPr>
            <w:color w:val="000000"/>
          </w:rPr>
          <w:tag w:val="MENDELEY_CITATION_v3_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"/>
          <w:id w:val="-45379004"/>
          <w:placeholder>
            <w:docPart w:val="53263D66753F864BA248D609BD120A46"/>
          </w:placeholder>
        </w:sdtPr>
        <w:sdtContent>
          <w:r w:rsidRPr="00273871">
            <w:rPr>
              <w:rFonts w:eastAsia="Times New Roman"/>
              <w:color w:val="000000"/>
            </w:rPr>
            <w:t>(Weller, Kidd et al., 2020)</w:t>
          </w:r>
        </w:sdtContent>
      </w:sdt>
      <w:r>
        <w:t xml:space="preserve">. </w:t>
      </w:r>
    </w:p>
    <w:p w14:paraId="0880390E" w14:textId="77777777" w:rsidR="008C1AD8" w:rsidRDefault="008C1AD8" w:rsidP="008C1AD8">
      <w:pPr>
        <w:pStyle w:val="Heading3"/>
      </w:pPr>
      <w:r>
        <w:t>Approach to assessment</w:t>
      </w:r>
    </w:p>
    <w:p w14:paraId="3A198C0D" w14:textId="77777777" w:rsidR="008C1AD8" w:rsidRDefault="008C1AD8" w:rsidP="008C1AD8">
      <w:r w:rsidRPr="00FB5E18">
        <w:t xml:space="preserve">The Little Tern is a migratory species which has no specific guidance available with regards to an appropriate assessment method. </w:t>
      </w:r>
      <w:r>
        <w:t>Assessment has therefore been conducted through the following method:</w:t>
      </w:r>
    </w:p>
    <w:p w14:paraId="011EB0E2" w14:textId="77777777" w:rsidR="008C1AD8" w:rsidRDefault="008C1AD8" w:rsidP="008C1AD8">
      <w:pPr>
        <w:pStyle w:val="Bullet1"/>
      </w:pPr>
      <w:r>
        <w:t>Species-specific information has been considered, including information relating to the species’ occurrence in the Study Area</w:t>
      </w:r>
    </w:p>
    <w:p w14:paraId="11747FA2" w14:textId="77777777" w:rsidR="008C1AD8" w:rsidRDefault="008C1AD8" w:rsidP="008C1AD8">
      <w:pPr>
        <w:pStyle w:val="Bullet1"/>
      </w:pPr>
      <w:r>
        <w:t>Potential direct and indirect impacts to the species under the Plan have been identified</w:t>
      </w:r>
    </w:p>
    <w:p w14:paraId="3D511FCD" w14:textId="77777777" w:rsidR="008C1AD8" w:rsidRDefault="008C1AD8" w:rsidP="008C1AD8">
      <w:pPr>
        <w:pStyle w:val="Bullet1"/>
      </w:pPr>
      <w:r>
        <w:t>The mitigation measures under the Plan to address these impacts are assessed</w:t>
      </w:r>
    </w:p>
    <w:p w14:paraId="6C3DD86B" w14:textId="77777777" w:rsidR="008C1AD8" w:rsidRDefault="008C1AD8" w:rsidP="008C1AD8">
      <w:pPr>
        <w:pStyle w:val="Bullet1"/>
      </w:pPr>
      <w:r>
        <w:t>The consistency of the Plan with international obligations relating to the protection of the Little Tern is assessed</w:t>
      </w:r>
    </w:p>
    <w:p w14:paraId="1BA47A68" w14:textId="77777777" w:rsidR="008C1AD8" w:rsidRDefault="008C1AD8" w:rsidP="008C1AD8">
      <w:pPr>
        <w:pStyle w:val="Heading4"/>
      </w:pPr>
      <w:r w:rsidRPr="00256851">
        <w:t>Approach to analysing impacts</w:t>
      </w:r>
    </w:p>
    <w:p w14:paraId="0FF8B316" w14:textId="77777777" w:rsidR="008C1AD8" w:rsidRDefault="008C1AD8" w:rsidP="008C1AD8">
      <w:pPr>
        <w:pStyle w:val="Heading5"/>
      </w:pPr>
      <w:r>
        <w:t>Direct impacts</w:t>
      </w:r>
    </w:p>
    <w:p w14:paraId="52FB1B86" w14:textId="77777777" w:rsidR="008C1AD8" w:rsidRDefault="008C1AD8" w:rsidP="008C1AD8">
      <w:r>
        <w:t>To determine whether the species is at risk of direct impacts, the development footprint of the Plan has been considered with regards to the location of records and potential areas of important habitat for the Little Tern.</w:t>
      </w:r>
    </w:p>
    <w:p w14:paraId="065BB6EE" w14:textId="77777777" w:rsidR="008C1AD8" w:rsidRDefault="008C1AD8" w:rsidP="008C1AD8">
      <w:pPr>
        <w:pStyle w:val="Heading5"/>
      </w:pPr>
      <w:r>
        <w:t>Indirect impacts</w:t>
      </w:r>
    </w:p>
    <w:p w14:paraId="0785745F" w14:textId="77777777" w:rsidR="008C1AD8" w:rsidRDefault="008C1AD8" w:rsidP="008C1AD8">
      <w:r>
        <w:t xml:space="preserve">Potential threats for the Little Tern have been identified through consideration of relevant species’ information and are identified in Section </w:t>
      </w:r>
      <w:r>
        <w:fldChar w:fldCharType="begin"/>
      </w:r>
      <w:r>
        <w:instrText xml:space="preserve"> REF _Ref116389797 \n </w:instrText>
      </w:r>
      <w:r>
        <w:fldChar w:fldCharType="separate"/>
      </w:r>
      <w:r>
        <w:t>23.5.1</w:t>
      </w:r>
      <w:r>
        <w:fldChar w:fldCharType="end"/>
      </w:r>
      <w:r>
        <w:t xml:space="preserve"> above. </w:t>
      </w:r>
      <w:r w:rsidRPr="002B70F0">
        <w:t xml:space="preserve">Where these threats </w:t>
      </w:r>
      <w:r>
        <w:t>have the potential to be introduced or exacerbated under the Plan</w:t>
      </w:r>
      <w:r w:rsidRPr="002B70F0">
        <w:t>, the Plan includes management strategies to mitigate their impacts.</w:t>
      </w:r>
    </w:p>
    <w:p w14:paraId="25CE24EC" w14:textId="77777777" w:rsidR="008C1AD8" w:rsidRDefault="008C1AD8" w:rsidP="008C1AD8">
      <w:r>
        <w:t>The following potential indirect impacts (identified as threats) are considered relevant to implementation of the Plan:</w:t>
      </w:r>
    </w:p>
    <w:p w14:paraId="706B455A" w14:textId="77777777" w:rsidR="008C1AD8" w:rsidRDefault="008C1AD8" w:rsidP="008C1AD8">
      <w:pPr>
        <w:pStyle w:val="Bullet1"/>
      </w:pPr>
      <w:r>
        <w:t xml:space="preserve">Human disturbance </w:t>
      </w:r>
    </w:p>
    <w:p w14:paraId="5E5082CF" w14:textId="77777777" w:rsidR="008C1AD8" w:rsidRDefault="008C1AD8" w:rsidP="008C1AD8">
      <w:pPr>
        <w:pStyle w:val="Bullet1"/>
      </w:pPr>
      <w:r>
        <w:t xml:space="preserve">Altered hydrological regimes </w:t>
      </w:r>
    </w:p>
    <w:p w14:paraId="51B71571" w14:textId="77777777" w:rsidR="008C1AD8" w:rsidRPr="006A0404" w:rsidRDefault="008C1AD8" w:rsidP="008C1AD8">
      <w:r>
        <w:t>A range of other threats have also been identified for the species.</w:t>
      </w:r>
      <w:r w:rsidRPr="003A2AF0">
        <w:t xml:space="preserve"> However, potential indirect impacts associated with </w:t>
      </w:r>
      <w:r>
        <w:t>these threats</w:t>
      </w:r>
      <w:r w:rsidRPr="003A2AF0">
        <w:t xml:space="preserve"> </w:t>
      </w:r>
      <w:r>
        <w:t>are</w:t>
      </w:r>
      <w:r w:rsidRPr="003A2AF0">
        <w:t xml:space="preserve"> considered unlikely given the landscape context of the site and the ecology of the species. Refer to</w:t>
      </w:r>
      <w:r>
        <w:t xml:space="preserve"> </w:t>
      </w:r>
      <w:r w:rsidRPr="009E63A2">
        <w:t xml:space="preserve">Section 17.2 </w:t>
      </w:r>
      <w:r w:rsidRPr="00196684">
        <w:t xml:space="preserve">of </w:t>
      </w:r>
      <w:r w:rsidRPr="009E63A2">
        <w:t>Chapter 17</w:t>
      </w:r>
      <w:r w:rsidRPr="00196684">
        <w:t xml:space="preserve"> for</w:t>
      </w:r>
      <w:r>
        <w:t xml:space="preserve"> a detailed assessment of potential indirect impacts associated with the implementation of the Plan.</w:t>
      </w:r>
      <w:r w:rsidRPr="00CC2A00" w:rsidDel="00727335">
        <w:rPr>
          <w:highlight w:val="yellow"/>
        </w:rPr>
        <w:t xml:space="preserve"> </w:t>
      </w:r>
    </w:p>
    <w:p w14:paraId="77BE6C82" w14:textId="77777777" w:rsidR="008C1AD8" w:rsidRPr="00256851" w:rsidRDefault="008C1AD8" w:rsidP="008C1AD8">
      <w:pPr>
        <w:pStyle w:val="Heading4"/>
      </w:pPr>
      <w:r w:rsidRPr="00256851">
        <w:t>Approach to EPBC Act approval considerations</w:t>
      </w:r>
    </w:p>
    <w:p w14:paraId="5F55BCF9" w14:textId="77777777" w:rsidR="008C1AD8" w:rsidRDefault="008C1AD8" w:rsidP="008C1AD8">
      <w:r w:rsidRPr="00256851">
        <w:t xml:space="preserve">Regulatory requirements were considered at the end of the assessment by drawing together the results of the impact analysis, examination of the benefits of the conservation measures in the Plan and reviewing any specific requirements for migratory species. </w:t>
      </w:r>
    </w:p>
    <w:p w14:paraId="773F7F22" w14:textId="77777777" w:rsidR="008C1AD8" w:rsidRDefault="008C1AD8" w:rsidP="008C1AD8">
      <w:pPr>
        <w:pStyle w:val="Heading3"/>
      </w:pPr>
      <w:r>
        <w:lastRenderedPageBreak/>
        <w:t>Impact analysis</w:t>
      </w:r>
    </w:p>
    <w:p w14:paraId="59FD4405" w14:textId="77777777" w:rsidR="008C1AD8" w:rsidRDefault="008C1AD8" w:rsidP="008C1AD8">
      <w:pPr>
        <w:pStyle w:val="Heading4"/>
      </w:pPr>
      <w:r>
        <w:t>Direct impacts</w:t>
      </w:r>
    </w:p>
    <w:p w14:paraId="642759A4" w14:textId="77777777" w:rsidR="008C1AD8" w:rsidRPr="006A0404" w:rsidRDefault="008C1AD8" w:rsidP="008C1AD8">
      <w:pPr>
        <w:keepNext/>
        <w:keepLines/>
      </w:pPr>
      <w:r>
        <w:t>There are no records or important habitat for the Little Tern within the Strategic Assessment Area. The Plan will not result in indirect impacts to this species.</w:t>
      </w:r>
    </w:p>
    <w:p w14:paraId="54A6E303" w14:textId="77777777" w:rsidR="008C1AD8" w:rsidRDefault="008C1AD8" w:rsidP="008C1AD8">
      <w:pPr>
        <w:pStyle w:val="Heading4"/>
      </w:pPr>
      <w:r>
        <w:t>Indirect impacts</w:t>
      </w:r>
    </w:p>
    <w:p w14:paraId="215FBC4A" w14:textId="77777777" w:rsidR="008C1AD8" w:rsidRDefault="008C1AD8" w:rsidP="008C1AD8">
      <w:r>
        <w:t>The Plan has potential to indirectly impact the Little Tern through increasing human disturbance within important habitat, and through altering the hydrological regimes of important habitat.</w:t>
      </w:r>
    </w:p>
    <w:p w14:paraId="70C72052" w14:textId="77777777" w:rsidR="008C1AD8" w:rsidRDefault="008C1AD8" w:rsidP="008C1AD8">
      <w:r>
        <w:t xml:space="preserve">The potential areas of occurrence of these impacts within the Study Area and the mitigation measures under the Plan to minimise these impacts are thoroughly assessed above in Section </w:t>
      </w:r>
      <w:r>
        <w:fldChar w:fldCharType="begin"/>
      </w:r>
      <w:r>
        <w:instrText xml:space="preserve"> REF _Ref116390760 \n </w:instrText>
      </w:r>
      <w:r>
        <w:fldChar w:fldCharType="separate"/>
      </w:r>
      <w:r>
        <w:t>23.4.4</w:t>
      </w:r>
      <w:r>
        <w:fldChar w:fldCharType="end"/>
      </w:r>
      <w:r>
        <w:t xml:space="preserve">. It is noted that Important Bird Areas assessed in Section </w:t>
      </w:r>
      <w:r>
        <w:fldChar w:fldCharType="begin"/>
      </w:r>
      <w:r>
        <w:instrText xml:space="preserve"> REF _Ref116390760 \n </w:instrText>
      </w:r>
      <w:r>
        <w:fldChar w:fldCharType="separate"/>
      </w:r>
      <w:r>
        <w:t>23.4.4</w:t>
      </w:r>
      <w:r>
        <w:fldChar w:fldCharType="end"/>
      </w:r>
      <w:r>
        <w:t xml:space="preserve"> are the same areas which are likely to contain important habitat for the Little Tern.</w:t>
      </w:r>
    </w:p>
    <w:p w14:paraId="222FE7E5" w14:textId="77777777" w:rsidR="008C1AD8" w:rsidRPr="00FE3C4C" w:rsidRDefault="008C1AD8" w:rsidP="008C1AD8">
      <w:r>
        <w:t xml:space="preserve">Overall, it is considered that </w:t>
      </w:r>
      <w:r w:rsidRPr="00096932">
        <w:t xml:space="preserve">implementation of </w:t>
      </w:r>
      <w:r w:rsidRPr="009E63A2">
        <w:t xml:space="preserve">Commitments 7 and </w:t>
      </w:r>
      <w:r>
        <w:t>9</w:t>
      </w:r>
      <w:r w:rsidRPr="00096932">
        <w:t xml:space="preserve"> under</w:t>
      </w:r>
      <w:r w:rsidRPr="00FE3C4C">
        <w:t xml:space="preserve"> the Plan will adequately minimise the risk of adverse impacts associated with </w:t>
      </w:r>
      <w:r>
        <w:t xml:space="preserve">altered hydrological regimes. </w:t>
      </w:r>
    </w:p>
    <w:p w14:paraId="22E00AA5" w14:textId="77777777" w:rsidR="008C1AD8" w:rsidRPr="006A0404" w:rsidRDefault="008C1AD8" w:rsidP="008C1AD8">
      <w:r>
        <w:t>Further, it is considered that existing management measures of each of the areas of important habitat will adequately minimise the risk of adverse impacts associated with disturbance of important habitat for the Little Tern.</w:t>
      </w:r>
    </w:p>
    <w:p w14:paraId="0805163D" w14:textId="77777777" w:rsidR="008C1AD8" w:rsidRPr="00FE3C4C" w:rsidRDefault="008C1AD8" w:rsidP="008C1AD8">
      <w:pPr>
        <w:pStyle w:val="Heading4"/>
      </w:pPr>
      <w:r w:rsidRPr="00FE3C4C">
        <w:t>Evaluation of the outcome for migratory shorebirds</w:t>
      </w:r>
    </w:p>
    <w:p w14:paraId="4632E1C6" w14:textId="77777777" w:rsidR="008C1AD8" w:rsidRPr="00FE3C4C" w:rsidRDefault="008C1AD8" w:rsidP="008C1AD8">
      <w:r w:rsidRPr="00FE3C4C">
        <w:t xml:space="preserve">As outlined in Section </w:t>
      </w:r>
      <w:r>
        <w:fldChar w:fldCharType="begin"/>
      </w:r>
      <w:r>
        <w:instrText xml:space="preserve"> REF _Ref115882355 \n  \* MERGEFORMAT </w:instrText>
      </w:r>
      <w:r>
        <w:fldChar w:fldCharType="separate"/>
      </w:r>
      <w:r>
        <w:t>23.2</w:t>
      </w:r>
      <w:r>
        <w:fldChar w:fldCharType="end"/>
      </w:r>
      <w:r w:rsidRPr="00FE3C4C">
        <w:t>, the outcomes of the Plan must not be inconsistent with any of the international agreements relating to migratory species. The key obligations (of relevance to this assessment) which cut across the various agreements in different forms are for Australia to:</w:t>
      </w:r>
    </w:p>
    <w:p w14:paraId="290C4AF0" w14:textId="77777777" w:rsidR="008C1AD8" w:rsidRPr="00FE3C4C" w:rsidRDefault="008C1AD8" w:rsidP="008C1AD8">
      <w:pPr>
        <w:pStyle w:val="Bullet1"/>
      </w:pPr>
      <w:r w:rsidRPr="00FE3C4C">
        <w:t>Conserve and where possible restore habitats</w:t>
      </w:r>
    </w:p>
    <w:p w14:paraId="57A3A324" w14:textId="77777777" w:rsidR="008C1AD8" w:rsidRPr="00FE3C4C" w:rsidRDefault="008C1AD8" w:rsidP="008C1AD8">
      <w:pPr>
        <w:pStyle w:val="Bullet1"/>
      </w:pPr>
      <w:r w:rsidRPr="00FE3C4C">
        <w:t>Mitigate and manage threats to shorebirds</w:t>
      </w:r>
    </w:p>
    <w:p w14:paraId="3BB680A2" w14:textId="77777777" w:rsidR="008C1AD8" w:rsidRPr="00FE3C4C" w:rsidRDefault="008C1AD8" w:rsidP="008C1AD8">
      <w:r w:rsidRPr="00FE3C4C">
        <w:t>The Plan is not inconsistent with these obligations</w:t>
      </w:r>
      <w:r>
        <w:t>, as:</w:t>
      </w:r>
    </w:p>
    <w:p w14:paraId="6371978C" w14:textId="77777777" w:rsidR="008C1AD8" w:rsidRPr="00FE3C4C" w:rsidRDefault="008C1AD8" w:rsidP="008C1AD8">
      <w:pPr>
        <w:pStyle w:val="Bullet1"/>
      </w:pPr>
      <w:r>
        <w:t>There will be n</w:t>
      </w:r>
      <w:r w:rsidRPr="00FE3C4C">
        <w:t>o direct impacts to important habitat</w:t>
      </w:r>
    </w:p>
    <w:p w14:paraId="17CFC7C1" w14:textId="77777777" w:rsidR="008C1AD8" w:rsidRDefault="008C1AD8" w:rsidP="008C1AD8">
      <w:pPr>
        <w:pStyle w:val="Bullet1"/>
      </w:pPr>
      <w:r w:rsidRPr="00FE3C4C">
        <w:t>Indirect impacts to important habitat will be adequately controlled through commitments under the Plan and through existing land management frameworks in the region</w:t>
      </w:r>
    </w:p>
    <w:p w14:paraId="192EEE30" w14:textId="77777777" w:rsidR="008C1AD8" w:rsidRPr="00405BF8" w:rsidRDefault="008C1AD8" w:rsidP="008C1AD8">
      <w:pPr>
        <w:pStyle w:val="Heading3"/>
      </w:pPr>
      <w:r>
        <w:t>Conclusion</w:t>
      </w:r>
    </w:p>
    <w:p w14:paraId="38746E52" w14:textId="77777777" w:rsidR="008C1AD8" w:rsidRPr="00FE3C4C" w:rsidRDefault="008C1AD8" w:rsidP="008C1AD8">
      <w:r w:rsidRPr="00FE3C4C">
        <w:t xml:space="preserve">The Plan will not result in residual adverse impacts to </w:t>
      </w:r>
      <w:r>
        <w:t>the Little Tern</w:t>
      </w:r>
      <w:r w:rsidRPr="00FE3C4C">
        <w:t>. No important habitat will be lost, and potential indirect impacts will be suitably mitigated and managed.</w:t>
      </w:r>
    </w:p>
    <w:p w14:paraId="65B9132F" w14:textId="77777777" w:rsidR="008C1AD8" w:rsidRDefault="008C1AD8" w:rsidP="008C1AD8">
      <w:r w:rsidRPr="00FE3C4C">
        <w:t xml:space="preserve">The outcomes of the Plan for </w:t>
      </w:r>
      <w:r>
        <w:t>the Little Tern</w:t>
      </w:r>
      <w:r w:rsidRPr="00FE3C4C">
        <w:t xml:space="preserve"> meet the regulatory requirements for listed migratory species under the EPBC Act.</w:t>
      </w:r>
    </w:p>
    <w:p w14:paraId="0821D249" w14:textId="77777777" w:rsidR="008C1AD8" w:rsidRPr="00150AE7" w:rsidRDefault="008C1AD8" w:rsidP="008C1AD8"/>
    <w:p w14:paraId="148CF6B1" w14:textId="77777777" w:rsidR="008C1AD8" w:rsidRPr="00247009" w:rsidRDefault="008C1AD8" w:rsidP="008C1AD8"/>
    <w:p w14:paraId="7EE0924E" w14:textId="77777777" w:rsidR="008C1AD8" w:rsidRDefault="008C1AD8" w:rsidP="008C1AD8">
      <w:pPr>
        <w:pStyle w:val="Acronymsreferences"/>
        <w:ind w:left="0" w:firstLine="0"/>
        <w:sectPr w:rsidR="008C1AD8" w:rsidSect="00682DF2">
          <w:headerReference w:type="even" r:id="rId97"/>
          <w:footerReference w:type="default" r:id="rId98"/>
          <w:headerReference w:type="first" r:id="rId99"/>
          <w:pgSz w:w="11900" w:h="16840"/>
          <w:pgMar w:top="1247" w:right="1134" w:bottom="1247" w:left="1134" w:header="708" w:footer="708" w:gutter="0"/>
          <w:pgNumType w:chapStyle="1"/>
          <w:cols w:space="708"/>
          <w:docGrid w:linePitch="360"/>
        </w:sectPr>
      </w:pPr>
    </w:p>
    <w:p w14:paraId="0859A869" w14:textId="77777777" w:rsidR="008C1AD8" w:rsidRDefault="008C1AD8" w:rsidP="008C1AD8">
      <w:pPr>
        <w:pStyle w:val="Heading1"/>
      </w:pPr>
      <w:bookmarkStart w:id="171" w:name="_Toc113444785"/>
      <w:bookmarkStart w:id="172" w:name="_Toc116041395"/>
      <w:bookmarkStart w:id="173" w:name="_Toc135122702"/>
      <w:r>
        <w:lastRenderedPageBreak/>
        <w:t>Finalised Priority Assessment L</w:t>
      </w:r>
      <w:bookmarkEnd w:id="171"/>
      <w:r>
        <w:t>ist (FPAL)</w:t>
      </w:r>
      <w:bookmarkEnd w:id="172"/>
      <w:bookmarkEnd w:id="173"/>
    </w:p>
    <w:p w14:paraId="729E712C" w14:textId="77777777" w:rsidR="008C1AD8" w:rsidRDefault="008C1AD8" w:rsidP="008C1AD8">
      <w:r>
        <w:t xml:space="preserve">This chapter assesses the potential impacts of the Plan on species and ecological communities that are not currently listed as threatened under the EPBC Act and are identified on the Finalised Priority Assessment List (FPAL) </w:t>
      </w:r>
      <w:sdt>
        <w:sdtPr>
          <w:rPr>
            <w:color w:val="000000"/>
          </w:rPr>
          <w:tag w:val="MENDELEY_CITATION_v3_eyJjaXRhdGlvbklEIjoiTUVOREVMRVlfQ0lUQVRJT05fMmIwOTliMGUtNWI2YS00NDEwLTgwMzUtNTMzYjgxOTNlZmVjIiwicHJvcGVydGllcyI6eyJub3RlSW5kZXgiOjB9LCJpc0VkaXRlZCI6ZmFsc2UsIm1hbnVhbE92ZXJyaWRlIjp7ImNpdGVwcm9jVGV4dCI6IihEQVdFLCAyMDIxYikiLCJpc01hbnVhbGx5T3ZlcnJpZGRlbiI6ZmFsc2UsIm1hbnVhbE92ZXJyaWRlVGV4dCI6Ii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669906104"/>
          <w:placeholder>
            <w:docPart w:val="53263D66753F864BA248D609BD120A46"/>
          </w:placeholder>
        </w:sdtPr>
        <w:sdtContent>
          <w:r w:rsidRPr="00273871">
            <w:rPr>
              <w:color w:val="000000"/>
            </w:rPr>
            <w:t>(DAWE, 2021b)</w:t>
          </w:r>
        </w:sdtContent>
      </w:sdt>
      <w:r>
        <w:t xml:space="preserve"> to be listed as threatened in the future.</w:t>
      </w:r>
    </w:p>
    <w:p w14:paraId="4368AB8E" w14:textId="77777777" w:rsidR="008C1AD8" w:rsidRPr="0062178C" w:rsidRDefault="008C1AD8" w:rsidP="008C1AD8">
      <w:pPr>
        <w:rPr>
          <w:highlight w:val="yellow"/>
        </w:rPr>
      </w:pPr>
      <w:r w:rsidRPr="0062178C">
        <w:t xml:space="preserve">The FPAL species identified in the categorisation process for a detailed assessment are now listed as threatened under the EPBC Act and are assessed in Chapter 19. This chapter will assess species on future FPAL with the potential to be impacted by the implementation of the Plan. </w:t>
      </w:r>
    </w:p>
    <w:p w14:paraId="218A491E" w14:textId="77777777" w:rsidR="008C1AD8" w:rsidRDefault="008C1AD8" w:rsidP="008C1AD8">
      <w:pPr>
        <w:sectPr w:rsidR="008C1AD8" w:rsidSect="00A57DDA">
          <w:pgSz w:w="11900" w:h="16840"/>
          <w:pgMar w:top="1247" w:right="1134" w:bottom="1247" w:left="1134" w:header="708" w:footer="708" w:gutter="0"/>
          <w:pgNumType w:start="1" w:chapStyle="1"/>
          <w:cols w:space="708"/>
          <w:docGrid w:linePitch="360"/>
        </w:sectPr>
      </w:pPr>
      <w:r>
        <w:t xml:space="preserve"> </w:t>
      </w:r>
    </w:p>
    <w:p w14:paraId="5123D844" w14:textId="77777777" w:rsidR="008C1AD8" w:rsidRPr="00636585" w:rsidRDefault="008C1AD8" w:rsidP="008C1AD8">
      <w:pPr>
        <w:pStyle w:val="Heading1"/>
      </w:pPr>
      <w:bookmarkStart w:id="174" w:name="_Toc135122703"/>
      <w:r w:rsidRPr="00636585">
        <w:lastRenderedPageBreak/>
        <w:t>Cumulative impact assessment</w:t>
      </w:r>
      <w:bookmarkEnd w:id="174"/>
    </w:p>
    <w:p w14:paraId="672C96C5" w14:textId="77777777" w:rsidR="008C1AD8" w:rsidRDefault="008C1AD8" w:rsidP="008C1AD8">
      <w:pPr>
        <w:pStyle w:val="Heading2"/>
      </w:pPr>
      <w:bookmarkStart w:id="175" w:name="_Toc135122704"/>
      <w:r>
        <w:t>Introduction</w:t>
      </w:r>
      <w:bookmarkEnd w:id="175"/>
    </w:p>
    <w:p w14:paraId="34A0FD40" w14:textId="77777777" w:rsidR="008C1AD8" w:rsidRDefault="008C1AD8" w:rsidP="008C1AD8">
      <w:r>
        <w:t xml:space="preserve">The Strategic Assessment Area is located within the </w:t>
      </w:r>
      <w:r w:rsidRPr="007826C8">
        <w:t>Southern Volcanic Plain bioregion</w:t>
      </w:r>
      <w:r>
        <w:t xml:space="preserve">. This bioregion has a history of cumulative vegetation clearance and degradation. Historically, large areas of grasslands and woodland in the bioregion, including the Strategic Assessment Area, were cleared or degraded through agricultural land use </w:t>
      </w:r>
      <w:sdt>
        <w:sdtPr>
          <w:rPr>
            <w:color w:val="000000"/>
          </w:rPr>
          <w:tag w:val="MENDELEY_CITATION_v3_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wdWJsaXNoZXIiOiJQcmVwYXJlZCBmb3IgdGhlIENpdHkgb2YgR3JlYXRlciBHZWVsb25nIiwidGl0bGUiOiJFeGlzdGluZyBFY29sb2dpY2FsIENvbmRpdGlvbnM6IE5vcnRoZXJuIGFuZCBXZXN0ZXJuIEdlZWxvbmcgR3Jvd3RoIEFyZWFzIiwidHlwZSI6ImFydGljbGUiLCJjb250YWluZXItdGl0bGUtc2hvcnQiOiIifSwidXJpcyI6WyJodHRwOi8vd3d3Lm1lbmRlbGV5LmNvbS9kb2N1bWVudHMvP3V1aWQ9YmY3NDdjMjEtM2JlZi00ODc3LWFkMzQtNzQyZTM3MTQ2YWEyIl0sImlzVGVtcG9yYXJ5IjpmYWxzZSwibGVnYWN5RGVza3RvcElkIjoiYmY3NDdjMjEtM2JlZi00ODc3LWFkMzQtNzQyZTM3MTQ2YWEyIn1dfQ=="/>
          <w:id w:val="-633945075"/>
          <w:placeholder>
            <w:docPart w:val="53263D66753F864BA248D609BD120A46"/>
          </w:placeholder>
        </w:sdtPr>
        <w:sdtContent>
          <w:r w:rsidRPr="00273871">
            <w:rPr>
              <w:color w:val="000000"/>
            </w:rPr>
            <w:t>(DSE, 2003; EHP, 2021)</w:t>
          </w:r>
        </w:sdtContent>
      </w:sdt>
      <w:r>
        <w:t xml:space="preserve">. More recently, agricultural land is increasingly being developed as urban and commercial districts associated with regional growth in areas close to Melbourne, including Geelong. Native vegetation in the bioregion is becoming increasingly restricted, mostly occurring within reserves without formal conservation and within riparian corridors. Native vegetation that remains on agricultural land is typically highly modified and degraded, providing low biodiversity value </w:t>
      </w:r>
      <w:sdt>
        <w:sdtPr>
          <w:rPr>
            <w:color w:val="000000"/>
          </w:rPr>
          <w:tag w:val="MENDELEY_CITATION_v3_eyJjaXRhdGlvbklEIjoiTUVOREVMRVlfQ0lUQVRJT05fODRiOGU2NmQtNjRlZi00ODk2LWE1YWEtN2FmZWQ3OTYxYzU1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095359032"/>
          <w:placeholder>
            <w:docPart w:val="53263D66753F864BA248D609BD120A46"/>
          </w:placeholder>
        </w:sdtPr>
        <w:sdtContent>
          <w:r w:rsidRPr="00273871">
            <w:rPr>
              <w:color w:val="000000"/>
            </w:rPr>
            <w:t>(EHP, 2021)</w:t>
          </w:r>
        </w:sdtContent>
      </w:sdt>
      <w:r>
        <w:t>.</w:t>
      </w:r>
    </w:p>
    <w:p w14:paraId="1F20597E" w14:textId="77777777" w:rsidR="008C1AD8" w:rsidRDefault="008C1AD8" w:rsidP="008C1AD8">
      <w:r>
        <w:t xml:space="preserve">Development of land within the bioregion is expected to continue in the coming decades. Geelong is considered to be the primary population centre outside of Melbourne and the population is forecast to increase from </w:t>
      </w:r>
      <w:r w:rsidRPr="00FF5CAF">
        <w:t>317</w:t>
      </w:r>
      <w:r>
        <w:t>,</w:t>
      </w:r>
      <w:r w:rsidRPr="00FF5CAF">
        <w:t>857</w:t>
      </w:r>
      <w:r>
        <w:t xml:space="preserve"> people to over 500,000 by 2050 </w:t>
      </w:r>
      <w:sdt>
        <w:sdtPr>
          <w:rPr>
            <w:color w:val="000000"/>
          </w:rPr>
          <w:tag w:val="MENDELEY_CITATION_v3_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"/>
          <w:id w:val="764345732"/>
          <w:placeholder>
            <w:docPart w:val="53263D66753F864BA248D609BD120A46"/>
          </w:placeholder>
        </w:sdtPr>
        <w:sdtContent>
          <w:r w:rsidRPr="00273871">
            <w:rPr>
              <w:color w:val="000000"/>
            </w:rPr>
            <w:t>(The City of Greater Geelong, 2021b; Victoria State Government, 2017)</w:t>
          </w:r>
        </w:sdtContent>
      </w:sdt>
      <w:r>
        <w:t>. Geelong will therefore be a key area for urban and commercial development within the bioregion.</w:t>
      </w:r>
    </w:p>
    <w:p w14:paraId="3715F710" w14:textId="77777777" w:rsidR="008C1AD8" w:rsidRDefault="008C1AD8" w:rsidP="008C1AD8">
      <w:r>
        <w:t xml:space="preserve">In order to support the projected growth of Geelong, significant areas of land are required for development including housing, employment, community spaces and transport. The proposed development of land within the Strategic Assessment Area under the Plan will facilitate substantial social and economic growth. The Plan also recognises the importance of the unique environmental values within Geelong and the wider bioregion and </w:t>
      </w:r>
      <w:r>
        <w:rPr>
          <w:rFonts w:cs="Arial"/>
          <w:iCs/>
        </w:rPr>
        <w:t>will facilitate Geelong’s future transformation by delivering diverse and sustainable urban development, within a landscape of protected areas for biodiversity conservation</w:t>
      </w:r>
      <w:r>
        <w:t>.</w:t>
      </w:r>
    </w:p>
    <w:p w14:paraId="60B3F4CE" w14:textId="77777777" w:rsidR="008C1AD8" w:rsidRDefault="008C1AD8" w:rsidP="008C1AD8">
      <w:r>
        <w:t>Through accommodating long-term population growth in a planned and strategic way, the Plan reduces the potential for adverse cumulative impacts to occur within the region. The Plan also includes a number of commitments to increase protection of the region’s valuable environmental assets, which further reduces the risk of adverse cumulative impacts.</w:t>
      </w:r>
    </w:p>
    <w:p w14:paraId="72C3746D" w14:textId="77777777" w:rsidR="008C1AD8" w:rsidRDefault="008C1AD8" w:rsidP="008C1AD8">
      <w:r>
        <w:t xml:space="preserve">Although the Plan reduces the risk of cumulative impacts in the region over the long term, there is still a potential for adverse cumulative impacts to occur due to the combined impact of the Plan with other developments in the region. </w:t>
      </w:r>
      <w:r w:rsidRPr="00A042A0">
        <w:t xml:space="preserve">This Chapter provides an assessment of the cumulative impacts </w:t>
      </w:r>
      <w:r>
        <w:t>to MNES which may occur due to the combined effect of</w:t>
      </w:r>
      <w:r w:rsidRPr="00A042A0">
        <w:t xml:space="preserve"> development under the Plan </w:t>
      </w:r>
      <w:r>
        <w:t>and</w:t>
      </w:r>
      <w:r w:rsidRPr="00A042A0">
        <w:t xml:space="preserve"> other </w:t>
      </w:r>
      <w:r>
        <w:t>developments in the region.</w:t>
      </w:r>
    </w:p>
    <w:p w14:paraId="4F566186" w14:textId="77777777" w:rsidR="008C1AD8" w:rsidRDefault="008C1AD8" w:rsidP="008C1AD8">
      <w:pPr>
        <w:pStyle w:val="Heading2"/>
      </w:pPr>
      <w:bookmarkStart w:id="176" w:name="_Toc135122705"/>
      <w:r>
        <w:t>Requirements and purpose of the CIA</w:t>
      </w:r>
      <w:bookmarkEnd w:id="176"/>
    </w:p>
    <w:p w14:paraId="3FE8291F" w14:textId="77777777" w:rsidR="008C1AD8" w:rsidRDefault="008C1AD8" w:rsidP="008C1AD8">
      <w:r>
        <w:t>The Terms of Reference (ToR) for the strategic assessment require the following for cumulative impact assessment (CIA):</w:t>
      </w:r>
    </w:p>
    <w:p w14:paraId="487E6320" w14:textId="77777777" w:rsidR="008C1AD8" w:rsidRPr="009A5DA2" w:rsidRDefault="008C1AD8" w:rsidP="008C1AD8">
      <w:pPr>
        <w:ind w:left="993" w:hanging="426"/>
        <w:rPr>
          <w:i/>
          <w:iCs/>
          <w:color w:val="000000" w:themeColor="text1"/>
        </w:rPr>
      </w:pPr>
      <w:r>
        <w:rPr>
          <w:i/>
          <w:iCs/>
          <w:color w:val="000000" w:themeColor="text1"/>
        </w:rPr>
        <w:t xml:space="preserve">3.2 </w:t>
      </w:r>
      <w:r w:rsidRPr="009A5DA2">
        <w:rPr>
          <w:i/>
          <w:iCs/>
          <w:color w:val="000000" w:themeColor="text1"/>
        </w:rPr>
        <w:t>The Report must identify and describe each protected matter that may be impacted directly, indirectly and/or cumulatively by actions proposed to be taken under the Plan (the ‘relevant protected matters’)</w:t>
      </w:r>
      <w:r>
        <w:rPr>
          <w:i/>
          <w:iCs/>
          <w:color w:val="000000" w:themeColor="text1"/>
        </w:rPr>
        <w:t>…</w:t>
      </w:r>
    </w:p>
    <w:p w14:paraId="33ADACCD" w14:textId="77777777" w:rsidR="008C1AD8" w:rsidRPr="009A5DA2" w:rsidRDefault="008C1AD8" w:rsidP="008C1AD8">
      <w:pPr>
        <w:ind w:left="993" w:hanging="426"/>
        <w:rPr>
          <w:i/>
          <w:iCs/>
          <w:color w:val="000000" w:themeColor="text1"/>
        </w:rPr>
      </w:pPr>
      <w:r>
        <w:rPr>
          <w:i/>
          <w:iCs/>
          <w:color w:val="000000" w:themeColor="text1"/>
        </w:rPr>
        <w:t xml:space="preserve">4.1 </w:t>
      </w:r>
      <w:r w:rsidRPr="009A5DA2">
        <w:rPr>
          <w:i/>
          <w:iCs/>
          <w:color w:val="000000" w:themeColor="text1"/>
        </w:rPr>
        <w:t xml:space="preserve">The Report must describe and assess the likely direct, indirect and cumulative impacts of actions taken under the Plan on all relevant protected matters. This must include, but not necessarily be limited to, an assessment of impacts of clearing, disturbance and fragmentation. </w:t>
      </w:r>
    </w:p>
    <w:p w14:paraId="28CAF6B6" w14:textId="77777777" w:rsidR="008C1AD8" w:rsidRDefault="008C1AD8" w:rsidP="008C1AD8">
      <w:r>
        <w:t>The protected matters that may be subject to</w:t>
      </w:r>
      <w:r w:rsidRPr="00713C6E">
        <w:t xml:space="preserve"> direct, indirect and/or cumulative</w:t>
      </w:r>
      <w:r>
        <w:t xml:space="preserve"> impacts</w:t>
      </w:r>
      <w:r w:rsidRPr="00713C6E">
        <w:t xml:space="preserve"> by actions proposed to be taken under the Plan</w:t>
      </w:r>
      <w:r>
        <w:t xml:space="preserve"> (relevant protected matters) are identified in </w:t>
      </w:r>
      <w:r w:rsidRPr="000302C7">
        <w:t>Chapter 18. Each relevant protected matter has been subject to a matter-specific impact assessment (see Chapters 19 – 24).</w:t>
      </w:r>
      <w:r>
        <w:t xml:space="preserve"> This Chapter assesses the </w:t>
      </w:r>
      <w:r w:rsidRPr="00713C6E">
        <w:t>cumulative impacts of actions taken under the Plan</w:t>
      </w:r>
      <w:r>
        <w:t xml:space="preserve"> on MNES in the Strategic Assessment Area and wider region. </w:t>
      </w:r>
    </w:p>
    <w:p w14:paraId="0D676D7A" w14:textId="77777777" w:rsidR="008C1AD8" w:rsidRDefault="008C1AD8" w:rsidP="008C1AD8">
      <w:r>
        <w:t>The purpose of the CIA is to:</w:t>
      </w:r>
    </w:p>
    <w:p w14:paraId="53DF8E20" w14:textId="77777777" w:rsidR="008C1AD8" w:rsidRPr="004B6431" w:rsidRDefault="008C1AD8" w:rsidP="008C1AD8">
      <w:pPr>
        <w:pStyle w:val="Bullet1"/>
      </w:pPr>
      <w:r w:rsidRPr="004B6431">
        <w:t xml:space="preserve">Understand cumulative </w:t>
      </w:r>
      <w:r>
        <w:t>impacts and threatening processes</w:t>
      </w:r>
      <w:r w:rsidRPr="004B6431">
        <w:t xml:space="preserve"> to MNES in the </w:t>
      </w:r>
      <w:r>
        <w:t>region</w:t>
      </w:r>
    </w:p>
    <w:p w14:paraId="425C534B" w14:textId="77777777" w:rsidR="008C1AD8" w:rsidRDefault="008C1AD8" w:rsidP="008C1AD8">
      <w:pPr>
        <w:pStyle w:val="Bullet1"/>
      </w:pPr>
      <w:r w:rsidRPr="004B6431">
        <w:t xml:space="preserve">Understand how development under the Plan may contribute to </w:t>
      </w:r>
      <w:r>
        <w:t>or</w:t>
      </w:r>
      <w:r w:rsidRPr="004B6431">
        <w:t xml:space="preserve"> exacerbate th</w:t>
      </w:r>
      <w:r>
        <w:t>e</w:t>
      </w:r>
      <w:r w:rsidRPr="004B6431">
        <w:t xml:space="preserve">se </w:t>
      </w:r>
      <w:r>
        <w:t>threatening processes</w:t>
      </w:r>
      <w:r w:rsidRPr="004B6431">
        <w:t xml:space="preserve"> </w:t>
      </w:r>
    </w:p>
    <w:p w14:paraId="6AF42CC6" w14:textId="77777777" w:rsidR="008C1AD8" w:rsidRDefault="008C1AD8" w:rsidP="008C1AD8">
      <w:pPr>
        <w:pStyle w:val="Bullet1"/>
      </w:pPr>
      <w:r w:rsidRPr="004B6431">
        <w:t>Evaluate the adequacy of the Plan's proposed avoidance, mitigation, and offset commitments in relation to the</w:t>
      </w:r>
      <w:r>
        <w:t xml:space="preserve"> threatening processes</w:t>
      </w:r>
    </w:p>
    <w:p w14:paraId="3466A18A" w14:textId="77777777" w:rsidR="008C1AD8" w:rsidRDefault="008C1AD8" w:rsidP="008C1AD8">
      <w:pPr>
        <w:pStyle w:val="Heading2"/>
      </w:pPr>
      <w:bookmarkStart w:id="177" w:name="_Toc135122706"/>
      <w:r>
        <w:lastRenderedPageBreak/>
        <w:t>Overview and structure</w:t>
      </w:r>
      <w:bookmarkEnd w:id="177"/>
    </w:p>
    <w:p w14:paraId="604FFD7A" w14:textId="77777777" w:rsidR="008C1AD8" w:rsidRPr="00714612" w:rsidRDefault="008C1AD8" w:rsidP="008C1AD8">
      <w:r>
        <w:t xml:space="preserve">The CIA approach involved </w:t>
      </w:r>
      <w:r w:rsidRPr="00714612">
        <w:t>the following key components:</w:t>
      </w:r>
    </w:p>
    <w:p w14:paraId="77BC230F" w14:textId="77777777" w:rsidR="008C1AD8" w:rsidRPr="00714612" w:rsidRDefault="008C1AD8" w:rsidP="008C1AD8">
      <w:pPr>
        <w:pStyle w:val="Bullet1"/>
      </w:pPr>
      <w:r>
        <w:t xml:space="preserve">An understanding of the potential cumulative impacts and key </w:t>
      </w:r>
      <w:r w:rsidRPr="00714612">
        <w:t>threatening processes</w:t>
      </w:r>
      <w:r>
        <w:t xml:space="preserve"> for relevant protected matters</w:t>
      </w:r>
    </w:p>
    <w:p w14:paraId="0799EC51" w14:textId="77777777" w:rsidR="008C1AD8" w:rsidRPr="00714612" w:rsidRDefault="008C1AD8" w:rsidP="008C1AD8">
      <w:pPr>
        <w:pStyle w:val="Bullet1"/>
      </w:pPr>
      <w:r w:rsidRPr="00714612">
        <w:t>A quantitative assessment of cumulative direct impacts of the actions taken under the Plan and other projects in the Study Area on relevant protected matters</w:t>
      </w:r>
    </w:p>
    <w:p w14:paraId="370B8843" w14:textId="77777777" w:rsidR="008C1AD8" w:rsidRPr="00714612" w:rsidRDefault="008C1AD8" w:rsidP="008C1AD8">
      <w:pPr>
        <w:pStyle w:val="Bullet1"/>
      </w:pPr>
      <w:r w:rsidRPr="00714612">
        <w:t xml:space="preserve">A qualitative assessment of cumulative impacts to relevant protected matters in the </w:t>
      </w:r>
      <w:r>
        <w:t>region</w:t>
      </w:r>
      <w:r w:rsidRPr="00714612">
        <w:t xml:space="preserve"> which considers potential direct impacts of smaller-scale developments, in addition to potential indirect impacts associated with development more broadly </w:t>
      </w:r>
    </w:p>
    <w:p w14:paraId="50774BF4" w14:textId="77777777" w:rsidR="008C1AD8" w:rsidRPr="00714612" w:rsidRDefault="008C1AD8" w:rsidP="008C1AD8">
      <w:pPr>
        <w:pStyle w:val="Bullet1"/>
      </w:pPr>
      <w:r w:rsidRPr="00714612">
        <w:t xml:space="preserve">An evaluation of the adequacy of the Plan's proposed avoidance, mitigation, and offset commitments in relation to </w:t>
      </w:r>
      <w:r>
        <w:t>cumulative impacts</w:t>
      </w:r>
      <w:r w:rsidRPr="00714612">
        <w:t xml:space="preserve"> for relevant protected matters</w:t>
      </w:r>
    </w:p>
    <w:p w14:paraId="0BA9B2C6" w14:textId="77777777" w:rsidR="008C1AD8" w:rsidRPr="00714612" w:rsidRDefault="008C1AD8" w:rsidP="008C1AD8">
      <w:r w:rsidRPr="00714612">
        <w:t>The Chapter is structured as follows:</w:t>
      </w:r>
    </w:p>
    <w:p w14:paraId="083C1553" w14:textId="77777777" w:rsidR="008C1AD8" w:rsidRPr="00714612" w:rsidRDefault="008C1AD8" w:rsidP="008C1AD8">
      <w:pPr>
        <w:pStyle w:val="Bullet1"/>
      </w:pPr>
      <w:r w:rsidRPr="00714612">
        <w:t>The cumulative impacts and threatening processes within the Study Area are identified</w:t>
      </w:r>
    </w:p>
    <w:p w14:paraId="040AB7E5" w14:textId="77777777" w:rsidR="008C1AD8" w:rsidRPr="00714612" w:rsidRDefault="008C1AD8" w:rsidP="008C1AD8">
      <w:pPr>
        <w:pStyle w:val="Bullet1"/>
      </w:pPr>
      <w:r w:rsidRPr="00714612">
        <w:t xml:space="preserve">Relevant protected matters for </w:t>
      </w:r>
      <w:r>
        <w:t>each assessment (quantitative and qualitative)</w:t>
      </w:r>
      <w:r w:rsidRPr="00714612">
        <w:t xml:space="preserve"> are identified</w:t>
      </w:r>
    </w:p>
    <w:p w14:paraId="2A3D7C26" w14:textId="77777777" w:rsidR="008C1AD8" w:rsidRPr="00714612" w:rsidRDefault="008C1AD8" w:rsidP="008C1AD8">
      <w:pPr>
        <w:pStyle w:val="Bullet1"/>
      </w:pPr>
      <w:r w:rsidRPr="00714612">
        <w:t>The quantitative impact assessment is presented, which includes an evaluation of impacts to relevant protected matters</w:t>
      </w:r>
    </w:p>
    <w:p w14:paraId="13D07AE0" w14:textId="77777777" w:rsidR="008C1AD8" w:rsidRPr="00714612" w:rsidRDefault="008C1AD8" w:rsidP="008C1AD8">
      <w:pPr>
        <w:pStyle w:val="Bullet1"/>
      </w:pPr>
      <w:r w:rsidRPr="00714612">
        <w:t>The qualitative impact assessment is presented, which includes an evaluation of the Plan's proposed avoidance, mitigation, and offset commitments in relation to the relevant threats and pressures</w:t>
      </w:r>
    </w:p>
    <w:p w14:paraId="40069846" w14:textId="77777777" w:rsidR="008C1AD8" w:rsidRDefault="008C1AD8" w:rsidP="008C1AD8">
      <w:pPr>
        <w:pStyle w:val="Heading2"/>
      </w:pPr>
      <w:bookmarkStart w:id="178" w:name="_Toc135122707"/>
      <w:r>
        <w:t>Cumulative impacts and threatning processes</w:t>
      </w:r>
      <w:bookmarkEnd w:id="178"/>
    </w:p>
    <w:p w14:paraId="580C9869" w14:textId="77777777" w:rsidR="008C1AD8" w:rsidRDefault="008C1AD8" w:rsidP="008C1AD8">
      <w:pPr>
        <w:pStyle w:val="Heading3"/>
      </w:pPr>
      <w:r>
        <w:t>Cumulative impacts</w:t>
      </w:r>
    </w:p>
    <w:p w14:paraId="763FCBF5" w14:textId="77777777" w:rsidR="008C1AD8" w:rsidRDefault="008C1AD8" w:rsidP="008C1AD8">
      <w:r>
        <w:t xml:space="preserve">The direct and indirect impacts that may occur as a result of actions taken under the Plan are identified and described in </w:t>
      </w:r>
      <w:r w:rsidRPr="009E63A2">
        <w:t>Chapter 11</w:t>
      </w:r>
      <w:r w:rsidRPr="000302C7">
        <w:t>.</w:t>
      </w:r>
      <w:r>
        <w:t xml:space="preserve"> Direct impacts include direct damage to species or TECs, or their habitat, within the development land as a result of land clearing for development. Development under the Plan also has the potential to indirectly impact habitat and populations of MNES within the Growth Areas and the wider region. These indirect impacts relate to:</w:t>
      </w:r>
    </w:p>
    <w:p w14:paraId="088071B7" w14:textId="77777777" w:rsidR="008C1AD8" w:rsidRDefault="008C1AD8" w:rsidP="008C1AD8">
      <w:pPr>
        <w:pStyle w:val="Bullet1"/>
      </w:pPr>
      <w:r>
        <w:t>Changes to water flows and water quality</w:t>
      </w:r>
    </w:p>
    <w:p w14:paraId="429728C3" w14:textId="77777777" w:rsidR="008C1AD8" w:rsidRDefault="008C1AD8" w:rsidP="008C1AD8">
      <w:pPr>
        <w:pStyle w:val="Bullet1"/>
      </w:pPr>
      <w:r>
        <w:t>Spread of infection or disease</w:t>
      </w:r>
    </w:p>
    <w:p w14:paraId="3C038BEB" w14:textId="77777777" w:rsidR="008C1AD8" w:rsidRDefault="008C1AD8" w:rsidP="008C1AD8">
      <w:pPr>
        <w:pStyle w:val="Bullet1"/>
      </w:pPr>
      <w:r>
        <w:t>Spread of weeds</w:t>
      </w:r>
    </w:p>
    <w:p w14:paraId="6F1B905C" w14:textId="77777777" w:rsidR="008C1AD8" w:rsidRDefault="008C1AD8" w:rsidP="008C1AD8">
      <w:pPr>
        <w:pStyle w:val="Bullet1"/>
      </w:pPr>
      <w:r>
        <w:t>Predation or competition by pest or domestic fauna</w:t>
      </w:r>
    </w:p>
    <w:p w14:paraId="0F7DF909" w14:textId="77777777" w:rsidR="008C1AD8" w:rsidRDefault="008C1AD8" w:rsidP="008C1AD8">
      <w:pPr>
        <w:pStyle w:val="Bullet1"/>
      </w:pPr>
      <w:r>
        <w:t>Altered fire regimes</w:t>
      </w:r>
    </w:p>
    <w:p w14:paraId="6EC7790D" w14:textId="77777777" w:rsidR="008C1AD8" w:rsidRDefault="008C1AD8" w:rsidP="008C1AD8">
      <w:pPr>
        <w:pStyle w:val="Bullet1"/>
      </w:pPr>
      <w:r>
        <w:t>Disturbance from increased public access to natural areas</w:t>
      </w:r>
    </w:p>
    <w:p w14:paraId="757BDD0F" w14:textId="77777777" w:rsidR="008C1AD8" w:rsidRDefault="008C1AD8" w:rsidP="008C1AD8">
      <w:pPr>
        <w:pStyle w:val="Bullet1"/>
      </w:pPr>
      <w:r>
        <w:t>Fauna mortality and barriers to movement</w:t>
      </w:r>
    </w:p>
    <w:p w14:paraId="2BDC7386" w14:textId="77777777" w:rsidR="008C1AD8" w:rsidRDefault="008C1AD8" w:rsidP="008C1AD8">
      <w:pPr>
        <w:pStyle w:val="Bullet1"/>
      </w:pPr>
      <w:r>
        <w:t>Disturbance due to noise, dust, or light</w:t>
      </w:r>
    </w:p>
    <w:p w14:paraId="4348A4E2" w14:textId="77777777" w:rsidR="008C1AD8" w:rsidRDefault="008C1AD8" w:rsidP="008C1AD8">
      <w:pPr>
        <w:pStyle w:val="Bullet1"/>
      </w:pPr>
      <w:r>
        <w:t>Inadvertent impacts on adjacent habitat or vegetation</w:t>
      </w:r>
    </w:p>
    <w:p w14:paraId="54EA5DB3" w14:textId="77777777" w:rsidR="008C1AD8" w:rsidRDefault="008C1AD8" w:rsidP="008C1AD8">
      <w:r>
        <w:t>The direct and indirect impacts identified for Plan have the potential to have a cumulative effect on MNES in the Strategic Assessment Area and surrounding area, whereby the cumulative impacts from development under the Plan and other developments in the region result in combined effects that may be greater than the impact of an individual activity.</w:t>
      </w:r>
    </w:p>
    <w:p w14:paraId="3E196F93" w14:textId="77777777" w:rsidR="008C1AD8" w:rsidRDefault="008C1AD8" w:rsidP="008C1AD8">
      <w:pPr>
        <w:pStyle w:val="Heading3"/>
      </w:pPr>
      <w:r>
        <w:t>Cumulative threating processes</w:t>
      </w:r>
    </w:p>
    <w:p w14:paraId="70DA222E" w14:textId="77777777" w:rsidR="008C1AD8" w:rsidRDefault="008C1AD8" w:rsidP="008C1AD8">
      <w:r>
        <w:t xml:space="preserve">The impacts identified under the Plan have also been considered with regards to Key Threatening Processes (KTPs) identified under the EPBC Act. The impacts identified and their cumulative effect have the potential exacerbate </w:t>
      </w:r>
      <w:r w:rsidRPr="00BF4EFD">
        <w:t>exi</w:t>
      </w:r>
      <w:r>
        <w:t>s</w:t>
      </w:r>
      <w:r w:rsidRPr="00BF4EFD">
        <w:t xml:space="preserve">ting threating processes </w:t>
      </w:r>
      <w:r>
        <w:t xml:space="preserve">to MNES present within the Strategic Assessment Area and the surrounding region. The KTPs relevant to the Plan are identified in </w:t>
      </w:r>
      <w:r w:rsidRPr="009E63A2">
        <w:t>Chapter 17</w:t>
      </w:r>
      <w:r>
        <w:t xml:space="preserve"> and include:</w:t>
      </w:r>
    </w:p>
    <w:p w14:paraId="7B5E3F5C" w14:textId="77777777" w:rsidR="008C1AD8" w:rsidRDefault="008C1AD8" w:rsidP="008C1AD8">
      <w:pPr>
        <w:pStyle w:val="Bullet1"/>
      </w:pPr>
      <w:r>
        <w:t>Land clearance</w:t>
      </w:r>
    </w:p>
    <w:p w14:paraId="69B1A7FA" w14:textId="77777777" w:rsidR="008C1AD8" w:rsidRDefault="008C1AD8" w:rsidP="008C1AD8">
      <w:pPr>
        <w:pStyle w:val="Bullet1"/>
      </w:pPr>
      <w:r>
        <w:t>Competition and land degradation by rabbits</w:t>
      </w:r>
    </w:p>
    <w:p w14:paraId="5F860FE3" w14:textId="77777777" w:rsidR="008C1AD8" w:rsidRDefault="008C1AD8" w:rsidP="008C1AD8">
      <w:pPr>
        <w:pStyle w:val="Bullet1"/>
      </w:pPr>
      <w:r>
        <w:t>Competition and land degradation by unmanaged goats</w:t>
      </w:r>
    </w:p>
    <w:p w14:paraId="351C7126" w14:textId="77777777" w:rsidR="008C1AD8" w:rsidRDefault="008C1AD8" w:rsidP="008C1AD8">
      <w:pPr>
        <w:pStyle w:val="Bullet1"/>
      </w:pPr>
      <w:r>
        <w:lastRenderedPageBreak/>
        <w:t>Fire regimes that cause declines in biodiversity</w:t>
      </w:r>
    </w:p>
    <w:p w14:paraId="1F2D980C" w14:textId="77777777" w:rsidR="008C1AD8" w:rsidRDefault="008C1AD8" w:rsidP="008C1AD8">
      <w:pPr>
        <w:pStyle w:val="Bullet1"/>
      </w:pPr>
      <w:r>
        <w:t>Infection of amphibians with chytrid fungus resulting in chytridiomycosis</w:t>
      </w:r>
    </w:p>
    <w:p w14:paraId="332EC4A6" w14:textId="77777777" w:rsidR="008C1AD8" w:rsidRDefault="008C1AD8" w:rsidP="008C1AD8">
      <w:pPr>
        <w:pStyle w:val="Bullet1"/>
      </w:pPr>
      <w:r>
        <w:t>Loss and degradation of native plant and animal habitat by invasion of escaped garden plants</w:t>
      </w:r>
    </w:p>
    <w:p w14:paraId="243AE84D" w14:textId="77777777" w:rsidR="008C1AD8" w:rsidRDefault="008C1AD8" w:rsidP="008C1AD8">
      <w:pPr>
        <w:pStyle w:val="Bullet1"/>
      </w:pPr>
      <w:r>
        <w:t>Novel biota and their impact on biodiversity</w:t>
      </w:r>
    </w:p>
    <w:p w14:paraId="02EE9D34" w14:textId="77777777" w:rsidR="008C1AD8" w:rsidRDefault="008C1AD8" w:rsidP="008C1AD8">
      <w:pPr>
        <w:pStyle w:val="Bullet1"/>
      </w:pPr>
      <w:r>
        <w:t>Predation by feral cats</w:t>
      </w:r>
    </w:p>
    <w:p w14:paraId="17119575" w14:textId="77777777" w:rsidR="008C1AD8" w:rsidRDefault="008C1AD8" w:rsidP="008C1AD8">
      <w:pPr>
        <w:pStyle w:val="Bullet1"/>
      </w:pPr>
      <w:r>
        <w:t>Predation by European red fox</w:t>
      </w:r>
    </w:p>
    <w:p w14:paraId="189F5A83" w14:textId="77777777" w:rsidR="008C1AD8" w:rsidRDefault="008C1AD8" w:rsidP="008C1AD8">
      <w:pPr>
        <w:pStyle w:val="Bullet1"/>
      </w:pPr>
      <w:r>
        <w:t>Predation, habitat degradation, competition and disease transmission by feral pigs</w:t>
      </w:r>
    </w:p>
    <w:p w14:paraId="34601621" w14:textId="77777777" w:rsidR="008C1AD8" w:rsidRDefault="008C1AD8" w:rsidP="008C1AD8">
      <w:pPr>
        <w:pStyle w:val="Heading2"/>
      </w:pPr>
      <w:bookmarkStart w:id="179" w:name="_Toc135122708"/>
      <w:r>
        <w:t>MNES subject to the CIA</w:t>
      </w:r>
      <w:bookmarkEnd w:id="179"/>
    </w:p>
    <w:p w14:paraId="653DAEDA" w14:textId="77777777" w:rsidR="008C1AD8" w:rsidRDefault="008C1AD8" w:rsidP="008C1AD8">
      <w:pPr>
        <w:rPr>
          <w:lang w:val="en-GB"/>
        </w:rPr>
      </w:pPr>
      <w:r>
        <w:t>Relevant protected matters are</w:t>
      </w:r>
      <w:r>
        <w:rPr>
          <w:lang w:val="en-GB"/>
        </w:rPr>
        <w:t xml:space="preserve"> </w:t>
      </w:r>
      <w:r>
        <w:t xml:space="preserve">the protected matters that </w:t>
      </w:r>
      <w:r w:rsidRPr="009E2242">
        <w:rPr>
          <w:rFonts w:cs="Arial"/>
          <w:bCs/>
          <w:szCs w:val="24"/>
        </w:rPr>
        <w:t>may be impacted directly, indirectly and/or cumulatively by</w:t>
      </w:r>
      <w:r>
        <w:t xml:space="preserve"> actions proposed to be taken under the Plan (as defined in the Strategic Assessment Agreement)</w:t>
      </w:r>
      <w:r w:rsidRPr="000F04F6">
        <w:t>.</w:t>
      </w:r>
      <w:r>
        <w:t xml:space="preserve"> </w:t>
      </w:r>
      <w:r w:rsidRPr="009E63A2">
        <w:t>Chapter 18</w:t>
      </w:r>
      <w:r>
        <w:t xml:space="preserve"> of the SAR </w:t>
      </w:r>
      <w:r>
        <w:rPr>
          <w:lang w:val="en-GB"/>
        </w:rPr>
        <w:t>identifies relevant protected matters for the strategic assessment as the following:</w:t>
      </w:r>
    </w:p>
    <w:p w14:paraId="0A69CA40" w14:textId="77777777" w:rsidR="008C1AD8" w:rsidRDefault="008C1AD8" w:rsidP="008C1AD8">
      <w:pPr>
        <w:pStyle w:val="Bullet1"/>
      </w:pPr>
      <w:r>
        <w:t>One threatened ecological community</w:t>
      </w:r>
    </w:p>
    <w:p w14:paraId="17809FB1" w14:textId="77777777" w:rsidR="008C1AD8" w:rsidRPr="000302C7" w:rsidRDefault="008C1AD8" w:rsidP="008C1AD8">
      <w:pPr>
        <w:pStyle w:val="Bullet1"/>
      </w:pPr>
      <w:r>
        <w:t>20</w:t>
      </w:r>
      <w:r w:rsidRPr="000302C7">
        <w:t xml:space="preserve"> threatened species</w:t>
      </w:r>
    </w:p>
    <w:p w14:paraId="3C7B03BF" w14:textId="77777777" w:rsidR="008C1AD8" w:rsidRDefault="008C1AD8" w:rsidP="008C1AD8">
      <w:pPr>
        <w:pStyle w:val="Bullet1"/>
      </w:pPr>
      <w:r w:rsidRPr="009E63A2">
        <w:t>Seven</w:t>
      </w:r>
      <w:r>
        <w:t xml:space="preserve"> migratory species </w:t>
      </w:r>
    </w:p>
    <w:p w14:paraId="564B83F0" w14:textId="77777777" w:rsidR="008C1AD8" w:rsidRDefault="008C1AD8" w:rsidP="008C1AD8">
      <w:pPr>
        <w:pStyle w:val="Bullet1"/>
      </w:pPr>
      <w:r>
        <w:t>One Ramsar site</w:t>
      </w:r>
    </w:p>
    <w:p w14:paraId="2A1167F4" w14:textId="77777777" w:rsidR="008C1AD8" w:rsidRDefault="008C1AD8" w:rsidP="008C1AD8">
      <w:pPr>
        <w:pStyle w:val="Heading3"/>
      </w:pPr>
      <w:r>
        <w:t>Quantitative assessment</w:t>
      </w:r>
    </w:p>
    <w:p w14:paraId="78CDC657" w14:textId="77777777" w:rsidR="008C1AD8" w:rsidRDefault="008C1AD8" w:rsidP="008C1AD8">
      <w:r>
        <w:t>A quantitative CIA was undertaken for MNES that will be subject to direct impacts under the Plan and other projects in the Study Area (see Section 25.6). Only direct impacts are able to be accurately quantified and therefore this assessment was limited to relevant protected matters with direct impacts as a result of actions taken under the Plan. This includes:</w:t>
      </w:r>
    </w:p>
    <w:p w14:paraId="093EFB7C" w14:textId="77777777" w:rsidR="008C1AD8" w:rsidRDefault="008C1AD8" w:rsidP="008C1AD8">
      <w:pPr>
        <w:pStyle w:val="Bullet1"/>
      </w:pPr>
      <w:r>
        <w:t>Natural Temperate Grassland of the Victorian Volcanic Plain TEC</w:t>
      </w:r>
    </w:p>
    <w:p w14:paraId="50426B89" w14:textId="77777777" w:rsidR="008C1AD8" w:rsidRDefault="008C1AD8" w:rsidP="008C1AD8">
      <w:pPr>
        <w:pStyle w:val="Bullet1"/>
      </w:pPr>
      <w:r>
        <w:t>Striped Legless Lizard</w:t>
      </w:r>
    </w:p>
    <w:p w14:paraId="1F24360C" w14:textId="77777777" w:rsidR="008C1AD8" w:rsidRDefault="008C1AD8" w:rsidP="008C1AD8">
      <w:pPr>
        <w:pStyle w:val="Bullet1"/>
      </w:pPr>
      <w:r>
        <w:t>Golden Sun Moth</w:t>
      </w:r>
    </w:p>
    <w:p w14:paraId="4B3A2494" w14:textId="77777777" w:rsidR="008C1AD8" w:rsidRPr="00A042A0" w:rsidRDefault="008C1AD8" w:rsidP="008C1AD8">
      <w:r w:rsidRPr="00A042A0">
        <w:t xml:space="preserve">The </w:t>
      </w:r>
      <w:r>
        <w:t xml:space="preserve">quantitative CIA </w:t>
      </w:r>
      <w:r w:rsidRPr="00A042A0">
        <w:t xml:space="preserve">was </w:t>
      </w:r>
      <w:r>
        <w:t xml:space="preserve">undertaken </w:t>
      </w:r>
      <w:r w:rsidRPr="00A042A0">
        <w:t xml:space="preserve">based on habitat rather than impacts to records or populations because habitat was most widely available information to enable comparison between the Plan and across the </w:t>
      </w:r>
      <w:r>
        <w:t>other</w:t>
      </w:r>
      <w:r w:rsidRPr="00A042A0">
        <w:t xml:space="preserve"> projects.</w:t>
      </w:r>
      <w:r>
        <w:t xml:space="preserve"> </w:t>
      </w:r>
    </w:p>
    <w:p w14:paraId="109A20C7" w14:textId="77777777" w:rsidR="008C1AD8" w:rsidRDefault="008C1AD8" w:rsidP="008C1AD8">
      <w:r>
        <w:t>All other relevant protected matters were only subject to the qualitative CIA (see below).</w:t>
      </w:r>
    </w:p>
    <w:p w14:paraId="03E83210" w14:textId="77777777" w:rsidR="008C1AD8" w:rsidRDefault="008C1AD8" w:rsidP="008C1AD8">
      <w:pPr>
        <w:pStyle w:val="Heading3"/>
      </w:pPr>
      <w:r>
        <w:t>Qualitative assessment</w:t>
      </w:r>
    </w:p>
    <w:p w14:paraId="7DD53306" w14:textId="77777777" w:rsidR="008C1AD8" w:rsidRDefault="008C1AD8" w:rsidP="008C1AD8">
      <w:r>
        <w:t>The qualitative CIA was undertaken for all impacts of the Plan and other projects or actions in the region (see Section 25.7). This included direct impacts that could not be accurately quantified and indirect impacts. All relevant protected matters were considered in the qualitative CIA. However, this assessment was based around cumulative exacerbation of direct and indirect impacts relevant to the Plan, not through a CIA for each individual protected matter.</w:t>
      </w:r>
    </w:p>
    <w:p w14:paraId="77137B9E" w14:textId="77777777" w:rsidR="008C1AD8" w:rsidRPr="00637ED1" w:rsidRDefault="008C1AD8" w:rsidP="008C1AD8">
      <w:pPr>
        <w:pStyle w:val="Heading2"/>
      </w:pPr>
      <w:bookmarkStart w:id="180" w:name="_Toc135122709"/>
      <w:r>
        <w:t>Quantitative CIA</w:t>
      </w:r>
      <w:bookmarkEnd w:id="180"/>
    </w:p>
    <w:p w14:paraId="417A41C7" w14:textId="77777777" w:rsidR="008C1AD8" w:rsidRDefault="008C1AD8" w:rsidP="008C1AD8">
      <w:pPr>
        <w:pStyle w:val="Heading3"/>
      </w:pPr>
      <w:r>
        <w:t>Purpose of the quantitative CIA</w:t>
      </w:r>
    </w:p>
    <w:p w14:paraId="0A3A3FFF" w14:textId="77777777" w:rsidR="008C1AD8" w:rsidRPr="00B90DBF" w:rsidRDefault="008C1AD8" w:rsidP="008C1AD8">
      <w:r w:rsidRPr="00A042A0">
        <w:t>The purpose of the</w:t>
      </w:r>
      <w:r>
        <w:t xml:space="preserve"> quantitative</w:t>
      </w:r>
      <w:r w:rsidRPr="00A042A0">
        <w:t xml:space="preserve"> cumulative impact assessment is </w:t>
      </w:r>
      <w:r>
        <w:t>to evaluate cumulative impacts to relevant protected matters</w:t>
      </w:r>
      <w:r w:rsidRPr="00A042A0">
        <w:t xml:space="preserve"> </w:t>
      </w:r>
      <w:r>
        <w:t>directly</w:t>
      </w:r>
      <w:r w:rsidRPr="00A042A0">
        <w:t xml:space="preserve"> impacted under the Plan that are also </w:t>
      </w:r>
      <w:r>
        <w:t xml:space="preserve">directly </w:t>
      </w:r>
      <w:r w:rsidRPr="00A042A0">
        <w:t xml:space="preserve">impacted by </w:t>
      </w:r>
      <w:r w:rsidRPr="00B90DBF">
        <w:t>other projects in the</w:t>
      </w:r>
      <w:r w:rsidRPr="00A042A0">
        <w:t xml:space="preserve"> </w:t>
      </w:r>
      <w:r w:rsidRPr="007826C8">
        <w:t xml:space="preserve">Southern </w:t>
      </w:r>
      <w:r w:rsidRPr="00B90DBF">
        <w:t xml:space="preserve">Volcanic Plain bioregion </w:t>
      </w:r>
      <w:r>
        <w:t>by</w:t>
      </w:r>
      <w:r w:rsidRPr="00B90DBF">
        <w:t>:</w:t>
      </w:r>
    </w:p>
    <w:p w14:paraId="77B5BECC" w14:textId="77777777" w:rsidR="008C1AD8" w:rsidRPr="00A042A0" w:rsidRDefault="008C1AD8" w:rsidP="008C1AD8">
      <w:pPr>
        <w:pStyle w:val="Bullet1"/>
      </w:pPr>
      <w:r w:rsidRPr="00B90DBF">
        <w:t>Assess</w:t>
      </w:r>
      <w:r>
        <w:t>ing</w:t>
      </w:r>
      <w:r w:rsidRPr="00B90DBF">
        <w:t xml:space="preserve"> the significance of cumulative impacts across the Plan and the other projects</w:t>
      </w:r>
      <w:r w:rsidRPr="00A042A0">
        <w:t xml:space="preserve"> on these matters</w:t>
      </w:r>
    </w:p>
    <w:p w14:paraId="12659BE9" w14:textId="77777777" w:rsidR="008C1AD8" w:rsidRDefault="008C1AD8" w:rsidP="008C1AD8">
      <w:pPr>
        <w:pStyle w:val="Bullet1"/>
      </w:pPr>
      <w:r w:rsidRPr="00A042A0">
        <w:t>Determin</w:t>
      </w:r>
      <w:r>
        <w:t>ing</w:t>
      </w:r>
      <w:r w:rsidRPr="00A042A0">
        <w:t xml:space="preserve"> whether the commitments under the Plan to address direct impacts to each matter are adequate in the context of the cumulative impacts on those matters</w:t>
      </w:r>
    </w:p>
    <w:p w14:paraId="5F1B009A" w14:textId="77777777" w:rsidR="008C1AD8" w:rsidRDefault="008C1AD8" w:rsidP="008C1AD8">
      <w:pPr>
        <w:pStyle w:val="Heading3"/>
      </w:pPr>
      <w:r>
        <w:lastRenderedPageBreak/>
        <w:t>Identification of other projects</w:t>
      </w:r>
    </w:p>
    <w:p w14:paraId="29F2EE4F" w14:textId="77777777" w:rsidR="008C1AD8" w:rsidRDefault="008C1AD8" w:rsidP="008C1AD8">
      <w:pPr>
        <w:keepNext/>
        <w:keepLines/>
      </w:pPr>
      <w:r w:rsidRPr="00A042A0">
        <w:t xml:space="preserve">The assessment considers impacts from </w:t>
      </w:r>
      <w:r>
        <w:t>other</w:t>
      </w:r>
      <w:r w:rsidRPr="00A042A0">
        <w:t xml:space="preserve"> projects in the </w:t>
      </w:r>
      <w:r>
        <w:t>Study Area</w:t>
      </w:r>
      <w:r w:rsidRPr="00A042A0">
        <w:t>:</w:t>
      </w:r>
    </w:p>
    <w:p w14:paraId="67AD28C9" w14:textId="77777777" w:rsidR="008C1AD8" w:rsidRDefault="008C1AD8" w:rsidP="008C1AD8">
      <w:pPr>
        <w:pStyle w:val="Bullet1"/>
      </w:pPr>
      <w:r>
        <w:t>That are outside of the development land within the Growth Areas, as any development within this land is addressed by the Plan’s impact assessment</w:t>
      </w:r>
    </w:p>
    <w:p w14:paraId="790289EC" w14:textId="77777777" w:rsidR="008C1AD8" w:rsidRDefault="008C1AD8" w:rsidP="008C1AD8">
      <w:pPr>
        <w:pStyle w:val="Bullet1"/>
      </w:pPr>
      <w:r>
        <w:t xml:space="preserve">That have quantifiable impact footprints and offsets </w:t>
      </w:r>
    </w:p>
    <w:p w14:paraId="717219F1" w14:textId="77777777" w:rsidR="008C1AD8" w:rsidRDefault="008C1AD8" w:rsidP="008C1AD8">
      <w:pPr>
        <w:pStyle w:val="Bullet1"/>
      </w:pPr>
      <w:r>
        <w:t>That will directly impact threatened ecological communities, species populations and/or species habitat</w:t>
      </w:r>
    </w:p>
    <w:p w14:paraId="415A3274" w14:textId="77777777" w:rsidR="008C1AD8" w:rsidRDefault="008C1AD8" w:rsidP="008C1AD8">
      <w:pPr>
        <w:pStyle w:val="Bullet1"/>
      </w:pPr>
      <w:r w:rsidRPr="00A042A0">
        <w:t>That have been approved for development or have been subject to impact assessment for pending approval</w:t>
      </w:r>
    </w:p>
    <w:p w14:paraId="3C4E6861" w14:textId="77777777" w:rsidR="008C1AD8" w:rsidRDefault="008C1AD8" w:rsidP="008C1AD8">
      <w:pPr>
        <w:pStyle w:val="Bullet1"/>
      </w:pPr>
      <w:r w:rsidRPr="00A042A0">
        <w:t>Where clearing for development has not yet occurred or has only occurred over part of the project area to date</w:t>
      </w:r>
    </w:p>
    <w:p w14:paraId="27071BB8" w14:textId="77777777" w:rsidR="008C1AD8" w:rsidRDefault="008C1AD8" w:rsidP="008C1AD8">
      <w:r>
        <w:rPr>
          <w:highlight w:val="yellow"/>
        </w:rPr>
        <w:fldChar w:fldCharType="begin"/>
      </w:r>
      <w:r>
        <w:instrText xml:space="preserve"> REF _Ref115783395 \h </w:instrText>
      </w:r>
      <w:r>
        <w:rPr>
          <w:highlight w:val="yellow"/>
        </w:rPr>
      </w:r>
      <w:r>
        <w:rPr>
          <w:highlight w:val="yellow"/>
        </w:rPr>
        <w:fldChar w:fldCharType="separate"/>
      </w:r>
      <w:r>
        <w:t xml:space="preserve">Table </w:t>
      </w:r>
      <w:r>
        <w:rPr>
          <w:noProof/>
        </w:rPr>
        <w:t>25</w:t>
      </w:r>
      <w:r>
        <w:noBreakHyphen/>
      </w:r>
      <w:r>
        <w:rPr>
          <w:noProof/>
        </w:rPr>
        <w:t>1</w:t>
      </w:r>
      <w:r>
        <w:rPr>
          <w:highlight w:val="yellow"/>
        </w:rPr>
        <w:fldChar w:fldCharType="end"/>
      </w:r>
      <w:r>
        <w:t xml:space="preserve"> </w:t>
      </w:r>
      <w:r w:rsidRPr="00A042A0">
        <w:t xml:space="preserve">identifies the </w:t>
      </w:r>
      <w:r>
        <w:t>other</w:t>
      </w:r>
      <w:r w:rsidRPr="00A042A0">
        <w:t xml:space="preserve"> projects included in the cumulative impact assessment and data availability for each project.</w:t>
      </w:r>
      <w:r>
        <w:t xml:space="preserve"> </w:t>
      </w:r>
      <w:r w:rsidRPr="00A042A0">
        <w:t>The location of each project is shown in</w:t>
      </w:r>
      <w:r>
        <w:t xml:space="preserve"> </w:t>
      </w:r>
      <w:hyperlink r:id="rId100" w:history="1">
        <w:r w:rsidRPr="00466211">
          <w:rPr>
            <w:rStyle w:val="Hyperlink"/>
          </w:rPr>
          <w:t>Map 25-1</w:t>
        </w:r>
      </w:hyperlink>
      <w:r w:rsidRPr="000302C7">
        <w:t>.</w:t>
      </w:r>
      <w:r w:rsidRPr="002527C7">
        <w:t xml:space="preserve"> </w:t>
      </w:r>
    </w:p>
    <w:p w14:paraId="56BF2A73" w14:textId="77777777" w:rsidR="008C1AD8" w:rsidRDefault="008C1AD8" w:rsidP="008C1AD8">
      <w:r>
        <w:t>The Study Area was used as the boundary or scale for undertaking the quantitative CIA. This scale is considered appropriate for the quantitative CIA because:</w:t>
      </w:r>
    </w:p>
    <w:p w14:paraId="7ECC57FD" w14:textId="77777777" w:rsidR="008C1AD8" w:rsidRDefault="008C1AD8" w:rsidP="008C1AD8">
      <w:pPr>
        <w:pStyle w:val="Bullet1"/>
      </w:pPr>
      <w:r>
        <w:t xml:space="preserve">It provides a clearly defined area for cumulative impact assessment which is extends into the wider region </w:t>
      </w:r>
    </w:p>
    <w:p w14:paraId="0058796E" w14:textId="77777777" w:rsidR="008C1AD8" w:rsidRDefault="008C1AD8" w:rsidP="008C1AD8">
      <w:pPr>
        <w:pStyle w:val="Bullet1"/>
      </w:pPr>
      <w:r>
        <w:t xml:space="preserve">Allows cumulative assessment for MNES that are in the same bioregion and locality as the Growth Areas and are therefore subject to similar cumulative pressures and threats </w:t>
      </w:r>
    </w:p>
    <w:p w14:paraId="5D370F75" w14:textId="77777777" w:rsidR="008C1AD8" w:rsidRDefault="008C1AD8" w:rsidP="008C1AD8">
      <w:pPr>
        <w:pStyle w:val="Bullet1"/>
      </w:pPr>
      <w:r>
        <w:t xml:space="preserve">Has an appropriate level of data availability to undertake a quantitative assessment </w:t>
      </w:r>
    </w:p>
    <w:p w14:paraId="2458D293" w14:textId="77777777" w:rsidR="008C1AD8" w:rsidRDefault="008C1AD8" w:rsidP="008C1AD8">
      <w:r>
        <w:t xml:space="preserve">Note that the Strategic Assessment Area includes the entire NGGA as described in the Framework Plan but only includes the northern portion of the WGGA (the </w:t>
      </w:r>
      <w:r w:rsidRPr="00073152">
        <w:t>Creamery Road and Batesford North</w:t>
      </w:r>
      <w:r>
        <w:t xml:space="preserve"> precincts). The remaining section of the WGGA identified in the Framework Plan covers 2,472.3 ha and has been excluded from the strategic assessment </w:t>
      </w:r>
      <w:r w:rsidRPr="00073152">
        <w:t>due to a lack of information and resolution relating to a range of factors needed to support and rationali</w:t>
      </w:r>
      <w:r>
        <w:t>s</w:t>
      </w:r>
      <w:r w:rsidRPr="00073152">
        <w:t>e a full assessment and approval under the EPBC Act. Th</w:t>
      </w:r>
      <w:r>
        <w:t>is</w:t>
      </w:r>
      <w:r w:rsidRPr="00073152">
        <w:t xml:space="preserve"> include</w:t>
      </w:r>
      <w:r>
        <w:t>s</w:t>
      </w:r>
      <w:r w:rsidRPr="00073152">
        <w:t xml:space="preserve"> the</w:t>
      </w:r>
      <w:r>
        <w:t xml:space="preserve"> </w:t>
      </w:r>
      <w:r w:rsidRPr="00073152">
        <w:t>anticipated development demand and timing</w:t>
      </w:r>
      <w:r>
        <w:t>,</w:t>
      </w:r>
      <w:r w:rsidRPr="00073152">
        <w:t xml:space="preserve"> and the detailed plans for decommission and rehabilitati</w:t>
      </w:r>
      <w:r>
        <w:t>on of</w:t>
      </w:r>
      <w:r w:rsidRPr="00073152">
        <w:t xml:space="preserve"> the </w:t>
      </w:r>
      <w:r>
        <w:t>active</w:t>
      </w:r>
      <w:r w:rsidRPr="00073152">
        <w:t xml:space="preserve"> quarry.</w:t>
      </w:r>
    </w:p>
    <w:p w14:paraId="7E9315CF" w14:textId="77777777" w:rsidR="008C1AD8" w:rsidRDefault="008C1AD8" w:rsidP="008C1AD8">
      <w:r>
        <w:t xml:space="preserve">Although the southern portion of the WGGA was excluded from the Strategic Assessment Area and has not been submitted for approval, it is included within this cumulative impact assessment. This is because development of the area for urban growth is identified within the State planning framework and is therefore likely to be undertaken and contribute to cumulative impacts to MNES in the region. </w:t>
      </w:r>
    </w:p>
    <w:p w14:paraId="6BB8A02E" w14:textId="77777777" w:rsidR="008C1AD8" w:rsidRDefault="008C1AD8" w:rsidP="008C1AD8">
      <w:r>
        <w:t>The data available for the WGGA is limited compared to the other quantifiable projects as the development areas have not yet been surveyed and finalised, and offsets have not yet been identified. For the purposes of the CIA, the direct impacts from development of the southern WGGA are based on the layout of development land identified in the Framework Plan. This is therefore a conservative approach as the area will be subject to a further avoidance process to identify land avoided and/or protected for conservation purposes.</w:t>
      </w:r>
    </w:p>
    <w:p w14:paraId="24E5F9D3" w14:textId="77777777" w:rsidR="008C1AD8" w:rsidRDefault="008C1AD8" w:rsidP="008C1AD8">
      <w:pPr>
        <w:pStyle w:val="Heading3"/>
      </w:pPr>
      <w:bookmarkStart w:id="181" w:name="_Ref116639130"/>
      <w:r>
        <w:t xml:space="preserve">Identification of at risk </w:t>
      </w:r>
      <w:bookmarkEnd w:id="181"/>
      <w:r>
        <w:t xml:space="preserve">matters </w:t>
      </w:r>
    </w:p>
    <w:p w14:paraId="25ADE9E6" w14:textId="77777777" w:rsidR="008C1AD8" w:rsidRPr="00A042A0" w:rsidRDefault="008C1AD8" w:rsidP="008C1AD8">
      <w:r w:rsidRPr="00A042A0">
        <w:t xml:space="preserve">The </w:t>
      </w:r>
      <w:r>
        <w:t>relevant protected matters</w:t>
      </w:r>
      <w:r w:rsidRPr="00A042A0">
        <w:t xml:space="preserve"> that are most likely at risk from cumulative impacts are those matters where:</w:t>
      </w:r>
    </w:p>
    <w:p w14:paraId="1BF2D2A8" w14:textId="77777777" w:rsidR="008C1AD8" w:rsidRPr="00B5182E" w:rsidRDefault="008C1AD8" w:rsidP="008C1AD8">
      <w:pPr>
        <w:pStyle w:val="Bullet1"/>
      </w:pPr>
      <w:r w:rsidRPr="00B5182E">
        <w:t>The Plan is having a notable impact (it is not within the scope of the Plan to address cumulative impacts from other projects on species/TECs that are subject to negligible or minor impacts under the Plan), AND</w:t>
      </w:r>
    </w:p>
    <w:p w14:paraId="4D88300D" w14:textId="77777777" w:rsidR="008C1AD8" w:rsidRPr="00B5182E" w:rsidRDefault="008C1AD8" w:rsidP="008C1AD8">
      <w:pPr>
        <w:pStyle w:val="Bullet1"/>
      </w:pPr>
      <w:r w:rsidRPr="00B5182E">
        <w:t>The other projects make a significant contribution to cumulative impacts (</w:t>
      </w:r>
      <w:r>
        <w:t>relevant protected matters</w:t>
      </w:r>
      <w:r w:rsidRPr="00B5182E">
        <w:t xml:space="preserve"> not substantially impacted by other projects only need to be addressed in terms of the impacts of the Plan). This was considered to be where:</w:t>
      </w:r>
    </w:p>
    <w:p w14:paraId="7CA84553" w14:textId="77777777" w:rsidR="008C1AD8" w:rsidRPr="00B5182E" w:rsidRDefault="008C1AD8" w:rsidP="008C1AD8">
      <w:pPr>
        <w:pStyle w:val="Bullet2"/>
      </w:pPr>
      <w:r w:rsidRPr="00B5182E">
        <w:t xml:space="preserve">Other projects have a total impact greater than 100 per cent of the impact of the Plan, or </w:t>
      </w:r>
    </w:p>
    <w:p w14:paraId="5E7882DA" w14:textId="77777777" w:rsidR="008C1AD8" w:rsidRPr="00B5182E" w:rsidRDefault="008C1AD8" w:rsidP="008C1AD8">
      <w:pPr>
        <w:pStyle w:val="Bullet2"/>
      </w:pPr>
      <w:r w:rsidRPr="00B5182E">
        <w:t>Other projects have a total impact greater than 2 per cent of remaining habitat within the Study Area, AND</w:t>
      </w:r>
    </w:p>
    <w:p w14:paraId="5040CF38" w14:textId="77777777" w:rsidR="008C1AD8" w:rsidRPr="00B5182E" w:rsidRDefault="008C1AD8" w:rsidP="008C1AD8">
      <w:pPr>
        <w:pStyle w:val="Bullet1"/>
      </w:pPr>
      <w:r w:rsidRPr="00B5182E">
        <w:t>There is a significant total cumulative impact from the Plan and major projects – this was considered to be where cumulative impacts were greater than 5 per cent of remaining habitat within the Study Area</w:t>
      </w:r>
    </w:p>
    <w:p w14:paraId="615A7201" w14:textId="77777777" w:rsidR="008C1AD8" w:rsidRPr="00A042A0" w:rsidRDefault="008C1AD8" w:rsidP="008C1AD8">
      <w:pPr>
        <w:pStyle w:val="Heading3"/>
      </w:pPr>
      <w:r w:rsidRPr="00A042A0">
        <w:lastRenderedPageBreak/>
        <w:t>Limitations</w:t>
      </w:r>
    </w:p>
    <w:p w14:paraId="65D48852" w14:textId="77777777" w:rsidR="008C1AD8" w:rsidRPr="00A042A0" w:rsidRDefault="008C1AD8" w:rsidP="008C1AD8">
      <w:pPr>
        <w:keepNext/>
        <w:keepLines/>
      </w:pPr>
      <w:r w:rsidRPr="00A042A0">
        <w:t xml:space="preserve">The </w:t>
      </w:r>
      <w:r>
        <w:t>quantitative CIA</w:t>
      </w:r>
      <w:r w:rsidRPr="00A042A0">
        <w:t xml:space="preserve"> has the following limitations:</w:t>
      </w:r>
    </w:p>
    <w:p w14:paraId="257EAA93" w14:textId="77777777" w:rsidR="008C1AD8" w:rsidRDefault="008C1AD8" w:rsidP="008C1AD8">
      <w:pPr>
        <w:pStyle w:val="Bullet1"/>
        <w:keepNext/>
        <w:keepLines/>
        <w:ind w:left="357" w:hanging="357"/>
      </w:pPr>
      <w:r>
        <w:t>Only known projects with publicly available information could be included (either through EPBC referral or state planning)</w:t>
      </w:r>
    </w:p>
    <w:p w14:paraId="07629BC1" w14:textId="77777777" w:rsidR="008C1AD8" w:rsidRPr="00A042A0" w:rsidRDefault="008C1AD8" w:rsidP="008C1AD8">
      <w:pPr>
        <w:pStyle w:val="Bullet1"/>
        <w:keepNext/>
        <w:keepLines/>
        <w:ind w:left="357" w:hanging="357"/>
      </w:pPr>
      <w:r>
        <w:t>Detailed d</w:t>
      </w:r>
      <w:r w:rsidRPr="00A042A0">
        <w:t>ata in relation to impacts or offsets was not always available for each project</w:t>
      </w:r>
    </w:p>
    <w:p w14:paraId="6CFDE020" w14:textId="77777777" w:rsidR="008C1AD8" w:rsidRPr="00A042A0" w:rsidRDefault="008C1AD8" w:rsidP="008C1AD8">
      <w:pPr>
        <w:pStyle w:val="Bullet1"/>
        <w:keepNext/>
        <w:keepLines/>
        <w:ind w:left="357" w:hanging="357"/>
      </w:pPr>
      <w:r w:rsidRPr="00A042A0">
        <w:t>Data was not always available in a form that allowed consistent comparison across major projects or the Plan</w:t>
      </w:r>
      <w:r w:rsidRPr="001106E6">
        <w:t>. For example</w:t>
      </w:r>
      <w:r w:rsidRPr="00B52E7B">
        <w:t>, the Plan assesses species habitat in terms of known</w:t>
      </w:r>
      <w:r>
        <w:t xml:space="preserve"> habitat from a combination of surveys, records and modelling (refer to Chapter 13 of Part 3) and potential habitat</w:t>
      </w:r>
      <w:r w:rsidRPr="001106E6">
        <w:t>, whereas some major projects assess species habitat in terms of known or likely habitat (as these assessments are done at a finer scale) or a combination of both</w:t>
      </w:r>
    </w:p>
    <w:p w14:paraId="628C217C" w14:textId="77777777" w:rsidR="008C1AD8" w:rsidRPr="00AB3AF2" w:rsidRDefault="008C1AD8" w:rsidP="008C1AD8">
      <w:pPr>
        <w:pStyle w:val="Bullet1"/>
      </w:pPr>
      <w:r w:rsidRPr="00AB3AF2">
        <w:t xml:space="preserve">Due to data availability, cumulative impacts were not considered in terms of indirect impacts. Refer to </w:t>
      </w:r>
      <w:r w:rsidRPr="009E63A2">
        <w:t>Section 25.7</w:t>
      </w:r>
      <w:r w:rsidRPr="00AB3AF2">
        <w:t xml:space="preserve"> for evaluation of indirect impacts associated with cumulative impacts more broadly </w:t>
      </w:r>
    </w:p>
    <w:p w14:paraId="34ED879C" w14:textId="77777777" w:rsidR="008C1AD8" w:rsidRDefault="008C1AD8" w:rsidP="008C1AD8">
      <w:pPr>
        <w:sectPr w:rsidR="008C1AD8" w:rsidSect="00BF0FA8">
          <w:footerReference w:type="default" r:id="rId101"/>
          <w:pgSz w:w="11900" w:h="16840"/>
          <w:pgMar w:top="1247" w:right="1134" w:bottom="1247" w:left="1134" w:header="708" w:footer="708" w:gutter="0"/>
          <w:pgNumType w:start="1" w:chapStyle="1"/>
          <w:cols w:space="708"/>
          <w:docGrid w:linePitch="360"/>
        </w:sectPr>
      </w:pPr>
    </w:p>
    <w:p w14:paraId="1778454A" w14:textId="77777777" w:rsidR="008C1AD8" w:rsidRPr="008155F3" w:rsidRDefault="008C1AD8" w:rsidP="008C1AD8">
      <w:pPr>
        <w:pStyle w:val="Caption"/>
        <w:keepNext/>
      </w:pPr>
      <w:bookmarkStart w:id="182" w:name="_Ref115783395"/>
      <w:bookmarkStart w:id="183" w:name="_Toc135122734"/>
      <w:r>
        <w:lastRenderedPageBreak/>
        <w:t xml:space="preserve">Table </w:t>
      </w:r>
      <w:r>
        <w:fldChar w:fldCharType="begin"/>
      </w:r>
      <w:r>
        <w:instrText xml:space="preserve"> STYLEREF 1 \s </w:instrText>
      </w:r>
      <w:r>
        <w:fldChar w:fldCharType="separate"/>
      </w:r>
      <w:r>
        <w:rPr>
          <w:noProof/>
        </w:rPr>
        <w:t>25</w:t>
      </w:r>
      <w:r>
        <w:fldChar w:fldCharType="end"/>
      </w:r>
      <w:r>
        <w:noBreakHyphen/>
      </w:r>
      <w:r>
        <w:fldChar w:fldCharType="begin"/>
      </w:r>
      <w:r>
        <w:instrText xml:space="preserve"> SEQ Table \* ARABIC \s 1 </w:instrText>
      </w:r>
      <w:r>
        <w:fldChar w:fldCharType="separate"/>
      </w:r>
      <w:r>
        <w:rPr>
          <w:noProof/>
        </w:rPr>
        <w:t>1</w:t>
      </w:r>
      <w:r>
        <w:fldChar w:fldCharType="end"/>
      </w:r>
      <w:bookmarkEnd w:id="182"/>
      <w:r>
        <w:t xml:space="preserve">: Other </w:t>
      </w:r>
      <w:r w:rsidRPr="00F20289">
        <w:t xml:space="preserve">projects included in the </w:t>
      </w:r>
      <w:r>
        <w:t xml:space="preserve">quantitative </w:t>
      </w:r>
      <w:r w:rsidRPr="00F20289">
        <w:t>cumulative impact assessment and data availability</w:t>
      </w:r>
      <w:bookmarkEnd w:id="183"/>
    </w:p>
    <w:tbl>
      <w:tblPr>
        <w:tblStyle w:val="TableGrid"/>
        <w:tblW w:w="5000" w:type="pct"/>
        <w:tblLook w:val="04A0" w:firstRow="1" w:lastRow="0" w:firstColumn="1" w:lastColumn="0" w:noHBand="0" w:noVBand="1"/>
      </w:tblPr>
      <w:tblGrid>
        <w:gridCol w:w="1270"/>
        <w:gridCol w:w="2979"/>
        <w:gridCol w:w="3260"/>
        <w:gridCol w:w="1806"/>
        <w:gridCol w:w="1738"/>
        <w:gridCol w:w="1611"/>
        <w:gridCol w:w="1672"/>
      </w:tblGrid>
      <w:tr w:rsidR="008C1AD8" w:rsidRPr="00A042A0" w14:paraId="1397BA91" w14:textId="77777777" w:rsidTr="00A15226">
        <w:trPr>
          <w:tblHeader/>
        </w:trPr>
        <w:tc>
          <w:tcPr>
            <w:tcW w:w="443" w:type="pct"/>
            <w:vMerge w:val="restart"/>
            <w:shd w:val="clear" w:color="auto" w:fill="D9D9D9" w:themeFill="background1" w:themeFillShade="D9"/>
            <w:vAlign w:val="center"/>
          </w:tcPr>
          <w:p w14:paraId="7C06E4A5" w14:textId="77777777" w:rsidR="008C1AD8" w:rsidRPr="00D942B8" w:rsidRDefault="008C1AD8" w:rsidP="00A15226">
            <w:pPr>
              <w:pStyle w:val="Tabletext"/>
              <w:rPr>
                <w:b/>
                <w:bCs/>
                <w:sz w:val="16"/>
                <w:szCs w:val="18"/>
              </w:rPr>
            </w:pPr>
            <w:r w:rsidRPr="00D942B8">
              <w:rPr>
                <w:b/>
                <w:bCs/>
                <w:sz w:val="16"/>
                <w:szCs w:val="18"/>
              </w:rPr>
              <w:t>Project *</w:t>
            </w:r>
          </w:p>
        </w:tc>
        <w:tc>
          <w:tcPr>
            <w:tcW w:w="1039" w:type="pct"/>
            <w:vMerge w:val="restart"/>
            <w:shd w:val="clear" w:color="auto" w:fill="D9D9D9" w:themeFill="background1" w:themeFillShade="D9"/>
            <w:vAlign w:val="center"/>
          </w:tcPr>
          <w:p w14:paraId="2F7E9A0F" w14:textId="77777777" w:rsidR="008C1AD8" w:rsidRPr="00D942B8" w:rsidRDefault="008C1AD8" w:rsidP="00A15226">
            <w:pPr>
              <w:pStyle w:val="Tabletext"/>
              <w:rPr>
                <w:b/>
                <w:bCs/>
                <w:sz w:val="16"/>
                <w:szCs w:val="18"/>
              </w:rPr>
            </w:pPr>
            <w:r w:rsidRPr="00D942B8">
              <w:rPr>
                <w:b/>
                <w:bCs/>
                <w:sz w:val="16"/>
                <w:szCs w:val="18"/>
              </w:rPr>
              <w:t>Comments</w:t>
            </w:r>
          </w:p>
        </w:tc>
        <w:tc>
          <w:tcPr>
            <w:tcW w:w="1137" w:type="pct"/>
            <w:vMerge w:val="restart"/>
            <w:shd w:val="clear" w:color="auto" w:fill="D9D9D9" w:themeFill="background1" w:themeFillShade="D9"/>
            <w:vAlign w:val="center"/>
          </w:tcPr>
          <w:p w14:paraId="26E8FE8D" w14:textId="77777777" w:rsidR="008C1AD8" w:rsidRPr="00D942B8" w:rsidRDefault="008C1AD8" w:rsidP="00A15226">
            <w:pPr>
              <w:pStyle w:val="Tabletext"/>
              <w:rPr>
                <w:b/>
                <w:bCs/>
                <w:sz w:val="16"/>
                <w:szCs w:val="18"/>
              </w:rPr>
            </w:pPr>
            <w:r w:rsidRPr="00D942B8">
              <w:rPr>
                <w:b/>
                <w:bCs/>
                <w:sz w:val="16"/>
                <w:szCs w:val="18"/>
              </w:rPr>
              <w:t>Data source</w:t>
            </w:r>
          </w:p>
        </w:tc>
        <w:tc>
          <w:tcPr>
            <w:tcW w:w="2381" w:type="pct"/>
            <w:gridSpan w:val="4"/>
            <w:shd w:val="clear" w:color="auto" w:fill="D9D9D9" w:themeFill="background1" w:themeFillShade="D9"/>
            <w:vAlign w:val="center"/>
          </w:tcPr>
          <w:p w14:paraId="537A3D8A" w14:textId="77777777" w:rsidR="008C1AD8" w:rsidRPr="00D942B8" w:rsidRDefault="008C1AD8" w:rsidP="00A15226">
            <w:pPr>
              <w:pStyle w:val="Tabletext"/>
              <w:jc w:val="center"/>
              <w:rPr>
                <w:b/>
                <w:bCs/>
                <w:sz w:val="16"/>
                <w:szCs w:val="18"/>
              </w:rPr>
            </w:pPr>
            <w:r w:rsidRPr="00D942B8">
              <w:rPr>
                <w:b/>
                <w:bCs/>
                <w:sz w:val="16"/>
                <w:szCs w:val="18"/>
              </w:rPr>
              <w:t>Data used in the cumulative impact assessment</w:t>
            </w:r>
          </w:p>
        </w:tc>
      </w:tr>
      <w:tr w:rsidR="008C1AD8" w:rsidRPr="00A042A0" w14:paraId="3D2AB455" w14:textId="77777777" w:rsidTr="00A15226">
        <w:trPr>
          <w:tblHeader/>
        </w:trPr>
        <w:tc>
          <w:tcPr>
            <w:tcW w:w="443" w:type="pct"/>
            <w:vMerge/>
            <w:shd w:val="clear" w:color="auto" w:fill="D9D9D9" w:themeFill="background1" w:themeFillShade="D9"/>
            <w:vAlign w:val="center"/>
          </w:tcPr>
          <w:p w14:paraId="3EDD0193" w14:textId="77777777" w:rsidR="008C1AD8" w:rsidRPr="00D942B8" w:rsidRDefault="008C1AD8" w:rsidP="00A15226">
            <w:pPr>
              <w:pStyle w:val="Tabletext"/>
              <w:rPr>
                <w:b/>
                <w:bCs/>
                <w:sz w:val="16"/>
                <w:szCs w:val="18"/>
              </w:rPr>
            </w:pPr>
          </w:p>
        </w:tc>
        <w:tc>
          <w:tcPr>
            <w:tcW w:w="1039" w:type="pct"/>
            <w:vMerge/>
            <w:shd w:val="clear" w:color="auto" w:fill="D9D9D9" w:themeFill="background1" w:themeFillShade="D9"/>
            <w:vAlign w:val="center"/>
          </w:tcPr>
          <w:p w14:paraId="3F924762" w14:textId="77777777" w:rsidR="008C1AD8" w:rsidRPr="00D942B8" w:rsidRDefault="008C1AD8" w:rsidP="00A15226">
            <w:pPr>
              <w:pStyle w:val="Tabletext"/>
              <w:rPr>
                <w:b/>
                <w:bCs/>
                <w:sz w:val="16"/>
                <w:szCs w:val="18"/>
              </w:rPr>
            </w:pPr>
          </w:p>
        </w:tc>
        <w:tc>
          <w:tcPr>
            <w:tcW w:w="1137" w:type="pct"/>
            <w:vMerge/>
            <w:shd w:val="clear" w:color="auto" w:fill="D9D9D9" w:themeFill="background1" w:themeFillShade="D9"/>
            <w:vAlign w:val="center"/>
          </w:tcPr>
          <w:p w14:paraId="69C9526A" w14:textId="77777777" w:rsidR="008C1AD8" w:rsidRPr="00D942B8" w:rsidRDefault="008C1AD8" w:rsidP="00A15226">
            <w:pPr>
              <w:pStyle w:val="Tabletext"/>
              <w:rPr>
                <w:b/>
                <w:bCs/>
                <w:sz w:val="16"/>
                <w:szCs w:val="18"/>
              </w:rPr>
            </w:pPr>
          </w:p>
        </w:tc>
        <w:tc>
          <w:tcPr>
            <w:tcW w:w="1236" w:type="pct"/>
            <w:gridSpan w:val="2"/>
            <w:shd w:val="clear" w:color="auto" w:fill="D9D9D9" w:themeFill="background1" w:themeFillShade="D9"/>
            <w:vAlign w:val="center"/>
          </w:tcPr>
          <w:p w14:paraId="6B6BA836" w14:textId="77777777" w:rsidR="008C1AD8" w:rsidRPr="00D942B8" w:rsidRDefault="008C1AD8" w:rsidP="00A15226">
            <w:pPr>
              <w:pStyle w:val="Tabletext"/>
              <w:jc w:val="center"/>
              <w:rPr>
                <w:b/>
                <w:bCs/>
                <w:sz w:val="16"/>
                <w:szCs w:val="18"/>
              </w:rPr>
            </w:pPr>
            <w:r w:rsidRPr="00D942B8">
              <w:rPr>
                <w:b/>
                <w:bCs/>
                <w:sz w:val="16"/>
                <w:szCs w:val="18"/>
              </w:rPr>
              <w:t>Impact data</w:t>
            </w:r>
          </w:p>
        </w:tc>
        <w:tc>
          <w:tcPr>
            <w:tcW w:w="1145" w:type="pct"/>
            <w:gridSpan w:val="2"/>
            <w:shd w:val="clear" w:color="auto" w:fill="D9D9D9" w:themeFill="background1" w:themeFillShade="D9"/>
            <w:vAlign w:val="center"/>
          </w:tcPr>
          <w:p w14:paraId="1C211B8D" w14:textId="77777777" w:rsidR="008C1AD8" w:rsidRPr="00D942B8" w:rsidRDefault="008C1AD8" w:rsidP="00A15226">
            <w:pPr>
              <w:pStyle w:val="Tabletext"/>
              <w:jc w:val="center"/>
              <w:rPr>
                <w:b/>
                <w:bCs/>
                <w:sz w:val="16"/>
                <w:szCs w:val="18"/>
              </w:rPr>
            </w:pPr>
            <w:r w:rsidRPr="00D942B8">
              <w:rPr>
                <w:b/>
                <w:bCs/>
                <w:sz w:val="16"/>
                <w:szCs w:val="18"/>
              </w:rPr>
              <w:t>Offset data</w:t>
            </w:r>
          </w:p>
        </w:tc>
      </w:tr>
      <w:tr w:rsidR="008C1AD8" w:rsidRPr="00A042A0" w14:paraId="16C5071F" w14:textId="77777777" w:rsidTr="00A15226">
        <w:trPr>
          <w:tblHeader/>
        </w:trPr>
        <w:tc>
          <w:tcPr>
            <w:tcW w:w="443" w:type="pct"/>
            <w:vMerge/>
            <w:shd w:val="clear" w:color="auto" w:fill="D9D9D9" w:themeFill="background1" w:themeFillShade="D9"/>
            <w:vAlign w:val="center"/>
          </w:tcPr>
          <w:p w14:paraId="2A54FEFE" w14:textId="77777777" w:rsidR="008C1AD8" w:rsidRPr="00D942B8" w:rsidRDefault="008C1AD8" w:rsidP="00A15226">
            <w:pPr>
              <w:pStyle w:val="Tabletext"/>
              <w:rPr>
                <w:b/>
                <w:bCs/>
                <w:sz w:val="16"/>
                <w:szCs w:val="18"/>
              </w:rPr>
            </w:pPr>
          </w:p>
        </w:tc>
        <w:tc>
          <w:tcPr>
            <w:tcW w:w="1039" w:type="pct"/>
            <w:vMerge/>
            <w:shd w:val="clear" w:color="auto" w:fill="D9D9D9" w:themeFill="background1" w:themeFillShade="D9"/>
            <w:vAlign w:val="center"/>
          </w:tcPr>
          <w:p w14:paraId="19C70F26" w14:textId="77777777" w:rsidR="008C1AD8" w:rsidRPr="00D942B8" w:rsidRDefault="008C1AD8" w:rsidP="00A15226">
            <w:pPr>
              <w:pStyle w:val="Tabletext"/>
              <w:rPr>
                <w:b/>
                <w:bCs/>
                <w:sz w:val="16"/>
                <w:szCs w:val="18"/>
              </w:rPr>
            </w:pPr>
          </w:p>
        </w:tc>
        <w:tc>
          <w:tcPr>
            <w:tcW w:w="1137" w:type="pct"/>
            <w:vMerge/>
            <w:shd w:val="clear" w:color="auto" w:fill="D9D9D9" w:themeFill="background1" w:themeFillShade="D9"/>
            <w:vAlign w:val="center"/>
          </w:tcPr>
          <w:p w14:paraId="049CD31D" w14:textId="77777777" w:rsidR="008C1AD8" w:rsidRPr="00D942B8" w:rsidRDefault="008C1AD8" w:rsidP="00A15226">
            <w:pPr>
              <w:pStyle w:val="Tabletext"/>
              <w:rPr>
                <w:b/>
                <w:bCs/>
                <w:sz w:val="16"/>
                <w:szCs w:val="18"/>
              </w:rPr>
            </w:pPr>
          </w:p>
        </w:tc>
        <w:tc>
          <w:tcPr>
            <w:tcW w:w="630" w:type="pct"/>
            <w:shd w:val="clear" w:color="auto" w:fill="D9D9D9" w:themeFill="background1" w:themeFillShade="D9"/>
            <w:vAlign w:val="center"/>
          </w:tcPr>
          <w:p w14:paraId="0F5BBCC1" w14:textId="77777777" w:rsidR="008C1AD8" w:rsidRPr="00D942B8" w:rsidRDefault="008C1AD8" w:rsidP="00A15226">
            <w:pPr>
              <w:pStyle w:val="Tabletext"/>
              <w:rPr>
                <w:b/>
                <w:bCs/>
                <w:sz w:val="16"/>
                <w:szCs w:val="18"/>
              </w:rPr>
            </w:pPr>
            <w:r w:rsidRPr="00D942B8">
              <w:rPr>
                <w:b/>
                <w:bCs/>
                <w:sz w:val="16"/>
                <w:szCs w:val="18"/>
              </w:rPr>
              <w:t>TEC</w:t>
            </w:r>
          </w:p>
        </w:tc>
        <w:tc>
          <w:tcPr>
            <w:tcW w:w="606" w:type="pct"/>
            <w:shd w:val="clear" w:color="auto" w:fill="D9D9D9" w:themeFill="background1" w:themeFillShade="D9"/>
            <w:vAlign w:val="center"/>
          </w:tcPr>
          <w:p w14:paraId="4D64FAF3" w14:textId="77777777" w:rsidR="008C1AD8" w:rsidRPr="00D942B8" w:rsidRDefault="008C1AD8" w:rsidP="00A15226">
            <w:pPr>
              <w:pStyle w:val="Tabletext"/>
              <w:rPr>
                <w:b/>
                <w:bCs/>
                <w:sz w:val="16"/>
                <w:szCs w:val="18"/>
              </w:rPr>
            </w:pPr>
            <w:r w:rsidRPr="00D942B8">
              <w:rPr>
                <w:b/>
                <w:bCs/>
                <w:sz w:val="16"/>
                <w:szCs w:val="18"/>
              </w:rPr>
              <w:t xml:space="preserve">Species habitat </w:t>
            </w:r>
          </w:p>
        </w:tc>
        <w:tc>
          <w:tcPr>
            <w:tcW w:w="562" w:type="pct"/>
            <w:shd w:val="clear" w:color="auto" w:fill="D9D9D9" w:themeFill="background1" w:themeFillShade="D9"/>
            <w:vAlign w:val="center"/>
          </w:tcPr>
          <w:p w14:paraId="35FC1704" w14:textId="77777777" w:rsidR="008C1AD8" w:rsidRPr="00D942B8" w:rsidRDefault="008C1AD8" w:rsidP="00A15226">
            <w:pPr>
              <w:pStyle w:val="Tabletext"/>
              <w:rPr>
                <w:b/>
                <w:bCs/>
                <w:sz w:val="16"/>
                <w:szCs w:val="18"/>
              </w:rPr>
            </w:pPr>
            <w:r w:rsidRPr="00D942B8">
              <w:rPr>
                <w:b/>
                <w:bCs/>
                <w:sz w:val="16"/>
                <w:szCs w:val="18"/>
              </w:rPr>
              <w:t>TEC</w:t>
            </w:r>
          </w:p>
        </w:tc>
        <w:tc>
          <w:tcPr>
            <w:tcW w:w="583" w:type="pct"/>
            <w:shd w:val="clear" w:color="auto" w:fill="D9D9D9" w:themeFill="background1" w:themeFillShade="D9"/>
            <w:vAlign w:val="center"/>
          </w:tcPr>
          <w:p w14:paraId="230BCD05" w14:textId="77777777" w:rsidR="008C1AD8" w:rsidRPr="00D942B8" w:rsidRDefault="008C1AD8" w:rsidP="00A15226">
            <w:pPr>
              <w:pStyle w:val="Tabletext"/>
              <w:rPr>
                <w:b/>
                <w:bCs/>
                <w:sz w:val="16"/>
                <w:szCs w:val="18"/>
              </w:rPr>
            </w:pPr>
            <w:r w:rsidRPr="00D942B8">
              <w:rPr>
                <w:b/>
                <w:bCs/>
                <w:sz w:val="16"/>
                <w:szCs w:val="18"/>
              </w:rPr>
              <w:t xml:space="preserve">Species habitat </w:t>
            </w:r>
          </w:p>
        </w:tc>
      </w:tr>
      <w:tr w:rsidR="008C1AD8" w:rsidRPr="00A042A0" w14:paraId="4FE9776E" w14:textId="77777777" w:rsidTr="00A15226">
        <w:tc>
          <w:tcPr>
            <w:tcW w:w="443" w:type="pct"/>
            <w:vAlign w:val="center"/>
          </w:tcPr>
          <w:p w14:paraId="1FAEDC9F" w14:textId="77777777" w:rsidR="008C1AD8" w:rsidRPr="009D2CF1" w:rsidRDefault="008C1AD8" w:rsidP="00A15226">
            <w:pPr>
              <w:pStyle w:val="Tabletext"/>
              <w:rPr>
                <w:sz w:val="16"/>
                <w:szCs w:val="18"/>
              </w:rPr>
            </w:pPr>
            <w:r>
              <w:rPr>
                <w:sz w:val="16"/>
                <w:szCs w:val="18"/>
              </w:rPr>
              <w:t>Southern</w:t>
            </w:r>
            <w:r w:rsidRPr="009D2CF1">
              <w:rPr>
                <w:sz w:val="16"/>
                <w:szCs w:val="18"/>
              </w:rPr>
              <w:t xml:space="preserve"> WGGA </w:t>
            </w:r>
          </w:p>
        </w:tc>
        <w:tc>
          <w:tcPr>
            <w:tcW w:w="1039" w:type="pct"/>
            <w:vAlign w:val="center"/>
          </w:tcPr>
          <w:p w14:paraId="1252879F" w14:textId="77777777" w:rsidR="008C1AD8" w:rsidRPr="009D2CF1" w:rsidRDefault="008C1AD8" w:rsidP="00A15226">
            <w:pPr>
              <w:rPr>
                <w:sz w:val="16"/>
                <w:szCs w:val="18"/>
              </w:rPr>
            </w:pPr>
            <w:r w:rsidRPr="009D2CF1">
              <w:rPr>
                <w:sz w:val="16"/>
                <w:szCs w:val="18"/>
              </w:rPr>
              <w:t>Clearing for urban development of the southern portion of the WGGA (excluded from the Strategic Assessment Area).</w:t>
            </w:r>
          </w:p>
          <w:p w14:paraId="032999A9" w14:textId="77777777" w:rsidR="008C1AD8" w:rsidRPr="009D2CF1" w:rsidRDefault="008C1AD8" w:rsidP="00A15226">
            <w:pPr>
              <w:rPr>
                <w:sz w:val="16"/>
                <w:szCs w:val="18"/>
              </w:rPr>
            </w:pPr>
            <w:r w:rsidRPr="009D2CF1">
              <w:rPr>
                <w:sz w:val="16"/>
                <w:szCs w:val="18"/>
              </w:rPr>
              <w:t xml:space="preserve">Data used to calculate direct impact extent included the </w:t>
            </w:r>
            <w:r>
              <w:rPr>
                <w:sz w:val="16"/>
                <w:szCs w:val="18"/>
              </w:rPr>
              <w:t>development land identified in the Framework Plan.</w:t>
            </w:r>
            <w:r w:rsidRPr="009D2CF1">
              <w:rPr>
                <w:sz w:val="16"/>
                <w:szCs w:val="18"/>
              </w:rPr>
              <w:t xml:space="preserve"> </w:t>
            </w:r>
            <w:r>
              <w:rPr>
                <w:sz w:val="16"/>
                <w:szCs w:val="18"/>
              </w:rPr>
              <w:t>This is</w:t>
            </w:r>
            <w:r w:rsidRPr="009D2CF1">
              <w:rPr>
                <w:sz w:val="16"/>
                <w:szCs w:val="18"/>
              </w:rPr>
              <w:t xml:space="preserve"> likely an over estimation compared to actual direct impact that will occur</w:t>
            </w:r>
            <w:r>
              <w:rPr>
                <w:sz w:val="16"/>
                <w:szCs w:val="18"/>
              </w:rPr>
              <w:t>.</w:t>
            </w:r>
          </w:p>
        </w:tc>
        <w:tc>
          <w:tcPr>
            <w:tcW w:w="1137" w:type="pct"/>
            <w:vAlign w:val="center"/>
          </w:tcPr>
          <w:p w14:paraId="6DF89307" w14:textId="77777777" w:rsidR="008C1AD8" w:rsidRPr="009D2CF1" w:rsidRDefault="008C1AD8" w:rsidP="00A15226">
            <w:pPr>
              <w:pStyle w:val="Tabletext"/>
              <w:rPr>
                <w:sz w:val="16"/>
                <w:szCs w:val="18"/>
              </w:rPr>
            </w:pPr>
            <w:r w:rsidRPr="009D2CF1">
              <w:rPr>
                <w:rFonts w:cs="Arial"/>
                <w:i/>
                <w:sz w:val="16"/>
                <w:szCs w:val="18"/>
              </w:rPr>
              <w:t>Northern and Western Geelong Growth Area Framework Plan</w:t>
            </w:r>
            <w:r w:rsidRPr="00D27C11">
              <w:rPr>
                <w:rFonts w:cs="Arial"/>
                <w:i/>
                <w:sz w:val="16"/>
                <w:szCs w:val="16"/>
              </w:rPr>
              <w:t xml:space="preserve"> </w:t>
            </w:r>
            <w:sdt>
              <w:sdtPr>
                <w:rPr>
                  <w:rFonts w:cs="Arial"/>
                  <w:color w:val="000000"/>
                  <w:sz w:val="16"/>
                  <w:szCs w:val="16"/>
                </w:rPr>
                <w:tag w:val="MENDELEY_CITATION_v3_eyJjaXRhdGlvbklEIjoiTUVOREVMRVlfQ0lUQVRJT05fMjUyZjdhZWEtNmU3MC00ZDc3LTg1MTktNGJhYTk5NmEzZjgz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782999911"/>
                <w:placeholder>
                  <w:docPart w:val="53263D66753F864BA248D609BD120A46"/>
                </w:placeholder>
              </w:sdtPr>
              <w:sdtEndPr>
                <w:rPr>
                  <w:rFonts w:cs="Times New Roman"/>
                </w:rPr>
              </w:sdtEndPr>
              <w:sdtContent>
                <w:r w:rsidRPr="00273871">
                  <w:rPr>
                    <w:color w:val="000000"/>
                    <w:sz w:val="16"/>
                    <w:szCs w:val="16"/>
                  </w:rPr>
                  <w:t>(The City of Greater Geelong, 2021b)</w:t>
                </w:r>
              </w:sdtContent>
            </w:sdt>
          </w:p>
        </w:tc>
        <w:tc>
          <w:tcPr>
            <w:tcW w:w="630" w:type="pct"/>
            <w:vAlign w:val="center"/>
          </w:tcPr>
          <w:p w14:paraId="742D5AF2" w14:textId="77777777" w:rsidR="008C1AD8" w:rsidRPr="009D2CF1" w:rsidRDefault="008C1AD8" w:rsidP="00A15226">
            <w:pPr>
              <w:pStyle w:val="Tabletext"/>
              <w:rPr>
                <w:sz w:val="16"/>
                <w:szCs w:val="18"/>
              </w:rPr>
            </w:pPr>
            <w:r>
              <w:rPr>
                <w:sz w:val="16"/>
                <w:szCs w:val="18"/>
              </w:rPr>
              <w:t>Modelled potential</w:t>
            </w:r>
            <w:r w:rsidRPr="009D2CF1">
              <w:rPr>
                <w:sz w:val="16"/>
                <w:szCs w:val="18"/>
              </w:rPr>
              <w:t xml:space="preserve"> extent within development land</w:t>
            </w:r>
          </w:p>
        </w:tc>
        <w:tc>
          <w:tcPr>
            <w:tcW w:w="606" w:type="pct"/>
            <w:vAlign w:val="center"/>
          </w:tcPr>
          <w:p w14:paraId="0B06D9CC" w14:textId="77777777" w:rsidR="008C1AD8" w:rsidRPr="009D2CF1" w:rsidRDefault="008C1AD8" w:rsidP="00A15226">
            <w:pPr>
              <w:pStyle w:val="Tabletext"/>
              <w:rPr>
                <w:sz w:val="16"/>
                <w:szCs w:val="18"/>
              </w:rPr>
            </w:pPr>
            <w:r>
              <w:rPr>
                <w:sz w:val="16"/>
                <w:szCs w:val="18"/>
              </w:rPr>
              <w:t>Modelled potential</w:t>
            </w:r>
            <w:r w:rsidRPr="009D2CF1">
              <w:rPr>
                <w:sz w:val="16"/>
                <w:szCs w:val="18"/>
              </w:rPr>
              <w:t xml:space="preserve"> habitat extent within development land</w:t>
            </w:r>
          </w:p>
        </w:tc>
        <w:tc>
          <w:tcPr>
            <w:tcW w:w="562" w:type="pct"/>
            <w:vAlign w:val="center"/>
          </w:tcPr>
          <w:p w14:paraId="20DE1F88" w14:textId="77777777" w:rsidR="008C1AD8" w:rsidRPr="009D2CF1" w:rsidRDefault="008C1AD8" w:rsidP="00A15226">
            <w:pPr>
              <w:pStyle w:val="Tabletext"/>
              <w:rPr>
                <w:sz w:val="16"/>
                <w:szCs w:val="18"/>
              </w:rPr>
            </w:pPr>
            <w:r w:rsidRPr="009D2CF1">
              <w:rPr>
                <w:sz w:val="16"/>
                <w:szCs w:val="18"/>
              </w:rPr>
              <w:t>N/A</w:t>
            </w:r>
          </w:p>
        </w:tc>
        <w:tc>
          <w:tcPr>
            <w:tcW w:w="583" w:type="pct"/>
            <w:vAlign w:val="center"/>
          </w:tcPr>
          <w:p w14:paraId="046C75A2" w14:textId="77777777" w:rsidR="008C1AD8" w:rsidRPr="009D2CF1" w:rsidRDefault="008C1AD8" w:rsidP="00A15226">
            <w:pPr>
              <w:pStyle w:val="Tabletext"/>
              <w:rPr>
                <w:sz w:val="16"/>
                <w:szCs w:val="18"/>
              </w:rPr>
            </w:pPr>
            <w:r w:rsidRPr="009D2CF1">
              <w:rPr>
                <w:sz w:val="16"/>
                <w:szCs w:val="18"/>
              </w:rPr>
              <w:t>N/A</w:t>
            </w:r>
          </w:p>
        </w:tc>
      </w:tr>
      <w:tr w:rsidR="008C1AD8" w:rsidRPr="00A042A0" w14:paraId="0B4FE3F9" w14:textId="77777777" w:rsidTr="00A15226">
        <w:tc>
          <w:tcPr>
            <w:tcW w:w="443" w:type="pct"/>
            <w:vAlign w:val="center"/>
          </w:tcPr>
          <w:p w14:paraId="4A979DE9" w14:textId="77777777" w:rsidR="008C1AD8" w:rsidRPr="009D2CF1" w:rsidRDefault="008C1AD8" w:rsidP="00A15226">
            <w:pPr>
              <w:pStyle w:val="Tabletext"/>
              <w:rPr>
                <w:sz w:val="16"/>
                <w:szCs w:val="16"/>
              </w:rPr>
            </w:pPr>
            <w:r w:rsidRPr="009D2CF1">
              <w:rPr>
                <w:sz w:val="16"/>
                <w:szCs w:val="16"/>
              </w:rPr>
              <w:t xml:space="preserve">Geelong-Bacchus Marsh Road Upgrade </w:t>
            </w:r>
            <w:r w:rsidRPr="00F118A4">
              <w:rPr>
                <w:sz w:val="16"/>
                <w:szCs w:val="16"/>
              </w:rPr>
              <w:t>Project (EPBC 2017/8018)</w:t>
            </w:r>
          </w:p>
        </w:tc>
        <w:tc>
          <w:tcPr>
            <w:tcW w:w="1039" w:type="pct"/>
            <w:vAlign w:val="center"/>
          </w:tcPr>
          <w:p w14:paraId="3591E383" w14:textId="77777777" w:rsidR="008C1AD8" w:rsidRPr="009D2CF1" w:rsidRDefault="008C1AD8" w:rsidP="00A15226">
            <w:pPr>
              <w:rPr>
                <w:sz w:val="16"/>
                <w:szCs w:val="16"/>
              </w:rPr>
            </w:pPr>
            <w:r w:rsidRPr="009D2CF1">
              <w:rPr>
                <w:sz w:val="16"/>
                <w:szCs w:val="16"/>
              </w:rPr>
              <w:t>Clearing to facilitate safety upgrades to Bacchus Marsh Road between Lara and Maddingley.</w:t>
            </w:r>
          </w:p>
        </w:tc>
        <w:tc>
          <w:tcPr>
            <w:tcW w:w="1137" w:type="pct"/>
            <w:vAlign w:val="center"/>
          </w:tcPr>
          <w:p w14:paraId="38D1F9B3" w14:textId="77777777" w:rsidR="008C1AD8" w:rsidRPr="00D27C11" w:rsidRDefault="008C1AD8" w:rsidP="00A15226">
            <w:pPr>
              <w:pStyle w:val="Bullet1"/>
              <w:rPr>
                <w:rFonts w:cs="Arial"/>
                <w:sz w:val="16"/>
                <w:szCs w:val="16"/>
              </w:rPr>
            </w:pPr>
            <w:r w:rsidRPr="009D2CF1">
              <w:rPr>
                <w:i/>
                <w:iCs/>
                <w:sz w:val="16"/>
                <w:szCs w:val="16"/>
              </w:rPr>
              <w:t>Geelong Bacchus Marsh Road – Between Lara and Maddingley Safer Roads Infrastructure Project, Geelong, Victoria - Compliance Assessment Report February 2022</w:t>
            </w:r>
            <w:r>
              <w:rPr>
                <w:sz w:val="16"/>
                <w:szCs w:val="16"/>
              </w:rPr>
              <w:t xml:space="preserve"> </w:t>
            </w:r>
            <w:sdt>
              <w:sdtPr>
                <w:rPr>
                  <w:color w:val="000000"/>
                  <w:sz w:val="16"/>
                  <w:szCs w:val="16"/>
                </w:rPr>
                <w:tag w:val="MENDELEY_CITATION_v3_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"/>
                <w:id w:val="1992210503"/>
                <w:placeholder>
                  <w:docPart w:val="53263D66753F864BA248D609BD120A46"/>
                </w:placeholder>
              </w:sdtPr>
              <w:sdtContent>
                <w:r w:rsidRPr="00273871">
                  <w:rPr>
                    <w:color w:val="000000"/>
                    <w:sz w:val="16"/>
                    <w:szCs w:val="16"/>
                  </w:rPr>
                  <w:t>(Regional Roads Victoria, 2022)</w:t>
                </w:r>
              </w:sdtContent>
            </w:sdt>
          </w:p>
          <w:p w14:paraId="6A650B16" w14:textId="77777777" w:rsidR="008C1AD8" w:rsidRPr="009D2CF1" w:rsidRDefault="008C1AD8" w:rsidP="00A15226">
            <w:pPr>
              <w:pStyle w:val="Bullet1"/>
              <w:rPr>
                <w:rFonts w:cs="Arial"/>
                <w:i/>
                <w:iCs/>
                <w:sz w:val="16"/>
                <w:szCs w:val="16"/>
              </w:rPr>
            </w:pPr>
            <w:r w:rsidRPr="00D27C11">
              <w:rPr>
                <w:i/>
                <w:iCs/>
                <w:sz w:val="16"/>
                <w:szCs w:val="16"/>
              </w:rPr>
              <w:t xml:space="preserve">Geelong-Bacchus Marsh </w:t>
            </w:r>
            <w:r w:rsidRPr="009D2CF1">
              <w:rPr>
                <w:i/>
                <w:iCs/>
                <w:sz w:val="16"/>
                <w:szCs w:val="16"/>
              </w:rPr>
              <w:t>Road Upgrade Project, Victoria [EPBC 2017/8018] – Offset Management Strateg</w:t>
            </w:r>
            <w:r w:rsidRPr="00D27C11">
              <w:rPr>
                <w:i/>
                <w:iCs/>
                <w:sz w:val="16"/>
                <w:szCs w:val="16"/>
              </w:rPr>
              <w:t>y</w:t>
            </w:r>
            <w:r w:rsidRPr="00D27C11">
              <w:rPr>
                <w:sz w:val="16"/>
                <w:szCs w:val="16"/>
              </w:rPr>
              <w:t xml:space="preserve"> </w:t>
            </w:r>
            <w:sdt>
              <w:sdtPr>
                <w:rPr>
                  <w:color w:val="000000"/>
                  <w:sz w:val="16"/>
                  <w:szCs w:val="16"/>
                </w:rPr>
                <w:tag w:val="MENDELEY_CITATION_v3_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"/>
                <w:id w:val="-1501419935"/>
                <w:placeholder>
                  <w:docPart w:val="53263D66753F864BA248D609BD120A46"/>
                </w:placeholder>
              </w:sdtPr>
              <w:sdtContent>
                <w:r w:rsidRPr="00273871">
                  <w:rPr>
                    <w:color w:val="000000"/>
                    <w:sz w:val="16"/>
                    <w:szCs w:val="16"/>
                  </w:rPr>
                  <w:t>(SMEC, 2019)</w:t>
                </w:r>
              </w:sdtContent>
            </w:sdt>
          </w:p>
        </w:tc>
        <w:tc>
          <w:tcPr>
            <w:tcW w:w="630" w:type="pct"/>
            <w:vAlign w:val="center"/>
          </w:tcPr>
          <w:p w14:paraId="41673AA3" w14:textId="77777777" w:rsidR="008C1AD8" w:rsidRPr="009D2CF1" w:rsidRDefault="008C1AD8" w:rsidP="00A15226">
            <w:pPr>
              <w:pStyle w:val="Tabletext"/>
              <w:rPr>
                <w:sz w:val="16"/>
                <w:szCs w:val="16"/>
              </w:rPr>
            </w:pPr>
            <w:r w:rsidRPr="009D2CF1">
              <w:rPr>
                <w:sz w:val="16"/>
                <w:szCs w:val="16"/>
              </w:rPr>
              <w:t xml:space="preserve">Known extent within </w:t>
            </w:r>
            <w:r>
              <w:rPr>
                <w:sz w:val="16"/>
                <w:szCs w:val="16"/>
              </w:rPr>
              <w:t xml:space="preserve">project area </w:t>
            </w:r>
            <w:r w:rsidRPr="009D2CF1">
              <w:rPr>
                <w:sz w:val="16"/>
                <w:szCs w:val="16"/>
              </w:rPr>
              <w:t>(maximum impact permitted in</w:t>
            </w:r>
            <w:r>
              <w:rPr>
                <w:sz w:val="16"/>
                <w:szCs w:val="16"/>
              </w:rPr>
              <w:t xml:space="preserve"> </w:t>
            </w:r>
            <w:r w:rsidRPr="009D2CF1">
              <w:rPr>
                <w:sz w:val="16"/>
                <w:szCs w:val="16"/>
              </w:rPr>
              <w:t>approval conditions)</w:t>
            </w:r>
          </w:p>
        </w:tc>
        <w:tc>
          <w:tcPr>
            <w:tcW w:w="606" w:type="pct"/>
            <w:vAlign w:val="center"/>
          </w:tcPr>
          <w:p w14:paraId="30414B6B" w14:textId="77777777" w:rsidR="008C1AD8" w:rsidRPr="009D2CF1" w:rsidRDefault="008C1AD8" w:rsidP="00A15226">
            <w:pPr>
              <w:pStyle w:val="Tabletext"/>
              <w:rPr>
                <w:sz w:val="16"/>
                <w:szCs w:val="16"/>
              </w:rPr>
            </w:pPr>
            <w:r w:rsidRPr="009D2CF1">
              <w:rPr>
                <w:sz w:val="16"/>
                <w:szCs w:val="16"/>
              </w:rPr>
              <w:t xml:space="preserve">Known and potential habitat within </w:t>
            </w:r>
            <w:r>
              <w:rPr>
                <w:sz w:val="16"/>
                <w:szCs w:val="16"/>
              </w:rPr>
              <w:t xml:space="preserve">project area </w:t>
            </w:r>
            <w:r w:rsidRPr="009D2CF1">
              <w:rPr>
                <w:sz w:val="16"/>
                <w:szCs w:val="16"/>
              </w:rPr>
              <w:t>(maximum impact permitted in approval conditions)</w:t>
            </w:r>
          </w:p>
        </w:tc>
        <w:tc>
          <w:tcPr>
            <w:tcW w:w="562" w:type="pct"/>
            <w:vAlign w:val="center"/>
          </w:tcPr>
          <w:p w14:paraId="53F7174B" w14:textId="77777777" w:rsidR="008C1AD8" w:rsidRPr="00483FEB" w:rsidRDefault="008C1AD8" w:rsidP="00A15226">
            <w:pPr>
              <w:pStyle w:val="Tabletext"/>
              <w:rPr>
                <w:sz w:val="16"/>
                <w:szCs w:val="16"/>
              </w:rPr>
            </w:pPr>
            <w:r w:rsidRPr="00483FEB">
              <w:rPr>
                <w:sz w:val="16"/>
                <w:szCs w:val="16"/>
              </w:rPr>
              <w:t xml:space="preserve">Extent </w:t>
            </w:r>
            <w:r>
              <w:rPr>
                <w:sz w:val="16"/>
                <w:szCs w:val="16"/>
              </w:rPr>
              <w:t xml:space="preserve">protected and managed </w:t>
            </w:r>
            <w:r w:rsidRPr="00483FEB">
              <w:rPr>
                <w:sz w:val="16"/>
                <w:szCs w:val="16"/>
              </w:rPr>
              <w:t>within offset site</w:t>
            </w:r>
          </w:p>
        </w:tc>
        <w:tc>
          <w:tcPr>
            <w:tcW w:w="583" w:type="pct"/>
            <w:vAlign w:val="center"/>
          </w:tcPr>
          <w:p w14:paraId="494586C4" w14:textId="77777777" w:rsidR="008C1AD8" w:rsidRPr="00483FEB" w:rsidRDefault="008C1AD8" w:rsidP="00A15226">
            <w:pPr>
              <w:pStyle w:val="Tabletext"/>
              <w:rPr>
                <w:sz w:val="16"/>
                <w:szCs w:val="16"/>
              </w:rPr>
            </w:pPr>
            <w:r>
              <w:rPr>
                <w:sz w:val="16"/>
                <w:szCs w:val="16"/>
              </w:rPr>
              <w:t>Habitat protected and managed within offset site</w:t>
            </w:r>
          </w:p>
        </w:tc>
      </w:tr>
      <w:tr w:rsidR="008C1AD8" w:rsidRPr="00A042A0" w14:paraId="0FD5ED8F" w14:textId="77777777" w:rsidTr="00A15226">
        <w:tc>
          <w:tcPr>
            <w:tcW w:w="443" w:type="pct"/>
            <w:vAlign w:val="center"/>
          </w:tcPr>
          <w:p w14:paraId="12E987F9" w14:textId="77777777" w:rsidR="008C1AD8" w:rsidRPr="009D2CF1" w:rsidRDefault="008C1AD8" w:rsidP="00A15226">
            <w:pPr>
              <w:pStyle w:val="Tabletext"/>
              <w:rPr>
                <w:sz w:val="16"/>
                <w:szCs w:val="16"/>
              </w:rPr>
            </w:pPr>
            <w:r>
              <w:rPr>
                <w:sz w:val="16"/>
                <w:szCs w:val="16"/>
              </w:rPr>
              <w:t xml:space="preserve">Cherry Creek Youth Justice Centre (EPBC </w:t>
            </w:r>
            <w:r w:rsidRPr="00F118A4">
              <w:rPr>
                <w:sz w:val="16"/>
                <w:szCs w:val="16"/>
              </w:rPr>
              <w:t>2017/8049</w:t>
            </w:r>
            <w:r>
              <w:rPr>
                <w:sz w:val="16"/>
                <w:szCs w:val="16"/>
              </w:rPr>
              <w:t>)</w:t>
            </w:r>
          </w:p>
        </w:tc>
        <w:tc>
          <w:tcPr>
            <w:tcW w:w="1039" w:type="pct"/>
            <w:vAlign w:val="center"/>
          </w:tcPr>
          <w:p w14:paraId="24121DFF" w14:textId="77777777" w:rsidR="008C1AD8" w:rsidRPr="009D2CF1" w:rsidRDefault="008C1AD8" w:rsidP="00A15226">
            <w:pPr>
              <w:rPr>
                <w:sz w:val="16"/>
                <w:szCs w:val="16"/>
              </w:rPr>
            </w:pPr>
            <w:r>
              <w:rPr>
                <w:sz w:val="16"/>
                <w:szCs w:val="16"/>
              </w:rPr>
              <w:t>Clearing to facilitate construction of a new youth justice centre and access roads.</w:t>
            </w:r>
          </w:p>
        </w:tc>
        <w:tc>
          <w:tcPr>
            <w:tcW w:w="1137" w:type="pct"/>
            <w:vAlign w:val="center"/>
          </w:tcPr>
          <w:p w14:paraId="66157E80" w14:textId="77777777" w:rsidR="008C1AD8" w:rsidRPr="009D4B5E" w:rsidRDefault="008C1AD8" w:rsidP="00A15226">
            <w:pPr>
              <w:pStyle w:val="Bullet1"/>
              <w:rPr>
                <w:i/>
                <w:iCs/>
                <w:sz w:val="16"/>
                <w:szCs w:val="18"/>
              </w:rPr>
            </w:pPr>
            <w:r w:rsidRPr="009D4B5E">
              <w:rPr>
                <w:i/>
                <w:iCs/>
                <w:sz w:val="16"/>
                <w:szCs w:val="18"/>
              </w:rPr>
              <w:t>Youth Justice Redevelopment Project, Cherry Creek, Victoria: Preliminary Documentation</w:t>
            </w:r>
            <w:r>
              <w:rPr>
                <w:i/>
                <w:iCs/>
                <w:sz w:val="16"/>
                <w:szCs w:val="18"/>
              </w:rPr>
              <w:t xml:space="preserve"> </w:t>
            </w:r>
            <w:sdt>
              <w:sdtPr>
                <w:rPr>
                  <w:iCs/>
                  <w:color w:val="000000"/>
                  <w:sz w:val="16"/>
                  <w:szCs w:val="18"/>
                </w:rPr>
                <w:tag w:val="MENDELEY_CITATION_v3_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"/>
                <w:id w:val="-50004392"/>
                <w:placeholder>
                  <w:docPart w:val="53263D66753F864BA248D609BD120A46"/>
                </w:placeholder>
              </w:sdtPr>
              <w:sdtEndPr>
                <w:rPr>
                  <w:iCs w:val="0"/>
                  <w:sz w:val="18"/>
                  <w:szCs w:val="20"/>
                </w:rPr>
              </w:sdtEndPr>
              <w:sdtContent>
                <w:r w:rsidRPr="00273871">
                  <w:rPr>
                    <w:color w:val="000000"/>
                  </w:rPr>
                  <w:t>(Biosis, 2018)</w:t>
                </w:r>
              </w:sdtContent>
            </w:sdt>
          </w:p>
          <w:p w14:paraId="61A2DD8C" w14:textId="77777777" w:rsidR="008C1AD8" w:rsidRPr="009D4B5E" w:rsidRDefault="008C1AD8" w:rsidP="00A15226">
            <w:pPr>
              <w:pStyle w:val="Bullet1"/>
              <w:rPr>
                <w:iCs/>
              </w:rPr>
            </w:pPr>
            <w:r w:rsidRPr="009D4B5E">
              <w:rPr>
                <w:i/>
                <w:iCs/>
                <w:sz w:val="16"/>
                <w:szCs w:val="18"/>
              </w:rPr>
              <w:t>Cherry Creek Youth Justice Project - EPBC 2017/8049 Compliance Report</w:t>
            </w:r>
            <w:r>
              <w:rPr>
                <w:i/>
                <w:iCs/>
                <w:sz w:val="16"/>
                <w:szCs w:val="18"/>
              </w:rPr>
              <w:t xml:space="preserve"> </w:t>
            </w:r>
            <w:sdt>
              <w:sdtPr>
                <w:rPr>
                  <w:iCs/>
                  <w:color w:val="000000"/>
                  <w:sz w:val="16"/>
                  <w:szCs w:val="16"/>
                </w:rPr>
                <w:tag w:val="MENDELEY_CITATION_v3_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"/>
                <w:id w:val="-2060009486"/>
                <w:placeholder>
                  <w:docPart w:val="53263D66753F864BA248D609BD120A46"/>
                </w:placeholder>
              </w:sdtPr>
              <w:sdtEndPr>
                <w:rPr>
                  <w:iCs w:val="0"/>
                </w:rPr>
              </w:sdtEndPr>
              <w:sdtContent>
                <w:r w:rsidRPr="00273871">
                  <w:rPr>
                    <w:color w:val="000000"/>
                    <w:sz w:val="16"/>
                    <w:szCs w:val="16"/>
                  </w:rPr>
                  <w:t>(Community Safety Building Authority, 2022)</w:t>
                </w:r>
              </w:sdtContent>
            </w:sdt>
          </w:p>
        </w:tc>
        <w:tc>
          <w:tcPr>
            <w:tcW w:w="630" w:type="pct"/>
            <w:vAlign w:val="center"/>
          </w:tcPr>
          <w:p w14:paraId="401A3706" w14:textId="77777777" w:rsidR="008C1AD8" w:rsidRPr="0096767B" w:rsidRDefault="008C1AD8" w:rsidP="00A15226">
            <w:pPr>
              <w:pStyle w:val="Tabletext"/>
              <w:rPr>
                <w:sz w:val="16"/>
                <w:szCs w:val="16"/>
              </w:rPr>
            </w:pPr>
            <w:r>
              <w:rPr>
                <w:sz w:val="16"/>
                <w:szCs w:val="16"/>
              </w:rPr>
              <w:t>Extent</w:t>
            </w:r>
            <w:r w:rsidRPr="009D2CF1">
              <w:rPr>
                <w:sz w:val="16"/>
                <w:szCs w:val="16"/>
              </w:rPr>
              <w:t xml:space="preserve"> within </w:t>
            </w:r>
            <w:r>
              <w:rPr>
                <w:sz w:val="16"/>
                <w:szCs w:val="16"/>
              </w:rPr>
              <w:t>project area (</w:t>
            </w:r>
            <w:r w:rsidRPr="009D2CF1">
              <w:rPr>
                <w:sz w:val="16"/>
                <w:szCs w:val="16"/>
              </w:rPr>
              <w:t>maximum impact permitted in approval conditions)</w:t>
            </w:r>
            <w:r>
              <w:rPr>
                <w:sz w:val="16"/>
                <w:szCs w:val="16"/>
              </w:rPr>
              <w:t xml:space="preserve"> &amp; non-compliant clearance outside the project area</w:t>
            </w:r>
          </w:p>
        </w:tc>
        <w:tc>
          <w:tcPr>
            <w:tcW w:w="606" w:type="pct"/>
            <w:vAlign w:val="center"/>
          </w:tcPr>
          <w:p w14:paraId="48BDC1FD" w14:textId="77777777" w:rsidR="008C1AD8" w:rsidRPr="00F118A4" w:rsidRDefault="008C1AD8" w:rsidP="00A15226">
            <w:pPr>
              <w:pStyle w:val="Tabletext"/>
              <w:rPr>
                <w:sz w:val="16"/>
                <w:szCs w:val="16"/>
              </w:rPr>
            </w:pPr>
            <w:r>
              <w:rPr>
                <w:sz w:val="16"/>
                <w:szCs w:val="16"/>
              </w:rPr>
              <w:t>Confirmed habitat within the project area (</w:t>
            </w:r>
            <w:r w:rsidRPr="009D2CF1">
              <w:rPr>
                <w:sz w:val="16"/>
                <w:szCs w:val="16"/>
              </w:rPr>
              <w:t>maximum impact permitted in approval conditions)</w:t>
            </w:r>
            <w:r>
              <w:rPr>
                <w:sz w:val="16"/>
                <w:szCs w:val="16"/>
              </w:rPr>
              <w:t xml:space="preserve"> &amp; non-compliant clearance outside the project area</w:t>
            </w:r>
          </w:p>
        </w:tc>
        <w:tc>
          <w:tcPr>
            <w:tcW w:w="562" w:type="pct"/>
            <w:vAlign w:val="center"/>
          </w:tcPr>
          <w:p w14:paraId="32C7D476" w14:textId="77777777" w:rsidR="008C1AD8" w:rsidRPr="009D4B5E" w:rsidRDefault="008C1AD8" w:rsidP="00A15226">
            <w:pPr>
              <w:pStyle w:val="Tabletext"/>
              <w:rPr>
                <w:sz w:val="16"/>
                <w:szCs w:val="16"/>
              </w:rPr>
            </w:pPr>
            <w:r w:rsidRPr="00483FEB">
              <w:rPr>
                <w:sz w:val="16"/>
                <w:szCs w:val="16"/>
              </w:rPr>
              <w:t xml:space="preserve">Extent </w:t>
            </w:r>
            <w:r>
              <w:rPr>
                <w:sz w:val="16"/>
                <w:szCs w:val="16"/>
              </w:rPr>
              <w:t xml:space="preserve">protected and managed </w:t>
            </w:r>
            <w:r w:rsidRPr="00483FEB">
              <w:rPr>
                <w:sz w:val="16"/>
                <w:szCs w:val="16"/>
              </w:rPr>
              <w:t xml:space="preserve">within </w:t>
            </w:r>
            <w:r>
              <w:rPr>
                <w:sz w:val="16"/>
                <w:szCs w:val="16"/>
              </w:rPr>
              <w:t>offset sites</w:t>
            </w:r>
          </w:p>
        </w:tc>
        <w:tc>
          <w:tcPr>
            <w:tcW w:w="583" w:type="pct"/>
            <w:vAlign w:val="center"/>
          </w:tcPr>
          <w:p w14:paraId="372E8CA2" w14:textId="77777777" w:rsidR="008C1AD8" w:rsidRPr="009D4B5E" w:rsidRDefault="008C1AD8" w:rsidP="00A15226">
            <w:pPr>
              <w:pStyle w:val="Tabletext"/>
              <w:rPr>
                <w:sz w:val="16"/>
                <w:szCs w:val="16"/>
              </w:rPr>
            </w:pPr>
            <w:r w:rsidRPr="00483FEB">
              <w:rPr>
                <w:sz w:val="16"/>
                <w:szCs w:val="16"/>
              </w:rPr>
              <w:t xml:space="preserve">Extent </w:t>
            </w:r>
            <w:r>
              <w:rPr>
                <w:sz w:val="16"/>
                <w:szCs w:val="16"/>
              </w:rPr>
              <w:t xml:space="preserve">protected and managed </w:t>
            </w:r>
            <w:r w:rsidRPr="00483FEB">
              <w:rPr>
                <w:sz w:val="16"/>
                <w:szCs w:val="16"/>
              </w:rPr>
              <w:t xml:space="preserve">within </w:t>
            </w:r>
            <w:r>
              <w:rPr>
                <w:sz w:val="16"/>
                <w:szCs w:val="16"/>
              </w:rPr>
              <w:t>offset sites</w:t>
            </w:r>
          </w:p>
        </w:tc>
      </w:tr>
    </w:tbl>
    <w:p w14:paraId="1D073E19" w14:textId="77777777" w:rsidR="008C1AD8" w:rsidRPr="00901B29" w:rsidRDefault="008C1AD8" w:rsidP="008C1AD8">
      <w:pPr>
        <w:rPr>
          <w:sz w:val="16"/>
          <w:szCs w:val="18"/>
        </w:rPr>
        <w:sectPr w:rsidR="008C1AD8" w:rsidRPr="00901B29" w:rsidSect="00845594">
          <w:footerReference w:type="default" r:id="rId102"/>
          <w:pgSz w:w="16840" w:h="11900" w:orient="landscape"/>
          <w:pgMar w:top="1134" w:right="1247" w:bottom="1134" w:left="1247" w:header="708" w:footer="708" w:gutter="0"/>
          <w:pgNumType w:chapStyle="1"/>
          <w:cols w:space="708"/>
          <w:docGrid w:linePitch="360"/>
        </w:sectPr>
      </w:pPr>
      <w:r w:rsidRPr="00901B29">
        <w:rPr>
          <w:sz w:val="16"/>
          <w:szCs w:val="18"/>
        </w:rPr>
        <w:t>*</w:t>
      </w:r>
      <w:r>
        <w:rPr>
          <w:sz w:val="16"/>
          <w:szCs w:val="18"/>
        </w:rPr>
        <w:t>Projects and their total impacts were included if any of their footprint intersected the Study Area</w:t>
      </w:r>
      <w:r w:rsidRPr="00901B29">
        <w:rPr>
          <w:sz w:val="16"/>
          <w:szCs w:val="18"/>
        </w:rPr>
        <w:t xml:space="preserve"> </w:t>
      </w:r>
    </w:p>
    <w:p w14:paraId="39E612EF" w14:textId="77777777" w:rsidR="008C1AD8" w:rsidRDefault="008C1AD8" w:rsidP="008C1AD8">
      <w:pPr>
        <w:pStyle w:val="Heading3"/>
      </w:pPr>
      <w:r>
        <w:lastRenderedPageBreak/>
        <w:t>Direct cumulative impacts</w:t>
      </w:r>
    </w:p>
    <w:p w14:paraId="4A712A19" w14:textId="77777777" w:rsidR="008C1AD8" w:rsidRPr="00A042A0" w:rsidRDefault="008C1AD8" w:rsidP="008C1AD8">
      <w:pPr>
        <w:tabs>
          <w:tab w:val="clear" w:pos="4962"/>
        </w:tabs>
        <w:spacing w:before="0" w:after="0" w:line="240" w:lineRule="auto"/>
      </w:pPr>
      <w:r>
        <w:rPr>
          <w:highlight w:val="yellow"/>
        </w:rPr>
        <w:fldChar w:fldCharType="begin"/>
      </w:r>
      <w:r>
        <w:instrText xml:space="preserve"> REF _Ref115787977 \h </w:instrText>
      </w:r>
      <w:r>
        <w:rPr>
          <w:highlight w:val="yellow"/>
        </w:rPr>
      </w:r>
      <w:r>
        <w:rPr>
          <w:highlight w:val="yellow"/>
        </w:rPr>
        <w:fldChar w:fldCharType="separate"/>
      </w:r>
      <w:r>
        <w:t xml:space="preserve">Table </w:t>
      </w:r>
      <w:r>
        <w:rPr>
          <w:noProof/>
        </w:rPr>
        <w:t>25</w:t>
      </w:r>
      <w:r>
        <w:noBreakHyphen/>
      </w:r>
      <w:r>
        <w:rPr>
          <w:noProof/>
        </w:rPr>
        <w:t>2</w:t>
      </w:r>
      <w:r>
        <w:rPr>
          <w:highlight w:val="yellow"/>
        </w:rPr>
        <w:fldChar w:fldCharType="end"/>
      </w:r>
      <w:r>
        <w:t xml:space="preserve"> </w:t>
      </w:r>
      <w:r w:rsidRPr="00A042A0">
        <w:t>identi</w:t>
      </w:r>
      <w:r>
        <w:t>fies</w:t>
      </w:r>
      <w:r w:rsidRPr="00A042A0">
        <w:t xml:space="preserve"> the</w:t>
      </w:r>
      <w:r>
        <w:t xml:space="preserve"> relevant protected matters</w:t>
      </w:r>
      <w:r w:rsidRPr="00A042A0">
        <w:t xml:space="preserve"> directly impacted by the Plan that are also </w:t>
      </w:r>
      <w:r w:rsidRPr="004D209D">
        <w:t>impacted by other projects</w:t>
      </w:r>
      <w:r>
        <w:t xml:space="preserve"> in the Study Area</w:t>
      </w:r>
      <w:r w:rsidRPr="00A042A0">
        <w:t>.</w:t>
      </w:r>
    </w:p>
    <w:p w14:paraId="7268E1A9" w14:textId="77777777" w:rsidR="008C1AD8" w:rsidRPr="00A042A0" w:rsidRDefault="008C1AD8" w:rsidP="008C1AD8">
      <w:r w:rsidRPr="00A042A0">
        <w:t>For</w:t>
      </w:r>
      <w:r>
        <w:t xml:space="preserve"> relevant protected matter</w:t>
      </w:r>
      <w:r w:rsidRPr="00A042A0">
        <w:t>, the table show</w:t>
      </w:r>
      <w:r>
        <w:t>s</w:t>
      </w:r>
      <w:r w:rsidRPr="00A042A0">
        <w:t>:</w:t>
      </w:r>
    </w:p>
    <w:p w14:paraId="3CA615C4" w14:textId="77777777" w:rsidR="008C1AD8" w:rsidRPr="00A042A0" w:rsidRDefault="008C1AD8" w:rsidP="008C1AD8">
      <w:pPr>
        <w:pStyle w:val="Bullet1"/>
      </w:pPr>
      <w:r w:rsidRPr="00A042A0">
        <w:t xml:space="preserve">Impacts from project in terms of hectares impacted and as </w:t>
      </w:r>
      <w:r>
        <w:t>per cent</w:t>
      </w:r>
      <w:r w:rsidRPr="00A042A0">
        <w:t xml:space="preserve"> of </w:t>
      </w:r>
      <w:r>
        <w:t>habitat within the Study Area,</w:t>
      </w:r>
      <w:r w:rsidRPr="00A042A0">
        <w:t xml:space="preserve"> and the total impacts</w:t>
      </w:r>
    </w:p>
    <w:p w14:paraId="4A9DE654" w14:textId="77777777" w:rsidR="008C1AD8" w:rsidRPr="00A042A0" w:rsidRDefault="008C1AD8" w:rsidP="008C1AD8">
      <w:pPr>
        <w:pStyle w:val="Bullet1"/>
      </w:pPr>
      <w:r w:rsidRPr="00A042A0">
        <w:t>Total cumulative impacts across the projects and Plan in terms of:</w:t>
      </w:r>
    </w:p>
    <w:p w14:paraId="269A1476" w14:textId="77777777" w:rsidR="008C1AD8" w:rsidRPr="00A042A0" w:rsidRDefault="008C1AD8" w:rsidP="008C1AD8">
      <w:pPr>
        <w:pStyle w:val="Bullet2"/>
      </w:pPr>
      <w:r w:rsidRPr="00A042A0">
        <w:t>Total impact in hectares</w:t>
      </w:r>
    </w:p>
    <w:p w14:paraId="000FB495" w14:textId="77777777" w:rsidR="008C1AD8" w:rsidRPr="00A042A0" w:rsidRDefault="008C1AD8" w:rsidP="008C1AD8">
      <w:pPr>
        <w:pStyle w:val="Bullet2"/>
      </w:pPr>
      <w:r>
        <w:t>Per cent</w:t>
      </w:r>
      <w:r w:rsidRPr="00A042A0">
        <w:t xml:space="preserve"> additional impact due to </w:t>
      </w:r>
      <w:r>
        <w:t>other</w:t>
      </w:r>
      <w:r w:rsidRPr="00A042A0">
        <w:t xml:space="preserve"> projects</w:t>
      </w:r>
    </w:p>
    <w:p w14:paraId="758F7711" w14:textId="77777777" w:rsidR="008C1AD8" w:rsidRPr="00A042A0" w:rsidRDefault="008C1AD8" w:rsidP="008C1AD8">
      <w:pPr>
        <w:pStyle w:val="Bullet2"/>
      </w:pPr>
      <w:r w:rsidRPr="00A042A0">
        <w:t xml:space="preserve">Total impact as </w:t>
      </w:r>
      <w:r>
        <w:t>per cent</w:t>
      </w:r>
      <w:r w:rsidRPr="00A042A0">
        <w:t xml:space="preserve"> of remaining </w:t>
      </w:r>
      <w:r>
        <w:t>habitat within the Study Area</w:t>
      </w:r>
    </w:p>
    <w:p w14:paraId="1BD7B733" w14:textId="77777777" w:rsidR="008C1AD8" w:rsidRPr="00BF269C" w:rsidRDefault="008C1AD8" w:rsidP="008C1AD8">
      <w:r w:rsidRPr="00BF269C">
        <w:t>The table shows that the</w:t>
      </w:r>
      <w:r>
        <w:t xml:space="preserve"> other</w:t>
      </w:r>
      <w:r w:rsidRPr="00BF269C">
        <w:t xml:space="preserve"> projects contri</w:t>
      </w:r>
      <w:r>
        <w:t xml:space="preserve">bute </w:t>
      </w:r>
      <w:r w:rsidRPr="00BF269C">
        <w:t xml:space="preserve">to cumulative impacts in relation to </w:t>
      </w:r>
      <w:r>
        <w:t>relevant protected matters</w:t>
      </w:r>
      <w:r w:rsidRPr="00BF269C">
        <w:t xml:space="preserve"> directly impacted by the Plan. </w:t>
      </w:r>
      <w:r>
        <w:t>However,</w:t>
      </w:r>
      <w:r w:rsidRPr="00BF269C">
        <w:t xml:space="preserve"> a contribution to cumulative impacts is </w:t>
      </w:r>
      <w:r>
        <w:t xml:space="preserve">only </w:t>
      </w:r>
      <w:r w:rsidRPr="00BF269C">
        <w:t>considered significant when the other projects have a total impact greater than 100 per cent of the impact of the Plan or greater than 2 per cent of remaining habitat within the Study Area</w:t>
      </w:r>
      <w:r>
        <w:t xml:space="preserve"> (see Section </w:t>
      </w:r>
      <w:r>
        <w:fldChar w:fldCharType="begin"/>
      </w:r>
      <w:r>
        <w:instrText xml:space="preserve"> REF _Ref116639130 \r \h </w:instrText>
      </w:r>
      <w:r>
        <w:fldChar w:fldCharType="separate"/>
      </w:r>
      <w:r>
        <w:t>25.6.3</w:t>
      </w:r>
      <w:r>
        <w:fldChar w:fldCharType="end"/>
      </w:r>
      <w:r>
        <w:t>)</w:t>
      </w:r>
      <w:r w:rsidRPr="00BF269C">
        <w:t>.</w:t>
      </w:r>
      <w:r>
        <w:t xml:space="preserve"> Therefore, the other projects make a significant contribution to cumulative impacts to NTG </w:t>
      </w:r>
      <w:r w:rsidRPr="00BF269C">
        <w:t>Natural Temperate Grassland of the Victorian Volcanic Plain TEC</w:t>
      </w:r>
      <w:r>
        <w:t>.</w:t>
      </w:r>
    </w:p>
    <w:p w14:paraId="3D9BCF8F" w14:textId="77777777" w:rsidR="008C1AD8" w:rsidRPr="00BF269C" w:rsidRDefault="008C1AD8" w:rsidP="008C1AD8">
      <w:r w:rsidRPr="00BF269C">
        <w:t>The total cumulative impact from the Plan and other projects is considered significant where total cumulative impacts were greater than 5 per cent of remaining habitat within the Study</w:t>
      </w:r>
      <w:r>
        <w:t xml:space="preserve"> Area (see Section </w:t>
      </w:r>
      <w:r>
        <w:fldChar w:fldCharType="begin"/>
      </w:r>
      <w:r>
        <w:instrText xml:space="preserve"> REF _Ref116639130 \r \h </w:instrText>
      </w:r>
      <w:r>
        <w:fldChar w:fldCharType="separate"/>
      </w:r>
      <w:r>
        <w:t>25.6.3</w:t>
      </w:r>
      <w:r>
        <w:fldChar w:fldCharType="end"/>
      </w:r>
      <w:r>
        <w:t>)</w:t>
      </w:r>
      <w:r w:rsidRPr="00BF269C">
        <w:t xml:space="preserve">. A significant total cumulative impact across the Plan and other projects was </w:t>
      </w:r>
      <w:r>
        <w:t>not identified for any relevant protected matter.</w:t>
      </w:r>
    </w:p>
    <w:p w14:paraId="1D7664FD" w14:textId="77777777" w:rsidR="008C1AD8" w:rsidRDefault="008C1AD8" w:rsidP="008C1AD8">
      <w:pPr>
        <w:pStyle w:val="Bullet1"/>
        <w:numPr>
          <w:ilvl w:val="0"/>
          <w:numId w:val="0"/>
        </w:numPr>
        <w:ind w:left="360" w:hanging="360"/>
        <w:sectPr w:rsidR="008C1AD8" w:rsidSect="00845594">
          <w:footerReference w:type="default" r:id="rId103"/>
          <w:pgSz w:w="11900" w:h="16840"/>
          <w:pgMar w:top="1247" w:right="1134" w:bottom="1247" w:left="1134" w:header="708" w:footer="708" w:gutter="0"/>
          <w:pgNumType w:chapStyle="1"/>
          <w:cols w:space="708"/>
          <w:docGrid w:linePitch="360"/>
        </w:sectPr>
      </w:pPr>
    </w:p>
    <w:p w14:paraId="620CEEB0" w14:textId="77777777" w:rsidR="008C1AD8" w:rsidRDefault="008C1AD8" w:rsidP="008C1AD8">
      <w:pPr>
        <w:pStyle w:val="Caption"/>
        <w:keepNext/>
      </w:pPr>
      <w:bookmarkStart w:id="184" w:name="_Ref115787977"/>
      <w:bookmarkStart w:id="185" w:name="_Toc135122735"/>
      <w:r>
        <w:lastRenderedPageBreak/>
        <w:t xml:space="preserve">Table </w:t>
      </w:r>
      <w:r>
        <w:fldChar w:fldCharType="begin"/>
      </w:r>
      <w:r>
        <w:instrText xml:space="preserve"> STYLEREF 1 \s </w:instrText>
      </w:r>
      <w:r>
        <w:fldChar w:fldCharType="separate"/>
      </w:r>
      <w:r>
        <w:rPr>
          <w:noProof/>
        </w:rPr>
        <w:t>25</w:t>
      </w:r>
      <w:r>
        <w:fldChar w:fldCharType="end"/>
      </w:r>
      <w:r>
        <w:noBreakHyphen/>
      </w:r>
      <w:r>
        <w:fldChar w:fldCharType="begin"/>
      </w:r>
      <w:r>
        <w:instrText xml:space="preserve"> SEQ Table \* ARABIC \s 1 </w:instrText>
      </w:r>
      <w:r>
        <w:fldChar w:fldCharType="separate"/>
      </w:r>
      <w:r>
        <w:rPr>
          <w:noProof/>
        </w:rPr>
        <w:t>2</w:t>
      </w:r>
      <w:r>
        <w:fldChar w:fldCharType="end"/>
      </w:r>
      <w:bookmarkEnd w:id="184"/>
      <w:r>
        <w:t xml:space="preserve">: </w:t>
      </w:r>
      <w:r w:rsidRPr="00A042A0">
        <w:t xml:space="preserve">Potential cumulative impacts to species </w:t>
      </w:r>
      <w:r w:rsidRPr="00977C5F">
        <w:t>and TECs directly</w:t>
      </w:r>
      <w:r>
        <w:t xml:space="preserve"> </w:t>
      </w:r>
      <w:r w:rsidRPr="00A042A0">
        <w:t>impacted by Plan</w:t>
      </w:r>
      <w:bookmarkEnd w:id="185"/>
    </w:p>
    <w:tbl>
      <w:tblPr>
        <w:tblStyle w:val="TableGrid"/>
        <w:tblW w:w="5042" w:type="pct"/>
        <w:tblLayout w:type="fixed"/>
        <w:tblLook w:val="04A0" w:firstRow="1" w:lastRow="0" w:firstColumn="1" w:lastColumn="0" w:noHBand="0" w:noVBand="1"/>
      </w:tblPr>
      <w:tblGrid>
        <w:gridCol w:w="1979"/>
        <w:gridCol w:w="1137"/>
        <w:gridCol w:w="1134"/>
        <w:gridCol w:w="1133"/>
        <w:gridCol w:w="1136"/>
        <w:gridCol w:w="1133"/>
        <w:gridCol w:w="1136"/>
        <w:gridCol w:w="1133"/>
        <w:gridCol w:w="1133"/>
        <w:gridCol w:w="1136"/>
        <w:gridCol w:w="1133"/>
        <w:gridCol w:w="1133"/>
      </w:tblGrid>
      <w:tr w:rsidR="008C1AD8" w:rsidRPr="00A042A0" w14:paraId="500FA02F" w14:textId="77777777" w:rsidTr="00A15226">
        <w:trPr>
          <w:trHeight w:val="523"/>
          <w:tblHeader/>
        </w:trPr>
        <w:tc>
          <w:tcPr>
            <w:tcW w:w="684" w:type="pct"/>
            <w:vMerge w:val="restart"/>
            <w:shd w:val="clear" w:color="auto" w:fill="D9D9D9" w:themeFill="background1" w:themeFillShade="D9"/>
            <w:vAlign w:val="center"/>
          </w:tcPr>
          <w:p w14:paraId="252DB94B" w14:textId="77777777" w:rsidR="008C1AD8" w:rsidRPr="00A042A0" w:rsidRDefault="008C1AD8" w:rsidP="00A15226">
            <w:pPr>
              <w:pStyle w:val="Tabletext"/>
              <w:rPr>
                <w:b/>
                <w:bCs/>
                <w:sz w:val="16"/>
                <w:szCs w:val="16"/>
              </w:rPr>
            </w:pPr>
            <w:r>
              <w:rPr>
                <w:b/>
                <w:bCs/>
                <w:sz w:val="16"/>
                <w:szCs w:val="16"/>
              </w:rPr>
              <w:t>Protected m</w:t>
            </w:r>
            <w:r w:rsidRPr="00F045B3">
              <w:rPr>
                <w:b/>
                <w:bCs/>
                <w:sz w:val="16"/>
                <w:szCs w:val="16"/>
              </w:rPr>
              <w:t>atter</w:t>
            </w:r>
          </w:p>
        </w:tc>
        <w:tc>
          <w:tcPr>
            <w:tcW w:w="393" w:type="pct"/>
            <w:vMerge w:val="restart"/>
            <w:tcBorders>
              <w:right w:val="single" w:sz="12" w:space="0" w:color="auto"/>
            </w:tcBorders>
            <w:shd w:val="clear" w:color="auto" w:fill="D9D9D9" w:themeFill="background1" w:themeFillShade="D9"/>
            <w:vAlign w:val="center"/>
          </w:tcPr>
          <w:p w14:paraId="662A468A" w14:textId="77777777" w:rsidR="008C1AD8" w:rsidRPr="00A042A0" w:rsidRDefault="008C1AD8" w:rsidP="00A15226">
            <w:pPr>
              <w:pStyle w:val="Tabletext"/>
              <w:jc w:val="center"/>
              <w:rPr>
                <w:b/>
                <w:bCs/>
                <w:sz w:val="16"/>
                <w:szCs w:val="16"/>
              </w:rPr>
            </w:pPr>
            <w:r w:rsidRPr="00A042A0">
              <w:rPr>
                <w:b/>
                <w:bCs/>
                <w:sz w:val="16"/>
                <w:szCs w:val="16"/>
              </w:rPr>
              <w:t>Total habitat in the S</w:t>
            </w:r>
            <w:r>
              <w:rPr>
                <w:b/>
                <w:bCs/>
                <w:sz w:val="16"/>
                <w:szCs w:val="16"/>
              </w:rPr>
              <w:t>tudy Area</w:t>
            </w:r>
          </w:p>
        </w:tc>
        <w:tc>
          <w:tcPr>
            <w:tcW w:w="784" w:type="pct"/>
            <w:gridSpan w:val="2"/>
            <w:tcBorders>
              <w:left w:val="single" w:sz="12" w:space="0" w:color="auto"/>
              <w:right w:val="single" w:sz="12" w:space="0" w:color="auto"/>
            </w:tcBorders>
            <w:shd w:val="clear" w:color="auto" w:fill="D9D9D9" w:themeFill="background1" w:themeFillShade="D9"/>
            <w:vAlign w:val="center"/>
          </w:tcPr>
          <w:p w14:paraId="7EE1033B" w14:textId="77777777" w:rsidR="008C1AD8" w:rsidRPr="00A042A0" w:rsidRDefault="008C1AD8" w:rsidP="00A15226">
            <w:pPr>
              <w:pStyle w:val="Tabletext"/>
              <w:jc w:val="center"/>
              <w:rPr>
                <w:b/>
                <w:bCs/>
                <w:sz w:val="16"/>
                <w:szCs w:val="16"/>
              </w:rPr>
            </w:pPr>
            <w:r w:rsidRPr="00A042A0">
              <w:rPr>
                <w:b/>
                <w:bCs/>
                <w:sz w:val="16"/>
                <w:szCs w:val="16"/>
              </w:rPr>
              <w:t>Plan impacts</w:t>
            </w:r>
          </w:p>
        </w:tc>
        <w:tc>
          <w:tcPr>
            <w:tcW w:w="1961" w:type="pct"/>
            <w:gridSpan w:val="5"/>
            <w:tcBorders>
              <w:left w:val="single" w:sz="12" w:space="0" w:color="auto"/>
              <w:right w:val="single" w:sz="12" w:space="0" w:color="auto"/>
            </w:tcBorders>
            <w:shd w:val="clear" w:color="auto" w:fill="D9D9D9" w:themeFill="background1" w:themeFillShade="D9"/>
            <w:vAlign w:val="center"/>
          </w:tcPr>
          <w:p w14:paraId="1945EC3E" w14:textId="77777777" w:rsidR="008C1AD8" w:rsidRPr="00A042A0" w:rsidRDefault="008C1AD8" w:rsidP="00A15226">
            <w:pPr>
              <w:pStyle w:val="Tabletext"/>
              <w:jc w:val="center"/>
              <w:rPr>
                <w:b/>
                <w:bCs/>
                <w:sz w:val="16"/>
                <w:szCs w:val="16"/>
              </w:rPr>
            </w:pPr>
            <w:r>
              <w:rPr>
                <w:b/>
                <w:bCs/>
                <w:sz w:val="16"/>
                <w:szCs w:val="16"/>
              </w:rPr>
              <w:t>Other</w:t>
            </w:r>
            <w:r w:rsidRPr="00A042A0">
              <w:rPr>
                <w:b/>
                <w:bCs/>
                <w:sz w:val="16"/>
                <w:szCs w:val="16"/>
              </w:rPr>
              <w:t xml:space="preserve"> project impacts</w:t>
            </w:r>
          </w:p>
        </w:tc>
        <w:tc>
          <w:tcPr>
            <w:tcW w:w="1177" w:type="pct"/>
            <w:gridSpan w:val="3"/>
            <w:tcBorders>
              <w:left w:val="single" w:sz="12" w:space="0" w:color="auto"/>
            </w:tcBorders>
            <w:shd w:val="clear" w:color="auto" w:fill="D9D9D9" w:themeFill="background1" w:themeFillShade="D9"/>
            <w:vAlign w:val="center"/>
          </w:tcPr>
          <w:p w14:paraId="2A84B91A" w14:textId="77777777" w:rsidR="008C1AD8" w:rsidRDefault="008C1AD8" w:rsidP="00A15226">
            <w:pPr>
              <w:pStyle w:val="Tabletext"/>
              <w:jc w:val="center"/>
              <w:rPr>
                <w:b/>
                <w:bCs/>
                <w:sz w:val="16"/>
                <w:szCs w:val="16"/>
              </w:rPr>
            </w:pPr>
            <w:r w:rsidRPr="00A042A0">
              <w:rPr>
                <w:b/>
                <w:bCs/>
                <w:sz w:val="16"/>
                <w:szCs w:val="16"/>
              </w:rPr>
              <w:t xml:space="preserve">Cumulative impacts </w:t>
            </w:r>
          </w:p>
          <w:p w14:paraId="40BDE539" w14:textId="77777777" w:rsidR="008C1AD8" w:rsidRPr="00A042A0" w:rsidRDefault="008C1AD8" w:rsidP="00A15226">
            <w:pPr>
              <w:pStyle w:val="Tabletext"/>
              <w:jc w:val="center"/>
              <w:rPr>
                <w:b/>
                <w:bCs/>
                <w:sz w:val="16"/>
                <w:szCs w:val="16"/>
              </w:rPr>
            </w:pPr>
            <w:r w:rsidRPr="00A042A0">
              <w:rPr>
                <w:b/>
                <w:bCs/>
                <w:sz w:val="16"/>
                <w:szCs w:val="16"/>
              </w:rPr>
              <w:t xml:space="preserve">Plan and </w:t>
            </w:r>
            <w:r>
              <w:rPr>
                <w:b/>
                <w:bCs/>
                <w:sz w:val="16"/>
                <w:szCs w:val="16"/>
              </w:rPr>
              <w:t>other</w:t>
            </w:r>
            <w:r w:rsidRPr="00A042A0">
              <w:rPr>
                <w:b/>
                <w:bCs/>
                <w:sz w:val="16"/>
                <w:szCs w:val="16"/>
              </w:rPr>
              <w:t xml:space="preserve"> projects</w:t>
            </w:r>
          </w:p>
        </w:tc>
      </w:tr>
      <w:tr w:rsidR="008C1AD8" w:rsidRPr="00A042A0" w14:paraId="64D3B801" w14:textId="77777777" w:rsidTr="00A15226">
        <w:trPr>
          <w:trHeight w:val="2199"/>
          <w:tblHeader/>
        </w:trPr>
        <w:tc>
          <w:tcPr>
            <w:tcW w:w="684" w:type="pct"/>
            <w:vMerge/>
            <w:shd w:val="clear" w:color="auto" w:fill="D9D9D9" w:themeFill="background1" w:themeFillShade="D9"/>
            <w:vAlign w:val="center"/>
          </w:tcPr>
          <w:p w14:paraId="02811B2C" w14:textId="77777777" w:rsidR="008C1AD8" w:rsidRPr="00A042A0" w:rsidRDefault="008C1AD8" w:rsidP="00A15226">
            <w:pPr>
              <w:pStyle w:val="Tabletext"/>
              <w:rPr>
                <w:b/>
                <w:bCs/>
                <w:sz w:val="16"/>
                <w:szCs w:val="16"/>
              </w:rPr>
            </w:pPr>
          </w:p>
        </w:tc>
        <w:tc>
          <w:tcPr>
            <w:tcW w:w="393" w:type="pct"/>
            <w:vMerge/>
            <w:tcBorders>
              <w:right w:val="single" w:sz="12" w:space="0" w:color="auto"/>
            </w:tcBorders>
            <w:shd w:val="clear" w:color="auto" w:fill="D9D9D9" w:themeFill="background1" w:themeFillShade="D9"/>
            <w:vAlign w:val="center"/>
          </w:tcPr>
          <w:p w14:paraId="2DFC1045" w14:textId="77777777" w:rsidR="008C1AD8" w:rsidRPr="00A042A0" w:rsidRDefault="008C1AD8" w:rsidP="00A15226">
            <w:pPr>
              <w:pStyle w:val="Tabletext"/>
              <w:jc w:val="center"/>
              <w:rPr>
                <w:b/>
                <w:bCs/>
                <w:sz w:val="16"/>
                <w:szCs w:val="16"/>
              </w:rPr>
            </w:pPr>
          </w:p>
        </w:tc>
        <w:tc>
          <w:tcPr>
            <w:tcW w:w="392" w:type="pct"/>
            <w:tcBorders>
              <w:left w:val="single" w:sz="12" w:space="0" w:color="auto"/>
            </w:tcBorders>
            <w:shd w:val="clear" w:color="auto" w:fill="D9D9D9" w:themeFill="background1" w:themeFillShade="D9"/>
            <w:vAlign w:val="center"/>
          </w:tcPr>
          <w:p w14:paraId="3A090421" w14:textId="77777777" w:rsidR="008C1AD8" w:rsidRPr="00A042A0" w:rsidRDefault="008C1AD8" w:rsidP="00A15226">
            <w:pPr>
              <w:pStyle w:val="Tabletext"/>
              <w:jc w:val="center"/>
              <w:rPr>
                <w:b/>
                <w:bCs/>
                <w:sz w:val="16"/>
                <w:szCs w:val="16"/>
              </w:rPr>
            </w:pPr>
            <w:r w:rsidRPr="00A042A0">
              <w:rPr>
                <w:b/>
                <w:bCs/>
                <w:sz w:val="16"/>
                <w:szCs w:val="16"/>
              </w:rPr>
              <w:t>Impact (ha)</w:t>
            </w:r>
          </w:p>
        </w:tc>
        <w:tc>
          <w:tcPr>
            <w:tcW w:w="392" w:type="pct"/>
            <w:tcBorders>
              <w:right w:val="single" w:sz="12" w:space="0" w:color="auto"/>
            </w:tcBorders>
            <w:shd w:val="clear" w:color="auto" w:fill="D9D9D9" w:themeFill="background1" w:themeFillShade="D9"/>
            <w:vAlign w:val="center"/>
          </w:tcPr>
          <w:p w14:paraId="06F04766" w14:textId="77777777" w:rsidR="008C1AD8" w:rsidRPr="00A042A0" w:rsidRDefault="008C1AD8" w:rsidP="00A15226">
            <w:pPr>
              <w:pStyle w:val="Tabletext"/>
              <w:jc w:val="center"/>
              <w:rPr>
                <w:b/>
                <w:bCs/>
                <w:sz w:val="16"/>
                <w:szCs w:val="16"/>
              </w:rPr>
            </w:pPr>
            <w:r w:rsidRPr="00A042A0">
              <w:rPr>
                <w:b/>
                <w:bCs/>
                <w:sz w:val="16"/>
                <w:szCs w:val="16"/>
              </w:rPr>
              <w:t xml:space="preserve">Impact as % of </w:t>
            </w:r>
            <w:r>
              <w:rPr>
                <w:b/>
                <w:bCs/>
                <w:sz w:val="16"/>
                <w:szCs w:val="16"/>
              </w:rPr>
              <w:t>Study Area habitat</w:t>
            </w:r>
          </w:p>
        </w:tc>
        <w:tc>
          <w:tcPr>
            <w:tcW w:w="393" w:type="pct"/>
            <w:tcBorders>
              <w:left w:val="single" w:sz="12" w:space="0" w:color="auto"/>
            </w:tcBorders>
            <w:shd w:val="clear" w:color="auto" w:fill="D9D9D9" w:themeFill="background1" w:themeFillShade="D9"/>
            <w:vAlign w:val="center"/>
          </w:tcPr>
          <w:p w14:paraId="4AEFCCA0" w14:textId="77777777" w:rsidR="008C1AD8" w:rsidRPr="00483FEB" w:rsidRDefault="008C1AD8" w:rsidP="00A15226">
            <w:pPr>
              <w:pStyle w:val="Tabletext"/>
              <w:jc w:val="center"/>
              <w:rPr>
                <w:b/>
                <w:bCs/>
                <w:sz w:val="16"/>
                <w:szCs w:val="16"/>
              </w:rPr>
            </w:pPr>
            <w:r>
              <w:rPr>
                <w:b/>
                <w:bCs/>
                <w:sz w:val="16"/>
                <w:szCs w:val="16"/>
              </w:rPr>
              <w:t>Southern WGGA (ha)</w:t>
            </w:r>
          </w:p>
        </w:tc>
        <w:tc>
          <w:tcPr>
            <w:tcW w:w="392" w:type="pct"/>
            <w:shd w:val="clear" w:color="auto" w:fill="D9D9D9" w:themeFill="background1" w:themeFillShade="D9"/>
            <w:vAlign w:val="center"/>
          </w:tcPr>
          <w:p w14:paraId="6C89F548" w14:textId="77777777" w:rsidR="008C1AD8" w:rsidRPr="00483FEB" w:rsidRDefault="008C1AD8" w:rsidP="00A15226">
            <w:pPr>
              <w:pStyle w:val="Tabletext"/>
              <w:jc w:val="center"/>
              <w:rPr>
                <w:b/>
                <w:bCs/>
                <w:sz w:val="16"/>
                <w:szCs w:val="16"/>
              </w:rPr>
            </w:pPr>
            <w:r w:rsidRPr="00483FEB">
              <w:rPr>
                <w:b/>
                <w:bCs/>
                <w:sz w:val="16"/>
                <w:szCs w:val="16"/>
              </w:rPr>
              <w:t>Bacchus Marsh Road Upgrade</w:t>
            </w:r>
            <w:r>
              <w:rPr>
                <w:b/>
                <w:bCs/>
                <w:sz w:val="16"/>
                <w:szCs w:val="16"/>
              </w:rPr>
              <w:t xml:space="preserve"> Project</w:t>
            </w:r>
            <w:r w:rsidRPr="00483FEB">
              <w:rPr>
                <w:b/>
                <w:bCs/>
                <w:sz w:val="16"/>
                <w:szCs w:val="16"/>
              </w:rPr>
              <w:t xml:space="preserve"> (ha)</w:t>
            </w:r>
          </w:p>
        </w:tc>
        <w:tc>
          <w:tcPr>
            <w:tcW w:w="393" w:type="pct"/>
            <w:shd w:val="clear" w:color="auto" w:fill="D9D9D9" w:themeFill="background1" w:themeFillShade="D9"/>
            <w:vAlign w:val="center"/>
          </w:tcPr>
          <w:p w14:paraId="0393BF39" w14:textId="77777777" w:rsidR="008C1AD8" w:rsidRPr="00A042A0" w:rsidRDefault="008C1AD8" w:rsidP="00A15226">
            <w:pPr>
              <w:pStyle w:val="Tabletext"/>
              <w:jc w:val="center"/>
              <w:rPr>
                <w:b/>
                <w:bCs/>
                <w:sz w:val="16"/>
                <w:szCs w:val="16"/>
              </w:rPr>
            </w:pPr>
            <w:r w:rsidRPr="00F118A4">
              <w:rPr>
                <w:b/>
                <w:bCs/>
                <w:sz w:val="16"/>
                <w:szCs w:val="16"/>
              </w:rPr>
              <w:t>Cherry Creek Youth Justice Centre</w:t>
            </w:r>
          </w:p>
        </w:tc>
        <w:tc>
          <w:tcPr>
            <w:tcW w:w="392" w:type="pct"/>
            <w:shd w:val="clear" w:color="auto" w:fill="D9D9D9" w:themeFill="background1" w:themeFillShade="D9"/>
            <w:vAlign w:val="center"/>
          </w:tcPr>
          <w:p w14:paraId="561BAF1E" w14:textId="77777777" w:rsidR="008C1AD8" w:rsidRPr="00A042A0" w:rsidRDefault="008C1AD8" w:rsidP="00A15226">
            <w:pPr>
              <w:pStyle w:val="Tabletext"/>
              <w:jc w:val="center"/>
              <w:rPr>
                <w:b/>
                <w:bCs/>
                <w:sz w:val="16"/>
                <w:szCs w:val="16"/>
              </w:rPr>
            </w:pPr>
            <w:r w:rsidRPr="00A042A0">
              <w:rPr>
                <w:b/>
                <w:bCs/>
                <w:sz w:val="16"/>
                <w:szCs w:val="16"/>
              </w:rPr>
              <w:t>Total impact (ha)</w:t>
            </w:r>
          </w:p>
        </w:tc>
        <w:tc>
          <w:tcPr>
            <w:tcW w:w="392" w:type="pct"/>
            <w:tcBorders>
              <w:right w:val="single" w:sz="12" w:space="0" w:color="auto"/>
            </w:tcBorders>
            <w:shd w:val="clear" w:color="auto" w:fill="D9D9D9" w:themeFill="background1" w:themeFillShade="D9"/>
            <w:vAlign w:val="center"/>
          </w:tcPr>
          <w:p w14:paraId="7F1A01B0" w14:textId="77777777" w:rsidR="008C1AD8" w:rsidRPr="00A042A0" w:rsidRDefault="008C1AD8" w:rsidP="00A15226">
            <w:pPr>
              <w:pStyle w:val="Tabletext"/>
              <w:jc w:val="center"/>
              <w:rPr>
                <w:b/>
                <w:bCs/>
                <w:sz w:val="16"/>
                <w:szCs w:val="16"/>
              </w:rPr>
            </w:pPr>
            <w:r w:rsidRPr="00A042A0">
              <w:rPr>
                <w:b/>
                <w:bCs/>
                <w:sz w:val="16"/>
                <w:szCs w:val="16"/>
              </w:rPr>
              <w:t xml:space="preserve">Total impact as % of </w:t>
            </w:r>
            <w:r>
              <w:rPr>
                <w:b/>
                <w:bCs/>
                <w:sz w:val="16"/>
                <w:szCs w:val="16"/>
              </w:rPr>
              <w:t>Study Area habitat</w:t>
            </w:r>
          </w:p>
        </w:tc>
        <w:tc>
          <w:tcPr>
            <w:tcW w:w="393" w:type="pct"/>
            <w:tcBorders>
              <w:left w:val="single" w:sz="12" w:space="0" w:color="auto"/>
            </w:tcBorders>
            <w:shd w:val="clear" w:color="auto" w:fill="D9D9D9" w:themeFill="background1" w:themeFillShade="D9"/>
            <w:vAlign w:val="center"/>
          </w:tcPr>
          <w:p w14:paraId="23BFBD71" w14:textId="77777777" w:rsidR="008C1AD8" w:rsidRPr="00A042A0" w:rsidRDefault="008C1AD8" w:rsidP="00A15226">
            <w:pPr>
              <w:pStyle w:val="Tabletext"/>
              <w:jc w:val="center"/>
              <w:rPr>
                <w:b/>
                <w:bCs/>
                <w:sz w:val="16"/>
                <w:szCs w:val="16"/>
              </w:rPr>
            </w:pPr>
            <w:r w:rsidRPr="00A042A0">
              <w:rPr>
                <w:b/>
                <w:bCs/>
                <w:sz w:val="16"/>
                <w:szCs w:val="16"/>
              </w:rPr>
              <w:t>Total impact (ha)</w:t>
            </w:r>
          </w:p>
        </w:tc>
        <w:tc>
          <w:tcPr>
            <w:tcW w:w="392" w:type="pct"/>
            <w:shd w:val="clear" w:color="auto" w:fill="D9D9D9" w:themeFill="background1" w:themeFillShade="D9"/>
            <w:vAlign w:val="center"/>
          </w:tcPr>
          <w:p w14:paraId="0DD35F50" w14:textId="77777777" w:rsidR="008C1AD8" w:rsidRPr="00A042A0" w:rsidRDefault="008C1AD8" w:rsidP="00A15226">
            <w:pPr>
              <w:pStyle w:val="Tabletext"/>
              <w:jc w:val="center"/>
              <w:rPr>
                <w:b/>
                <w:bCs/>
                <w:sz w:val="16"/>
                <w:szCs w:val="16"/>
              </w:rPr>
            </w:pPr>
            <w:r w:rsidRPr="00A042A0">
              <w:rPr>
                <w:b/>
                <w:bCs/>
                <w:sz w:val="16"/>
                <w:szCs w:val="16"/>
              </w:rPr>
              <w:t>% additional impact due to major projects</w:t>
            </w:r>
          </w:p>
        </w:tc>
        <w:tc>
          <w:tcPr>
            <w:tcW w:w="392" w:type="pct"/>
            <w:shd w:val="clear" w:color="auto" w:fill="D9D9D9" w:themeFill="background1" w:themeFillShade="D9"/>
            <w:vAlign w:val="center"/>
          </w:tcPr>
          <w:p w14:paraId="00FC2994" w14:textId="77777777" w:rsidR="008C1AD8" w:rsidRPr="00A042A0" w:rsidRDefault="008C1AD8" w:rsidP="00A15226">
            <w:pPr>
              <w:pStyle w:val="Tabletext"/>
              <w:jc w:val="center"/>
              <w:rPr>
                <w:b/>
                <w:bCs/>
                <w:sz w:val="16"/>
                <w:szCs w:val="16"/>
              </w:rPr>
            </w:pPr>
            <w:r w:rsidRPr="00A042A0">
              <w:rPr>
                <w:b/>
                <w:bCs/>
                <w:sz w:val="16"/>
                <w:szCs w:val="16"/>
              </w:rPr>
              <w:t xml:space="preserve">Impact as % of </w:t>
            </w:r>
            <w:r>
              <w:rPr>
                <w:b/>
                <w:bCs/>
                <w:sz w:val="16"/>
                <w:szCs w:val="16"/>
              </w:rPr>
              <w:t>Study Area</w:t>
            </w:r>
            <w:r w:rsidRPr="00A042A0">
              <w:rPr>
                <w:b/>
                <w:bCs/>
                <w:sz w:val="16"/>
                <w:szCs w:val="16"/>
              </w:rPr>
              <w:t xml:space="preserve"> habitat</w:t>
            </w:r>
          </w:p>
        </w:tc>
      </w:tr>
      <w:tr w:rsidR="008C1AD8" w:rsidRPr="0073612D" w14:paraId="127BEB69" w14:textId="77777777" w:rsidTr="00A15226">
        <w:tc>
          <w:tcPr>
            <w:tcW w:w="684" w:type="pct"/>
            <w:shd w:val="clear" w:color="auto" w:fill="auto"/>
            <w:vAlign w:val="center"/>
          </w:tcPr>
          <w:p w14:paraId="2946E2C5" w14:textId="77777777" w:rsidR="008C1AD8" w:rsidRPr="00977C5F" w:rsidRDefault="008C1AD8" w:rsidP="00A15226">
            <w:pPr>
              <w:pStyle w:val="Tabletext"/>
              <w:rPr>
                <w:sz w:val="16"/>
                <w:szCs w:val="16"/>
              </w:rPr>
            </w:pPr>
            <w:r w:rsidRPr="00977C5F">
              <w:rPr>
                <w:rFonts w:cs="Arial"/>
                <w:sz w:val="16"/>
                <w:szCs w:val="16"/>
              </w:rPr>
              <w:t>Natural Temperate Grassland of the Victorian Volcanic Plain</w:t>
            </w:r>
            <w:r>
              <w:rPr>
                <w:rFonts w:cs="Arial"/>
                <w:sz w:val="16"/>
                <w:szCs w:val="16"/>
              </w:rPr>
              <w:t xml:space="preserve"> TEC</w:t>
            </w:r>
          </w:p>
        </w:tc>
        <w:tc>
          <w:tcPr>
            <w:tcW w:w="393" w:type="pct"/>
            <w:tcBorders>
              <w:right w:val="single" w:sz="12" w:space="0" w:color="auto"/>
            </w:tcBorders>
            <w:shd w:val="clear" w:color="auto" w:fill="auto"/>
            <w:vAlign w:val="center"/>
          </w:tcPr>
          <w:p w14:paraId="1F766DCB"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2,817.2</w:t>
            </w:r>
          </w:p>
        </w:tc>
        <w:tc>
          <w:tcPr>
            <w:tcW w:w="392" w:type="pct"/>
            <w:tcBorders>
              <w:left w:val="single" w:sz="12" w:space="0" w:color="auto"/>
            </w:tcBorders>
            <w:shd w:val="clear" w:color="auto" w:fill="auto"/>
            <w:vAlign w:val="center"/>
          </w:tcPr>
          <w:p w14:paraId="1D5ED080"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18.6</w:t>
            </w:r>
          </w:p>
        </w:tc>
        <w:tc>
          <w:tcPr>
            <w:tcW w:w="392" w:type="pct"/>
            <w:tcBorders>
              <w:right w:val="single" w:sz="12" w:space="0" w:color="auto"/>
            </w:tcBorders>
            <w:shd w:val="clear" w:color="auto" w:fill="auto"/>
            <w:vAlign w:val="center"/>
          </w:tcPr>
          <w:p w14:paraId="59718A7A" w14:textId="77777777" w:rsidR="008C1AD8" w:rsidRPr="00F81C03" w:rsidRDefault="008C1AD8" w:rsidP="00A15226">
            <w:pPr>
              <w:pStyle w:val="Tabletext"/>
              <w:jc w:val="center"/>
              <w:rPr>
                <w:rFonts w:cs="Calibri"/>
                <w:color w:val="000000"/>
                <w:sz w:val="16"/>
                <w:szCs w:val="16"/>
              </w:rPr>
            </w:pPr>
            <w:r w:rsidRPr="00F81C03">
              <w:rPr>
                <w:sz w:val="16"/>
                <w:szCs w:val="16"/>
              </w:rPr>
              <w:t>0.7%</w:t>
            </w:r>
          </w:p>
        </w:tc>
        <w:tc>
          <w:tcPr>
            <w:tcW w:w="393" w:type="pct"/>
            <w:tcBorders>
              <w:left w:val="single" w:sz="12" w:space="0" w:color="auto"/>
            </w:tcBorders>
            <w:shd w:val="clear" w:color="auto" w:fill="auto"/>
            <w:vAlign w:val="center"/>
          </w:tcPr>
          <w:p w14:paraId="73DA4B33" w14:textId="77777777" w:rsidR="008C1AD8" w:rsidRPr="00F81C03" w:rsidRDefault="008C1AD8" w:rsidP="00A15226">
            <w:pPr>
              <w:pStyle w:val="Tabletext"/>
              <w:jc w:val="center"/>
              <w:rPr>
                <w:rFonts w:cs="Calibri"/>
                <w:color w:val="000000"/>
                <w:sz w:val="16"/>
                <w:szCs w:val="16"/>
              </w:rPr>
            </w:pPr>
            <w:r w:rsidRPr="00F81C03">
              <w:rPr>
                <w:sz w:val="16"/>
                <w:szCs w:val="16"/>
              </w:rPr>
              <w:t>17.0</w:t>
            </w:r>
          </w:p>
        </w:tc>
        <w:tc>
          <w:tcPr>
            <w:tcW w:w="392" w:type="pct"/>
            <w:shd w:val="clear" w:color="auto" w:fill="auto"/>
            <w:vAlign w:val="center"/>
          </w:tcPr>
          <w:p w14:paraId="1883DE6A"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2.5</w:t>
            </w:r>
          </w:p>
        </w:tc>
        <w:tc>
          <w:tcPr>
            <w:tcW w:w="393" w:type="pct"/>
            <w:shd w:val="clear" w:color="auto" w:fill="auto"/>
            <w:vAlign w:val="center"/>
          </w:tcPr>
          <w:p w14:paraId="15F837CA" w14:textId="77777777" w:rsidR="008C1AD8" w:rsidRPr="00F81C03" w:rsidRDefault="008C1AD8" w:rsidP="00A15226">
            <w:pPr>
              <w:pStyle w:val="Tabletext"/>
              <w:jc w:val="center"/>
              <w:rPr>
                <w:rFonts w:cs="Calibri"/>
                <w:color w:val="000000"/>
                <w:sz w:val="16"/>
                <w:szCs w:val="16"/>
                <w:highlight w:val="yellow"/>
              </w:rPr>
            </w:pPr>
            <w:r w:rsidRPr="00F81C03">
              <w:rPr>
                <w:rFonts w:cs="Calibri"/>
                <w:color w:val="000000"/>
                <w:sz w:val="16"/>
                <w:szCs w:val="16"/>
              </w:rPr>
              <w:t>29.29</w:t>
            </w:r>
          </w:p>
        </w:tc>
        <w:tc>
          <w:tcPr>
            <w:tcW w:w="392" w:type="pct"/>
            <w:shd w:val="clear" w:color="auto" w:fill="auto"/>
            <w:vAlign w:val="center"/>
          </w:tcPr>
          <w:p w14:paraId="6E810B75" w14:textId="77777777" w:rsidR="008C1AD8" w:rsidRPr="00F81C03" w:rsidRDefault="008C1AD8" w:rsidP="00A15226">
            <w:pPr>
              <w:pStyle w:val="Tabletext"/>
              <w:jc w:val="center"/>
              <w:rPr>
                <w:rFonts w:cs="Calibri"/>
                <w:color w:val="000000"/>
                <w:sz w:val="16"/>
                <w:szCs w:val="16"/>
              </w:rPr>
            </w:pPr>
            <w:r w:rsidRPr="00F81C03">
              <w:rPr>
                <w:sz w:val="16"/>
                <w:szCs w:val="16"/>
              </w:rPr>
              <w:t>48.7</w:t>
            </w:r>
          </w:p>
        </w:tc>
        <w:tc>
          <w:tcPr>
            <w:tcW w:w="392" w:type="pct"/>
            <w:tcBorders>
              <w:right w:val="single" w:sz="12" w:space="0" w:color="auto"/>
            </w:tcBorders>
            <w:shd w:val="clear" w:color="auto" w:fill="auto"/>
            <w:vAlign w:val="center"/>
          </w:tcPr>
          <w:p w14:paraId="67A187DB" w14:textId="77777777" w:rsidR="008C1AD8" w:rsidRPr="00F81C03" w:rsidRDefault="008C1AD8" w:rsidP="00A15226">
            <w:pPr>
              <w:pStyle w:val="Tabletext"/>
              <w:jc w:val="center"/>
              <w:rPr>
                <w:rFonts w:cs="Calibri"/>
                <w:color w:val="000000"/>
                <w:sz w:val="16"/>
                <w:szCs w:val="16"/>
              </w:rPr>
            </w:pPr>
            <w:r w:rsidRPr="00F81C03">
              <w:rPr>
                <w:sz w:val="16"/>
                <w:szCs w:val="16"/>
              </w:rPr>
              <w:t>1.7%</w:t>
            </w:r>
          </w:p>
        </w:tc>
        <w:tc>
          <w:tcPr>
            <w:tcW w:w="393" w:type="pct"/>
            <w:tcBorders>
              <w:left w:val="single" w:sz="12" w:space="0" w:color="auto"/>
            </w:tcBorders>
            <w:shd w:val="clear" w:color="auto" w:fill="B4C6E7" w:themeFill="accent1" w:themeFillTint="66"/>
            <w:vAlign w:val="center"/>
          </w:tcPr>
          <w:p w14:paraId="3AE5BC3E" w14:textId="77777777" w:rsidR="008C1AD8" w:rsidRPr="00F81C03" w:rsidRDefault="008C1AD8" w:rsidP="00A15226">
            <w:pPr>
              <w:pStyle w:val="Tabletext"/>
              <w:jc w:val="center"/>
              <w:rPr>
                <w:rFonts w:cs="Calibri"/>
                <w:b/>
                <w:bCs/>
                <w:color w:val="000000"/>
                <w:sz w:val="16"/>
                <w:szCs w:val="16"/>
              </w:rPr>
            </w:pPr>
            <w:r w:rsidRPr="00F81C03">
              <w:rPr>
                <w:b/>
                <w:bCs/>
                <w:sz w:val="16"/>
                <w:szCs w:val="16"/>
              </w:rPr>
              <w:t>67.3</w:t>
            </w:r>
          </w:p>
        </w:tc>
        <w:tc>
          <w:tcPr>
            <w:tcW w:w="392" w:type="pct"/>
            <w:shd w:val="clear" w:color="auto" w:fill="B4C6E7" w:themeFill="accent1" w:themeFillTint="66"/>
            <w:vAlign w:val="center"/>
          </w:tcPr>
          <w:p w14:paraId="1A736EA4" w14:textId="77777777" w:rsidR="008C1AD8" w:rsidRPr="00F81C03" w:rsidRDefault="008C1AD8" w:rsidP="00A15226">
            <w:pPr>
              <w:pStyle w:val="Tabletext"/>
              <w:jc w:val="center"/>
              <w:rPr>
                <w:rFonts w:cs="Calibri"/>
                <w:b/>
                <w:bCs/>
                <w:color w:val="000000"/>
                <w:sz w:val="16"/>
                <w:szCs w:val="16"/>
              </w:rPr>
            </w:pPr>
            <w:r w:rsidRPr="00F81C03">
              <w:rPr>
                <w:b/>
                <w:bCs/>
                <w:sz w:val="16"/>
                <w:szCs w:val="16"/>
              </w:rPr>
              <w:t>72.4%</w:t>
            </w:r>
          </w:p>
        </w:tc>
        <w:tc>
          <w:tcPr>
            <w:tcW w:w="392" w:type="pct"/>
            <w:shd w:val="clear" w:color="auto" w:fill="B4C6E7" w:themeFill="accent1" w:themeFillTint="66"/>
            <w:vAlign w:val="center"/>
          </w:tcPr>
          <w:p w14:paraId="5968546E" w14:textId="77777777" w:rsidR="008C1AD8" w:rsidRPr="00F81C03" w:rsidRDefault="008C1AD8" w:rsidP="00A15226">
            <w:pPr>
              <w:pStyle w:val="Tabletext"/>
              <w:jc w:val="center"/>
              <w:rPr>
                <w:rFonts w:cs="Calibri"/>
                <w:b/>
                <w:bCs/>
                <w:color w:val="000000"/>
                <w:sz w:val="16"/>
                <w:szCs w:val="16"/>
              </w:rPr>
            </w:pPr>
            <w:r w:rsidRPr="00F81C03">
              <w:rPr>
                <w:b/>
                <w:bCs/>
                <w:sz w:val="16"/>
                <w:szCs w:val="16"/>
              </w:rPr>
              <w:t>2.4%</w:t>
            </w:r>
          </w:p>
        </w:tc>
      </w:tr>
      <w:tr w:rsidR="008C1AD8" w:rsidRPr="0073612D" w14:paraId="60463C21" w14:textId="77777777" w:rsidTr="00A15226">
        <w:tc>
          <w:tcPr>
            <w:tcW w:w="684" w:type="pct"/>
            <w:shd w:val="clear" w:color="auto" w:fill="auto"/>
            <w:vAlign w:val="center"/>
          </w:tcPr>
          <w:p w14:paraId="3702E0C1" w14:textId="77777777" w:rsidR="008C1AD8" w:rsidRPr="00977C5F" w:rsidRDefault="008C1AD8" w:rsidP="00A15226">
            <w:pPr>
              <w:pStyle w:val="Tabletext"/>
              <w:rPr>
                <w:rFonts w:cs="Arial"/>
                <w:i/>
                <w:iCs/>
                <w:sz w:val="16"/>
                <w:szCs w:val="16"/>
              </w:rPr>
            </w:pPr>
            <w:r w:rsidRPr="00977C5F">
              <w:rPr>
                <w:rFonts w:cs="Arial"/>
                <w:i/>
                <w:iCs/>
                <w:sz w:val="16"/>
                <w:szCs w:val="16"/>
              </w:rPr>
              <w:t xml:space="preserve">Delma impar </w:t>
            </w:r>
            <w:r w:rsidRPr="00977C5F">
              <w:rPr>
                <w:rFonts w:cs="Arial"/>
                <w:sz w:val="16"/>
                <w:szCs w:val="16"/>
              </w:rPr>
              <w:t>(Striped Legless Lizard)</w:t>
            </w:r>
          </w:p>
        </w:tc>
        <w:tc>
          <w:tcPr>
            <w:tcW w:w="393" w:type="pct"/>
            <w:tcBorders>
              <w:right w:val="single" w:sz="12" w:space="0" w:color="auto"/>
            </w:tcBorders>
            <w:shd w:val="clear" w:color="auto" w:fill="auto"/>
            <w:vAlign w:val="center"/>
          </w:tcPr>
          <w:p w14:paraId="04751C24"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8,124.9</w:t>
            </w:r>
          </w:p>
        </w:tc>
        <w:tc>
          <w:tcPr>
            <w:tcW w:w="392" w:type="pct"/>
            <w:tcBorders>
              <w:left w:val="single" w:sz="12" w:space="0" w:color="auto"/>
            </w:tcBorders>
            <w:shd w:val="clear" w:color="auto" w:fill="auto"/>
            <w:vAlign w:val="center"/>
          </w:tcPr>
          <w:p w14:paraId="1BC54442"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153.4</w:t>
            </w:r>
          </w:p>
        </w:tc>
        <w:tc>
          <w:tcPr>
            <w:tcW w:w="392" w:type="pct"/>
            <w:tcBorders>
              <w:right w:val="single" w:sz="12" w:space="0" w:color="auto"/>
            </w:tcBorders>
            <w:shd w:val="clear" w:color="auto" w:fill="auto"/>
            <w:vAlign w:val="center"/>
          </w:tcPr>
          <w:p w14:paraId="79D84DC6" w14:textId="77777777" w:rsidR="008C1AD8" w:rsidRPr="00F81C03" w:rsidRDefault="008C1AD8" w:rsidP="00A15226">
            <w:pPr>
              <w:pStyle w:val="Tabletext"/>
              <w:jc w:val="center"/>
              <w:rPr>
                <w:rFonts w:cs="Calibri"/>
                <w:color w:val="000000"/>
                <w:sz w:val="16"/>
                <w:szCs w:val="16"/>
              </w:rPr>
            </w:pPr>
            <w:r w:rsidRPr="00F81C03">
              <w:rPr>
                <w:sz w:val="16"/>
                <w:szCs w:val="16"/>
              </w:rPr>
              <w:t>1.9%</w:t>
            </w:r>
          </w:p>
        </w:tc>
        <w:tc>
          <w:tcPr>
            <w:tcW w:w="393" w:type="pct"/>
            <w:tcBorders>
              <w:left w:val="single" w:sz="12" w:space="0" w:color="auto"/>
            </w:tcBorders>
            <w:shd w:val="clear" w:color="auto" w:fill="auto"/>
            <w:vAlign w:val="center"/>
          </w:tcPr>
          <w:p w14:paraId="7A2C8ECD" w14:textId="77777777" w:rsidR="008C1AD8" w:rsidRPr="00F81C03" w:rsidRDefault="008C1AD8" w:rsidP="00A15226">
            <w:pPr>
              <w:pStyle w:val="Tabletext"/>
              <w:jc w:val="center"/>
              <w:rPr>
                <w:rFonts w:cs="Calibri"/>
                <w:color w:val="000000"/>
                <w:sz w:val="16"/>
                <w:szCs w:val="16"/>
              </w:rPr>
            </w:pPr>
            <w:r w:rsidRPr="00F81C03">
              <w:rPr>
                <w:sz w:val="16"/>
                <w:szCs w:val="16"/>
              </w:rPr>
              <w:t>6.9</w:t>
            </w:r>
          </w:p>
        </w:tc>
        <w:tc>
          <w:tcPr>
            <w:tcW w:w="392" w:type="pct"/>
            <w:shd w:val="clear" w:color="auto" w:fill="auto"/>
            <w:vAlign w:val="center"/>
          </w:tcPr>
          <w:p w14:paraId="1A6F41A4"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5.47</w:t>
            </w:r>
          </w:p>
        </w:tc>
        <w:tc>
          <w:tcPr>
            <w:tcW w:w="393" w:type="pct"/>
            <w:shd w:val="clear" w:color="auto" w:fill="auto"/>
            <w:vAlign w:val="center"/>
          </w:tcPr>
          <w:p w14:paraId="3935EB19"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N/A</w:t>
            </w:r>
          </w:p>
        </w:tc>
        <w:tc>
          <w:tcPr>
            <w:tcW w:w="392" w:type="pct"/>
            <w:shd w:val="clear" w:color="auto" w:fill="auto"/>
            <w:vAlign w:val="center"/>
          </w:tcPr>
          <w:p w14:paraId="6488F299" w14:textId="77777777" w:rsidR="008C1AD8" w:rsidRPr="00F81C03" w:rsidRDefault="008C1AD8" w:rsidP="00A15226">
            <w:pPr>
              <w:pStyle w:val="Tabletext"/>
              <w:jc w:val="center"/>
              <w:rPr>
                <w:rFonts w:cs="Calibri"/>
                <w:color w:val="000000"/>
                <w:sz w:val="16"/>
                <w:szCs w:val="16"/>
              </w:rPr>
            </w:pPr>
            <w:r w:rsidRPr="00F81C03">
              <w:rPr>
                <w:sz w:val="16"/>
                <w:szCs w:val="16"/>
              </w:rPr>
              <w:t>12.4</w:t>
            </w:r>
          </w:p>
        </w:tc>
        <w:tc>
          <w:tcPr>
            <w:tcW w:w="392" w:type="pct"/>
            <w:tcBorders>
              <w:right w:val="single" w:sz="12" w:space="0" w:color="auto"/>
            </w:tcBorders>
            <w:shd w:val="clear" w:color="auto" w:fill="auto"/>
            <w:vAlign w:val="center"/>
          </w:tcPr>
          <w:p w14:paraId="74CFD396" w14:textId="77777777" w:rsidR="008C1AD8" w:rsidRPr="00F81C03" w:rsidRDefault="008C1AD8" w:rsidP="00A15226">
            <w:pPr>
              <w:pStyle w:val="Tabletext"/>
              <w:jc w:val="center"/>
              <w:rPr>
                <w:rFonts w:cs="Calibri"/>
                <w:color w:val="000000"/>
                <w:sz w:val="16"/>
                <w:szCs w:val="16"/>
              </w:rPr>
            </w:pPr>
            <w:r w:rsidRPr="00F81C03">
              <w:rPr>
                <w:sz w:val="16"/>
                <w:szCs w:val="16"/>
              </w:rPr>
              <w:t>0.2%</w:t>
            </w:r>
          </w:p>
        </w:tc>
        <w:tc>
          <w:tcPr>
            <w:tcW w:w="393" w:type="pct"/>
            <w:tcBorders>
              <w:left w:val="single" w:sz="12" w:space="0" w:color="auto"/>
            </w:tcBorders>
            <w:shd w:val="clear" w:color="auto" w:fill="B4C6E7" w:themeFill="accent1" w:themeFillTint="66"/>
            <w:vAlign w:val="center"/>
          </w:tcPr>
          <w:p w14:paraId="63F512EF" w14:textId="77777777" w:rsidR="008C1AD8" w:rsidRPr="00F81C03" w:rsidRDefault="008C1AD8" w:rsidP="00A15226">
            <w:pPr>
              <w:pStyle w:val="Tabletext"/>
              <w:jc w:val="center"/>
              <w:rPr>
                <w:b/>
                <w:bCs/>
                <w:sz w:val="16"/>
                <w:szCs w:val="16"/>
              </w:rPr>
            </w:pPr>
            <w:r w:rsidRPr="00F81C03">
              <w:rPr>
                <w:b/>
                <w:bCs/>
                <w:sz w:val="16"/>
                <w:szCs w:val="16"/>
              </w:rPr>
              <w:t>165.7</w:t>
            </w:r>
          </w:p>
        </w:tc>
        <w:tc>
          <w:tcPr>
            <w:tcW w:w="392" w:type="pct"/>
            <w:shd w:val="clear" w:color="auto" w:fill="B4C6E7" w:themeFill="accent1" w:themeFillTint="66"/>
            <w:vAlign w:val="center"/>
          </w:tcPr>
          <w:p w14:paraId="4BE434D0" w14:textId="77777777" w:rsidR="008C1AD8" w:rsidRPr="00F81C03" w:rsidRDefault="008C1AD8" w:rsidP="00A15226">
            <w:pPr>
              <w:pStyle w:val="Tabletext"/>
              <w:jc w:val="center"/>
              <w:rPr>
                <w:rFonts w:cs="Calibri"/>
                <w:b/>
                <w:bCs/>
                <w:color w:val="000000"/>
                <w:sz w:val="16"/>
                <w:szCs w:val="16"/>
              </w:rPr>
            </w:pPr>
            <w:r w:rsidRPr="00F81C03">
              <w:rPr>
                <w:b/>
                <w:bCs/>
                <w:sz w:val="16"/>
                <w:szCs w:val="16"/>
              </w:rPr>
              <w:t>7.5%</w:t>
            </w:r>
          </w:p>
        </w:tc>
        <w:tc>
          <w:tcPr>
            <w:tcW w:w="392" w:type="pct"/>
            <w:shd w:val="clear" w:color="auto" w:fill="B4C6E7" w:themeFill="accent1" w:themeFillTint="66"/>
            <w:vAlign w:val="center"/>
          </w:tcPr>
          <w:p w14:paraId="0CCAEF2D" w14:textId="77777777" w:rsidR="008C1AD8" w:rsidRPr="00F81C03" w:rsidRDefault="008C1AD8" w:rsidP="00A15226">
            <w:pPr>
              <w:pStyle w:val="Tabletext"/>
              <w:jc w:val="center"/>
              <w:rPr>
                <w:rFonts w:cs="Calibri"/>
                <w:b/>
                <w:bCs/>
                <w:color w:val="000000"/>
                <w:sz w:val="16"/>
                <w:szCs w:val="16"/>
              </w:rPr>
            </w:pPr>
            <w:r w:rsidRPr="00F81C03">
              <w:rPr>
                <w:b/>
                <w:bCs/>
                <w:sz w:val="16"/>
                <w:szCs w:val="16"/>
              </w:rPr>
              <w:t>2.0%</w:t>
            </w:r>
          </w:p>
        </w:tc>
      </w:tr>
      <w:tr w:rsidR="008C1AD8" w:rsidRPr="0073612D" w14:paraId="33CC45C6" w14:textId="77777777" w:rsidTr="00A15226">
        <w:tc>
          <w:tcPr>
            <w:tcW w:w="684" w:type="pct"/>
            <w:shd w:val="clear" w:color="auto" w:fill="auto"/>
            <w:vAlign w:val="center"/>
          </w:tcPr>
          <w:p w14:paraId="017DB355" w14:textId="77777777" w:rsidR="008C1AD8" w:rsidRPr="00977C5F" w:rsidRDefault="008C1AD8" w:rsidP="00A15226">
            <w:pPr>
              <w:pStyle w:val="Tabletext"/>
              <w:rPr>
                <w:rFonts w:cs="Arial"/>
                <w:sz w:val="16"/>
                <w:szCs w:val="16"/>
              </w:rPr>
            </w:pPr>
            <w:r w:rsidRPr="00977C5F">
              <w:rPr>
                <w:rFonts w:cs="Arial"/>
                <w:i/>
                <w:iCs/>
                <w:sz w:val="16"/>
                <w:szCs w:val="16"/>
              </w:rPr>
              <w:t>Synemon plana</w:t>
            </w:r>
            <w:r w:rsidRPr="00977C5F">
              <w:rPr>
                <w:rFonts w:cs="Arial"/>
                <w:sz w:val="16"/>
                <w:szCs w:val="16"/>
              </w:rPr>
              <w:t xml:space="preserve"> (Golden Sun Moth)</w:t>
            </w:r>
          </w:p>
        </w:tc>
        <w:tc>
          <w:tcPr>
            <w:tcW w:w="393" w:type="pct"/>
            <w:tcBorders>
              <w:right w:val="single" w:sz="12" w:space="0" w:color="auto"/>
            </w:tcBorders>
            <w:shd w:val="clear" w:color="auto" w:fill="auto"/>
            <w:vAlign w:val="center"/>
          </w:tcPr>
          <w:p w14:paraId="4E556239"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20,418.1</w:t>
            </w:r>
          </w:p>
        </w:tc>
        <w:tc>
          <w:tcPr>
            <w:tcW w:w="392" w:type="pct"/>
            <w:tcBorders>
              <w:left w:val="single" w:sz="12" w:space="0" w:color="auto"/>
            </w:tcBorders>
            <w:shd w:val="clear" w:color="auto" w:fill="auto"/>
            <w:vAlign w:val="center"/>
          </w:tcPr>
          <w:p w14:paraId="3CA61434"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657.7</w:t>
            </w:r>
          </w:p>
        </w:tc>
        <w:tc>
          <w:tcPr>
            <w:tcW w:w="392" w:type="pct"/>
            <w:tcBorders>
              <w:right w:val="single" w:sz="12" w:space="0" w:color="auto"/>
            </w:tcBorders>
            <w:shd w:val="clear" w:color="auto" w:fill="auto"/>
            <w:vAlign w:val="center"/>
          </w:tcPr>
          <w:p w14:paraId="4A61D89F" w14:textId="77777777" w:rsidR="008C1AD8" w:rsidRPr="00F81C03" w:rsidRDefault="008C1AD8" w:rsidP="00A15226">
            <w:pPr>
              <w:pStyle w:val="Tabletext"/>
              <w:jc w:val="center"/>
              <w:rPr>
                <w:rFonts w:cs="Calibri"/>
                <w:color w:val="000000"/>
                <w:sz w:val="16"/>
                <w:szCs w:val="16"/>
              </w:rPr>
            </w:pPr>
            <w:r w:rsidRPr="00F81C03">
              <w:rPr>
                <w:sz w:val="16"/>
                <w:szCs w:val="16"/>
              </w:rPr>
              <w:t>3.2%</w:t>
            </w:r>
          </w:p>
        </w:tc>
        <w:tc>
          <w:tcPr>
            <w:tcW w:w="393" w:type="pct"/>
            <w:tcBorders>
              <w:left w:val="single" w:sz="12" w:space="0" w:color="auto"/>
            </w:tcBorders>
            <w:shd w:val="clear" w:color="auto" w:fill="auto"/>
            <w:vAlign w:val="center"/>
          </w:tcPr>
          <w:p w14:paraId="26C01B6A" w14:textId="77777777" w:rsidR="008C1AD8" w:rsidRPr="00F81C03" w:rsidRDefault="008C1AD8" w:rsidP="00A15226">
            <w:pPr>
              <w:pStyle w:val="Tabletext"/>
              <w:jc w:val="center"/>
              <w:rPr>
                <w:rFonts w:cs="Calibri"/>
                <w:color w:val="000000"/>
                <w:sz w:val="16"/>
                <w:szCs w:val="16"/>
              </w:rPr>
            </w:pPr>
            <w:r w:rsidRPr="00F81C03">
              <w:rPr>
                <w:sz w:val="16"/>
                <w:szCs w:val="16"/>
              </w:rPr>
              <w:t>25.1</w:t>
            </w:r>
          </w:p>
        </w:tc>
        <w:tc>
          <w:tcPr>
            <w:tcW w:w="392" w:type="pct"/>
            <w:shd w:val="clear" w:color="auto" w:fill="auto"/>
            <w:vAlign w:val="center"/>
          </w:tcPr>
          <w:p w14:paraId="32E86835"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5.47</w:t>
            </w:r>
          </w:p>
        </w:tc>
        <w:tc>
          <w:tcPr>
            <w:tcW w:w="393" w:type="pct"/>
            <w:shd w:val="clear" w:color="auto" w:fill="auto"/>
            <w:vAlign w:val="center"/>
          </w:tcPr>
          <w:p w14:paraId="18F283A9" w14:textId="77777777" w:rsidR="008C1AD8" w:rsidRPr="00F81C03" w:rsidRDefault="008C1AD8" w:rsidP="00A15226">
            <w:pPr>
              <w:pStyle w:val="Tabletext"/>
              <w:jc w:val="center"/>
              <w:rPr>
                <w:rFonts w:cs="Calibri"/>
                <w:color w:val="000000"/>
                <w:sz w:val="16"/>
                <w:szCs w:val="16"/>
              </w:rPr>
            </w:pPr>
            <w:r w:rsidRPr="00F81C03">
              <w:rPr>
                <w:rFonts w:cs="Calibri"/>
                <w:color w:val="000000"/>
                <w:sz w:val="16"/>
                <w:szCs w:val="16"/>
              </w:rPr>
              <w:t>36.74</w:t>
            </w:r>
          </w:p>
        </w:tc>
        <w:tc>
          <w:tcPr>
            <w:tcW w:w="392" w:type="pct"/>
            <w:shd w:val="clear" w:color="auto" w:fill="auto"/>
            <w:vAlign w:val="center"/>
          </w:tcPr>
          <w:p w14:paraId="2AB1AC09" w14:textId="77777777" w:rsidR="008C1AD8" w:rsidRPr="00F81C03" w:rsidRDefault="008C1AD8" w:rsidP="00A15226">
            <w:pPr>
              <w:pStyle w:val="Tabletext"/>
              <w:jc w:val="center"/>
              <w:rPr>
                <w:rFonts w:cs="Calibri"/>
                <w:color w:val="000000"/>
                <w:sz w:val="16"/>
                <w:szCs w:val="16"/>
              </w:rPr>
            </w:pPr>
            <w:r w:rsidRPr="00F81C03">
              <w:rPr>
                <w:sz w:val="16"/>
                <w:szCs w:val="16"/>
              </w:rPr>
              <w:t>67.3</w:t>
            </w:r>
          </w:p>
        </w:tc>
        <w:tc>
          <w:tcPr>
            <w:tcW w:w="392" w:type="pct"/>
            <w:tcBorders>
              <w:right w:val="single" w:sz="12" w:space="0" w:color="auto"/>
            </w:tcBorders>
            <w:shd w:val="clear" w:color="auto" w:fill="auto"/>
            <w:vAlign w:val="center"/>
          </w:tcPr>
          <w:p w14:paraId="7D218D3D" w14:textId="77777777" w:rsidR="008C1AD8" w:rsidRPr="00F81C03" w:rsidRDefault="008C1AD8" w:rsidP="00A15226">
            <w:pPr>
              <w:pStyle w:val="Tabletext"/>
              <w:jc w:val="center"/>
              <w:rPr>
                <w:rFonts w:cs="Calibri"/>
                <w:color w:val="000000"/>
                <w:sz w:val="16"/>
                <w:szCs w:val="16"/>
              </w:rPr>
            </w:pPr>
            <w:r w:rsidRPr="00F81C03">
              <w:rPr>
                <w:sz w:val="16"/>
                <w:szCs w:val="16"/>
              </w:rPr>
              <w:t>0.3%</w:t>
            </w:r>
          </w:p>
        </w:tc>
        <w:tc>
          <w:tcPr>
            <w:tcW w:w="393" w:type="pct"/>
            <w:tcBorders>
              <w:left w:val="single" w:sz="12" w:space="0" w:color="auto"/>
            </w:tcBorders>
            <w:shd w:val="clear" w:color="auto" w:fill="B4C6E7" w:themeFill="accent1" w:themeFillTint="66"/>
            <w:vAlign w:val="center"/>
          </w:tcPr>
          <w:p w14:paraId="0B34514D" w14:textId="77777777" w:rsidR="008C1AD8" w:rsidRPr="00F81C03" w:rsidRDefault="008C1AD8" w:rsidP="00A15226">
            <w:pPr>
              <w:pStyle w:val="Tabletext"/>
              <w:jc w:val="center"/>
              <w:rPr>
                <w:b/>
                <w:bCs/>
                <w:sz w:val="16"/>
                <w:szCs w:val="16"/>
              </w:rPr>
            </w:pPr>
            <w:r w:rsidRPr="00F81C03">
              <w:rPr>
                <w:b/>
                <w:bCs/>
                <w:sz w:val="16"/>
                <w:szCs w:val="16"/>
              </w:rPr>
              <w:t>725.0</w:t>
            </w:r>
          </w:p>
        </w:tc>
        <w:tc>
          <w:tcPr>
            <w:tcW w:w="392" w:type="pct"/>
            <w:shd w:val="clear" w:color="auto" w:fill="B4C6E7" w:themeFill="accent1" w:themeFillTint="66"/>
            <w:vAlign w:val="center"/>
          </w:tcPr>
          <w:p w14:paraId="711FBF47" w14:textId="77777777" w:rsidR="008C1AD8" w:rsidRPr="00F81C03" w:rsidRDefault="008C1AD8" w:rsidP="00A15226">
            <w:pPr>
              <w:pStyle w:val="Tabletext"/>
              <w:jc w:val="center"/>
              <w:rPr>
                <w:rFonts w:cs="Calibri"/>
                <w:b/>
                <w:bCs/>
                <w:color w:val="000000"/>
                <w:sz w:val="16"/>
                <w:szCs w:val="16"/>
              </w:rPr>
            </w:pPr>
            <w:r w:rsidRPr="00F81C03">
              <w:rPr>
                <w:b/>
                <w:bCs/>
                <w:sz w:val="16"/>
                <w:szCs w:val="16"/>
              </w:rPr>
              <w:t>9.3%</w:t>
            </w:r>
          </w:p>
        </w:tc>
        <w:tc>
          <w:tcPr>
            <w:tcW w:w="392" w:type="pct"/>
            <w:shd w:val="clear" w:color="auto" w:fill="B4C6E7" w:themeFill="accent1" w:themeFillTint="66"/>
            <w:vAlign w:val="center"/>
          </w:tcPr>
          <w:p w14:paraId="69F9EB7F" w14:textId="77777777" w:rsidR="008C1AD8" w:rsidRPr="00F81C03" w:rsidRDefault="008C1AD8" w:rsidP="00A15226">
            <w:pPr>
              <w:pStyle w:val="Tabletext"/>
              <w:jc w:val="center"/>
              <w:rPr>
                <w:rFonts w:cs="Calibri"/>
                <w:b/>
                <w:bCs/>
                <w:color w:val="000000"/>
                <w:sz w:val="16"/>
                <w:szCs w:val="16"/>
              </w:rPr>
            </w:pPr>
            <w:r w:rsidRPr="00F81C03">
              <w:rPr>
                <w:b/>
                <w:bCs/>
                <w:sz w:val="16"/>
                <w:szCs w:val="16"/>
              </w:rPr>
              <w:t>3.6%</w:t>
            </w:r>
          </w:p>
        </w:tc>
      </w:tr>
    </w:tbl>
    <w:p w14:paraId="3E9D8037" w14:textId="77777777" w:rsidR="008C1AD8" w:rsidRDefault="008C1AD8" w:rsidP="008C1AD8">
      <w:pPr>
        <w:sectPr w:rsidR="008C1AD8" w:rsidSect="00845594">
          <w:footerReference w:type="default" r:id="rId104"/>
          <w:pgSz w:w="16840" w:h="11900" w:orient="landscape"/>
          <w:pgMar w:top="1134" w:right="1247" w:bottom="1134" w:left="1247" w:header="708" w:footer="708" w:gutter="0"/>
          <w:pgNumType w:chapStyle="1"/>
          <w:cols w:space="708"/>
          <w:docGrid w:linePitch="360"/>
        </w:sectPr>
      </w:pPr>
    </w:p>
    <w:p w14:paraId="3B4C9C2A" w14:textId="77777777" w:rsidR="008C1AD8" w:rsidRPr="00A042A0" w:rsidRDefault="008C1AD8" w:rsidP="008C1AD8">
      <w:pPr>
        <w:pStyle w:val="Heading3"/>
      </w:pPr>
      <w:r w:rsidRPr="00A042A0">
        <w:lastRenderedPageBreak/>
        <w:t xml:space="preserve">Offsets for </w:t>
      </w:r>
      <w:r>
        <w:t>the plan and other</w:t>
      </w:r>
      <w:r w:rsidRPr="00A042A0">
        <w:t xml:space="preserve"> projects</w:t>
      </w:r>
    </w:p>
    <w:p w14:paraId="050FDD77" w14:textId="77777777" w:rsidR="008C1AD8" w:rsidRPr="00A042A0" w:rsidRDefault="008C1AD8" w:rsidP="008C1AD8">
      <w:r>
        <w:rPr>
          <w:highlight w:val="yellow"/>
        </w:rPr>
        <w:fldChar w:fldCharType="begin"/>
      </w:r>
      <w:r>
        <w:instrText xml:space="preserve"> REF _Ref115788303 \h </w:instrText>
      </w:r>
      <w:r>
        <w:rPr>
          <w:highlight w:val="yellow"/>
        </w:rPr>
      </w:r>
      <w:r>
        <w:rPr>
          <w:highlight w:val="yellow"/>
        </w:rPr>
        <w:fldChar w:fldCharType="separate"/>
      </w:r>
      <w:r>
        <w:t xml:space="preserve">Table </w:t>
      </w:r>
      <w:r>
        <w:rPr>
          <w:noProof/>
        </w:rPr>
        <w:t>25</w:t>
      </w:r>
      <w:r>
        <w:noBreakHyphen/>
      </w:r>
      <w:r>
        <w:rPr>
          <w:noProof/>
        </w:rPr>
        <w:t>3</w:t>
      </w:r>
      <w:r>
        <w:rPr>
          <w:highlight w:val="yellow"/>
        </w:rPr>
        <w:fldChar w:fldCharType="end"/>
      </w:r>
      <w:r w:rsidRPr="00A042A0">
        <w:t xml:space="preserve"> show</w:t>
      </w:r>
      <w:r>
        <w:t>s</w:t>
      </w:r>
      <w:r w:rsidRPr="00A042A0">
        <w:t xml:space="preserve"> the </w:t>
      </w:r>
      <w:r>
        <w:t xml:space="preserve">minimum </w:t>
      </w:r>
      <w:r w:rsidRPr="00A042A0">
        <w:t xml:space="preserve">offset commitments under </w:t>
      </w:r>
      <w:r>
        <w:t xml:space="preserve">the Plan (though both conservation areas in the Growth Areas and external offsets), and offsets for other </w:t>
      </w:r>
      <w:r w:rsidRPr="00A042A0">
        <w:t xml:space="preserve">projects for the </w:t>
      </w:r>
      <w:r>
        <w:t>relevant protected matters directly</w:t>
      </w:r>
      <w:r w:rsidRPr="00A042A0">
        <w:t xml:space="preserve"> impacted by the Plan</w:t>
      </w:r>
      <w:r>
        <w:t xml:space="preserve">. </w:t>
      </w:r>
      <w:r w:rsidRPr="00A042A0">
        <w:t xml:space="preserve">For each </w:t>
      </w:r>
      <w:r>
        <w:t>relevant protected matter</w:t>
      </w:r>
      <w:r w:rsidRPr="00A042A0">
        <w:t>, the tables show:</w:t>
      </w:r>
    </w:p>
    <w:p w14:paraId="4CAFC86A" w14:textId="77777777" w:rsidR="008C1AD8" w:rsidRPr="00A042A0" w:rsidRDefault="008C1AD8" w:rsidP="008C1AD8">
      <w:pPr>
        <w:pStyle w:val="Bullet1"/>
      </w:pPr>
      <w:r w:rsidRPr="00A042A0">
        <w:t xml:space="preserve">Offsets from each project (in hectares) and the total offsets from </w:t>
      </w:r>
      <w:r>
        <w:t>other</w:t>
      </w:r>
      <w:r w:rsidRPr="00A042A0">
        <w:t xml:space="preserve"> projects</w:t>
      </w:r>
    </w:p>
    <w:p w14:paraId="0EA86E77" w14:textId="77777777" w:rsidR="008C1AD8" w:rsidRPr="00A042A0" w:rsidRDefault="008C1AD8" w:rsidP="008C1AD8">
      <w:pPr>
        <w:pStyle w:val="Bullet1"/>
      </w:pPr>
      <w:r w:rsidRPr="00A042A0">
        <w:t xml:space="preserve">Total cumulative offsets across the </w:t>
      </w:r>
      <w:r>
        <w:t>other</w:t>
      </w:r>
      <w:r w:rsidRPr="00A042A0">
        <w:t xml:space="preserve"> projects and the Plan in terms of:</w:t>
      </w:r>
    </w:p>
    <w:p w14:paraId="6EA28A8B" w14:textId="77777777" w:rsidR="008C1AD8" w:rsidRPr="00A042A0" w:rsidRDefault="008C1AD8" w:rsidP="008C1AD8">
      <w:pPr>
        <w:pStyle w:val="Bullet2"/>
      </w:pPr>
      <w:r w:rsidRPr="00A042A0">
        <w:t>Total offsets in hectares</w:t>
      </w:r>
    </w:p>
    <w:p w14:paraId="6CA9E2FD" w14:textId="77777777" w:rsidR="008C1AD8" w:rsidRDefault="008C1AD8" w:rsidP="008C1AD8">
      <w:pPr>
        <w:pStyle w:val="Bullet2"/>
      </w:pPr>
      <w:r w:rsidRPr="00A042A0">
        <w:t>Total offsets as</w:t>
      </w:r>
      <w:r>
        <w:t xml:space="preserve"> a</w:t>
      </w:r>
      <w:r w:rsidRPr="00A042A0">
        <w:t xml:space="preserve"> </w:t>
      </w:r>
      <w:r>
        <w:t>per cent</w:t>
      </w:r>
      <w:r w:rsidRPr="00A042A0">
        <w:t xml:space="preserve"> of remaining habitat</w:t>
      </w:r>
      <w:r>
        <w:t xml:space="preserve"> in the Study Area</w:t>
      </w:r>
    </w:p>
    <w:p w14:paraId="4C7604B6" w14:textId="77777777" w:rsidR="008C1AD8" w:rsidRPr="00A042A0" w:rsidRDefault="008C1AD8" w:rsidP="008C1AD8"/>
    <w:p w14:paraId="669F9D3F" w14:textId="77777777" w:rsidR="008C1AD8" w:rsidRDefault="008C1AD8" w:rsidP="008C1AD8">
      <w:pPr>
        <w:sectPr w:rsidR="008C1AD8" w:rsidSect="00845594">
          <w:footerReference w:type="default" r:id="rId105"/>
          <w:pgSz w:w="11900" w:h="16840"/>
          <w:pgMar w:top="1247" w:right="1134" w:bottom="1247" w:left="1134" w:header="708" w:footer="708" w:gutter="0"/>
          <w:pgNumType w:chapStyle="1"/>
          <w:cols w:space="708"/>
          <w:docGrid w:linePitch="360"/>
        </w:sectPr>
      </w:pPr>
    </w:p>
    <w:p w14:paraId="14605FA4" w14:textId="77777777" w:rsidR="008C1AD8" w:rsidRDefault="008C1AD8" w:rsidP="008C1AD8">
      <w:pPr>
        <w:pStyle w:val="Caption"/>
        <w:keepNext/>
      </w:pPr>
      <w:bookmarkStart w:id="186" w:name="_Ref115788303"/>
      <w:bookmarkStart w:id="187" w:name="_Toc135122736"/>
      <w:r>
        <w:lastRenderedPageBreak/>
        <w:t xml:space="preserve">Table </w:t>
      </w:r>
      <w:r>
        <w:fldChar w:fldCharType="begin"/>
      </w:r>
      <w:r>
        <w:instrText xml:space="preserve"> STYLEREF 1 \s </w:instrText>
      </w:r>
      <w:r>
        <w:fldChar w:fldCharType="separate"/>
      </w:r>
      <w:r>
        <w:rPr>
          <w:noProof/>
        </w:rPr>
        <w:t>25</w:t>
      </w:r>
      <w:r>
        <w:fldChar w:fldCharType="end"/>
      </w:r>
      <w:r>
        <w:noBreakHyphen/>
      </w:r>
      <w:r>
        <w:fldChar w:fldCharType="begin"/>
      </w:r>
      <w:r>
        <w:instrText xml:space="preserve"> SEQ Table \* ARABIC \s 1 </w:instrText>
      </w:r>
      <w:r>
        <w:fldChar w:fldCharType="separate"/>
      </w:r>
      <w:r>
        <w:rPr>
          <w:noProof/>
        </w:rPr>
        <w:t>3</w:t>
      </w:r>
      <w:r>
        <w:fldChar w:fldCharType="end"/>
      </w:r>
      <w:bookmarkEnd w:id="186"/>
      <w:r>
        <w:t xml:space="preserve">: </w:t>
      </w:r>
      <w:r w:rsidRPr="00A042A0">
        <w:t xml:space="preserve">Offset commitments for species </w:t>
      </w:r>
      <w:r>
        <w:t xml:space="preserve">and TECs directly </w:t>
      </w:r>
      <w:r w:rsidRPr="00A042A0">
        <w:t>impacted by Plan</w:t>
      </w:r>
      <w:bookmarkEnd w:id="187"/>
    </w:p>
    <w:tbl>
      <w:tblPr>
        <w:tblStyle w:val="TableGrid"/>
        <w:tblW w:w="5000" w:type="pct"/>
        <w:tblLayout w:type="fixed"/>
        <w:tblLook w:val="04A0" w:firstRow="1" w:lastRow="0" w:firstColumn="1" w:lastColumn="0" w:noHBand="0" w:noVBand="1"/>
      </w:tblPr>
      <w:tblGrid>
        <w:gridCol w:w="2407"/>
        <w:gridCol w:w="1416"/>
        <w:gridCol w:w="1563"/>
        <w:gridCol w:w="1545"/>
        <w:gridCol w:w="1545"/>
        <w:gridCol w:w="1545"/>
        <w:gridCol w:w="1548"/>
        <w:gridCol w:w="1385"/>
        <w:gridCol w:w="1382"/>
      </w:tblGrid>
      <w:tr w:rsidR="008C1AD8" w:rsidRPr="00F045B3" w14:paraId="16C7ADF9" w14:textId="77777777" w:rsidTr="00A15226">
        <w:trPr>
          <w:trHeight w:val="300"/>
          <w:tblHeader/>
        </w:trPr>
        <w:tc>
          <w:tcPr>
            <w:tcW w:w="839"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5041E3AE" w14:textId="77777777" w:rsidR="008C1AD8" w:rsidRPr="00F045B3" w:rsidRDefault="008C1AD8" w:rsidP="00A15226">
            <w:pPr>
              <w:pStyle w:val="Tabletext"/>
              <w:rPr>
                <w:b/>
                <w:bCs/>
                <w:sz w:val="16"/>
                <w:szCs w:val="16"/>
              </w:rPr>
            </w:pPr>
            <w:r>
              <w:rPr>
                <w:b/>
                <w:bCs/>
                <w:sz w:val="16"/>
                <w:szCs w:val="16"/>
              </w:rPr>
              <w:t>Protected m</w:t>
            </w:r>
            <w:r w:rsidRPr="00F045B3">
              <w:rPr>
                <w:b/>
                <w:bCs/>
                <w:sz w:val="16"/>
                <w:szCs w:val="16"/>
              </w:rPr>
              <w:t>atter</w:t>
            </w:r>
          </w:p>
        </w:tc>
        <w:tc>
          <w:tcPr>
            <w:tcW w:w="494" w:type="pct"/>
            <w:vMerge w:val="restart"/>
            <w:tcBorders>
              <w:top w:val="single" w:sz="4" w:space="0" w:color="auto"/>
              <w:left w:val="single" w:sz="4" w:space="0" w:color="auto"/>
              <w:right w:val="single" w:sz="12" w:space="0" w:color="auto"/>
            </w:tcBorders>
            <w:shd w:val="clear" w:color="auto" w:fill="D9D9D9" w:themeFill="background1" w:themeFillShade="D9"/>
            <w:vAlign w:val="center"/>
          </w:tcPr>
          <w:p w14:paraId="0AC86088" w14:textId="77777777" w:rsidR="008C1AD8" w:rsidRPr="00F045B3" w:rsidRDefault="008C1AD8" w:rsidP="00A15226">
            <w:pPr>
              <w:pStyle w:val="Tabletext"/>
              <w:jc w:val="center"/>
              <w:rPr>
                <w:b/>
                <w:bCs/>
                <w:sz w:val="16"/>
                <w:szCs w:val="16"/>
              </w:rPr>
            </w:pPr>
            <w:r w:rsidRPr="00F045B3">
              <w:rPr>
                <w:b/>
                <w:bCs/>
                <w:sz w:val="16"/>
                <w:szCs w:val="16"/>
              </w:rPr>
              <w:t>Total habitat in the S</w:t>
            </w:r>
            <w:r>
              <w:rPr>
                <w:b/>
                <w:bCs/>
                <w:sz w:val="16"/>
                <w:szCs w:val="16"/>
              </w:rPr>
              <w:t>tudy Area</w:t>
            </w:r>
          </w:p>
        </w:tc>
        <w:tc>
          <w:tcPr>
            <w:tcW w:w="545" w:type="pct"/>
            <w:tcBorders>
              <w:top w:val="single" w:sz="4" w:space="0" w:color="auto"/>
              <w:left w:val="single" w:sz="12" w:space="0" w:color="auto"/>
              <w:bottom w:val="single" w:sz="4" w:space="0" w:color="auto"/>
              <w:right w:val="single" w:sz="12" w:space="0" w:color="auto"/>
            </w:tcBorders>
            <w:shd w:val="clear" w:color="auto" w:fill="D9D9D9" w:themeFill="background1" w:themeFillShade="D9"/>
            <w:vAlign w:val="center"/>
          </w:tcPr>
          <w:p w14:paraId="442BFE79" w14:textId="77777777" w:rsidR="008C1AD8" w:rsidRPr="00F045B3" w:rsidRDefault="008C1AD8" w:rsidP="00A15226">
            <w:pPr>
              <w:pStyle w:val="Tabletext"/>
              <w:jc w:val="center"/>
              <w:rPr>
                <w:b/>
                <w:bCs/>
                <w:sz w:val="16"/>
                <w:szCs w:val="16"/>
              </w:rPr>
            </w:pPr>
            <w:r w:rsidRPr="00F045B3">
              <w:rPr>
                <w:b/>
                <w:bCs/>
                <w:sz w:val="16"/>
                <w:szCs w:val="16"/>
              </w:rPr>
              <w:t>Plan offsets</w:t>
            </w:r>
          </w:p>
        </w:tc>
        <w:tc>
          <w:tcPr>
            <w:tcW w:w="2156" w:type="pct"/>
            <w:gridSpan w:val="4"/>
            <w:tcBorders>
              <w:left w:val="single" w:sz="12" w:space="0" w:color="auto"/>
              <w:right w:val="single" w:sz="12" w:space="0" w:color="auto"/>
            </w:tcBorders>
            <w:shd w:val="clear" w:color="auto" w:fill="D9D9D9" w:themeFill="background1" w:themeFillShade="D9"/>
            <w:vAlign w:val="center"/>
          </w:tcPr>
          <w:p w14:paraId="66CE4338" w14:textId="77777777" w:rsidR="008C1AD8" w:rsidRPr="00506449" w:rsidRDefault="008C1AD8" w:rsidP="00A15226">
            <w:pPr>
              <w:pStyle w:val="Tabletext"/>
              <w:jc w:val="center"/>
              <w:rPr>
                <w:b/>
                <w:bCs/>
                <w:sz w:val="16"/>
                <w:szCs w:val="16"/>
              </w:rPr>
            </w:pPr>
            <w:r>
              <w:rPr>
                <w:b/>
                <w:bCs/>
                <w:sz w:val="16"/>
                <w:szCs w:val="16"/>
              </w:rPr>
              <w:t xml:space="preserve">Other </w:t>
            </w:r>
            <w:r w:rsidRPr="00F045B3">
              <w:rPr>
                <w:b/>
                <w:bCs/>
                <w:sz w:val="16"/>
                <w:szCs w:val="16"/>
              </w:rPr>
              <w:t>project offsets (ha)^</w:t>
            </w:r>
          </w:p>
        </w:tc>
        <w:tc>
          <w:tcPr>
            <w:tcW w:w="965" w:type="pct"/>
            <w:gridSpan w:val="2"/>
            <w:tcBorders>
              <w:left w:val="single" w:sz="12" w:space="0" w:color="auto"/>
            </w:tcBorders>
            <w:shd w:val="clear" w:color="auto" w:fill="D9D9D9" w:themeFill="background1" w:themeFillShade="D9"/>
            <w:vAlign w:val="center"/>
          </w:tcPr>
          <w:p w14:paraId="11F59E54" w14:textId="77777777" w:rsidR="008C1AD8" w:rsidRPr="00F045B3" w:rsidRDefault="008C1AD8" w:rsidP="00A15226">
            <w:pPr>
              <w:pStyle w:val="Tabletext"/>
              <w:jc w:val="center"/>
              <w:rPr>
                <w:rFonts w:ascii="Times New Roman" w:eastAsia="Times New Roman" w:hAnsi="Times New Roman"/>
                <w:sz w:val="16"/>
                <w:szCs w:val="16"/>
                <w:lang w:eastAsia="en-GB"/>
              </w:rPr>
            </w:pPr>
            <w:r w:rsidRPr="00F045B3">
              <w:rPr>
                <w:b/>
                <w:bCs/>
                <w:sz w:val="16"/>
                <w:szCs w:val="16"/>
              </w:rPr>
              <w:t>Cumulative offsets</w:t>
            </w:r>
            <w:r w:rsidRPr="00F045B3">
              <w:rPr>
                <w:b/>
                <w:bCs/>
                <w:sz w:val="16"/>
                <w:szCs w:val="16"/>
              </w:rPr>
              <w:br/>
              <w:t xml:space="preserve">Plan and </w:t>
            </w:r>
            <w:r>
              <w:rPr>
                <w:b/>
                <w:bCs/>
                <w:sz w:val="16"/>
                <w:szCs w:val="16"/>
              </w:rPr>
              <w:t xml:space="preserve">other </w:t>
            </w:r>
            <w:r w:rsidRPr="00F045B3">
              <w:rPr>
                <w:b/>
                <w:bCs/>
                <w:sz w:val="16"/>
                <w:szCs w:val="16"/>
              </w:rPr>
              <w:t>projects</w:t>
            </w:r>
          </w:p>
        </w:tc>
      </w:tr>
      <w:tr w:rsidR="008C1AD8" w:rsidRPr="00F045B3" w14:paraId="310A114D" w14:textId="77777777" w:rsidTr="00A15226">
        <w:trPr>
          <w:cantSplit/>
          <w:trHeight w:val="2458"/>
          <w:tblHeader/>
        </w:trPr>
        <w:tc>
          <w:tcPr>
            <w:tcW w:w="839" w:type="pct"/>
            <w:vMerge/>
            <w:tcBorders>
              <w:left w:val="single" w:sz="4" w:space="0" w:color="auto"/>
              <w:right w:val="single" w:sz="4" w:space="0" w:color="auto"/>
            </w:tcBorders>
            <w:shd w:val="clear" w:color="auto" w:fill="D9D9D9" w:themeFill="background1" w:themeFillShade="D9"/>
            <w:vAlign w:val="center"/>
          </w:tcPr>
          <w:p w14:paraId="0569D871" w14:textId="77777777" w:rsidR="008C1AD8" w:rsidRPr="00F045B3" w:rsidRDefault="008C1AD8" w:rsidP="00A15226">
            <w:pPr>
              <w:pStyle w:val="Tabletext"/>
              <w:rPr>
                <w:b/>
                <w:bCs/>
                <w:sz w:val="16"/>
                <w:szCs w:val="16"/>
              </w:rPr>
            </w:pPr>
          </w:p>
        </w:tc>
        <w:tc>
          <w:tcPr>
            <w:tcW w:w="494" w:type="pct"/>
            <w:vMerge/>
            <w:tcBorders>
              <w:left w:val="single" w:sz="4" w:space="0" w:color="auto"/>
              <w:right w:val="single" w:sz="12" w:space="0" w:color="auto"/>
            </w:tcBorders>
            <w:shd w:val="clear" w:color="auto" w:fill="D9D9D9" w:themeFill="background1" w:themeFillShade="D9"/>
            <w:vAlign w:val="center"/>
          </w:tcPr>
          <w:p w14:paraId="48A11641" w14:textId="77777777" w:rsidR="008C1AD8" w:rsidRPr="00F045B3" w:rsidRDefault="008C1AD8" w:rsidP="00A15226">
            <w:pPr>
              <w:pStyle w:val="Tabletext"/>
              <w:jc w:val="center"/>
              <w:rPr>
                <w:b/>
                <w:bCs/>
                <w:sz w:val="16"/>
                <w:szCs w:val="16"/>
              </w:rPr>
            </w:pPr>
          </w:p>
        </w:tc>
        <w:tc>
          <w:tcPr>
            <w:tcW w:w="545" w:type="pct"/>
            <w:tcBorders>
              <w:top w:val="single" w:sz="4" w:space="0" w:color="auto"/>
              <w:left w:val="single" w:sz="12" w:space="0" w:color="auto"/>
              <w:right w:val="single" w:sz="12" w:space="0" w:color="auto"/>
            </w:tcBorders>
            <w:shd w:val="clear" w:color="auto" w:fill="D9D9D9" w:themeFill="background1" w:themeFillShade="D9"/>
            <w:vAlign w:val="center"/>
          </w:tcPr>
          <w:p w14:paraId="66DFA616" w14:textId="77777777" w:rsidR="008C1AD8" w:rsidRPr="00483FEB" w:rsidRDefault="008C1AD8" w:rsidP="00A15226">
            <w:pPr>
              <w:pStyle w:val="Tabletext"/>
              <w:jc w:val="center"/>
              <w:rPr>
                <w:b/>
                <w:bCs/>
                <w:sz w:val="16"/>
                <w:szCs w:val="16"/>
              </w:rPr>
            </w:pPr>
            <w:r w:rsidRPr="00483FEB">
              <w:rPr>
                <w:b/>
                <w:bCs/>
                <w:sz w:val="16"/>
                <w:szCs w:val="16"/>
              </w:rPr>
              <w:t xml:space="preserve">Potential habitat secured through </w:t>
            </w:r>
            <w:r>
              <w:rPr>
                <w:b/>
                <w:bCs/>
                <w:sz w:val="16"/>
                <w:szCs w:val="16"/>
              </w:rPr>
              <w:t>offsets</w:t>
            </w:r>
            <w:r w:rsidRPr="00483FEB">
              <w:rPr>
                <w:b/>
                <w:bCs/>
                <w:sz w:val="16"/>
                <w:szCs w:val="16"/>
              </w:rPr>
              <w:t xml:space="preserve"> (ha)</w:t>
            </w:r>
          </w:p>
        </w:tc>
        <w:tc>
          <w:tcPr>
            <w:tcW w:w="539" w:type="pct"/>
            <w:tcBorders>
              <w:left w:val="single" w:sz="12" w:space="0" w:color="auto"/>
            </w:tcBorders>
            <w:shd w:val="clear" w:color="auto" w:fill="D9D9D9" w:themeFill="background1" w:themeFillShade="D9"/>
            <w:vAlign w:val="center"/>
          </w:tcPr>
          <w:p w14:paraId="2CF3781B" w14:textId="77777777" w:rsidR="008C1AD8" w:rsidRPr="00483FEB" w:rsidRDefault="008C1AD8" w:rsidP="00A15226">
            <w:pPr>
              <w:pStyle w:val="Tabletext"/>
              <w:jc w:val="center"/>
              <w:rPr>
                <w:b/>
                <w:bCs/>
                <w:sz w:val="16"/>
                <w:szCs w:val="16"/>
              </w:rPr>
            </w:pPr>
            <w:r>
              <w:rPr>
                <w:b/>
                <w:bCs/>
                <w:sz w:val="16"/>
                <w:szCs w:val="16"/>
              </w:rPr>
              <w:t>Southern WGGA (ha)</w:t>
            </w:r>
          </w:p>
        </w:tc>
        <w:tc>
          <w:tcPr>
            <w:tcW w:w="539" w:type="pct"/>
            <w:shd w:val="clear" w:color="auto" w:fill="D9D9D9" w:themeFill="background1" w:themeFillShade="D9"/>
            <w:vAlign w:val="center"/>
          </w:tcPr>
          <w:p w14:paraId="13535CAF" w14:textId="77777777" w:rsidR="008C1AD8" w:rsidRPr="00483FEB" w:rsidRDefault="008C1AD8" w:rsidP="00A15226">
            <w:pPr>
              <w:pStyle w:val="Tabletext"/>
              <w:jc w:val="center"/>
              <w:rPr>
                <w:b/>
                <w:bCs/>
                <w:sz w:val="16"/>
                <w:szCs w:val="16"/>
              </w:rPr>
            </w:pPr>
            <w:r w:rsidRPr="00483FEB">
              <w:rPr>
                <w:b/>
                <w:bCs/>
                <w:sz w:val="16"/>
                <w:szCs w:val="16"/>
              </w:rPr>
              <w:t>Bacchus Marsh Road Upgrade Project</w:t>
            </w:r>
            <w:r>
              <w:rPr>
                <w:b/>
                <w:bCs/>
                <w:sz w:val="16"/>
                <w:szCs w:val="16"/>
              </w:rPr>
              <w:t xml:space="preserve"> (ha)</w:t>
            </w:r>
          </w:p>
        </w:tc>
        <w:tc>
          <w:tcPr>
            <w:tcW w:w="539" w:type="pct"/>
            <w:shd w:val="clear" w:color="auto" w:fill="D9D9D9" w:themeFill="background1" w:themeFillShade="D9"/>
            <w:vAlign w:val="center"/>
          </w:tcPr>
          <w:p w14:paraId="001753E2" w14:textId="77777777" w:rsidR="008C1AD8" w:rsidRPr="00F045B3" w:rsidRDefault="008C1AD8" w:rsidP="00A15226">
            <w:pPr>
              <w:pStyle w:val="Tabletext"/>
              <w:jc w:val="center"/>
              <w:rPr>
                <w:b/>
                <w:bCs/>
                <w:sz w:val="16"/>
                <w:szCs w:val="16"/>
              </w:rPr>
            </w:pPr>
            <w:r w:rsidRPr="00F118A4">
              <w:rPr>
                <w:b/>
                <w:bCs/>
                <w:sz w:val="16"/>
                <w:szCs w:val="16"/>
              </w:rPr>
              <w:t>Cherry Creek Youth Justice Centre</w:t>
            </w:r>
            <w:r>
              <w:rPr>
                <w:b/>
                <w:bCs/>
                <w:sz w:val="16"/>
                <w:szCs w:val="16"/>
              </w:rPr>
              <w:t xml:space="preserve"> (ha)</w:t>
            </w:r>
          </w:p>
        </w:tc>
        <w:tc>
          <w:tcPr>
            <w:tcW w:w="540" w:type="pct"/>
            <w:tcBorders>
              <w:right w:val="single" w:sz="12" w:space="0" w:color="auto"/>
            </w:tcBorders>
            <w:shd w:val="clear" w:color="auto" w:fill="D9D9D9" w:themeFill="background1" w:themeFillShade="D9"/>
            <w:vAlign w:val="center"/>
          </w:tcPr>
          <w:p w14:paraId="19F9C252" w14:textId="77777777" w:rsidR="008C1AD8" w:rsidRPr="00F045B3" w:rsidRDefault="008C1AD8" w:rsidP="00A15226">
            <w:pPr>
              <w:pStyle w:val="Tabletext"/>
              <w:jc w:val="center"/>
              <w:rPr>
                <w:b/>
                <w:bCs/>
                <w:sz w:val="16"/>
                <w:szCs w:val="16"/>
              </w:rPr>
            </w:pPr>
            <w:r w:rsidRPr="00F045B3">
              <w:rPr>
                <w:b/>
                <w:bCs/>
                <w:sz w:val="16"/>
                <w:szCs w:val="16"/>
              </w:rPr>
              <w:t>Total - major projects</w:t>
            </w:r>
          </w:p>
        </w:tc>
        <w:tc>
          <w:tcPr>
            <w:tcW w:w="483" w:type="pct"/>
            <w:tcBorders>
              <w:left w:val="single" w:sz="12" w:space="0" w:color="auto"/>
            </w:tcBorders>
            <w:shd w:val="clear" w:color="auto" w:fill="D9D9D9" w:themeFill="background1" w:themeFillShade="D9"/>
            <w:vAlign w:val="center"/>
          </w:tcPr>
          <w:p w14:paraId="1DA086A1" w14:textId="77777777" w:rsidR="008C1AD8" w:rsidRPr="00F045B3" w:rsidRDefault="008C1AD8" w:rsidP="00A15226">
            <w:pPr>
              <w:pStyle w:val="Tabletext"/>
              <w:jc w:val="center"/>
              <w:rPr>
                <w:b/>
                <w:bCs/>
                <w:sz w:val="16"/>
                <w:szCs w:val="16"/>
              </w:rPr>
            </w:pPr>
            <w:r w:rsidRPr="00F045B3">
              <w:rPr>
                <w:b/>
                <w:bCs/>
                <w:sz w:val="16"/>
                <w:szCs w:val="16"/>
              </w:rPr>
              <w:t>Total offset (ha)</w:t>
            </w:r>
          </w:p>
        </w:tc>
        <w:tc>
          <w:tcPr>
            <w:tcW w:w="482" w:type="pct"/>
            <w:shd w:val="clear" w:color="auto" w:fill="D9D9D9" w:themeFill="background1" w:themeFillShade="D9"/>
            <w:vAlign w:val="center"/>
          </w:tcPr>
          <w:p w14:paraId="32599085" w14:textId="77777777" w:rsidR="008C1AD8" w:rsidRPr="00F045B3" w:rsidRDefault="008C1AD8" w:rsidP="00A15226">
            <w:pPr>
              <w:pStyle w:val="Tabletext"/>
              <w:jc w:val="center"/>
              <w:rPr>
                <w:b/>
                <w:bCs/>
                <w:sz w:val="16"/>
                <w:szCs w:val="16"/>
              </w:rPr>
            </w:pPr>
            <w:r w:rsidRPr="00F045B3">
              <w:rPr>
                <w:b/>
                <w:bCs/>
                <w:sz w:val="16"/>
                <w:szCs w:val="16"/>
              </w:rPr>
              <w:t xml:space="preserve">Offsets as % of </w:t>
            </w:r>
            <w:r>
              <w:rPr>
                <w:b/>
                <w:bCs/>
                <w:sz w:val="16"/>
                <w:szCs w:val="16"/>
              </w:rPr>
              <w:t xml:space="preserve">Study Area </w:t>
            </w:r>
            <w:r w:rsidRPr="00F045B3">
              <w:rPr>
                <w:b/>
                <w:bCs/>
                <w:sz w:val="16"/>
                <w:szCs w:val="16"/>
              </w:rPr>
              <w:t>habitat</w:t>
            </w:r>
          </w:p>
        </w:tc>
      </w:tr>
      <w:tr w:rsidR="008C1AD8" w:rsidRPr="0073612D" w14:paraId="6122B1B7" w14:textId="77777777" w:rsidTr="00A15226">
        <w:tc>
          <w:tcPr>
            <w:tcW w:w="839" w:type="pct"/>
            <w:vAlign w:val="center"/>
          </w:tcPr>
          <w:p w14:paraId="6A468409" w14:textId="77777777" w:rsidR="008C1AD8" w:rsidRPr="00F045B3" w:rsidRDefault="008C1AD8" w:rsidP="00A15226">
            <w:pPr>
              <w:pStyle w:val="Tabletext"/>
              <w:rPr>
                <w:sz w:val="16"/>
                <w:szCs w:val="16"/>
              </w:rPr>
            </w:pPr>
            <w:r w:rsidRPr="00977C5F">
              <w:rPr>
                <w:rFonts w:cs="Arial"/>
                <w:sz w:val="16"/>
                <w:szCs w:val="16"/>
              </w:rPr>
              <w:t>Natural Temperate Grassland of the Victorian Volcanic Plain</w:t>
            </w:r>
            <w:r>
              <w:rPr>
                <w:rFonts w:cs="Arial"/>
                <w:sz w:val="16"/>
                <w:szCs w:val="16"/>
              </w:rPr>
              <w:t xml:space="preserve"> TEC </w:t>
            </w:r>
          </w:p>
        </w:tc>
        <w:tc>
          <w:tcPr>
            <w:tcW w:w="494" w:type="pct"/>
            <w:tcBorders>
              <w:right w:val="single" w:sz="12" w:space="0" w:color="auto"/>
            </w:tcBorders>
            <w:vAlign w:val="center"/>
          </w:tcPr>
          <w:p w14:paraId="2E443349" w14:textId="77777777" w:rsidR="008C1AD8" w:rsidRPr="00F81C03" w:rsidRDefault="008C1AD8" w:rsidP="00A15226">
            <w:pPr>
              <w:pStyle w:val="Tabletext"/>
              <w:jc w:val="center"/>
              <w:rPr>
                <w:rFonts w:cs="Calibri"/>
                <w:color w:val="000000"/>
                <w:sz w:val="16"/>
                <w:szCs w:val="16"/>
              </w:rPr>
            </w:pPr>
            <w:r w:rsidRPr="00F81C03">
              <w:rPr>
                <w:sz w:val="16"/>
                <w:szCs w:val="16"/>
              </w:rPr>
              <w:t>2,817.2</w:t>
            </w:r>
          </w:p>
        </w:tc>
        <w:tc>
          <w:tcPr>
            <w:tcW w:w="545" w:type="pct"/>
            <w:tcBorders>
              <w:left w:val="single" w:sz="12" w:space="0" w:color="auto"/>
              <w:right w:val="single" w:sz="12" w:space="0" w:color="auto"/>
            </w:tcBorders>
            <w:vAlign w:val="center"/>
          </w:tcPr>
          <w:p w14:paraId="097049DF" w14:textId="77777777" w:rsidR="008C1AD8" w:rsidRPr="009E63A2" w:rsidRDefault="008C1AD8" w:rsidP="00A15226">
            <w:pPr>
              <w:pStyle w:val="Tabletext"/>
              <w:jc w:val="center"/>
              <w:rPr>
                <w:rFonts w:cs="Calibri"/>
                <w:color w:val="000000"/>
                <w:sz w:val="16"/>
                <w:szCs w:val="16"/>
              </w:rPr>
            </w:pPr>
            <w:r>
              <w:rPr>
                <w:rFonts w:cs="Calibri"/>
                <w:color w:val="000000"/>
                <w:sz w:val="16"/>
                <w:szCs w:val="16"/>
              </w:rPr>
              <w:t>45</w:t>
            </w:r>
          </w:p>
        </w:tc>
        <w:tc>
          <w:tcPr>
            <w:tcW w:w="539" w:type="pct"/>
            <w:tcBorders>
              <w:left w:val="single" w:sz="12" w:space="0" w:color="auto"/>
            </w:tcBorders>
            <w:vAlign w:val="center"/>
          </w:tcPr>
          <w:p w14:paraId="33CE9507" w14:textId="77777777" w:rsidR="008C1AD8" w:rsidRPr="00483FEB" w:rsidRDefault="008C1AD8" w:rsidP="00A15226">
            <w:pPr>
              <w:pStyle w:val="Tabletext"/>
              <w:jc w:val="center"/>
              <w:rPr>
                <w:rFonts w:cs="Calibri"/>
                <w:color w:val="000000"/>
                <w:sz w:val="16"/>
                <w:szCs w:val="16"/>
              </w:rPr>
            </w:pPr>
            <w:r>
              <w:rPr>
                <w:rFonts w:cs="Calibri"/>
                <w:color w:val="000000"/>
                <w:sz w:val="16"/>
                <w:szCs w:val="16"/>
              </w:rPr>
              <w:t>N/A</w:t>
            </w:r>
          </w:p>
        </w:tc>
        <w:tc>
          <w:tcPr>
            <w:tcW w:w="539" w:type="pct"/>
            <w:vAlign w:val="center"/>
          </w:tcPr>
          <w:p w14:paraId="1737FD0B" w14:textId="77777777" w:rsidR="008C1AD8" w:rsidRPr="00483FEB" w:rsidRDefault="008C1AD8" w:rsidP="00A15226">
            <w:pPr>
              <w:pStyle w:val="Tabletext"/>
              <w:jc w:val="center"/>
              <w:rPr>
                <w:rFonts w:cs="Calibri"/>
                <w:color w:val="000000"/>
                <w:sz w:val="16"/>
                <w:szCs w:val="16"/>
              </w:rPr>
            </w:pPr>
            <w:r w:rsidRPr="00483FEB">
              <w:rPr>
                <w:rFonts w:cs="Calibri"/>
                <w:color w:val="000000"/>
                <w:sz w:val="16"/>
                <w:szCs w:val="16"/>
              </w:rPr>
              <w:t>16</w:t>
            </w:r>
          </w:p>
        </w:tc>
        <w:tc>
          <w:tcPr>
            <w:tcW w:w="539" w:type="pct"/>
            <w:vAlign w:val="center"/>
          </w:tcPr>
          <w:p w14:paraId="59F35E1E" w14:textId="77777777" w:rsidR="008C1AD8" w:rsidRPr="00977C5F" w:rsidRDefault="008C1AD8" w:rsidP="00A15226">
            <w:pPr>
              <w:pStyle w:val="Tabletext"/>
              <w:jc w:val="center"/>
              <w:rPr>
                <w:rFonts w:cs="Calibri"/>
                <w:color w:val="000000"/>
                <w:sz w:val="16"/>
                <w:szCs w:val="16"/>
                <w:highlight w:val="yellow"/>
              </w:rPr>
            </w:pPr>
            <w:r w:rsidRPr="009D4B5E">
              <w:rPr>
                <w:rFonts w:cs="Calibri"/>
                <w:color w:val="000000"/>
                <w:sz w:val="16"/>
                <w:szCs w:val="16"/>
              </w:rPr>
              <w:t>122</w:t>
            </w:r>
          </w:p>
        </w:tc>
        <w:tc>
          <w:tcPr>
            <w:tcW w:w="540" w:type="pct"/>
            <w:tcBorders>
              <w:right w:val="single" w:sz="12" w:space="0" w:color="auto"/>
            </w:tcBorders>
            <w:vAlign w:val="center"/>
          </w:tcPr>
          <w:p w14:paraId="686E9DE8" w14:textId="77777777" w:rsidR="008C1AD8" w:rsidRPr="000F3747" w:rsidRDefault="008C1AD8" w:rsidP="00A15226">
            <w:pPr>
              <w:pStyle w:val="Tabletext"/>
              <w:jc w:val="center"/>
              <w:rPr>
                <w:rFonts w:cs="Calibri"/>
                <w:color w:val="000000"/>
                <w:sz w:val="16"/>
                <w:szCs w:val="16"/>
              </w:rPr>
            </w:pPr>
            <w:r w:rsidRPr="000F3747">
              <w:rPr>
                <w:rFonts w:cs="Calibri"/>
                <w:color w:val="000000"/>
                <w:sz w:val="16"/>
                <w:szCs w:val="16"/>
              </w:rPr>
              <w:t>138</w:t>
            </w:r>
          </w:p>
        </w:tc>
        <w:tc>
          <w:tcPr>
            <w:tcW w:w="483" w:type="pct"/>
            <w:tcBorders>
              <w:left w:val="single" w:sz="12" w:space="0" w:color="auto"/>
            </w:tcBorders>
            <w:shd w:val="clear" w:color="auto" w:fill="B4C6E7" w:themeFill="accent1" w:themeFillTint="66"/>
            <w:vAlign w:val="center"/>
          </w:tcPr>
          <w:p w14:paraId="76ACB488" w14:textId="77777777" w:rsidR="008C1AD8" w:rsidRPr="009E63A2" w:rsidRDefault="008C1AD8" w:rsidP="00A15226">
            <w:pPr>
              <w:pStyle w:val="Tabletext"/>
              <w:jc w:val="center"/>
              <w:rPr>
                <w:rFonts w:cs="Calibri"/>
                <w:b/>
                <w:bCs/>
                <w:color w:val="000000"/>
                <w:sz w:val="16"/>
                <w:szCs w:val="16"/>
              </w:rPr>
            </w:pPr>
            <w:r>
              <w:rPr>
                <w:rFonts w:cs="Calibri"/>
                <w:b/>
                <w:bCs/>
                <w:color w:val="000000"/>
                <w:sz w:val="16"/>
                <w:szCs w:val="16"/>
              </w:rPr>
              <w:t>321</w:t>
            </w:r>
          </w:p>
        </w:tc>
        <w:tc>
          <w:tcPr>
            <w:tcW w:w="482" w:type="pct"/>
            <w:shd w:val="clear" w:color="auto" w:fill="B4C6E7" w:themeFill="accent1" w:themeFillTint="66"/>
            <w:vAlign w:val="center"/>
          </w:tcPr>
          <w:p w14:paraId="5A96AAC8" w14:textId="77777777" w:rsidR="008C1AD8" w:rsidRPr="009E63A2" w:rsidRDefault="008C1AD8" w:rsidP="00A15226">
            <w:pPr>
              <w:pStyle w:val="Tabletext"/>
              <w:jc w:val="center"/>
              <w:rPr>
                <w:rFonts w:cs="Calibri"/>
                <w:b/>
                <w:bCs/>
                <w:color w:val="000000"/>
                <w:sz w:val="16"/>
                <w:szCs w:val="16"/>
              </w:rPr>
            </w:pPr>
            <w:r>
              <w:rPr>
                <w:rFonts w:cs="Calibri"/>
                <w:b/>
                <w:bCs/>
                <w:color w:val="000000"/>
                <w:sz w:val="16"/>
                <w:szCs w:val="16"/>
              </w:rPr>
              <w:t>11.4%</w:t>
            </w:r>
          </w:p>
        </w:tc>
      </w:tr>
      <w:tr w:rsidR="008C1AD8" w:rsidRPr="0073612D" w14:paraId="336B3832" w14:textId="77777777" w:rsidTr="00A15226">
        <w:tc>
          <w:tcPr>
            <w:tcW w:w="839" w:type="pct"/>
            <w:vAlign w:val="center"/>
          </w:tcPr>
          <w:p w14:paraId="0B08AB60" w14:textId="77777777" w:rsidR="008C1AD8" w:rsidRPr="00F045B3" w:rsidRDefault="008C1AD8" w:rsidP="00A15226">
            <w:pPr>
              <w:pStyle w:val="Tabletext"/>
              <w:rPr>
                <w:sz w:val="16"/>
                <w:szCs w:val="16"/>
              </w:rPr>
            </w:pPr>
            <w:r w:rsidRPr="00977C5F">
              <w:rPr>
                <w:rFonts w:cs="Arial"/>
                <w:i/>
                <w:iCs/>
                <w:sz w:val="16"/>
                <w:szCs w:val="16"/>
              </w:rPr>
              <w:t xml:space="preserve">Delma impar </w:t>
            </w:r>
            <w:r w:rsidRPr="00977C5F">
              <w:rPr>
                <w:rFonts w:cs="Arial"/>
                <w:sz w:val="16"/>
                <w:szCs w:val="16"/>
              </w:rPr>
              <w:t>(Striped Legless Lizard)</w:t>
            </w:r>
          </w:p>
        </w:tc>
        <w:tc>
          <w:tcPr>
            <w:tcW w:w="494" w:type="pct"/>
            <w:tcBorders>
              <w:right w:val="single" w:sz="12" w:space="0" w:color="auto"/>
            </w:tcBorders>
            <w:vAlign w:val="center"/>
          </w:tcPr>
          <w:p w14:paraId="66A338F2" w14:textId="77777777" w:rsidR="008C1AD8" w:rsidRPr="00F81C03" w:rsidRDefault="008C1AD8" w:rsidP="00A15226">
            <w:pPr>
              <w:pStyle w:val="Tabletext"/>
              <w:jc w:val="center"/>
              <w:rPr>
                <w:rFonts w:cs="Calibri"/>
                <w:color w:val="000000"/>
                <w:sz w:val="16"/>
                <w:szCs w:val="16"/>
              </w:rPr>
            </w:pPr>
            <w:r w:rsidRPr="00F81C03">
              <w:rPr>
                <w:sz w:val="16"/>
                <w:szCs w:val="16"/>
              </w:rPr>
              <w:t>8,124.9</w:t>
            </w:r>
          </w:p>
        </w:tc>
        <w:tc>
          <w:tcPr>
            <w:tcW w:w="545" w:type="pct"/>
            <w:tcBorders>
              <w:left w:val="single" w:sz="12" w:space="0" w:color="auto"/>
              <w:right w:val="single" w:sz="12" w:space="0" w:color="auto"/>
            </w:tcBorders>
            <w:vAlign w:val="center"/>
          </w:tcPr>
          <w:p w14:paraId="1ECC8929" w14:textId="77777777" w:rsidR="008C1AD8" w:rsidRPr="009E63A2" w:rsidRDefault="008C1AD8" w:rsidP="00A15226">
            <w:pPr>
              <w:pStyle w:val="Tabletext"/>
              <w:jc w:val="center"/>
              <w:rPr>
                <w:rFonts w:cs="Calibri"/>
                <w:color w:val="000000"/>
                <w:sz w:val="16"/>
                <w:szCs w:val="16"/>
              </w:rPr>
            </w:pPr>
            <w:r w:rsidRPr="009E63A2">
              <w:rPr>
                <w:rFonts w:cs="Calibri"/>
                <w:color w:val="000000"/>
                <w:sz w:val="16"/>
                <w:szCs w:val="16"/>
              </w:rPr>
              <w:t>375</w:t>
            </w:r>
          </w:p>
        </w:tc>
        <w:tc>
          <w:tcPr>
            <w:tcW w:w="539" w:type="pct"/>
            <w:tcBorders>
              <w:left w:val="single" w:sz="12" w:space="0" w:color="auto"/>
            </w:tcBorders>
            <w:vAlign w:val="center"/>
          </w:tcPr>
          <w:p w14:paraId="27B6BD4B" w14:textId="77777777" w:rsidR="008C1AD8" w:rsidRPr="00483FEB" w:rsidRDefault="008C1AD8" w:rsidP="00A15226">
            <w:pPr>
              <w:pStyle w:val="Tabletext"/>
              <w:jc w:val="center"/>
              <w:rPr>
                <w:rFonts w:cs="Calibri"/>
                <w:color w:val="000000"/>
                <w:sz w:val="16"/>
                <w:szCs w:val="16"/>
              </w:rPr>
            </w:pPr>
            <w:r>
              <w:rPr>
                <w:rFonts w:cs="Calibri"/>
                <w:color w:val="000000"/>
                <w:sz w:val="16"/>
                <w:szCs w:val="16"/>
              </w:rPr>
              <w:t>N/A</w:t>
            </w:r>
          </w:p>
        </w:tc>
        <w:tc>
          <w:tcPr>
            <w:tcW w:w="539" w:type="pct"/>
            <w:vAlign w:val="center"/>
          </w:tcPr>
          <w:p w14:paraId="2888A018" w14:textId="77777777" w:rsidR="008C1AD8" w:rsidRPr="00483FEB" w:rsidRDefault="008C1AD8" w:rsidP="00A15226">
            <w:pPr>
              <w:pStyle w:val="Tabletext"/>
              <w:jc w:val="center"/>
              <w:rPr>
                <w:rFonts w:cs="Calibri"/>
                <w:color w:val="000000"/>
                <w:sz w:val="16"/>
                <w:szCs w:val="16"/>
              </w:rPr>
            </w:pPr>
            <w:r>
              <w:rPr>
                <w:rFonts w:cs="Calibri"/>
                <w:color w:val="000000"/>
                <w:sz w:val="16"/>
                <w:szCs w:val="16"/>
              </w:rPr>
              <w:t>16</w:t>
            </w:r>
          </w:p>
        </w:tc>
        <w:tc>
          <w:tcPr>
            <w:tcW w:w="539" w:type="pct"/>
            <w:vAlign w:val="center"/>
          </w:tcPr>
          <w:p w14:paraId="1C7274E3" w14:textId="77777777" w:rsidR="008C1AD8" w:rsidRPr="0073612D" w:rsidRDefault="008C1AD8" w:rsidP="00A15226">
            <w:pPr>
              <w:pStyle w:val="Tabletext"/>
              <w:jc w:val="center"/>
              <w:rPr>
                <w:rFonts w:cs="Calibri"/>
                <w:color w:val="000000"/>
                <w:sz w:val="16"/>
                <w:szCs w:val="16"/>
              </w:rPr>
            </w:pPr>
            <w:r>
              <w:rPr>
                <w:rFonts w:cs="Calibri"/>
                <w:color w:val="000000"/>
                <w:sz w:val="16"/>
                <w:szCs w:val="16"/>
              </w:rPr>
              <w:t>N/A</w:t>
            </w:r>
          </w:p>
        </w:tc>
        <w:tc>
          <w:tcPr>
            <w:tcW w:w="540" w:type="pct"/>
            <w:tcBorders>
              <w:right w:val="single" w:sz="12" w:space="0" w:color="auto"/>
            </w:tcBorders>
            <w:vAlign w:val="center"/>
          </w:tcPr>
          <w:p w14:paraId="6DFAFCD5" w14:textId="77777777" w:rsidR="008C1AD8" w:rsidRPr="000F3747" w:rsidRDefault="008C1AD8" w:rsidP="00A15226">
            <w:pPr>
              <w:pStyle w:val="Tabletext"/>
              <w:jc w:val="center"/>
              <w:rPr>
                <w:rFonts w:cs="Calibri"/>
                <w:color w:val="000000"/>
                <w:sz w:val="16"/>
                <w:szCs w:val="16"/>
              </w:rPr>
            </w:pPr>
            <w:r w:rsidRPr="000F3747">
              <w:rPr>
                <w:rFonts w:cs="Calibri"/>
                <w:color w:val="000000"/>
                <w:sz w:val="16"/>
                <w:szCs w:val="16"/>
              </w:rPr>
              <w:t>16</w:t>
            </w:r>
          </w:p>
        </w:tc>
        <w:tc>
          <w:tcPr>
            <w:tcW w:w="483" w:type="pct"/>
            <w:tcBorders>
              <w:left w:val="single" w:sz="12" w:space="0" w:color="auto"/>
            </w:tcBorders>
            <w:shd w:val="clear" w:color="auto" w:fill="B4C6E7" w:themeFill="accent1" w:themeFillTint="66"/>
            <w:vAlign w:val="center"/>
          </w:tcPr>
          <w:p w14:paraId="50C26573" w14:textId="77777777" w:rsidR="008C1AD8" w:rsidRPr="009E63A2" w:rsidRDefault="008C1AD8" w:rsidP="00A15226">
            <w:pPr>
              <w:pStyle w:val="Tabletext"/>
              <w:jc w:val="center"/>
              <w:rPr>
                <w:rFonts w:cs="Calibri"/>
                <w:b/>
                <w:bCs/>
                <w:color w:val="000000"/>
                <w:sz w:val="16"/>
                <w:szCs w:val="16"/>
              </w:rPr>
            </w:pPr>
            <w:r>
              <w:rPr>
                <w:rFonts w:cs="Calibri"/>
                <w:b/>
                <w:bCs/>
                <w:color w:val="000000"/>
                <w:sz w:val="16"/>
                <w:szCs w:val="16"/>
              </w:rPr>
              <w:t>407</w:t>
            </w:r>
          </w:p>
        </w:tc>
        <w:tc>
          <w:tcPr>
            <w:tcW w:w="482" w:type="pct"/>
            <w:shd w:val="clear" w:color="auto" w:fill="B4C6E7" w:themeFill="accent1" w:themeFillTint="66"/>
            <w:vAlign w:val="center"/>
          </w:tcPr>
          <w:p w14:paraId="4CBAC02C" w14:textId="77777777" w:rsidR="008C1AD8" w:rsidRPr="009E2F22" w:rsidRDefault="008C1AD8" w:rsidP="00A15226">
            <w:pPr>
              <w:pStyle w:val="Tabletext"/>
              <w:jc w:val="center"/>
              <w:rPr>
                <w:rFonts w:cs="Calibri"/>
                <w:b/>
                <w:bCs/>
                <w:color w:val="000000"/>
                <w:sz w:val="16"/>
                <w:szCs w:val="16"/>
              </w:rPr>
            </w:pPr>
            <w:r>
              <w:rPr>
                <w:rFonts w:cs="Calibri"/>
                <w:b/>
                <w:bCs/>
                <w:color w:val="000000"/>
                <w:sz w:val="16"/>
                <w:szCs w:val="16"/>
              </w:rPr>
              <w:t>5.0</w:t>
            </w:r>
            <w:r w:rsidRPr="009E63A2">
              <w:rPr>
                <w:rFonts w:cs="Calibri"/>
                <w:b/>
                <w:bCs/>
                <w:color w:val="000000"/>
                <w:sz w:val="16"/>
                <w:szCs w:val="16"/>
              </w:rPr>
              <w:t>%</w:t>
            </w:r>
          </w:p>
        </w:tc>
      </w:tr>
      <w:tr w:rsidR="008C1AD8" w:rsidRPr="0073612D" w14:paraId="223A90E7" w14:textId="77777777" w:rsidTr="00A15226">
        <w:tc>
          <w:tcPr>
            <w:tcW w:w="839" w:type="pct"/>
            <w:vAlign w:val="center"/>
          </w:tcPr>
          <w:p w14:paraId="33579255" w14:textId="77777777" w:rsidR="008C1AD8" w:rsidRPr="00F045B3" w:rsidRDefault="008C1AD8" w:rsidP="00A15226">
            <w:pPr>
              <w:pStyle w:val="Tabletext"/>
              <w:rPr>
                <w:sz w:val="16"/>
                <w:szCs w:val="16"/>
              </w:rPr>
            </w:pPr>
            <w:r w:rsidRPr="00977C5F">
              <w:rPr>
                <w:rFonts w:cs="Arial"/>
                <w:i/>
                <w:iCs/>
                <w:sz w:val="16"/>
                <w:szCs w:val="16"/>
              </w:rPr>
              <w:t>Synemon plana</w:t>
            </w:r>
            <w:r w:rsidRPr="00977C5F">
              <w:rPr>
                <w:rFonts w:cs="Arial"/>
                <w:sz w:val="16"/>
                <w:szCs w:val="16"/>
              </w:rPr>
              <w:t xml:space="preserve"> (Golden Sun Moth)</w:t>
            </w:r>
          </w:p>
        </w:tc>
        <w:tc>
          <w:tcPr>
            <w:tcW w:w="494" w:type="pct"/>
            <w:tcBorders>
              <w:right w:val="single" w:sz="12" w:space="0" w:color="auto"/>
            </w:tcBorders>
            <w:vAlign w:val="center"/>
          </w:tcPr>
          <w:p w14:paraId="41959B40" w14:textId="77777777" w:rsidR="008C1AD8" w:rsidRPr="00F81C03" w:rsidRDefault="008C1AD8" w:rsidP="00A15226">
            <w:pPr>
              <w:pStyle w:val="Tabletext"/>
              <w:jc w:val="center"/>
              <w:rPr>
                <w:rFonts w:cs="Calibri"/>
                <w:color w:val="000000"/>
                <w:sz w:val="16"/>
                <w:szCs w:val="16"/>
              </w:rPr>
            </w:pPr>
            <w:r w:rsidRPr="00F81C03">
              <w:rPr>
                <w:sz w:val="16"/>
                <w:szCs w:val="16"/>
              </w:rPr>
              <w:t>20,418.1</w:t>
            </w:r>
          </w:p>
        </w:tc>
        <w:tc>
          <w:tcPr>
            <w:tcW w:w="545" w:type="pct"/>
            <w:tcBorders>
              <w:left w:val="single" w:sz="12" w:space="0" w:color="auto"/>
              <w:right w:val="single" w:sz="12" w:space="0" w:color="auto"/>
            </w:tcBorders>
            <w:vAlign w:val="center"/>
          </w:tcPr>
          <w:p w14:paraId="2371ADF5" w14:textId="77777777" w:rsidR="008C1AD8" w:rsidRPr="009E63A2" w:rsidRDefault="008C1AD8" w:rsidP="00A15226">
            <w:pPr>
              <w:pStyle w:val="Tabletext"/>
              <w:jc w:val="center"/>
              <w:rPr>
                <w:rFonts w:cs="Calibri"/>
                <w:color w:val="000000"/>
                <w:sz w:val="16"/>
                <w:szCs w:val="16"/>
              </w:rPr>
            </w:pPr>
            <w:r w:rsidRPr="009E63A2">
              <w:rPr>
                <w:rFonts w:cs="Calibri"/>
                <w:color w:val="000000"/>
                <w:sz w:val="16"/>
                <w:szCs w:val="16"/>
              </w:rPr>
              <w:t>58</w:t>
            </w:r>
            <w:r>
              <w:rPr>
                <w:rFonts w:cs="Calibri"/>
                <w:color w:val="000000"/>
                <w:sz w:val="16"/>
                <w:szCs w:val="16"/>
              </w:rPr>
              <w:t>5</w:t>
            </w:r>
          </w:p>
        </w:tc>
        <w:tc>
          <w:tcPr>
            <w:tcW w:w="539" w:type="pct"/>
            <w:tcBorders>
              <w:left w:val="single" w:sz="12" w:space="0" w:color="auto"/>
            </w:tcBorders>
            <w:vAlign w:val="center"/>
          </w:tcPr>
          <w:p w14:paraId="5B2B6353" w14:textId="77777777" w:rsidR="008C1AD8" w:rsidRPr="00483FEB" w:rsidRDefault="008C1AD8" w:rsidP="00A15226">
            <w:pPr>
              <w:pStyle w:val="Tabletext"/>
              <w:jc w:val="center"/>
              <w:rPr>
                <w:rFonts w:cs="Calibri"/>
                <w:color w:val="000000"/>
                <w:sz w:val="16"/>
                <w:szCs w:val="16"/>
              </w:rPr>
            </w:pPr>
            <w:r>
              <w:rPr>
                <w:rFonts w:cs="Calibri"/>
                <w:color w:val="000000"/>
                <w:sz w:val="16"/>
                <w:szCs w:val="16"/>
              </w:rPr>
              <w:t>N/A</w:t>
            </w:r>
          </w:p>
        </w:tc>
        <w:tc>
          <w:tcPr>
            <w:tcW w:w="539" w:type="pct"/>
            <w:vAlign w:val="center"/>
          </w:tcPr>
          <w:p w14:paraId="2A8E4065" w14:textId="77777777" w:rsidR="008C1AD8" w:rsidRPr="00483FEB" w:rsidRDefault="008C1AD8" w:rsidP="00A15226">
            <w:pPr>
              <w:pStyle w:val="Tabletext"/>
              <w:jc w:val="center"/>
              <w:rPr>
                <w:rFonts w:cs="Calibri"/>
                <w:color w:val="000000"/>
                <w:sz w:val="16"/>
                <w:szCs w:val="16"/>
              </w:rPr>
            </w:pPr>
            <w:r>
              <w:rPr>
                <w:rFonts w:cs="Calibri"/>
                <w:color w:val="000000"/>
                <w:sz w:val="16"/>
                <w:szCs w:val="16"/>
              </w:rPr>
              <w:t>16</w:t>
            </w:r>
          </w:p>
        </w:tc>
        <w:tc>
          <w:tcPr>
            <w:tcW w:w="539" w:type="pct"/>
            <w:vAlign w:val="center"/>
          </w:tcPr>
          <w:p w14:paraId="2E4922FB" w14:textId="77777777" w:rsidR="008C1AD8" w:rsidRPr="0073612D" w:rsidRDefault="008C1AD8" w:rsidP="00A15226">
            <w:pPr>
              <w:pStyle w:val="Tabletext"/>
              <w:jc w:val="center"/>
              <w:rPr>
                <w:rFonts w:cs="Calibri"/>
                <w:color w:val="000000"/>
                <w:sz w:val="16"/>
                <w:szCs w:val="16"/>
              </w:rPr>
            </w:pPr>
            <w:r>
              <w:rPr>
                <w:rFonts w:cs="Calibri"/>
                <w:color w:val="000000"/>
                <w:sz w:val="16"/>
                <w:szCs w:val="16"/>
              </w:rPr>
              <w:t>154.1</w:t>
            </w:r>
          </w:p>
        </w:tc>
        <w:tc>
          <w:tcPr>
            <w:tcW w:w="540" w:type="pct"/>
            <w:tcBorders>
              <w:right w:val="single" w:sz="12" w:space="0" w:color="auto"/>
            </w:tcBorders>
            <w:vAlign w:val="center"/>
          </w:tcPr>
          <w:p w14:paraId="46CFCB2E" w14:textId="77777777" w:rsidR="008C1AD8" w:rsidRPr="000F3747" w:rsidRDefault="008C1AD8" w:rsidP="00A15226">
            <w:pPr>
              <w:pStyle w:val="Tabletext"/>
              <w:jc w:val="center"/>
              <w:rPr>
                <w:rFonts w:cs="Calibri"/>
                <w:color w:val="000000"/>
                <w:sz w:val="16"/>
                <w:szCs w:val="16"/>
              </w:rPr>
            </w:pPr>
            <w:r w:rsidRPr="000F3747">
              <w:rPr>
                <w:rFonts w:cs="Calibri"/>
                <w:color w:val="000000"/>
                <w:sz w:val="16"/>
                <w:szCs w:val="16"/>
              </w:rPr>
              <w:t>170.1</w:t>
            </w:r>
          </w:p>
        </w:tc>
        <w:tc>
          <w:tcPr>
            <w:tcW w:w="483" w:type="pct"/>
            <w:tcBorders>
              <w:left w:val="single" w:sz="12" w:space="0" w:color="auto"/>
            </w:tcBorders>
            <w:shd w:val="clear" w:color="auto" w:fill="B4C6E7" w:themeFill="accent1" w:themeFillTint="66"/>
            <w:vAlign w:val="center"/>
          </w:tcPr>
          <w:p w14:paraId="2CB26EF1" w14:textId="77777777" w:rsidR="008C1AD8" w:rsidRPr="009E63A2" w:rsidRDefault="008C1AD8" w:rsidP="00A15226">
            <w:pPr>
              <w:pStyle w:val="Tabletext"/>
              <w:jc w:val="center"/>
              <w:rPr>
                <w:rFonts w:cs="Calibri"/>
                <w:b/>
                <w:bCs/>
                <w:color w:val="000000"/>
                <w:sz w:val="16"/>
                <w:szCs w:val="16"/>
              </w:rPr>
            </w:pPr>
            <w:r>
              <w:rPr>
                <w:rFonts w:cs="Calibri"/>
                <w:b/>
                <w:bCs/>
                <w:color w:val="000000"/>
                <w:sz w:val="16"/>
                <w:szCs w:val="16"/>
              </w:rPr>
              <w:t>925.2</w:t>
            </w:r>
          </w:p>
        </w:tc>
        <w:tc>
          <w:tcPr>
            <w:tcW w:w="482" w:type="pct"/>
            <w:shd w:val="clear" w:color="auto" w:fill="B4C6E7" w:themeFill="accent1" w:themeFillTint="66"/>
            <w:vAlign w:val="center"/>
          </w:tcPr>
          <w:p w14:paraId="5456D51D" w14:textId="77777777" w:rsidR="008C1AD8" w:rsidRPr="009E2F22" w:rsidRDefault="008C1AD8" w:rsidP="00A15226">
            <w:pPr>
              <w:pStyle w:val="Tabletext"/>
              <w:jc w:val="center"/>
              <w:rPr>
                <w:rFonts w:cs="Calibri"/>
                <w:b/>
                <w:bCs/>
                <w:color w:val="000000"/>
                <w:sz w:val="16"/>
                <w:szCs w:val="16"/>
              </w:rPr>
            </w:pPr>
            <w:r>
              <w:rPr>
                <w:rFonts w:cs="Calibri"/>
                <w:b/>
                <w:bCs/>
                <w:color w:val="000000"/>
                <w:sz w:val="16"/>
                <w:szCs w:val="16"/>
              </w:rPr>
              <w:t>4.5</w:t>
            </w:r>
            <w:r w:rsidRPr="009E63A2">
              <w:rPr>
                <w:rFonts w:cs="Calibri"/>
                <w:b/>
                <w:bCs/>
                <w:color w:val="000000"/>
                <w:sz w:val="16"/>
                <w:szCs w:val="16"/>
              </w:rPr>
              <w:t>%</w:t>
            </w:r>
          </w:p>
        </w:tc>
      </w:tr>
    </w:tbl>
    <w:p w14:paraId="3BD5BFD1" w14:textId="77777777" w:rsidR="008C1AD8" w:rsidRDefault="008C1AD8" w:rsidP="008C1AD8"/>
    <w:p w14:paraId="122C7CDC" w14:textId="77777777" w:rsidR="008C1AD8" w:rsidRPr="000F3747" w:rsidRDefault="008C1AD8" w:rsidP="008C1AD8">
      <w:pPr>
        <w:sectPr w:rsidR="008C1AD8" w:rsidRPr="000F3747" w:rsidSect="00845594">
          <w:footerReference w:type="default" r:id="rId106"/>
          <w:pgSz w:w="16840" w:h="11900" w:orient="landscape"/>
          <w:pgMar w:top="1134" w:right="1247" w:bottom="1134" w:left="1247" w:header="708" w:footer="708" w:gutter="0"/>
          <w:pgNumType w:chapStyle="1"/>
          <w:cols w:space="708"/>
          <w:docGrid w:linePitch="360"/>
        </w:sectPr>
      </w:pPr>
    </w:p>
    <w:p w14:paraId="4FBEC5C9" w14:textId="77777777" w:rsidR="008C1AD8" w:rsidRPr="008C4143" w:rsidRDefault="008C1AD8" w:rsidP="008C1AD8">
      <w:pPr>
        <w:pStyle w:val="Heading3"/>
      </w:pPr>
      <w:r w:rsidRPr="008C4143">
        <w:lastRenderedPageBreak/>
        <w:t>Evaluation of cumulative impacts</w:t>
      </w:r>
    </w:p>
    <w:p w14:paraId="64B67CE5" w14:textId="77777777" w:rsidR="008C1AD8" w:rsidRDefault="008C1AD8" w:rsidP="008C1AD8">
      <w:pPr>
        <w:pStyle w:val="Heading4"/>
      </w:pPr>
      <w:r>
        <w:t>Approach</w:t>
      </w:r>
    </w:p>
    <w:p w14:paraId="47E244F8" w14:textId="77777777" w:rsidR="008C1AD8" w:rsidRPr="008C4143" w:rsidRDefault="008C1AD8" w:rsidP="008C1AD8">
      <w:r w:rsidRPr="008C4143">
        <w:t>The evaluation was undertaken considering the following questions:</w:t>
      </w:r>
    </w:p>
    <w:p w14:paraId="4E7CA786" w14:textId="77777777" w:rsidR="008C1AD8" w:rsidRPr="008C4143" w:rsidRDefault="008C1AD8" w:rsidP="008C1AD8">
      <w:pPr>
        <w:pStyle w:val="Bullet1"/>
      </w:pPr>
      <w:r w:rsidRPr="008C4143">
        <w:t>To what extent is the Plan contributing to cumulative impacts both individually and with the other projects?</w:t>
      </w:r>
    </w:p>
    <w:p w14:paraId="1F3399D2" w14:textId="77777777" w:rsidR="008C1AD8" w:rsidRPr="008C4143" w:rsidRDefault="008C1AD8" w:rsidP="008C1AD8">
      <w:pPr>
        <w:pStyle w:val="Bullet1"/>
      </w:pPr>
      <w:r w:rsidRPr="008C4143">
        <w:t>Do the current offset and mitigation measures under the Plan deal adequately with the cumulative impact?</w:t>
      </w:r>
    </w:p>
    <w:p w14:paraId="19A0D479" w14:textId="77777777" w:rsidR="008C1AD8" w:rsidRPr="008C4143" w:rsidRDefault="008C1AD8" w:rsidP="008C1AD8">
      <w:pPr>
        <w:pStyle w:val="Heading4"/>
      </w:pPr>
      <w:r w:rsidRPr="008C4143">
        <w:t>Matters of concern</w:t>
      </w:r>
    </w:p>
    <w:p w14:paraId="4A03EEDD" w14:textId="77777777" w:rsidR="008C1AD8" w:rsidRPr="008C4143" w:rsidRDefault="008C1AD8" w:rsidP="008C1AD8">
      <w:r w:rsidRPr="008C4143">
        <w:t>The purpose of the cumulative impact assessment is to</w:t>
      </w:r>
      <w:r>
        <w:t xml:space="preserve"> determine if any relevant protected matters</w:t>
      </w:r>
      <w:r w:rsidRPr="008C4143">
        <w:t xml:space="preserve"> </w:t>
      </w:r>
      <w:r>
        <w:t xml:space="preserve">impacted </w:t>
      </w:r>
      <w:r w:rsidRPr="008C4143">
        <w:t xml:space="preserve">under the Plan are also </w:t>
      </w:r>
      <w:r>
        <w:t xml:space="preserve">significantly </w:t>
      </w:r>
      <w:r w:rsidRPr="008C4143">
        <w:t>impacted by other major projects in the Victorian Volcanic Plain bioregion to:</w:t>
      </w:r>
    </w:p>
    <w:p w14:paraId="13EF6403" w14:textId="77777777" w:rsidR="008C1AD8" w:rsidRPr="008C4143" w:rsidRDefault="008C1AD8" w:rsidP="008C1AD8">
      <w:pPr>
        <w:pStyle w:val="Bullet1"/>
      </w:pPr>
      <w:r w:rsidRPr="008C4143">
        <w:t xml:space="preserve">Assess the significance of cumulative impacts </w:t>
      </w:r>
    </w:p>
    <w:p w14:paraId="61DC84C1" w14:textId="77777777" w:rsidR="008C1AD8" w:rsidRPr="008C4143" w:rsidRDefault="008C1AD8" w:rsidP="008C1AD8">
      <w:pPr>
        <w:pStyle w:val="Bullet1"/>
      </w:pPr>
      <w:r w:rsidRPr="008C4143">
        <w:t xml:space="preserve">Determine whether the commitments under the Plan are adequate in the context of the cumulative impacts </w:t>
      </w:r>
    </w:p>
    <w:p w14:paraId="63DDCCC2" w14:textId="77777777" w:rsidR="008C1AD8" w:rsidRPr="008C4143" w:rsidRDefault="008C1AD8" w:rsidP="008C1AD8">
      <w:r w:rsidRPr="008C4143">
        <w:t xml:space="preserve">The </w:t>
      </w:r>
      <w:r>
        <w:t>relevant protected matters</w:t>
      </w:r>
      <w:r w:rsidRPr="008C4143">
        <w:t xml:space="preserve"> that are most likely at risk from cumulative impacts are those matters where (see Section </w:t>
      </w:r>
      <w:r w:rsidRPr="008C4143">
        <w:fldChar w:fldCharType="begin"/>
      </w:r>
      <w:r w:rsidRPr="008C4143">
        <w:instrText xml:space="preserve"> REF _Ref116639130 \r \h </w:instrText>
      </w:r>
      <w:r>
        <w:instrText xml:space="preserve"> \* MERGEFORMAT </w:instrText>
      </w:r>
      <w:r w:rsidRPr="008C4143">
        <w:fldChar w:fldCharType="separate"/>
      </w:r>
      <w:r>
        <w:t>25.6.3</w:t>
      </w:r>
      <w:r w:rsidRPr="008C4143">
        <w:fldChar w:fldCharType="end"/>
      </w:r>
      <w:r w:rsidRPr="008C4143">
        <w:t>)</w:t>
      </w:r>
    </w:p>
    <w:p w14:paraId="4F0516DA" w14:textId="77777777" w:rsidR="008C1AD8" w:rsidRPr="008C4143" w:rsidRDefault="008C1AD8" w:rsidP="008C1AD8">
      <w:pPr>
        <w:pStyle w:val="Bullet1"/>
      </w:pPr>
      <w:r w:rsidRPr="008C4143">
        <w:t>The Plan is having a notable impact, and</w:t>
      </w:r>
    </w:p>
    <w:p w14:paraId="114A8403" w14:textId="77777777" w:rsidR="008C1AD8" w:rsidRPr="008C4143" w:rsidRDefault="008C1AD8" w:rsidP="008C1AD8">
      <w:pPr>
        <w:pStyle w:val="Bullet1"/>
      </w:pPr>
      <w:r w:rsidRPr="008C4143">
        <w:t>The major projects make a significant contribution to cumulative impacts, and</w:t>
      </w:r>
    </w:p>
    <w:p w14:paraId="72B72042" w14:textId="77777777" w:rsidR="008C1AD8" w:rsidRPr="008C4143" w:rsidRDefault="008C1AD8" w:rsidP="008C1AD8">
      <w:pPr>
        <w:pStyle w:val="Bullet1"/>
      </w:pPr>
      <w:r w:rsidRPr="008C4143">
        <w:t xml:space="preserve">There is a significant total cumulative impact from the Plan and other projects </w:t>
      </w:r>
    </w:p>
    <w:p w14:paraId="765D7484" w14:textId="77777777" w:rsidR="008C1AD8" w:rsidRPr="00A042A0" w:rsidRDefault="008C1AD8" w:rsidP="008C1AD8">
      <w:r w:rsidRPr="008C4143">
        <w:t>No relevant protected matters meet these criteria.</w:t>
      </w:r>
    </w:p>
    <w:p w14:paraId="7A4BE569" w14:textId="77777777" w:rsidR="008C1AD8" w:rsidRPr="008C4143" w:rsidRDefault="008C1AD8" w:rsidP="008C1AD8">
      <w:pPr>
        <w:pStyle w:val="Heading4"/>
      </w:pPr>
      <w:r w:rsidRPr="008C4143">
        <w:t>Conclusion</w:t>
      </w:r>
    </w:p>
    <w:p w14:paraId="4CACD7EB" w14:textId="77777777" w:rsidR="008C1AD8" w:rsidRDefault="008C1AD8" w:rsidP="008C1AD8">
      <w:r w:rsidRPr="008C4143">
        <w:t>Based</w:t>
      </w:r>
      <w:r>
        <w:t xml:space="preserve"> on the quantitative impact assessment undertaken for relevant protected matters directly impacted by the Plan and other projects, no relevant protected matters are considered to be at significant risk from cumulative impacts. This does not mean that cumulative impacts are not occurring for these matters, more so that c</w:t>
      </w:r>
      <w:r w:rsidRPr="003672BD">
        <w:t>umulative impacts are considered to be moderate</w:t>
      </w:r>
      <w:r>
        <w:t>.</w:t>
      </w:r>
      <w:r w:rsidRPr="003672BD">
        <w:t xml:space="preserve"> </w:t>
      </w:r>
      <w:r>
        <w:t>Additionally, the contribution of cumulative impacts from the southern WGGA project is likely to be overestimated as the data is based on modelled habitat and further avoidance of habitat is expected to occur during the approvals process.</w:t>
      </w:r>
    </w:p>
    <w:p w14:paraId="1DE42612" w14:textId="77777777" w:rsidR="008C1AD8" w:rsidRDefault="008C1AD8" w:rsidP="008C1AD8">
      <w:r>
        <w:t>T</w:t>
      </w:r>
      <w:r w:rsidRPr="003672BD">
        <w:t xml:space="preserve">he commitments </w:t>
      </w:r>
      <w:r>
        <w:t xml:space="preserve">and offsets </w:t>
      </w:r>
      <w:r w:rsidRPr="003672BD">
        <w:t xml:space="preserve">under the Plan, together with the offsets through the </w:t>
      </w:r>
      <w:r>
        <w:t>other</w:t>
      </w:r>
      <w:r w:rsidRPr="003672BD">
        <w:t xml:space="preserve"> projects, are considered to adequately address these cumulative impacts. It is also considered that the Plan makes an adequate and substantial contribution to addressing </w:t>
      </w:r>
      <w:r>
        <w:t>landscape scale</w:t>
      </w:r>
      <w:r w:rsidRPr="003672BD">
        <w:t xml:space="preserve"> impacts</w:t>
      </w:r>
      <w:r>
        <w:t xml:space="preserve"> (further discussed in the qualitative CIA below)</w:t>
      </w:r>
      <w:r w:rsidRPr="003672BD">
        <w:t>.</w:t>
      </w:r>
    </w:p>
    <w:p w14:paraId="54952FE5" w14:textId="77777777" w:rsidR="008C1AD8" w:rsidRDefault="008C1AD8" w:rsidP="008C1AD8">
      <w:pPr>
        <w:pStyle w:val="Heading2"/>
      </w:pPr>
      <w:bookmarkStart w:id="188" w:name="_Toc135122710"/>
      <w:r>
        <w:t>Qualitative CIA</w:t>
      </w:r>
      <w:bookmarkEnd w:id="188"/>
      <w:r>
        <w:tab/>
      </w:r>
    </w:p>
    <w:p w14:paraId="7A5B363C" w14:textId="77777777" w:rsidR="008C1AD8" w:rsidRDefault="008C1AD8" w:rsidP="008C1AD8">
      <w:pPr>
        <w:pStyle w:val="Heading3"/>
      </w:pPr>
      <w:r>
        <w:t>Introduction and purpose of the qualitative CIA</w:t>
      </w:r>
    </w:p>
    <w:p w14:paraId="183C9808" w14:textId="77777777" w:rsidR="008C1AD8" w:rsidRDefault="008C1AD8" w:rsidP="008C1AD8">
      <w:r w:rsidRPr="00A042A0">
        <w:t xml:space="preserve">It is </w:t>
      </w:r>
      <w:r>
        <w:t xml:space="preserve">recognised that the </w:t>
      </w:r>
      <w:r w:rsidRPr="007826C8">
        <w:t xml:space="preserve">Southern </w:t>
      </w:r>
      <w:r w:rsidRPr="00B90DBF">
        <w:t xml:space="preserve">Volcanic Plain bioregion </w:t>
      </w:r>
      <w:r>
        <w:t>will be subject to many other types of development in the future, including:</w:t>
      </w:r>
    </w:p>
    <w:p w14:paraId="67A12486" w14:textId="77777777" w:rsidR="008C1AD8" w:rsidRDefault="008C1AD8" w:rsidP="008C1AD8">
      <w:pPr>
        <w:pStyle w:val="Bullet1"/>
      </w:pPr>
      <w:r>
        <w:t xml:space="preserve">Smaller projects, such as smaller-scale infrastructure, residential or commercial developments </w:t>
      </w:r>
    </w:p>
    <w:p w14:paraId="2C031CAC" w14:textId="77777777" w:rsidR="008C1AD8" w:rsidRDefault="008C1AD8" w:rsidP="008C1AD8">
      <w:pPr>
        <w:pStyle w:val="Bullet1"/>
      </w:pPr>
      <w:r>
        <w:t xml:space="preserve">Projects which were not considered as other projects </w:t>
      </w:r>
      <w:r w:rsidRPr="009E2F22">
        <w:t xml:space="preserve">in </w:t>
      </w:r>
      <w:r w:rsidRPr="009E63A2">
        <w:t>Section 25.6</w:t>
      </w:r>
      <w:r w:rsidRPr="009E2F22">
        <w:t xml:space="preserve"> due</w:t>
      </w:r>
      <w:r>
        <w:t xml:space="preserve"> </w:t>
      </w:r>
      <w:r w:rsidRPr="00AD422F">
        <w:t>to direct impacts</w:t>
      </w:r>
      <w:r>
        <w:t xml:space="preserve"> that could not be quantified, yet which have potential to result in indirect impacts over substantial areas </w:t>
      </w:r>
    </w:p>
    <w:p w14:paraId="0E6FACDB" w14:textId="77777777" w:rsidR="008C1AD8" w:rsidRDefault="008C1AD8" w:rsidP="008C1AD8">
      <w:pPr>
        <w:pStyle w:val="Bullet1"/>
      </w:pPr>
      <w:r>
        <w:t>Other projects which have not yet been planned or announced</w:t>
      </w:r>
    </w:p>
    <w:p w14:paraId="6D471423" w14:textId="77777777" w:rsidR="008C1AD8" w:rsidRDefault="008C1AD8" w:rsidP="008C1AD8">
      <w:r w:rsidRPr="00A042A0">
        <w:t xml:space="preserve">It is not possible to </w:t>
      </w:r>
      <w:r>
        <w:t xml:space="preserve">quantitatively </w:t>
      </w:r>
      <w:r w:rsidRPr="00A042A0">
        <w:t xml:space="preserve">estimate the cumulative impacts of these developments and the Plan on MNES due to either a lack of available data on biodiversity impacts </w:t>
      </w:r>
      <w:r>
        <w:t xml:space="preserve">or </w:t>
      </w:r>
      <w:r w:rsidRPr="00A042A0">
        <w:t xml:space="preserve">uncertainty over the extent and location of development. However, </w:t>
      </w:r>
      <w:r>
        <w:t>the combined footprint and impacts of these projects have the potential to be substantial, particularly given the high development pressures and existing habitat degradation in the bioregion. These projects have potential to result in the following cumulative impacts to relevant protected matters within the Study Area:</w:t>
      </w:r>
    </w:p>
    <w:p w14:paraId="5ADC86F6" w14:textId="77777777" w:rsidR="008C1AD8" w:rsidRDefault="008C1AD8" w:rsidP="008C1AD8">
      <w:pPr>
        <w:pStyle w:val="Bullet1"/>
      </w:pPr>
      <w:r>
        <w:t>Direct impacts to and/or fragmentation of populations and/or habitat</w:t>
      </w:r>
    </w:p>
    <w:p w14:paraId="59327C22" w14:textId="77777777" w:rsidR="008C1AD8" w:rsidRDefault="008C1AD8" w:rsidP="008C1AD8">
      <w:pPr>
        <w:pStyle w:val="Bullet1"/>
      </w:pPr>
      <w:r>
        <w:t>Exacerbated threatening processes from direct and indirect impacts</w:t>
      </w:r>
    </w:p>
    <w:p w14:paraId="00D10C5B" w14:textId="77777777" w:rsidR="008C1AD8" w:rsidRDefault="008C1AD8" w:rsidP="008C1AD8">
      <w:r>
        <w:lastRenderedPageBreak/>
        <w:t xml:space="preserve">Furthermore, high development pressures in the area will increase the demand for offset sites for threatened matters in the region. The Strategic Assessment Area and wider bioregion has historically been cleared and degraded, and there are limited remaining areas of biodiversity. For species and TECs which are endemic to the region, there will be a finite availability of offsets which will eventually constrain permissible development of protected matters. </w:t>
      </w:r>
    </w:p>
    <w:p w14:paraId="6ED3B707" w14:textId="77777777" w:rsidR="008C1AD8" w:rsidRDefault="008C1AD8" w:rsidP="008C1AD8">
      <w:r>
        <w:t>This section</w:t>
      </w:r>
      <w:r w:rsidRPr="00BF7D67">
        <w:t xml:space="preserve"> outlines</w:t>
      </w:r>
      <w:r>
        <w:t xml:space="preserve"> a qualitative analysis of the Plan with regards to the cumulative impacts of minor or future major projects, and considers:</w:t>
      </w:r>
    </w:p>
    <w:p w14:paraId="4B217BAF" w14:textId="77777777" w:rsidR="008C1AD8" w:rsidRDefault="008C1AD8" w:rsidP="008C1AD8">
      <w:pPr>
        <w:pStyle w:val="Bullet1"/>
      </w:pPr>
      <w:r>
        <w:t xml:space="preserve">Whether the design of development under the Plan will assist in minimising potential cumulative impacts from development pressures within the </w:t>
      </w:r>
      <w:r w:rsidRPr="007826C8">
        <w:t xml:space="preserve">Southern </w:t>
      </w:r>
      <w:r w:rsidRPr="00B90DBF">
        <w:t>Volcanic Plain bioregion</w:t>
      </w:r>
    </w:p>
    <w:p w14:paraId="5E92BC6B" w14:textId="77777777" w:rsidR="008C1AD8" w:rsidRDefault="008C1AD8" w:rsidP="008C1AD8">
      <w:pPr>
        <w:pStyle w:val="Bullet1"/>
      </w:pPr>
      <w:r>
        <w:t xml:space="preserve">Whether the Plan contains measures to increase protection of the most valuable environmental assets within the </w:t>
      </w:r>
      <w:r w:rsidRPr="007826C8">
        <w:t xml:space="preserve">Southern </w:t>
      </w:r>
      <w:r w:rsidRPr="00B90DBF">
        <w:t>Volcanic Plain bioregion</w:t>
      </w:r>
      <w:r>
        <w:t>, to reduce their vulnerability to future development</w:t>
      </w:r>
    </w:p>
    <w:p w14:paraId="3E533887" w14:textId="77777777" w:rsidR="008C1AD8" w:rsidRDefault="008C1AD8" w:rsidP="008C1AD8">
      <w:pPr>
        <w:pStyle w:val="Bullet1"/>
      </w:pPr>
      <w:r>
        <w:t>Whether the Plan contains measures which will help to minimise landscape-scale threatening processes which may occur due to cumulative impacts</w:t>
      </w:r>
    </w:p>
    <w:p w14:paraId="19AC5CDA" w14:textId="77777777" w:rsidR="008C1AD8" w:rsidRDefault="008C1AD8" w:rsidP="008C1AD8">
      <w:pPr>
        <w:pStyle w:val="Heading3"/>
      </w:pPr>
      <w:r>
        <w:t>Cumulative direct impacts and fragmentation</w:t>
      </w:r>
    </w:p>
    <w:p w14:paraId="0472C774" w14:textId="77777777" w:rsidR="008C1AD8" w:rsidRDefault="008C1AD8" w:rsidP="008C1AD8">
      <w:pPr>
        <w:rPr>
          <w:lang w:val="en-GB"/>
        </w:rPr>
      </w:pPr>
      <w:r>
        <w:t xml:space="preserve">Most high value biodiversity areas within the Strategic Assessment Area are currently vulnerable to future development or continued degradation. </w:t>
      </w:r>
      <w:r w:rsidRPr="006A7359">
        <w:rPr>
          <w:lang w:val="en-GB"/>
        </w:rPr>
        <w:t xml:space="preserve">The vast majority of the remaining </w:t>
      </w:r>
      <w:r>
        <w:rPr>
          <w:lang w:val="en-GB"/>
        </w:rPr>
        <w:t xml:space="preserve">native vegetation within the </w:t>
      </w:r>
      <w:r w:rsidRPr="007826C8">
        <w:t xml:space="preserve">Southern </w:t>
      </w:r>
      <w:r w:rsidRPr="00B90DBF">
        <w:t>Volcanic Plain bioregion</w:t>
      </w:r>
      <w:r>
        <w:rPr>
          <w:lang w:val="en-GB"/>
        </w:rPr>
        <w:t xml:space="preserve"> </w:t>
      </w:r>
      <w:r w:rsidRPr="006A7359">
        <w:rPr>
          <w:lang w:val="en-GB"/>
        </w:rPr>
        <w:t>i</w:t>
      </w:r>
      <w:r>
        <w:rPr>
          <w:lang w:val="en-GB"/>
        </w:rPr>
        <w:t xml:space="preserve">s privately owned and the majority of remaining native vegetation is restricted to small, fragmented patches within agricultural land or riparian zones. Protection of native vegetation is also limited, and </w:t>
      </w:r>
      <w:r>
        <w:t>the Growth Areas currently do not contain any formal conservation reserves. However, several reserves are managed by the City.</w:t>
      </w:r>
    </w:p>
    <w:p w14:paraId="425A5FB8" w14:textId="77777777" w:rsidR="008C1AD8" w:rsidRDefault="008C1AD8" w:rsidP="008C1AD8">
      <w:r>
        <w:t>The Plan minimises the risk of future cumulative direct impacts and fragmentation by increasing protection of remaining biodiversity areas. Increased protection will be delivered in multiple ways, as follows:</w:t>
      </w:r>
    </w:p>
    <w:p w14:paraId="2016E0A0" w14:textId="77777777" w:rsidR="008C1AD8" w:rsidRDefault="008C1AD8" w:rsidP="008C1AD8">
      <w:pPr>
        <w:pStyle w:val="Bullet1"/>
      </w:pPr>
      <w:r>
        <w:t>Protection and management of native vegetation in the Strategic Assessment Area</w:t>
      </w:r>
      <w:r w:rsidRPr="004E08FD">
        <w:t xml:space="preserve"> to conserve biodiversity values in perpetuity</w:t>
      </w:r>
      <w:r>
        <w:t>, including:</w:t>
      </w:r>
    </w:p>
    <w:p w14:paraId="28B4183E" w14:textId="77777777" w:rsidR="008C1AD8" w:rsidRDefault="008C1AD8" w:rsidP="008C1AD8">
      <w:pPr>
        <w:pStyle w:val="Bullet2"/>
      </w:pPr>
      <w:r>
        <w:t xml:space="preserve">Protection and management of native vegetation, which </w:t>
      </w:r>
      <w:r w:rsidRPr="009E2F22">
        <w:t xml:space="preserve">provides </w:t>
      </w:r>
      <w:r w:rsidRPr="009E63A2">
        <w:t>74 h</w:t>
      </w:r>
      <w:r w:rsidRPr="009E2F22">
        <w:t xml:space="preserve">a of habitat for Striped Legless Lizard and </w:t>
      </w:r>
      <w:r w:rsidRPr="009E63A2">
        <w:t>108 ha</w:t>
      </w:r>
      <w:r w:rsidRPr="009E2F22">
        <w:t xml:space="preserve"> of habitat for</w:t>
      </w:r>
      <w:r>
        <w:t xml:space="preserve"> Golden Sun Moth within the NGGA Conservation </w:t>
      </w:r>
      <w:r w:rsidRPr="0044242B">
        <w:t>Area (</w:t>
      </w:r>
      <w:r w:rsidRPr="009E63A2">
        <w:t xml:space="preserve">Commitment </w:t>
      </w:r>
      <w:r>
        <w:t>3</w:t>
      </w:r>
      <w:r w:rsidRPr="0044242B">
        <w:t>)</w:t>
      </w:r>
    </w:p>
    <w:p w14:paraId="2012CC41" w14:textId="77777777" w:rsidR="008C1AD8" w:rsidRDefault="008C1AD8" w:rsidP="008C1AD8">
      <w:pPr>
        <w:pStyle w:val="Bullet2"/>
      </w:pPr>
      <w:r>
        <w:t xml:space="preserve">Protection and </w:t>
      </w:r>
      <w:r w:rsidRPr="009E2F22">
        <w:t>management of native</w:t>
      </w:r>
      <w:r>
        <w:t xml:space="preserve"> vegetation and habitat for Growling Grass Frog and Adamson’s Blown-grass within the Cowies Creek Conservati</w:t>
      </w:r>
      <w:r w:rsidRPr="0044242B">
        <w:t>on Area (</w:t>
      </w:r>
      <w:r w:rsidRPr="009E63A2">
        <w:t xml:space="preserve">Commitment </w:t>
      </w:r>
      <w:r>
        <w:t>5</w:t>
      </w:r>
      <w:r w:rsidRPr="0044242B">
        <w:t>)</w:t>
      </w:r>
    </w:p>
    <w:p w14:paraId="0C32A944" w14:textId="77777777" w:rsidR="008C1AD8" w:rsidRPr="00190538" w:rsidRDefault="008C1AD8" w:rsidP="008C1AD8">
      <w:pPr>
        <w:pStyle w:val="Bullet1"/>
      </w:pPr>
      <w:r>
        <w:t>Establishment and management of o</w:t>
      </w:r>
      <w:r w:rsidRPr="00190538">
        <w:t>ffset sites in strategic locations to protect and manage a minimum of the following amounts of habitat</w:t>
      </w:r>
      <w:r>
        <w:t xml:space="preserve"> </w:t>
      </w:r>
      <w:r w:rsidRPr="0044242B">
        <w:t>confirmed through field surveys to support the following</w:t>
      </w:r>
      <w:r w:rsidRPr="00190538">
        <w:t xml:space="preserve"> MNES</w:t>
      </w:r>
      <w:r>
        <w:t xml:space="preserve"> </w:t>
      </w:r>
      <w:r w:rsidRPr="0044242B">
        <w:t>(</w:t>
      </w:r>
      <w:r w:rsidRPr="009E63A2">
        <w:t>Commitment 1</w:t>
      </w:r>
      <w:r>
        <w:t>0</w:t>
      </w:r>
      <w:r w:rsidRPr="0044242B">
        <w:t>):</w:t>
      </w:r>
    </w:p>
    <w:p w14:paraId="0E944C67" w14:textId="77777777" w:rsidR="008C1AD8" w:rsidRPr="00190538" w:rsidRDefault="008C1AD8" w:rsidP="008C1AD8">
      <w:pPr>
        <w:pStyle w:val="Bullet2"/>
      </w:pPr>
      <w:r>
        <w:t>45</w:t>
      </w:r>
      <w:r w:rsidRPr="00190538">
        <w:t xml:space="preserve"> ha of Natural Temperate Grassland</w:t>
      </w:r>
      <w:r>
        <w:t xml:space="preserve"> TEC</w:t>
      </w:r>
    </w:p>
    <w:p w14:paraId="6A43D5D2" w14:textId="77777777" w:rsidR="008C1AD8" w:rsidRPr="00190538" w:rsidRDefault="008C1AD8" w:rsidP="008C1AD8">
      <w:pPr>
        <w:pStyle w:val="Bullet2"/>
      </w:pPr>
      <w:r w:rsidRPr="00190538">
        <w:t>3</w:t>
      </w:r>
      <w:r>
        <w:t>75</w:t>
      </w:r>
      <w:r w:rsidRPr="00190538">
        <w:t xml:space="preserve"> ha of habitat for Striped Legless Lizard</w:t>
      </w:r>
    </w:p>
    <w:p w14:paraId="476EC14A" w14:textId="77777777" w:rsidR="008C1AD8" w:rsidRPr="00190538" w:rsidRDefault="008C1AD8" w:rsidP="008C1AD8">
      <w:pPr>
        <w:pStyle w:val="Bullet2"/>
      </w:pPr>
      <w:r>
        <w:t>585</w:t>
      </w:r>
      <w:r w:rsidRPr="00190538">
        <w:t xml:space="preserve"> ha of habitat for Golden Sun Moth</w:t>
      </w:r>
    </w:p>
    <w:p w14:paraId="7EFA1237" w14:textId="77777777" w:rsidR="008C1AD8" w:rsidRDefault="008C1AD8" w:rsidP="008C1AD8">
      <w:r w:rsidRPr="00C74FAC">
        <w:t>The location</w:t>
      </w:r>
      <w:r>
        <w:t xml:space="preserve"> of conservation lands and</w:t>
      </w:r>
      <w:r w:rsidRPr="009B30D1">
        <w:t xml:space="preserve"> avoided lands have been </w:t>
      </w:r>
      <w:r>
        <w:t xml:space="preserve">developed strategically to include areas of the most viable and best-connected remnant vegetation </w:t>
      </w:r>
      <w:r w:rsidRPr="009B30D1">
        <w:t>within the Strategic Assessment Area</w:t>
      </w:r>
      <w:r>
        <w:t>. Additionally, a significant proportion of these offsets will be delivered early in the life of the Plan, preventing further degradation of these areas and leading to more immediate landscape scale benefits. The increased and early protection will therefore improve outcomes for multiple MNES within the Strategic Assessment Area over the long term.</w:t>
      </w:r>
    </w:p>
    <w:p w14:paraId="5A99BC1E" w14:textId="77777777" w:rsidR="008C1AD8" w:rsidRDefault="008C1AD8" w:rsidP="008C1AD8">
      <w:pPr>
        <w:pStyle w:val="Heading3"/>
      </w:pPr>
      <w:r>
        <w:t>Cumulative indirect impacts</w:t>
      </w:r>
    </w:p>
    <w:p w14:paraId="56D2B991" w14:textId="77777777" w:rsidR="008C1AD8" w:rsidRDefault="008C1AD8" w:rsidP="008C1AD8">
      <w:r>
        <w:t>The Strategic Assessment Area is already subject to existing indirect impacts and subsequent threatening processes from existing development. Many of these threatening processes operate at a landscape scale, and current management programs for these threats are often spatially limited and/or under resourced, meaning the threats are generally not being adequately managed. Even without delivery of the Plan, these threatening processes are predicted to intensify in the future due to the high development pressures in the region.</w:t>
      </w:r>
    </w:p>
    <w:p w14:paraId="6D25D461" w14:textId="77777777" w:rsidR="008C1AD8" w:rsidRPr="00021DB9" w:rsidRDefault="008C1AD8" w:rsidP="008C1AD8">
      <w:pPr>
        <w:pStyle w:val="Heading4"/>
      </w:pPr>
      <w:r>
        <w:lastRenderedPageBreak/>
        <w:t>Commitments for indirect impacts</w:t>
      </w:r>
    </w:p>
    <w:p w14:paraId="5F516BDF" w14:textId="77777777" w:rsidR="008C1AD8" w:rsidRDefault="008C1AD8" w:rsidP="008C1AD8">
      <w:pPr>
        <w:keepNext/>
        <w:keepLines/>
      </w:pPr>
      <w:r>
        <w:t xml:space="preserve">The Plan includes a range of commitments to minimise and manage indirect impacts. These commitments will not only minimise the risk of indirect impacts occurring under the Plan, but they also contribute to minimising and managing the existing landscape threats which already occur within the Strategic Assessment </w:t>
      </w:r>
      <w:r w:rsidRPr="009E2F22">
        <w:t>Area (</w:t>
      </w:r>
      <w:r w:rsidRPr="009E63A2">
        <w:t>see Section 3.4</w:t>
      </w:r>
      <w:r w:rsidRPr="009E2F22">
        <w:t>). These</w:t>
      </w:r>
      <w:r>
        <w:t xml:space="preserve"> commitments include:</w:t>
      </w:r>
    </w:p>
    <w:p w14:paraId="51A433BC" w14:textId="77777777" w:rsidR="008C1AD8" w:rsidRPr="0044242B" w:rsidRDefault="008C1AD8" w:rsidP="008C1AD8">
      <w:pPr>
        <w:pStyle w:val="Bullet1"/>
      </w:pPr>
      <w:r w:rsidRPr="006A7EBB">
        <w:t xml:space="preserve">Standard mitigation measures will continue to be implemented to minimise the indirect impacts of the development in accordance with the requirements of the Geelong Planning Scheme, as updated from time to time, and generally in accordance with the Framework </w:t>
      </w:r>
      <w:r w:rsidRPr="0044242B">
        <w:t xml:space="preserve">Plan </w:t>
      </w:r>
      <w:r w:rsidRPr="009E63A2">
        <w:t>(Commitment 7)</w:t>
      </w:r>
    </w:p>
    <w:p w14:paraId="23619874" w14:textId="77777777" w:rsidR="008C1AD8" w:rsidRDefault="008C1AD8" w:rsidP="008C1AD8">
      <w:pPr>
        <w:pStyle w:val="Bullet1"/>
      </w:pPr>
      <w:r>
        <w:t xml:space="preserve">Additional specific mitigation measures will be implemented to minimise the indirect impacts of the development on protected matters associated with waterways, riparian areas and wetlands </w:t>
      </w:r>
      <w:r w:rsidRPr="0044242B">
        <w:t xml:space="preserve">including </w:t>
      </w:r>
      <w:r w:rsidRPr="009E63A2">
        <w:t xml:space="preserve">(Commitment </w:t>
      </w:r>
      <w:r>
        <w:t>9</w:t>
      </w:r>
      <w:r w:rsidRPr="009E63A2">
        <w:t>)</w:t>
      </w:r>
      <w:r w:rsidRPr="0044242B">
        <w:t>:</w:t>
      </w:r>
    </w:p>
    <w:p w14:paraId="722255DB" w14:textId="77777777" w:rsidR="008C1AD8" w:rsidRDefault="008C1AD8" w:rsidP="008C1AD8">
      <w:pPr>
        <w:pStyle w:val="Bullet2"/>
      </w:pPr>
      <w:r>
        <w:t>EPBC listed threatened and migratory birds</w:t>
      </w:r>
    </w:p>
    <w:p w14:paraId="2A44A9D9" w14:textId="77777777" w:rsidR="008C1AD8" w:rsidRDefault="008C1AD8" w:rsidP="008C1AD8">
      <w:pPr>
        <w:pStyle w:val="Bullet2"/>
      </w:pPr>
      <w:r w:rsidRPr="006A7EBB">
        <w:rPr>
          <w:i/>
          <w:iCs/>
        </w:rPr>
        <w:t>Galaxiella toourtkoourt</w:t>
      </w:r>
      <w:r>
        <w:t xml:space="preserve"> (Little Galaxias)</w:t>
      </w:r>
    </w:p>
    <w:p w14:paraId="2734A3E7" w14:textId="77777777" w:rsidR="008C1AD8" w:rsidRDefault="008C1AD8" w:rsidP="008C1AD8">
      <w:pPr>
        <w:pStyle w:val="Bullet2"/>
      </w:pPr>
      <w:r w:rsidRPr="006A7EBB">
        <w:rPr>
          <w:i/>
          <w:iCs/>
        </w:rPr>
        <w:t>Litoria raniformis</w:t>
      </w:r>
      <w:r>
        <w:t xml:space="preserve"> (Growling Grass Frog)</w:t>
      </w:r>
    </w:p>
    <w:p w14:paraId="2980A5FE" w14:textId="77777777" w:rsidR="008C1AD8" w:rsidRDefault="008C1AD8" w:rsidP="008C1AD8">
      <w:pPr>
        <w:pStyle w:val="Bullet2"/>
      </w:pPr>
      <w:r w:rsidRPr="006A7EBB">
        <w:rPr>
          <w:i/>
          <w:iCs/>
        </w:rPr>
        <w:t>Nannoperca obscura</w:t>
      </w:r>
      <w:r>
        <w:t xml:space="preserve"> (Yarra Pygmy Perch)</w:t>
      </w:r>
    </w:p>
    <w:p w14:paraId="476CC948" w14:textId="77777777" w:rsidR="008C1AD8" w:rsidRDefault="008C1AD8" w:rsidP="008C1AD8">
      <w:pPr>
        <w:pStyle w:val="Bullet2"/>
      </w:pPr>
      <w:r w:rsidRPr="006A7EBB">
        <w:rPr>
          <w:i/>
          <w:iCs/>
        </w:rPr>
        <w:t>Prototroctes maraena</w:t>
      </w:r>
      <w:r>
        <w:t xml:space="preserve"> (Australian Grayling)</w:t>
      </w:r>
    </w:p>
    <w:p w14:paraId="337297FD" w14:textId="77777777" w:rsidR="008C1AD8" w:rsidRDefault="008C1AD8" w:rsidP="008C1AD8">
      <w:pPr>
        <w:pStyle w:val="Bullet2"/>
      </w:pPr>
      <w:r w:rsidRPr="006A7EBB">
        <w:rPr>
          <w:i/>
          <w:iCs/>
        </w:rPr>
        <w:t>Lachnagrostis adamsonii</w:t>
      </w:r>
      <w:r>
        <w:t xml:space="preserve"> (Adamson’s Blown Grass)</w:t>
      </w:r>
    </w:p>
    <w:p w14:paraId="4E3D8DAA" w14:textId="77777777" w:rsidR="008C1AD8" w:rsidRPr="00CB6FC3" w:rsidRDefault="008C1AD8" w:rsidP="008C1AD8">
      <w:pPr>
        <w:pStyle w:val="Bullet2"/>
      </w:pPr>
      <w:r>
        <w:t>Port Phillip Bay (Western Shoreline) and Bellarine Peninsula Ramsar site</w:t>
      </w:r>
    </w:p>
    <w:p w14:paraId="2A709AE9" w14:textId="77777777" w:rsidR="008C1AD8" w:rsidRDefault="008C1AD8" w:rsidP="008C1AD8">
      <w:pPr>
        <w:pStyle w:val="Bullet1"/>
      </w:pPr>
      <w:r w:rsidRPr="00C74FAC">
        <w:t xml:space="preserve">Additional specific mitigation measures will be implemented to minimise the indirect impacts of the development on the NGGA Conservation Area and Cowies Creek Conservation </w:t>
      </w:r>
      <w:r w:rsidRPr="008F6043">
        <w:t>Area (Commitment</w:t>
      </w:r>
      <w:r w:rsidRPr="009E63A2">
        <w:t xml:space="preserve"> </w:t>
      </w:r>
      <w:r>
        <w:t>8</w:t>
      </w:r>
      <w:r w:rsidRPr="009E63A2">
        <w:t>)</w:t>
      </w:r>
      <w:r w:rsidRPr="0044242B">
        <w:t>, including</w:t>
      </w:r>
      <w:r>
        <w:t>:</w:t>
      </w:r>
    </w:p>
    <w:p w14:paraId="3CF3A28E" w14:textId="77777777" w:rsidR="008C1AD8" w:rsidRPr="007E77EE" w:rsidRDefault="008C1AD8" w:rsidP="008C1AD8">
      <w:pPr>
        <w:pStyle w:val="Bullet2"/>
      </w:pPr>
      <w:r w:rsidRPr="007E77EE">
        <w:t xml:space="preserve">Identify a conservation interface between urban development and the boundaries of the NGGA </w:t>
      </w:r>
      <w:r>
        <w:t>C</w:t>
      </w:r>
      <w:r w:rsidRPr="007E77EE">
        <w:t xml:space="preserve">onservation </w:t>
      </w:r>
      <w:r>
        <w:t xml:space="preserve">Area </w:t>
      </w:r>
      <w:r w:rsidRPr="007E77EE">
        <w:t xml:space="preserve">and Cowies Creek </w:t>
      </w:r>
      <w:r>
        <w:t>Conservation Area</w:t>
      </w:r>
    </w:p>
    <w:p w14:paraId="69AFE71E" w14:textId="77777777" w:rsidR="008C1AD8" w:rsidRDefault="008C1AD8" w:rsidP="008C1AD8">
      <w:pPr>
        <w:pStyle w:val="Bullet2"/>
      </w:pPr>
      <w:r>
        <w:t xml:space="preserve">Design and baffle public lighting to prevent light spill and glare within the Cowies Creek Conservation Area  </w:t>
      </w:r>
    </w:p>
    <w:p w14:paraId="1C425952" w14:textId="77777777" w:rsidR="008C1AD8" w:rsidRDefault="008C1AD8" w:rsidP="008C1AD8">
      <w:pPr>
        <w:pStyle w:val="Bullet2"/>
      </w:pPr>
      <w:r>
        <w:t>Prepare Construction Environmental Management Plans for construction works on land immediately adjacent to the NGGA Conservation Area and Cowies Creek Conservation Area</w:t>
      </w:r>
    </w:p>
    <w:p w14:paraId="38695616" w14:textId="77777777" w:rsidR="008C1AD8" w:rsidRPr="006E4822" w:rsidRDefault="008C1AD8" w:rsidP="008C1AD8">
      <w:pPr>
        <w:pStyle w:val="Heading3"/>
      </w:pPr>
      <w:r>
        <w:t>Offset availability</w:t>
      </w:r>
    </w:p>
    <w:p w14:paraId="3C1865C8" w14:textId="77777777" w:rsidR="008C1AD8" w:rsidRDefault="008C1AD8" w:rsidP="008C1AD8">
      <w:r>
        <w:t>The availability of offsets is a key risk for development projects, particularly large scale projects (such as strategic assessments) within already cleared and/or degraded landscapes. The City identified offset availability as key component of the offset package for the strategic assessment. Appendix C of the BCS provides details of the offset package, including an analysis of offset availability. This analysis determined that there is sufficient offset availability for the strategic assessment but emphasised the importance of securing offsets as early as possible.</w:t>
      </w:r>
    </w:p>
    <w:p w14:paraId="0F0570B1" w14:textId="77777777" w:rsidR="008C1AD8" w:rsidRDefault="008C1AD8" w:rsidP="008C1AD8">
      <w:r>
        <w:t>The Plan includes a commitment to secure the following offsets at a minimum, within the first five years of Plan implementation:</w:t>
      </w:r>
    </w:p>
    <w:p w14:paraId="5EC0F145" w14:textId="77777777" w:rsidR="008C1AD8" w:rsidRDefault="008C1AD8" w:rsidP="008C1AD8">
      <w:pPr>
        <w:pStyle w:val="Bullet1"/>
      </w:pPr>
      <w:r>
        <w:t>100% of the offset requirement for Natural Temperate Grassland</w:t>
      </w:r>
    </w:p>
    <w:p w14:paraId="2AF4BC09" w14:textId="77777777" w:rsidR="008C1AD8" w:rsidRDefault="008C1AD8" w:rsidP="008C1AD8">
      <w:pPr>
        <w:pStyle w:val="Bullet1"/>
      </w:pPr>
      <w:r>
        <w:t xml:space="preserve">70% of the offset requirement for Striped Legless Lizard </w:t>
      </w:r>
    </w:p>
    <w:p w14:paraId="09DE6231" w14:textId="77777777" w:rsidR="008C1AD8" w:rsidRDefault="008C1AD8" w:rsidP="008C1AD8">
      <w:pPr>
        <w:pStyle w:val="Bullet1"/>
      </w:pPr>
      <w:r>
        <w:t xml:space="preserve">50% of the offset requirement for Golden Sun Moth </w:t>
      </w:r>
    </w:p>
    <w:p w14:paraId="336998C4" w14:textId="77777777" w:rsidR="008C1AD8" w:rsidRDefault="008C1AD8" w:rsidP="008C1AD8">
      <w:r>
        <w:t xml:space="preserve">By securing these offsets early in the life of the Plan, the City is ensuring that offsets will be available for the impacted MNES prior to further habitat loss and/or degradation.  </w:t>
      </w:r>
    </w:p>
    <w:p w14:paraId="75165C0F" w14:textId="77777777" w:rsidR="008C1AD8" w:rsidRDefault="008C1AD8" w:rsidP="008C1AD8">
      <w:pPr>
        <w:pStyle w:val="Heading3"/>
      </w:pPr>
      <w:r>
        <w:t>Evaluation</w:t>
      </w:r>
    </w:p>
    <w:p w14:paraId="75D6A8E0" w14:textId="77777777" w:rsidR="008C1AD8" w:rsidRDefault="008C1AD8" w:rsidP="008C1AD8">
      <w:pPr>
        <w:keepNext/>
        <w:keepLines/>
      </w:pPr>
      <w:r>
        <w:t>Overall, the Plan is considered to minimise the risk of adverse cumulative impacts to biodiversity values, as:</w:t>
      </w:r>
    </w:p>
    <w:p w14:paraId="47199C20" w14:textId="77777777" w:rsidR="008C1AD8" w:rsidRDefault="008C1AD8" w:rsidP="008C1AD8">
      <w:pPr>
        <w:pStyle w:val="Bullet1"/>
        <w:keepNext/>
        <w:keepLines/>
      </w:pPr>
      <w:r>
        <w:t>The Plan will increase the protection of remaining areas with biodiversity values within the Strategic Assessment Area and wider Victorian Volcanic Plain bioregion, thereby decreasing the risk of future development in these areas</w:t>
      </w:r>
    </w:p>
    <w:p w14:paraId="3C87501E" w14:textId="77777777" w:rsidR="008C1AD8" w:rsidRDefault="008C1AD8" w:rsidP="008C1AD8">
      <w:pPr>
        <w:pStyle w:val="Bullet1"/>
        <w:keepNext/>
        <w:keepLines/>
      </w:pPr>
      <w:r>
        <w:t xml:space="preserve">The Plan includes a range of measures which will address and minimise existing landscape-scale threatening processes which are exacerbated by development </w:t>
      </w:r>
    </w:p>
    <w:p w14:paraId="2E19563B" w14:textId="77777777" w:rsidR="008C1AD8" w:rsidRDefault="008C1AD8" w:rsidP="008C1AD8">
      <w:pPr>
        <w:pStyle w:val="Bullet1"/>
      </w:pPr>
      <w:r>
        <w:t xml:space="preserve">By increasing protection from development over areas of biodiversity value in </w:t>
      </w:r>
      <w:r w:rsidRPr="001B29AF">
        <w:t>the conservation areas and offset</w:t>
      </w:r>
      <w:r>
        <w:t xml:space="preserve"> </w:t>
      </w:r>
      <w:r w:rsidRPr="007E77EE">
        <w:t>sites,</w:t>
      </w:r>
      <w:r>
        <w:t xml:space="preserve"> and providing these areas early in the life of the Plan, the Plan assists in ensuring availability of offsets </w:t>
      </w:r>
    </w:p>
    <w:p w14:paraId="1D0DEC47" w14:textId="77777777" w:rsidR="008C1AD8" w:rsidRDefault="008C1AD8" w:rsidP="008C1AD8">
      <w:pPr>
        <w:sectPr w:rsidR="008C1AD8" w:rsidSect="00682DF2">
          <w:footerReference w:type="default" r:id="rId107"/>
          <w:pgSz w:w="11900" w:h="16840"/>
          <w:pgMar w:top="1247" w:right="1134" w:bottom="1247" w:left="1134" w:header="708" w:footer="708" w:gutter="0"/>
          <w:pgNumType w:chapStyle="1"/>
          <w:cols w:space="708"/>
          <w:docGrid w:linePitch="360"/>
        </w:sectPr>
      </w:pPr>
    </w:p>
    <w:p w14:paraId="3A2E2746" w14:textId="77777777" w:rsidR="008C1AD8" w:rsidRDefault="008C1AD8" w:rsidP="008C1AD8">
      <w:pPr>
        <w:pStyle w:val="Heading1"/>
      </w:pPr>
      <w:bookmarkStart w:id="189" w:name="_Toc118705443"/>
      <w:bookmarkStart w:id="190" w:name="_Toc135122711"/>
      <w:r>
        <w:lastRenderedPageBreak/>
        <w:t>Socio-economic impact assessment</w:t>
      </w:r>
      <w:bookmarkEnd w:id="189"/>
      <w:bookmarkEnd w:id="190"/>
    </w:p>
    <w:p w14:paraId="17A58D36" w14:textId="77777777" w:rsidR="008C1AD8" w:rsidRDefault="008C1AD8" w:rsidP="008C1AD8">
      <w:pPr>
        <w:pStyle w:val="Heading2"/>
      </w:pPr>
      <w:bookmarkStart w:id="191" w:name="_Toc118705444"/>
      <w:bookmarkStart w:id="192" w:name="_Toc135122712"/>
      <w:r>
        <w:t>Introduction</w:t>
      </w:r>
      <w:bookmarkEnd w:id="191"/>
      <w:bookmarkEnd w:id="192"/>
    </w:p>
    <w:p w14:paraId="45270FDB" w14:textId="77777777" w:rsidR="008C1AD8" w:rsidRDefault="008C1AD8" w:rsidP="008C1AD8">
      <w:pPr>
        <w:pStyle w:val="Heading3"/>
      </w:pPr>
      <w:r>
        <w:t>Assessment requirements</w:t>
      </w:r>
    </w:p>
    <w:p w14:paraId="06982A17" w14:textId="77777777" w:rsidR="008C1AD8" w:rsidRDefault="008C1AD8" w:rsidP="008C1AD8">
      <w:r>
        <w:t xml:space="preserve">Both the ToR and the EPBC Act require consideration of social and economic matters in relation to the assessment of the Plan. </w:t>
      </w:r>
    </w:p>
    <w:p w14:paraId="16936C8E" w14:textId="77777777" w:rsidR="008C1AD8" w:rsidRDefault="008C1AD8" w:rsidP="008C1AD8">
      <w:pPr>
        <w:pStyle w:val="Heading4"/>
      </w:pPr>
      <w:r>
        <w:t xml:space="preserve">ToR </w:t>
      </w:r>
      <w:r w:rsidRPr="00324573">
        <w:t>requirements</w:t>
      </w:r>
    </w:p>
    <w:p w14:paraId="30B83FE8" w14:textId="77777777" w:rsidR="008C1AD8" w:rsidRDefault="008C1AD8" w:rsidP="008C1AD8">
      <w:r>
        <w:t>The rel</w:t>
      </w:r>
      <w:r w:rsidRPr="00EB475B">
        <w:t xml:space="preserve">evant ToR </w:t>
      </w:r>
      <w:r>
        <w:t xml:space="preserve">are outlined in the following text box. </w:t>
      </w:r>
    </w:p>
    <w:tbl>
      <w:tblPr>
        <w:tblStyle w:val="TableGrid"/>
        <w:tblW w:w="0" w:type="auto"/>
        <w:tblLook w:val="04A0" w:firstRow="1" w:lastRow="0" w:firstColumn="1" w:lastColumn="0" w:noHBand="0" w:noVBand="1"/>
      </w:tblPr>
      <w:tblGrid>
        <w:gridCol w:w="9622"/>
      </w:tblGrid>
      <w:tr w:rsidR="008C1AD8" w14:paraId="7D03F84C" w14:textId="77777777" w:rsidTr="00A15226">
        <w:tc>
          <w:tcPr>
            <w:tcW w:w="9622" w:type="dxa"/>
          </w:tcPr>
          <w:p w14:paraId="2778633A" w14:textId="77777777" w:rsidR="008C1AD8" w:rsidRPr="00620AE4" w:rsidRDefault="008C1AD8" w:rsidP="00A15226">
            <w:pPr>
              <w:pStyle w:val="Tabletext"/>
              <w:rPr>
                <w:i/>
                <w:iCs/>
              </w:rPr>
            </w:pPr>
            <w:r w:rsidRPr="00620AE4">
              <w:rPr>
                <w:i/>
                <w:iCs/>
              </w:rPr>
              <w:t>8.1. The Report must assess the social and economic impacts of the Plan.</w:t>
            </w:r>
          </w:p>
          <w:p w14:paraId="50836789" w14:textId="77777777" w:rsidR="008C1AD8" w:rsidRPr="00620AE4" w:rsidRDefault="008C1AD8" w:rsidP="00A15226">
            <w:pPr>
              <w:pStyle w:val="Tabletext"/>
              <w:rPr>
                <w:i/>
                <w:iCs/>
              </w:rPr>
            </w:pPr>
            <w:r w:rsidRPr="00620AE4">
              <w:rPr>
                <w:i/>
                <w:iCs/>
              </w:rPr>
              <w:t>8.2. The Report must describe the consultation with the public (including affected parties) undertaken during the development of the Plan.</w:t>
            </w:r>
          </w:p>
          <w:p w14:paraId="5C27C6D6" w14:textId="77777777" w:rsidR="008C1AD8" w:rsidRPr="00620AE4" w:rsidRDefault="008C1AD8" w:rsidP="00A15226">
            <w:pPr>
              <w:pStyle w:val="Tabletext"/>
              <w:rPr>
                <w:i/>
                <w:iCs/>
              </w:rPr>
            </w:pPr>
            <w:r w:rsidRPr="00620AE4">
              <w:rPr>
                <w:i/>
                <w:iCs/>
              </w:rPr>
              <w:t>8.3. The Report must describe the process by which parties who may be affected by the strategic assessment will be accorded natural justice and procedural fairness as part of the assessment of impacts of the plan.</w:t>
            </w:r>
          </w:p>
        </w:tc>
      </w:tr>
    </w:tbl>
    <w:p w14:paraId="1C5985C8" w14:textId="77777777" w:rsidR="008C1AD8" w:rsidRDefault="008C1AD8" w:rsidP="008C1AD8">
      <w:pPr>
        <w:pStyle w:val="Heading4"/>
      </w:pPr>
      <w:r>
        <w:t>EPBC Act requirements</w:t>
      </w:r>
    </w:p>
    <w:p w14:paraId="316DFB09" w14:textId="77777777" w:rsidR="008C1AD8" w:rsidRPr="004F280D" w:rsidRDefault="008C1AD8" w:rsidP="008C1AD8">
      <w:pPr>
        <w:rPr>
          <w:lang w:eastAsia="en-GB"/>
        </w:rPr>
      </w:pPr>
      <w:r>
        <w:rPr>
          <w:lang w:eastAsia="en-GB"/>
        </w:rPr>
        <w:t xml:space="preserve">In addition to the ToR, Section 146F of the EPBC Act requires the Minister to consider social and economic matters when considering the approval of actions in accordance with an endorsed policy, plan or program. </w:t>
      </w:r>
    </w:p>
    <w:p w14:paraId="634456A5" w14:textId="77777777" w:rsidR="008C1AD8" w:rsidRDefault="008C1AD8" w:rsidP="008C1AD8">
      <w:pPr>
        <w:pStyle w:val="Heading3"/>
      </w:pPr>
      <w:r>
        <w:t>Structure of this Chapter</w:t>
      </w:r>
    </w:p>
    <w:p w14:paraId="4FBCD1A1" w14:textId="77777777" w:rsidR="008C1AD8" w:rsidRDefault="008C1AD8" w:rsidP="008C1AD8">
      <w:r w:rsidRPr="00EB475B">
        <w:t xml:space="preserve">This Chapter </w:t>
      </w:r>
      <w:r>
        <w:t xml:space="preserve">is designed to address the ToR and provide information to meet the requirements of Section 146F. It </w:t>
      </w:r>
      <w:r w:rsidRPr="00EB475B">
        <w:t>provides</w:t>
      </w:r>
      <w:r>
        <w:t xml:space="preserve"> an assessment of the socio-economic impacts of the Plan and is structured as follows:</w:t>
      </w:r>
    </w:p>
    <w:p w14:paraId="19C2F797" w14:textId="77777777" w:rsidR="008C1AD8" w:rsidRDefault="008C1AD8" w:rsidP="008C1AD8">
      <w:pPr>
        <w:pStyle w:val="Bullet1"/>
      </w:pPr>
      <w:r>
        <w:t>The approach to the socio-economic impact assessment is described</w:t>
      </w:r>
    </w:p>
    <w:p w14:paraId="67A1171F" w14:textId="77777777" w:rsidR="008C1AD8" w:rsidRDefault="008C1AD8" w:rsidP="008C1AD8">
      <w:pPr>
        <w:pStyle w:val="Bullet1"/>
      </w:pPr>
      <w:r>
        <w:t xml:space="preserve">The socio-economic impact assessment is presented </w:t>
      </w:r>
    </w:p>
    <w:p w14:paraId="2A00F41A" w14:textId="77777777" w:rsidR="008C1AD8" w:rsidRDefault="008C1AD8" w:rsidP="008C1AD8">
      <w:pPr>
        <w:pStyle w:val="Bullet1"/>
      </w:pPr>
      <w:r>
        <w:t xml:space="preserve">Relevant consultation processes are described </w:t>
      </w:r>
    </w:p>
    <w:p w14:paraId="01A15C3F" w14:textId="77777777" w:rsidR="008C1AD8" w:rsidRDefault="008C1AD8" w:rsidP="008C1AD8">
      <w:pPr>
        <w:pStyle w:val="Bullet1"/>
      </w:pPr>
      <w:r>
        <w:t>The way in which the strategic assessment process provides procedural fairness is outlined</w:t>
      </w:r>
    </w:p>
    <w:p w14:paraId="265C855A" w14:textId="77777777" w:rsidR="008C1AD8" w:rsidRDefault="008C1AD8" w:rsidP="008C1AD8">
      <w:pPr>
        <w:pStyle w:val="Heading2"/>
      </w:pPr>
      <w:bookmarkStart w:id="193" w:name="_Toc118705445"/>
      <w:bookmarkStart w:id="194" w:name="_Toc135122713"/>
      <w:r>
        <w:t>Approach to the socio-economic impact assessment</w:t>
      </w:r>
      <w:bookmarkEnd w:id="193"/>
      <w:bookmarkEnd w:id="194"/>
    </w:p>
    <w:p w14:paraId="46748478" w14:textId="77777777" w:rsidR="008C1AD8" w:rsidRDefault="008C1AD8" w:rsidP="008C1AD8">
      <w:pPr>
        <w:pStyle w:val="Heading3"/>
      </w:pPr>
      <w:bookmarkStart w:id="195" w:name="_Ref118189745"/>
      <w:r w:rsidRPr="00086CBE">
        <w:t>Methodology</w:t>
      </w:r>
      <w:bookmarkEnd w:id="195"/>
    </w:p>
    <w:p w14:paraId="7F0ACC77" w14:textId="77777777" w:rsidR="008C1AD8" w:rsidRDefault="008C1AD8" w:rsidP="008C1AD8">
      <w:r>
        <w:t>The methodology applied in this chapter is based around undertaking a high-level qualitative</w:t>
      </w:r>
      <w:r w:rsidRPr="00BA1656">
        <w:t xml:space="preserve"> </w:t>
      </w:r>
      <w:r>
        <w:t xml:space="preserve">socio-economic impact assessment based on the approach set out by </w:t>
      </w:r>
      <w:sdt>
        <w:sdtPr>
          <w:rPr>
            <w:color w:val="000000"/>
          </w:rPr>
          <w:tag w:val="MENDELEY_CITATION_v3_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"/>
          <w:id w:val="777150951"/>
          <w:placeholder>
            <w:docPart w:val="D7FA6FAA39773F49851699A422E06BC1"/>
          </w:placeholder>
        </w:sdtPr>
        <w:sdtContent>
          <w:r w:rsidRPr="00273871">
            <w:rPr>
              <w:rFonts w:eastAsia="Times New Roman"/>
              <w:color w:val="000000"/>
            </w:rPr>
            <w:t>(Vanclay, Esteves et al., 2015)</w:t>
          </w:r>
        </w:sdtContent>
      </w:sdt>
      <w:r>
        <w:t>.</w:t>
      </w:r>
    </w:p>
    <w:p w14:paraId="5C52E3CB" w14:textId="77777777" w:rsidR="008C1AD8" w:rsidRDefault="008C1AD8" w:rsidP="008C1AD8">
      <w:r>
        <w:rPr>
          <w:rStyle w:val="Hyperlink"/>
          <w:color w:val="000000" w:themeColor="text1"/>
          <w:u w:val="none"/>
        </w:rPr>
        <w:t xml:space="preserve">The first step of the </w:t>
      </w:r>
      <w:r>
        <w:t>socio-economic</w:t>
      </w:r>
      <w:r>
        <w:rPr>
          <w:rStyle w:val="Hyperlink"/>
          <w:color w:val="000000" w:themeColor="text1"/>
          <w:u w:val="none"/>
        </w:rPr>
        <w:t xml:space="preserve"> impact assessment is to provide an </w:t>
      </w:r>
      <w:r w:rsidRPr="00381776">
        <w:rPr>
          <w:rStyle w:val="Hyperlink"/>
          <w:color w:val="000000" w:themeColor="text1"/>
          <w:u w:val="none"/>
        </w:rPr>
        <w:t xml:space="preserve">overview of the </w:t>
      </w:r>
      <w:r>
        <w:t xml:space="preserve">socio-economic </w:t>
      </w:r>
      <w:r w:rsidRPr="00381776">
        <w:rPr>
          <w:rStyle w:val="Hyperlink"/>
          <w:color w:val="000000" w:themeColor="text1"/>
          <w:u w:val="none"/>
        </w:rPr>
        <w:t xml:space="preserve">context </w:t>
      </w:r>
      <w:r>
        <w:rPr>
          <w:rStyle w:val="Hyperlink"/>
          <w:color w:val="000000" w:themeColor="text1"/>
          <w:u w:val="none"/>
        </w:rPr>
        <w:t xml:space="preserve">and growth </w:t>
      </w:r>
      <w:r w:rsidRPr="00381776">
        <w:rPr>
          <w:rStyle w:val="Hyperlink"/>
          <w:color w:val="000000" w:themeColor="text1"/>
          <w:u w:val="none"/>
        </w:rPr>
        <w:t>of Geelong</w:t>
      </w:r>
      <w:r>
        <w:rPr>
          <w:rStyle w:val="Hyperlink"/>
          <w:color w:val="000000" w:themeColor="text1"/>
          <w:u w:val="none"/>
        </w:rPr>
        <w:t>. This is to provide an understanding</w:t>
      </w:r>
      <w:r>
        <w:t xml:space="preserve"> of the context that has informed the analysis.</w:t>
      </w:r>
    </w:p>
    <w:p w14:paraId="72F9D89B" w14:textId="77777777" w:rsidR="008C1AD8" w:rsidRDefault="008C1AD8" w:rsidP="008C1AD8">
      <w:r>
        <w:t xml:space="preserve">The socio-economic impact assessment uses an approach set out by </w:t>
      </w:r>
      <w:sdt>
        <w:sdtPr>
          <w:rPr>
            <w:color w:val="000000"/>
          </w:rPr>
          <w:tag w:val="MENDELEY_CITATION_v3_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"/>
          <w:id w:val="1498159874"/>
          <w:placeholder>
            <w:docPart w:val="D7FA6FAA39773F49851699A422E06BC1"/>
          </w:placeholder>
        </w:sdtPr>
        <w:sdtContent>
          <w:r w:rsidRPr="00273871">
            <w:rPr>
              <w:rFonts w:eastAsia="Times New Roman"/>
              <w:color w:val="000000"/>
            </w:rPr>
            <w:t>(Vanclay, Esteves et al., 2015)</w:t>
          </w:r>
        </w:sdtContent>
      </w:sdt>
      <w:r>
        <w:t>. This approach establishes principles for social impact assessment and suggests that social impacts can be conceptualised as changes to one or more of the following aspects of the community:</w:t>
      </w:r>
    </w:p>
    <w:p w14:paraId="75F7A7CB" w14:textId="77777777" w:rsidR="008C1AD8" w:rsidRDefault="008C1AD8" w:rsidP="008C1AD8">
      <w:pPr>
        <w:pStyle w:val="Bullet1"/>
      </w:pPr>
      <w:r>
        <w:t>People’s way of life</w:t>
      </w:r>
    </w:p>
    <w:p w14:paraId="38ED0FC2" w14:textId="77777777" w:rsidR="008C1AD8" w:rsidRDefault="008C1AD8" w:rsidP="008C1AD8">
      <w:pPr>
        <w:pStyle w:val="Bullet1"/>
      </w:pPr>
      <w:r>
        <w:t>Their culture</w:t>
      </w:r>
    </w:p>
    <w:p w14:paraId="79824670" w14:textId="77777777" w:rsidR="008C1AD8" w:rsidRDefault="008C1AD8" w:rsidP="008C1AD8">
      <w:pPr>
        <w:pStyle w:val="Bullet1"/>
      </w:pPr>
      <w:r>
        <w:t>Their community</w:t>
      </w:r>
    </w:p>
    <w:p w14:paraId="15D52309" w14:textId="77777777" w:rsidR="008C1AD8" w:rsidRDefault="008C1AD8" w:rsidP="008C1AD8">
      <w:pPr>
        <w:pStyle w:val="Bullet1"/>
      </w:pPr>
      <w:r>
        <w:t>Their political systems</w:t>
      </w:r>
    </w:p>
    <w:p w14:paraId="2CADDCC6" w14:textId="77777777" w:rsidR="008C1AD8" w:rsidRDefault="008C1AD8" w:rsidP="008C1AD8">
      <w:pPr>
        <w:pStyle w:val="Bullet1"/>
      </w:pPr>
      <w:r>
        <w:t>Their environment</w:t>
      </w:r>
    </w:p>
    <w:p w14:paraId="24FB5CDE" w14:textId="77777777" w:rsidR="008C1AD8" w:rsidRDefault="008C1AD8" w:rsidP="008C1AD8">
      <w:pPr>
        <w:pStyle w:val="Bullet1"/>
      </w:pPr>
      <w:r>
        <w:t>Their health and wellbeing</w:t>
      </w:r>
    </w:p>
    <w:p w14:paraId="5A266852" w14:textId="77777777" w:rsidR="008C1AD8" w:rsidRDefault="008C1AD8" w:rsidP="008C1AD8">
      <w:pPr>
        <w:pStyle w:val="Bullet1"/>
      </w:pPr>
      <w:r>
        <w:t>Their personal and property rights</w:t>
      </w:r>
    </w:p>
    <w:p w14:paraId="0E7CEA0F" w14:textId="77777777" w:rsidR="008C1AD8" w:rsidRDefault="008C1AD8" w:rsidP="008C1AD8">
      <w:pPr>
        <w:pStyle w:val="Bullet1"/>
      </w:pPr>
      <w:r>
        <w:lastRenderedPageBreak/>
        <w:t>Their fears and aspirations</w:t>
      </w:r>
    </w:p>
    <w:p w14:paraId="692BF3E0" w14:textId="77777777" w:rsidR="008C1AD8" w:rsidRDefault="008C1AD8" w:rsidP="008C1AD8">
      <w:r>
        <w:t>Although this approach is considered to be a social impact assessment approach, the aspects are relevant to both social and economic factors and the quantitative data for social and economic factors is often inter-related. The socio-economic impact assessment undertaken in this chapter has therefore considered these aspects both socially and economically.</w:t>
      </w:r>
    </w:p>
    <w:p w14:paraId="5637BB94" w14:textId="77777777" w:rsidR="008C1AD8" w:rsidRDefault="008C1AD8" w:rsidP="008C1AD8">
      <w:r>
        <w:fldChar w:fldCharType="begin"/>
      </w:r>
      <w:r>
        <w:instrText xml:space="preserve"> REF _Ref118124794 \h </w:instrText>
      </w:r>
      <w:r>
        <w:fldChar w:fldCharType="separate"/>
      </w:r>
      <w:r>
        <w:t xml:space="preserve">Table </w:t>
      </w:r>
      <w:r>
        <w:rPr>
          <w:noProof/>
        </w:rPr>
        <w:t>26</w:t>
      </w:r>
      <w:r>
        <w:noBreakHyphen/>
      </w:r>
      <w:r>
        <w:rPr>
          <w:noProof/>
        </w:rPr>
        <w:t>1</w:t>
      </w:r>
      <w:r>
        <w:fldChar w:fldCharType="end"/>
      </w:r>
      <w:r>
        <w:t xml:space="preserve"> identifies the socio-economic components of the aspects that are relevant to the Plan. These components were identified based on the current context of Geelong and the socio-economic factors that may be impacted by implementation of the Plan. Although some components are relevant to multiple socio-economic aspects, for the purposes of the impact assessment each component has only been assigned to one aspect.</w:t>
      </w:r>
    </w:p>
    <w:p w14:paraId="3324097D" w14:textId="77777777" w:rsidR="008C1AD8" w:rsidRDefault="008C1AD8" w:rsidP="008C1AD8">
      <w:pPr>
        <w:pStyle w:val="Caption"/>
        <w:keepNext/>
      </w:pPr>
      <w:bookmarkStart w:id="196" w:name="_Ref118124794"/>
      <w:bookmarkStart w:id="197" w:name="_Toc135122737"/>
      <w:r>
        <w:t xml:space="preserve">Table </w:t>
      </w:r>
      <w:r>
        <w:fldChar w:fldCharType="begin"/>
      </w:r>
      <w:r>
        <w:instrText xml:space="preserve"> STYLEREF 1 \s </w:instrText>
      </w:r>
      <w:r>
        <w:fldChar w:fldCharType="separate"/>
      </w:r>
      <w:r>
        <w:rPr>
          <w:noProof/>
        </w:rPr>
        <w:t>26</w:t>
      </w:r>
      <w:r>
        <w:fldChar w:fldCharType="end"/>
      </w:r>
      <w:r>
        <w:noBreakHyphen/>
      </w:r>
      <w:r>
        <w:fldChar w:fldCharType="begin"/>
      </w:r>
      <w:r>
        <w:instrText xml:space="preserve"> SEQ Table \* ARABIC \s 1 </w:instrText>
      </w:r>
      <w:r>
        <w:fldChar w:fldCharType="separate"/>
      </w:r>
      <w:r>
        <w:rPr>
          <w:noProof/>
        </w:rPr>
        <w:t>1</w:t>
      </w:r>
      <w:r>
        <w:fldChar w:fldCharType="end"/>
      </w:r>
      <w:bookmarkEnd w:id="196"/>
      <w:r>
        <w:t xml:space="preserve">: Components considered to be relevant to the Plan for each of the socio-economic aspects as defined in </w:t>
      </w:r>
      <w:sdt>
        <w:sdtPr>
          <w:rPr>
            <w:b w:val="0"/>
            <w:color w:val="000000"/>
          </w:rPr>
          <w:tag w:val="MENDELEY_CITATION_v3_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"/>
          <w:id w:val="2020044604"/>
          <w:placeholder>
            <w:docPart w:val="D7FA6FAA39773F49851699A422E06BC1"/>
          </w:placeholder>
        </w:sdtPr>
        <w:sdtContent>
          <w:r w:rsidRPr="00273871">
            <w:rPr>
              <w:b w:val="0"/>
              <w:color w:val="000000"/>
            </w:rPr>
            <w:t>(Vanclay, Esteves et al., 2015)</w:t>
          </w:r>
        </w:sdtContent>
      </w:sdt>
      <w:bookmarkEnd w:id="197"/>
    </w:p>
    <w:tbl>
      <w:tblPr>
        <w:tblStyle w:val="TableGrid"/>
        <w:tblW w:w="0" w:type="auto"/>
        <w:tblLook w:val="04A0" w:firstRow="1" w:lastRow="0" w:firstColumn="1" w:lastColumn="0" w:noHBand="0" w:noVBand="1"/>
      </w:tblPr>
      <w:tblGrid>
        <w:gridCol w:w="1838"/>
        <w:gridCol w:w="4253"/>
        <w:gridCol w:w="3402"/>
      </w:tblGrid>
      <w:tr w:rsidR="008C1AD8" w:rsidRPr="005E102D" w14:paraId="081D013B" w14:textId="77777777" w:rsidTr="00A15226">
        <w:trPr>
          <w:tblHeader/>
        </w:trPr>
        <w:tc>
          <w:tcPr>
            <w:tcW w:w="1838" w:type="dxa"/>
            <w:shd w:val="clear" w:color="auto" w:fill="C9C9C9" w:themeFill="accent3" w:themeFillTint="99"/>
            <w:vAlign w:val="center"/>
          </w:tcPr>
          <w:p w14:paraId="088CC965" w14:textId="77777777" w:rsidR="008C1AD8" w:rsidRPr="005E102D" w:rsidRDefault="008C1AD8" w:rsidP="00A15226">
            <w:pPr>
              <w:pStyle w:val="Tabletext"/>
              <w:rPr>
                <w:b/>
              </w:rPr>
            </w:pPr>
            <w:r w:rsidRPr="005E102D">
              <w:rPr>
                <w:b/>
                <w:bCs/>
              </w:rPr>
              <w:t>Aspect</w:t>
            </w:r>
          </w:p>
        </w:tc>
        <w:tc>
          <w:tcPr>
            <w:tcW w:w="4253" w:type="dxa"/>
            <w:shd w:val="clear" w:color="auto" w:fill="C9C9C9" w:themeFill="accent3" w:themeFillTint="99"/>
            <w:vAlign w:val="center"/>
          </w:tcPr>
          <w:p w14:paraId="1C16D806" w14:textId="77777777" w:rsidR="008C1AD8" w:rsidRPr="005E102D" w:rsidRDefault="008C1AD8" w:rsidP="00A15226">
            <w:pPr>
              <w:pStyle w:val="Tabletext"/>
              <w:rPr>
                <w:b/>
              </w:rPr>
            </w:pPr>
            <w:r>
              <w:rPr>
                <w:b/>
                <w:bCs/>
              </w:rPr>
              <w:t>Definition</w:t>
            </w:r>
            <w:r w:rsidRPr="005E102D">
              <w:rPr>
                <w:b/>
                <w:bCs/>
              </w:rPr>
              <w:t xml:space="preserve"> </w:t>
            </w:r>
            <w:sdt>
              <w:sdtPr>
                <w:rPr>
                  <w:bCs/>
                  <w:color w:val="000000"/>
                </w:rPr>
                <w:tag w:val="MENDELEY_CITATION_v3_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"/>
                <w:id w:val="-2094158960"/>
                <w:placeholder>
                  <w:docPart w:val="D7FA6FAA39773F49851699A422E06BC1"/>
                </w:placeholder>
              </w:sdtPr>
              <w:sdtEndPr>
                <w:rPr>
                  <w:bCs w:val="0"/>
                </w:rPr>
              </w:sdtEndPr>
              <w:sdtContent>
                <w:r w:rsidRPr="00273871">
                  <w:rPr>
                    <w:rFonts w:eastAsia="Times New Roman"/>
                    <w:color w:val="000000"/>
                  </w:rPr>
                  <w:t>(Vanclay, Esteves et al., 2015)</w:t>
                </w:r>
              </w:sdtContent>
            </w:sdt>
          </w:p>
        </w:tc>
        <w:tc>
          <w:tcPr>
            <w:tcW w:w="3402" w:type="dxa"/>
            <w:shd w:val="clear" w:color="auto" w:fill="C9C9C9" w:themeFill="accent3" w:themeFillTint="99"/>
            <w:vAlign w:val="center"/>
          </w:tcPr>
          <w:p w14:paraId="336A17BA" w14:textId="77777777" w:rsidR="008C1AD8" w:rsidRPr="00C05F7D" w:rsidRDefault="008C1AD8" w:rsidP="00A15226">
            <w:pPr>
              <w:pStyle w:val="Tabletext"/>
              <w:rPr>
                <w:b/>
              </w:rPr>
            </w:pPr>
            <w:r>
              <w:rPr>
                <w:b/>
                <w:bCs/>
              </w:rPr>
              <w:t>Socio-economic c</w:t>
            </w:r>
            <w:r w:rsidRPr="00BB39BA">
              <w:rPr>
                <w:b/>
                <w:bCs/>
              </w:rPr>
              <w:t>omponents</w:t>
            </w:r>
            <w:r w:rsidRPr="00C05F7D">
              <w:rPr>
                <w:b/>
              </w:rPr>
              <w:t xml:space="preserve"> of the aspect </w:t>
            </w:r>
            <w:r w:rsidRPr="00C05F7D">
              <w:rPr>
                <w:b/>
                <w:bCs/>
              </w:rPr>
              <w:t>relevant to the Plan</w:t>
            </w:r>
          </w:p>
        </w:tc>
      </w:tr>
      <w:tr w:rsidR="008C1AD8" w14:paraId="737254B4" w14:textId="77777777" w:rsidTr="00A15226">
        <w:tc>
          <w:tcPr>
            <w:tcW w:w="1838" w:type="dxa"/>
            <w:vAlign w:val="center"/>
          </w:tcPr>
          <w:p w14:paraId="5BC4F2EC" w14:textId="77777777" w:rsidR="008C1AD8" w:rsidRPr="006D3BD7" w:rsidRDefault="008C1AD8" w:rsidP="00A15226">
            <w:pPr>
              <w:pStyle w:val="Tabletext"/>
              <w:rPr>
                <w:highlight w:val="yellow"/>
              </w:rPr>
            </w:pPr>
            <w:r w:rsidRPr="006D3BD7">
              <w:t>People’s way of life</w:t>
            </w:r>
          </w:p>
        </w:tc>
        <w:tc>
          <w:tcPr>
            <w:tcW w:w="4253" w:type="dxa"/>
            <w:vAlign w:val="center"/>
          </w:tcPr>
          <w:p w14:paraId="2DA8344F" w14:textId="77777777" w:rsidR="008C1AD8" w:rsidRDefault="008C1AD8" w:rsidP="00A15226">
            <w:pPr>
              <w:pStyle w:val="Tabletext"/>
              <w:rPr>
                <w:highlight w:val="yellow"/>
              </w:rPr>
            </w:pPr>
            <w:r w:rsidRPr="005E102D">
              <w:t>That is, how they live, work, play and interact with one another on a day-to-day basis</w:t>
            </w:r>
          </w:p>
        </w:tc>
        <w:tc>
          <w:tcPr>
            <w:tcW w:w="3402" w:type="dxa"/>
            <w:vAlign w:val="center"/>
          </w:tcPr>
          <w:p w14:paraId="28EB75BF" w14:textId="77777777" w:rsidR="008C1AD8" w:rsidRDefault="008C1AD8" w:rsidP="00A15226">
            <w:pPr>
              <w:pStyle w:val="Bullet1"/>
            </w:pPr>
            <w:r>
              <w:t>Employment</w:t>
            </w:r>
          </w:p>
          <w:p w14:paraId="6C10D8F5" w14:textId="77777777" w:rsidR="008C1AD8" w:rsidRDefault="008C1AD8" w:rsidP="00A15226">
            <w:pPr>
              <w:pStyle w:val="Bullet1"/>
            </w:pPr>
            <w:r>
              <w:t>Training and education</w:t>
            </w:r>
          </w:p>
          <w:p w14:paraId="5D600E29" w14:textId="77777777" w:rsidR="008C1AD8" w:rsidRDefault="008C1AD8" w:rsidP="00A15226">
            <w:pPr>
              <w:pStyle w:val="Bullet1"/>
            </w:pPr>
            <w:r>
              <w:t>Transport</w:t>
            </w:r>
          </w:p>
          <w:p w14:paraId="490C2EF5" w14:textId="77777777" w:rsidR="008C1AD8" w:rsidRPr="00BB39BA" w:rsidRDefault="008C1AD8" w:rsidP="00A15226">
            <w:pPr>
              <w:pStyle w:val="Bullet1"/>
            </w:pPr>
            <w:r>
              <w:t>Arts and recreation</w:t>
            </w:r>
          </w:p>
        </w:tc>
      </w:tr>
      <w:tr w:rsidR="008C1AD8" w14:paraId="32632749" w14:textId="77777777" w:rsidTr="00A15226">
        <w:tc>
          <w:tcPr>
            <w:tcW w:w="1838" w:type="dxa"/>
            <w:vAlign w:val="center"/>
          </w:tcPr>
          <w:p w14:paraId="04286638" w14:textId="77777777" w:rsidR="008C1AD8" w:rsidRPr="006D3BD7" w:rsidRDefault="008C1AD8" w:rsidP="00A15226">
            <w:pPr>
              <w:pStyle w:val="Tabletext"/>
              <w:rPr>
                <w:highlight w:val="yellow"/>
              </w:rPr>
            </w:pPr>
            <w:r w:rsidRPr="006D3BD7">
              <w:t>Their culture</w:t>
            </w:r>
          </w:p>
        </w:tc>
        <w:tc>
          <w:tcPr>
            <w:tcW w:w="4253" w:type="dxa"/>
            <w:vAlign w:val="center"/>
          </w:tcPr>
          <w:p w14:paraId="1CE62A51" w14:textId="77777777" w:rsidR="008C1AD8" w:rsidRDefault="008C1AD8" w:rsidP="00A15226">
            <w:pPr>
              <w:pStyle w:val="Tabletext"/>
              <w:rPr>
                <w:highlight w:val="yellow"/>
              </w:rPr>
            </w:pPr>
            <w:r w:rsidRPr="005E102D">
              <w:t>That is, their shared beliefs, customs, values and language or dialect</w:t>
            </w:r>
          </w:p>
        </w:tc>
        <w:tc>
          <w:tcPr>
            <w:tcW w:w="3402" w:type="dxa"/>
            <w:vAlign w:val="center"/>
          </w:tcPr>
          <w:p w14:paraId="44F23334" w14:textId="77777777" w:rsidR="008C1AD8" w:rsidRDefault="008C1AD8" w:rsidP="00A15226">
            <w:pPr>
              <w:pStyle w:val="Bullet1"/>
            </w:pPr>
            <w:r>
              <w:t>Traditional owners</w:t>
            </w:r>
          </w:p>
          <w:p w14:paraId="1AA31A33" w14:textId="77777777" w:rsidR="008C1AD8" w:rsidRDefault="008C1AD8" w:rsidP="00A15226">
            <w:pPr>
              <w:pStyle w:val="Bullet1"/>
            </w:pPr>
            <w:r w:rsidRPr="004B24F6">
              <w:t>Ethnicity</w:t>
            </w:r>
            <w:r>
              <w:t xml:space="preserve"> and language</w:t>
            </w:r>
          </w:p>
          <w:p w14:paraId="7E30D4DD" w14:textId="77777777" w:rsidR="008C1AD8" w:rsidRPr="00BB39BA" w:rsidRDefault="008C1AD8" w:rsidP="00A15226">
            <w:pPr>
              <w:pStyle w:val="Bullet1"/>
            </w:pPr>
            <w:r>
              <w:t>Religion</w:t>
            </w:r>
          </w:p>
        </w:tc>
      </w:tr>
      <w:tr w:rsidR="008C1AD8" w14:paraId="380E433F" w14:textId="77777777" w:rsidTr="00A15226">
        <w:tc>
          <w:tcPr>
            <w:tcW w:w="1838" w:type="dxa"/>
            <w:vAlign w:val="center"/>
          </w:tcPr>
          <w:p w14:paraId="20E6DEE2" w14:textId="77777777" w:rsidR="008C1AD8" w:rsidRPr="006D3BD7" w:rsidRDefault="008C1AD8" w:rsidP="00A15226">
            <w:pPr>
              <w:pStyle w:val="Tabletext"/>
              <w:rPr>
                <w:highlight w:val="yellow"/>
              </w:rPr>
            </w:pPr>
            <w:r w:rsidRPr="006D3BD7">
              <w:t>Their community</w:t>
            </w:r>
          </w:p>
        </w:tc>
        <w:tc>
          <w:tcPr>
            <w:tcW w:w="4253" w:type="dxa"/>
            <w:vAlign w:val="center"/>
          </w:tcPr>
          <w:p w14:paraId="540142E4" w14:textId="77777777" w:rsidR="008C1AD8" w:rsidRDefault="008C1AD8" w:rsidP="00A15226">
            <w:pPr>
              <w:pStyle w:val="Tabletext"/>
              <w:rPr>
                <w:highlight w:val="yellow"/>
              </w:rPr>
            </w:pPr>
            <w:r w:rsidRPr="005E102D">
              <w:t>Its cohesion, stability, character, services and facilities</w:t>
            </w:r>
          </w:p>
        </w:tc>
        <w:tc>
          <w:tcPr>
            <w:tcW w:w="3402" w:type="dxa"/>
            <w:vAlign w:val="center"/>
          </w:tcPr>
          <w:p w14:paraId="4F7006E9" w14:textId="77777777" w:rsidR="008C1AD8" w:rsidRDefault="008C1AD8" w:rsidP="00A15226">
            <w:pPr>
              <w:pStyle w:val="Bullet1"/>
            </w:pPr>
            <w:r>
              <w:t>Public services</w:t>
            </w:r>
          </w:p>
          <w:p w14:paraId="17C5E992" w14:textId="77777777" w:rsidR="008C1AD8" w:rsidRDefault="008C1AD8" w:rsidP="00A15226">
            <w:pPr>
              <w:pStyle w:val="Bullet1"/>
            </w:pPr>
            <w:r>
              <w:t>Post-contact heritage</w:t>
            </w:r>
          </w:p>
          <w:p w14:paraId="1E9E401C" w14:textId="77777777" w:rsidR="008C1AD8" w:rsidRPr="00BB39BA" w:rsidRDefault="008C1AD8" w:rsidP="00A15226">
            <w:pPr>
              <w:pStyle w:val="Bullet1"/>
            </w:pPr>
            <w:r>
              <w:t>Housing</w:t>
            </w:r>
          </w:p>
        </w:tc>
      </w:tr>
      <w:tr w:rsidR="008C1AD8" w14:paraId="66F323F9" w14:textId="77777777" w:rsidTr="00A15226">
        <w:tc>
          <w:tcPr>
            <w:tcW w:w="1838" w:type="dxa"/>
            <w:vAlign w:val="center"/>
          </w:tcPr>
          <w:p w14:paraId="16368FE5" w14:textId="77777777" w:rsidR="008C1AD8" w:rsidRPr="006D3BD7" w:rsidRDefault="008C1AD8" w:rsidP="00A15226">
            <w:pPr>
              <w:pStyle w:val="Tabletext"/>
              <w:rPr>
                <w:highlight w:val="yellow"/>
              </w:rPr>
            </w:pPr>
            <w:r w:rsidRPr="006D3BD7">
              <w:t>Their political systems</w:t>
            </w:r>
          </w:p>
        </w:tc>
        <w:tc>
          <w:tcPr>
            <w:tcW w:w="4253" w:type="dxa"/>
            <w:vAlign w:val="center"/>
          </w:tcPr>
          <w:p w14:paraId="463B0D06" w14:textId="77777777" w:rsidR="008C1AD8" w:rsidRDefault="008C1AD8" w:rsidP="00A15226">
            <w:pPr>
              <w:pStyle w:val="Tabletext"/>
              <w:rPr>
                <w:highlight w:val="yellow"/>
              </w:rPr>
            </w:pPr>
            <w:r w:rsidRPr="005E102D">
              <w:t>The extent to which people are able to participate in decisions that affect their lives, the level of democratisation that is taking place, and the resources provided for this purpose</w:t>
            </w:r>
          </w:p>
        </w:tc>
        <w:tc>
          <w:tcPr>
            <w:tcW w:w="3402" w:type="dxa"/>
            <w:vAlign w:val="center"/>
          </w:tcPr>
          <w:p w14:paraId="626F67EF" w14:textId="77777777" w:rsidR="008C1AD8" w:rsidRPr="00BB39BA" w:rsidRDefault="008C1AD8" w:rsidP="00A15226">
            <w:pPr>
              <w:pStyle w:val="Tabletext"/>
            </w:pPr>
            <w:r>
              <w:t xml:space="preserve">The relevant components of this aspect are consultation and procedural fairness. These are specifically addressed in Section </w:t>
            </w:r>
            <w:r>
              <w:fldChar w:fldCharType="begin"/>
            </w:r>
            <w:r>
              <w:instrText xml:space="preserve"> REF _Ref118192065 \r \h </w:instrText>
            </w:r>
            <w:r>
              <w:fldChar w:fldCharType="separate"/>
            </w:r>
            <w:r>
              <w:t>26.4</w:t>
            </w:r>
            <w:r>
              <w:fldChar w:fldCharType="end"/>
            </w:r>
            <w:r>
              <w:t xml:space="preserve"> and not further discussed in this section</w:t>
            </w:r>
          </w:p>
        </w:tc>
      </w:tr>
      <w:tr w:rsidR="008C1AD8" w14:paraId="7626F3BC" w14:textId="77777777" w:rsidTr="00A15226">
        <w:tc>
          <w:tcPr>
            <w:tcW w:w="1838" w:type="dxa"/>
            <w:vAlign w:val="center"/>
          </w:tcPr>
          <w:p w14:paraId="18B7F3BB" w14:textId="77777777" w:rsidR="008C1AD8" w:rsidRPr="006D3BD7" w:rsidRDefault="008C1AD8" w:rsidP="00A15226">
            <w:pPr>
              <w:pStyle w:val="Tabletext"/>
              <w:rPr>
                <w:highlight w:val="yellow"/>
              </w:rPr>
            </w:pPr>
            <w:r w:rsidRPr="006D3BD7">
              <w:t>Their environment</w:t>
            </w:r>
          </w:p>
        </w:tc>
        <w:tc>
          <w:tcPr>
            <w:tcW w:w="4253" w:type="dxa"/>
            <w:vAlign w:val="center"/>
          </w:tcPr>
          <w:p w14:paraId="640E1277" w14:textId="77777777" w:rsidR="008C1AD8" w:rsidRDefault="008C1AD8" w:rsidP="00A15226">
            <w:pPr>
              <w:pStyle w:val="Tabletext"/>
              <w:rPr>
                <w:highlight w:val="yellow"/>
              </w:rPr>
            </w:pPr>
            <w:r w:rsidRPr="005E102D">
              <w:t>The quality of the air and water people use; the availability and quality of the food they eat; the level of hazard or risk, dust and noise they are exposed to; the adequacy of sanitation, their physical safety, and their access to and control over resources</w:t>
            </w:r>
          </w:p>
        </w:tc>
        <w:tc>
          <w:tcPr>
            <w:tcW w:w="3402" w:type="dxa"/>
            <w:vAlign w:val="center"/>
          </w:tcPr>
          <w:p w14:paraId="0AE74EA7" w14:textId="77777777" w:rsidR="008C1AD8" w:rsidRDefault="008C1AD8" w:rsidP="00A15226">
            <w:pPr>
              <w:pStyle w:val="Bullet1"/>
              <w:rPr>
                <w:lang w:eastAsia="en-GB"/>
              </w:rPr>
            </w:pPr>
            <w:r>
              <w:rPr>
                <w:lang w:eastAsia="en-GB"/>
              </w:rPr>
              <w:t>Biodiversity</w:t>
            </w:r>
          </w:p>
          <w:p w14:paraId="66C113F7" w14:textId="77777777" w:rsidR="008C1AD8" w:rsidRDefault="008C1AD8" w:rsidP="00A15226">
            <w:pPr>
              <w:pStyle w:val="Bullet1"/>
              <w:rPr>
                <w:lang w:eastAsia="en-GB"/>
              </w:rPr>
            </w:pPr>
            <w:r>
              <w:rPr>
                <w:lang w:eastAsia="en-GB"/>
              </w:rPr>
              <w:t>Air quality</w:t>
            </w:r>
          </w:p>
          <w:p w14:paraId="1827C685" w14:textId="77777777" w:rsidR="008C1AD8" w:rsidRDefault="008C1AD8" w:rsidP="00A15226">
            <w:pPr>
              <w:pStyle w:val="Bullet1"/>
              <w:rPr>
                <w:lang w:eastAsia="en-GB"/>
              </w:rPr>
            </w:pPr>
            <w:r>
              <w:rPr>
                <w:lang w:eastAsia="en-GB"/>
              </w:rPr>
              <w:t>Water resources</w:t>
            </w:r>
          </w:p>
          <w:p w14:paraId="48F7A359" w14:textId="77777777" w:rsidR="008C1AD8" w:rsidRDefault="008C1AD8" w:rsidP="00A15226">
            <w:pPr>
              <w:pStyle w:val="Bullet1"/>
              <w:rPr>
                <w:lang w:eastAsia="en-GB"/>
              </w:rPr>
            </w:pPr>
            <w:r>
              <w:rPr>
                <w:lang w:eastAsia="en-GB"/>
              </w:rPr>
              <w:t>Fire risks</w:t>
            </w:r>
          </w:p>
          <w:p w14:paraId="5F426EAA" w14:textId="77777777" w:rsidR="008C1AD8" w:rsidRDefault="008C1AD8" w:rsidP="00A15226">
            <w:pPr>
              <w:pStyle w:val="Bullet1"/>
              <w:rPr>
                <w:lang w:eastAsia="en-GB"/>
              </w:rPr>
            </w:pPr>
            <w:r w:rsidRPr="00582D3A">
              <w:rPr>
                <w:lang w:eastAsia="en-GB"/>
              </w:rPr>
              <w:t>Hazard, risks or dust</w:t>
            </w:r>
          </w:p>
          <w:p w14:paraId="129C47BA" w14:textId="77777777" w:rsidR="008C1AD8" w:rsidRDefault="008C1AD8" w:rsidP="00A15226">
            <w:pPr>
              <w:pStyle w:val="Bullet1"/>
            </w:pPr>
            <w:r>
              <w:t xml:space="preserve">Access to natural spaces </w:t>
            </w:r>
          </w:p>
          <w:p w14:paraId="1078677E" w14:textId="77777777" w:rsidR="008C1AD8" w:rsidRPr="00F700B0" w:rsidRDefault="008C1AD8" w:rsidP="00A15226">
            <w:pPr>
              <w:pStyle w:val="Bullet1"/>
              <w:rPr>
                <w:lang w:eastAsia="en-GB"/>
              </w:rPr>
            </w:pPr>
            <w:r>
              <w:t>Visual amenity</w:t>
            </w:r>
          </w:p>
        </w:tc>
      </w:tr>
      <w:tr w:rsidR="008C1AD8" w14:paraId="17BCDB16" w14:textId="77777777" w:rsidTr="00A15226">
        <w:tc>
          <w:tcPr>
            <w:tcW w:w="1838" w:type="dxa"/>
            <w:vAlign w:val="center"/>
          </w:tcPr>
          <w:p w14:paraId="4F615E85" w14:textId="77777777" w:rsidR="008C1AD8" w:rsidRPr="006D3BD7" w:rsidRDefault="008C1AD8" w:rsidP="00A15226">
            <w:pPr>
              <w:pStyle w:val="Tabletext"/>
              <w:rPr>
                <w:highlight w:val="yellow"/>
              </w:rPr>
            </w:pPr>
            <w:r w:rsidRPr="006D3BD7">
              <w:t>Their health and wellbeing</w:t>
            </w:r>
          </w:p>
        </w:tc>
        <w:tc>
          <w:tcPr>
            <w:tcW w:w="4253" w:type="dxa"/>
            <w:vAlign w:val="center"/>
          </w:tcPr>
          <w:p w14:paraId="6573EB75" w14:textId="77777777" w:rsidR="008C1AD8" w:rsidRPr="005E102D" w:rsidRDefault="008C1AD8" w:rsidP="00A15226">
            <w:pPr>
              <w:pStyle w:val="Tabletext"/>
            </w:pPr>
            <w:r w:rsidRPr="005E102D">
              <w:t>Health is a state of complete physical, mental, social and spiritual wellbeing and not merely the absence of disease or infirmity</w:t>
            </w:r>
          </w:p>
        </w:tc>
        <w:tc>
          <w:tcPr>
            <w:tcW w:w="3402" w:type="dxa"/>
            <w:vAlign w:val="center"/>
          </w:tcPr>
          <w:p w14:paraId="2B1CCADC" w14:textId="77777777" w:rsidR="008C1AD8" w:rsidRDefault="008C1AD8" w:rsidP="00A15226">
            <w:pPr>
              <w:pStyle w:val="Bullet1"/>
            </w:pPr>
            <w:r>
              <w:t>Mental health</w:t>
            </w:r>
          </w:p>
          <w:p w14:paraId="0A9F2E38" w14:textId="77777777" w:rsidR="008C1AD8" w:rsidRPr="00BB39BA" w:rsidRDefault="008C1AD8" w:rsidP="00A15226">
            <w:pPr>
              <w:pStyle w:val="Bullet1"/>
            </w:pPr>
            <w:r>
              <w:t>Physical health</w:t>
            </w:r>
          </w:p>
        </w:tc>
      </w:tr>
      <w:tr w:rsidR="008C1AD8" w14:paraId="60BCBD74" w14:textId="77777777" w:rsidTr="00A15226">
        <w:tc>
          <w:tcPr>
            <w:tcW w:w="1838" w:type="dxa"/>
            <w:vAlign w:val="center"/>
          </w:tcPr>
          <w:p w14:paraId="432D8C12" w14:textId="77777777" w:rsidR="008C1AD8" w:rsidRPr="006D3BD7" w:rsidRDefault="008C1AD8" w:rsidP="00A15226">
            <w:pPr>
              <w:pStyle w:val="Tabletext"/>
              <w:rPr>
                <w:highlight w:val="yellow"/>
              </w:rPr>
            </w:pPr>
            <w:r w:rsidRPr="006D3BD7">
              <w:t>Their personal and property rights</w:t>
            </w:r>
          </w:p>
        </w:tc>
        <w:tc>
          <w:tcPr>
            <w:tcW w:w="4253" w:type="dxa"/>
            <w:vAlign w:val="center"/>
          </w:tcPr>
          <w:p w14:paraId="45636767" w14:textId="77777777" w:rsidR="008C1AD8" w:rsidRDefault="008C1AD8" w:rsidP="00A15226">
            <w:pPr>
              <w:pStyle w:val="Tabletext"/>
              <w:rPr>
                <w:highlight w:val="yellow"/>
              </w:rPr>
            </w:pPr>
            <w:r w:rsidRPr="005E102D">
              <w:t>Particularly whether people are economically affected, or experience personal disadvantage which may include a violation of their civil liberties</w:t>
            </w:r>
          </w:p>
        </w:tc>
        <w:tc>
          <w:tcPr>
            <w:tcW w:w="3402" w:type="dxa"/>
            <w:vAlign w:val="center"/>
          </w:tcPr>
          <w:p w14:paraId="1182C498" w14:textId="77777777" w:rsidR="008C1AD8" w:rsidRPr="00BB39BA" w:rsidRDefault="008C1AD8" w:rsidP="00A15226">
            <w:pPr>
              <w:pStyle w:val="Bullet1"/>
            </w:pPr>
            <w:r>
              <w:t>Land use change</w:t>
            </w:r>
          </w:p>
        </w:tc>
      </w:tr>
      <w:tr w:rsidR="008C1AD8" w14:paraId="7DAE47B5" w14:textId="77777777" w:rsidTr="00A15226">
        <w:tc>
          <w:tcPr>
            <w:tcW w:w="1838" w:type="dxa"/>
            <w:vAlign w:val="center"/>
          </w:tcPr>
          <w:p w14:paraId="43BCFADC" w14:textId="77777777" w:rsidR="008C1AD8" w:rsidRPr="006D3BD7" w:rsidRDefault="008C1AD8" w:rsidP="00A15226">
            <w:pPr>
              <w:pStyle w:val="Tabletext"/>
            </w:pPr>
            <w:r w:rsidRPr="006D3BD7">
              <w:t>Their fears and aspirations</w:t>
            </w:r>
          </w:p>
        </w:tc>
        <w:tc>
          <w:tcPr>
            <w:tcW w:w="4253" w:type="dxa"/>
            <w:vAlign w:val="center"/>
          </w:tcPr>
          <w:p w14:paraId="43F09D18" w14:textId="77777777" w:rsidR="008C1AD8" w:rsidRDefault="008C1AD8" w:rsidP="00A15226">
            <w:pPr>
              <w:pStyle w:val="Tabletext"/>
              <w:rPr>
                <w:highlight w:val="yellow"/>
              </w:rPr>
            </w:pPr>
            <w:r w:rsidRPr="005E102D">
              <w:t>Their perceptions about their safety, their fears about the future of their community, and their aspirations for their future and the future of their children</w:t>
            </w:r>
          </w:p>
        </w:tc>
        <w:tc>
          <w:tcPr>
            <w:tcW w:w="3402" w:type="dxa"/>
            <w:vAlign w:val="center"/>
          </w:tcPr>
          <w:p w14:paraId="00C76D07" w14:textId="77777777" w:rsidR="008C1AD8" w:rsidRPr="00BB39BA" w:rsidRDefault="008C1AD8" w:rsidP="00A15226">
            <w:pPr>
              <w:pStyle w:val="Tabletext"/>
            </w:pPr>
            <w:r>
              <w:t>The Geelong community is diverse and has a wide range of fears and aspirations. C</w:t>
            </w:r>
            <w:r w:rsidRPr="004B370B">
              <w:t>ommunity concerns and aspirations are considered throughout the other aspects where relevant</w:t>
            </w:r>
          </w:p>
        </w:tc>
      </w:tr>
    </w:tbl>
    <w:p w14:paraId="2201E45E" w14:textId="77777777" w:rsidR="008C1AD8" w:rsidRDefault="008C1AD8" w:rsidP="008C1AD8">
      <w:pPr>
        <w:keepNext/>
        <w:keepLines/>
      </w:pPr>
      <w:r>
        <w:lastRenderedPageBreak/>
        <w:t xml:space="preserve">For each of the socio-economic components identified in </w:t>
      </w:r>
      <w:r>
        <w:fldChar w:fldCharType="begin"/>
      </w:r>
      <w:r>
        <w:instrText xml:space="preserve"> REF _Ref118124794 \h </w:instrText>
      </w:r>
      <w:r>
        <w:fldChar w:fldCharType="separate"/>
      </w:r>
      <w:r>
        <w:t xml:space="preserve">Table </w:t>
      </w:r>
      <w:r>
        <w:rPr>
          <w:noProof/>
        </w:rPr>
        <w:t>26</w:t>
      </w:r>
      <w:r>
        <w:noBreakHyphen/>
      </w:r>
      <w:r>
        <w:rPr>
          <w:noProof/>
        </w:rPr>
        <w:t>1</w:t>
      </w:r>
      <w:r>
        <w:fldChar w:fldCharType="end"/>
      </w:r>
      <w:r>
        <w:t>, the impact assessment provides:</w:t>
      </w:r>
    </w:p>
    <w:p w14:paraId="3DA2A185" w14:textId="77777777" w:rsidR="008C1AD8" w:rsidRDefault="008C1AD8" w:rsidP="008C1AD8">
      <w:pPr>
        <w:pStyle w:val="Bullet1"/>
      </w:pPr>
      <w:r>
        <w:t>A description of the current context for Geelong</w:t>
      </w:r>
    </w:p>
    <w:p w14:paraId="231B4E13" w14:textId="77777777" w:rsidR="008C1AD8" w:rsidRDefault="008C1AD8" w:rsidP="008C1AD8">
      <w:pPr>
        <w:pStyle w:val="Bullet1"/>
      </w:pPr>
      <w:r>
        <w:t>An assessment of how the Plan may impact the component</w:t>
      </w:r>
    </w:p>
    <w:p w14:paraId="698EF1D0" w14:textId="77777777" w:rsidR="008C1AD8" w:rsidRPr="00294F61" w:rsidRDefault="008C1AD8" w:rsidP="008C1AD8">
      <w:r>
        <w:rPr>
          <w:lang w:eastAsia="en-GB"/>
        </w:rPr>
        <w:t>Socio-economic i</w:t>
      </w:r>
      <w:r w:rsidRPr="00212A8D">
        <w:rPr>
          <w:lang w:eastAsia="en-GB"/>
        </w:rPr>
        <w:t xml:space="preserve">mpacts (positive and negative) are considered qualitatively in a broad manner, whereby potential influences or changes to each </w:t>
      </w:r>
      <w:r>
        <w:rPr>
          <w:lang w:eastAsia="en-GB"/>
        </w:rPr>
        <w:t>component</w:t>
      </w:r>
      <w:r w:rsidRPr="00212A8D">
        <w:rPr>
          <w:lang w:eastAsia="en-GB"/>
        </w:rPr>
        <w:t xml:space="preserve"> as a result of the Plan are described</w:t>
      </w:r>
      <w:r>
        <w:rPr>
          <w:lang w:eastAsia="en-GB"/>
        </w:rPr>
        <w:t>.</w:t>
      </w:r>
    </w:p>
    <w:p w14:paraId="2BDF9A45" w14:textId="77777777" w:rsidR="008C1AD8" w:rsidRPr="002C6AD3" w:rsidRDefault="008C1AD8" w:rsidP="008C1AD8">
      <w:r w:rsidRPr="002C6AD3">
        <w:t>The impacts are considered across the community of Geelong, with a particular focus (where possible) on:</w:t>
      </w:r>
    </w:p>
    <w:p w14:paraId="3C2E1D83" w14:textId="77777777" w:rsidR="008C1AD8" w:rsidRPr="002C6AD3" w:rsidRDefault="008C1AD8" w:rsidP="008C1AD8">
      <w:pPr>
        <w:pStyle w:val="Bullet1"/>
      </w:pPr>
      <w:r w:rsidRPr="002C6AD3">
        <w:t>Existing residents and landowners of the Growth Areas</w:t>
      </w:r>
    </w:p>
    <w:p w14:paraId="502EF944" w14:textId="77777777" w:rsidR="008C1AD8" w:rsidRPr="002C6AD3" w:rsidRDefault="008C1AD8" w:rsidP="008C1AD8">
      <w:pPr>
        <w:pStyle w:val="Bullet1"/>
      </w:pPr>
      <w:r w:rsidRPr="002C6AD3">
        <w:t>Nearby residents of the Growth Areas</w:t>
      </w:r>
    </w:p>
    <w:p w14:paraId="351D74E7" w14:textId="77777777" w:rsidR="008C1AD8" w:rsidRPr="002C6AD3" w:rsidRDefault="008C1AD8" w:rsidP="008C1AD8">
      <w:pPr>
        <w:pStyle w:val="Bullet1"/>
      </w:pPr>
      <w:r w:rsidRPr="002C6AD3">
        <w:t>Future residents of the Growth Areas</w:t>
      </w:r>
    </w:p>
    <w:p w14:paraId="461A9B88" w14:textId="77777777" w:rsidR="008C1AD8" w:rsidRPr="00086CBE" w:rsidRDefault="008C1AD8" w:rsidP="008C1AD8">
      <w:pPr>
        <w:pStyle w:val="Heading3"/>
      </w:pPr>
      <w:r>
        <w:t xml:space="preserve">Data </w:t>
      </w:r>
    </w:p>
    <w:p w14:paraId="05CD938A" w14:textId="77777777" w:rsidR="008C1AD8" w:rsidRDefault="008C1AD8" w:rsidP="008C1AD8">
      <w:r>
        <w:t>The data and information used to inform the socio-economic impact assessment was drawn from:</w:t>
      </w:r>
    </w:p>
    <w:p w14:paraId="3AA1D486" w14:textId="77777777" w:rsidR="008C1AD8" w:rsidRPr="00615F43" w:rsidRDefault="008C1AD8" w:rsidP="008C1AD8">
      <w:pPr>
        <w:pStyle w:val="Bullet1"/>
        <w:rPr>
          <w:lang w:eastAsia="en-GB"/>
        </w:rPr>
      </w:pPr>
      <w:r w:rsidRPr="00615F43">
        <w:rPr>
          <w:lang w:eastAsia="en-GB"/>
        </w:rPr>
        <w:t xml:space="preserve">Community and stakeholder consultation undertaken as part of </w:t>
      </w:r>
      <w:r>
        <w:rPr>
          <w:lang w:eastAsia="en-GB"/>
        </w:rPr>
        <w:t xml:space="preserve">the identification and planning for the Growth Areas and for </w:t>
      </w:r>
      <w:r w:rsidRPr="00615F43">
        <w:rPr>
          <w:lang w:eastAsia="en-GB"/>
        </w:rPr>
        <w:t>the strategic assessment to date</w:t>
      </w:r>
      <w:r>
        <w:rPr>
          <w:lang w:eastAsia="en-GB"/>
        </w:rPr>
        <w:t xml:space="preserve">. See Section </w:t>
      </w:r>
      <w:r>
        <w:rPr>
          <w:lang w:eastAsia="en-GB"/>
        </w:rPr>
        <w:fldChar w:fldCharType="begin"/>
      </w:r>
      <w:r>
        <w:rPr>
          <w:lang w:eastAsia="en-GB"/>
        </w:rPr>
        <w:instrText xml:space="preserve"> REF _Ref117682195 \r \h </w:instrText>
      </w:r>
      <w:r>
        <w:rPr>
          <w:lang w:eastAsia="en-GB"/>
        </w:rPr>
      </w:r>
      <w:r>
        <w:rPr>
          <w:lang w:eastAsia="en-GB"/>
        </w:rPr>
        <w:fldChar w:fldCharType="separate"/>
      </w:r>
      <w:r>
        <w:rPr>
          <w:lang w:eastAsia="en-GB"/>
        </w:rPr>
        <w:t>26.4.1</w:t>
      </w:r>
      <w:r>
        <w:rPr>
          <w:lang w:eastAsia="en-GB"/>
        </w:rPr>
        <w:fldChar w:fldCharType="end"/>
      </w:r>
      <w:r>
        <w:rPr>
          <w:lang w:eastAsia="en-GB"/>
        </w:rPr>
        <w:t xml:space="preserve"> below for a description of the consultation processes relevant to the project</w:t>
      </w:r>
    </w:p>
    <w:p w14:paraId="6D62E5C7" w14:textId="77777777" w:rsidR="008C1AD8" w:rsidRDefault="008C1AD8" w:rsidP="008C1AD8">
      <w:pPr>
        <w:pStyle w:val="Bullet1"/>
      </w:pPr>
      <w:r>
        <w:t>Publicly available information sources including:</w:t>
      </w:r>
    </w:p>
    <w:p w14:paraId="0615FFFA" w14:textId="77777777" w:rsidR="008C1AD8" w:rsidRDefault="008C1AD8" w:rsidP="008C1AD8">
      <w:pPr>
        <w:pStyle w:val="Bullet2"/>
      </w:pPr>
      <w:r>
        <w:t xml:space="preserve">2021 Australian Census data </w:t>
      </w:r>
      <w:sdt>
        <w:sdtPr>
          <w:rPr>
            <w:color w:val="000000"/>
          </w:rPr>
          <w:tag w:val="MENDELEY_CITATION_v3_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"/>
          <w:id w:val="306439391"/>
          <w:placeholder>
            <w:docPart w:val="D7FA6FAA39773F49851699A422E06BC1"/>
          </w:placeholder>
        </w:sdtPr>
        <w:sdtContent>
          <w:r w:rsidRPr="00273871">
            <w:rPr>
              <w:color w:val="000000"/>
            </w:rPr>
            <w:t>(Australian Bureau of Statistics, 2022)</w:t>
          </w:r>
        </w:sdtContent>
      </w:sdt>
    </w:p>
    <w:p w14:paraId="1509D6E4" w14:textId="77777777" w:rsidR="008C1AD8" w:rsidRDefault="008C1AD8" w:rsidP="008C1AD8">
      <w:pPr>
        <w:pStyle w:val="Bullet2"/>
      </w:pPr>
      <w:r>
        <w:t xml:space="preserve">City of Greater Geelong plans, strategies and resources. For example, the NWGGA Framework Plan </w:t>
      </w:r>
      <w:sdt>
        <w:sdtPr>
          <w:rPr>
            <w:color w:val="000000"/>
          </w:rPr>
          <w:tag w:val="MENDELEY_CITATION_v3_eyJjaXRhdGlvbklEIjoiTUVOREVMRVlfQ0lUQVRJT05fMDZlZmY0ZjEtN2M5NC00ODM2LWI3MGQtNjU2NTdlMWMzMTQz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2133849636"/>
          <w:placeholder>
            <w:docPart w:val="D7FA6FAA39773F49851699A422E06BC1"/>
          </w:placeholder>
        </w:sdtPr>
        <w:sdtContent>
          <w:r w:rsidRPr="00273871">
            <w:rPr>
              <w:color w:val="000000"/>
            </w:rPr>
            <w:t>(The City of Greater Geelong, 2021b)</w:t>
          </w:r>
        </w:sdtContent>
      </w:sdt>
      <w:r>
        <w:t xml:space="preserve"> and the City of Greater Geelong Community Plan </w:t>
      </w:r>
      <w:sdt>
        <w:sdtPr>
          <w:rPr>
            <w:color w:val="000000"/>
          </w:rPr>
          <w:tag w:val="MENDELEY_CITATION_v3_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"/>
          <w:id w:val="43190638"/>
          <w:placeholder>
            <w:docPart w:val="D7FA6FAA39773F49851699A422E06BC1"/>
          </w:placeholder>
        </w:sdtPr>
        <w:sdtContent>
          <w:r w:rsidRPr="00273871">
            <w:rPr>
              <w:color w:val="000000"/>
            </w:rPr>
            <w:t>(The City of Greater Geelong, 2021a)</w:t>
          </w:r>
        </w:sdtContent>
      </w:sdt>
    </w:p>
    <w:p w14:paraId="35859DBA" w14:textId="77777777" w:rsidR="008C1AD8" w:rsidRPr="00EE5941" w:rsidRDefault="008C1AD8" w:rsidP="008C1AD8">
      <w:pPr>
        <w:pStyle w:val="Bullet2"/>
      </w:pPr>
      <w:r>
        <w:t xml:space="preserve">Geelong Region Alliance (G21) resources </w:t>
      </w:r>
      <w:sdt>
        <w:sdtPr>
          <w:rPr>
            <w:color w:val="000000"/>
          </w:rPr>
          <w:tag w:val="MENDELEY_CITATION_v3_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803361681"/>
          <w:placeholder>
            <w:docPart w:val="D7FA6FAA39773F49851699A422E06BC1"/>
          </w:placeholder>
        </w:sdtPr>
        <w:sdtContent>
          <w:r w:rsidRPr="00273871">
            <w:rPr>
              <w:color w:val="000000"/>
            </w:rPr>
            <w:t>(Geelong Region Alliance, 2007, 2019)</w:t>
          </w:r>
        </w:sdtContent>
      </w:sdt>
    </w:p>
    <w:p w14:paraId="6200CB8D" w14:textId="77777777" w:rsidR="008C1AD8" w:rsidRDefault="008C1AD8" w:rsidP="008C1AD8">
      <w:pPr>
        <w:pStyle w:val="Heading3"/>
      </w:pPr>
      <w:r>
        <w:t>Limitations</w:t>
      </w:r>
    </w:p>
    <w:p w14:paraId="538DB80A" w14:textId="77777777" w:rsidR="008C1AD8" w:rsidRDefault="008C1AD8" w:rsidP="008C1AD8">
      <w:pPr>
        <w:keepNext/>
        <w:keepLines/>
        <w:rPr>
          <w:lang w:eastAsia="en-GB"/>
        </w:rPr>
      </w:pPr>
      <w:r>
        <w:rPr>
          <w:lang w:eastAsia="en-GB"/>
        </w:rPr>
        <w:t xml:space="preserve">The approach to the </w:t>
      </w:r>
      <w:r>
        <w:t xml:space="preserve">socio-economic </w:t>
      </w:r>
      <w:r>
        <w:rPr>
          <w:lang w:eastAsia="en-GB"/>
        </w:rPr>
        <w:t>impact assessment addresses the requirements of the ToR and EPBC Act. However, there are two key limitations. They are:</w:t>
      </w:r>
    </w:p>
    <w:p w14:paraId="7EDA2CF9" w14:textId="77777777" w:rsidR="008C1AD8" w:rsidRDefault="008C1AD8" w:rsidP="008C1AD8">
      <w:pPr>
        <w:pStyle w:val="Bullet1"/>
        <w:rPr>
          <w:lang w:eastAsia="en-GB"/>
        </w:rPr>
      </w:pPr>
      <w:r>
        <w:rPr>
          <w:lang w:eastAsia="en-GB"/>
        </w:rPr>
        <w:t xml:space="preserve">A lack of specific consultation across the Geelong community to inform the </w:t>
      </w:r>
      <w:r>
        <w:t>socio-economic</w:t>
      </w:r>
      <w:r>
        <w:rPr>
          <w:lang w:eastAsia="en-GB"/>
        </w:rPr>
        <w:t xml:space="preserve"> impact assessment</w:t>
      </w:r>
    </w:p>
    <w:p w14:paraId="12FC4864" w14:textId="77777777" w:rsidR="008C1AD8" w:rsidRDefault="008C1AD8" w:rsidP="008C1AD8">
      <w:pPr>
        <w:pStyle w:val="Bullet1"/>
        <w:rPr>
          <w:lang w:eastAsia="en-GB"/>
        </w:rPr>
      </w:pPr>
      <w:r>
        <w:rPr>
          <w:lang w:eastAsia="en-GB"/>
        </w:rPr>
        <w:t>A lack of a quantitative economic assessment</w:t>
      </w:r>
    </w:p>
    <w:p w14:paraId="7371E86F" w14:textId="77777777" w:rsidR="008C1AD8" w:rsidRDefault="008C1AD8" w:rsidP="008C1AD8">
      <w:pPr>
        <w:pStyle w:val="Heading4"/>
        <w:rPr>
          <w:lang w:eastAsia="en-GB"/>
        </w:rPr>
      </w:pPr>
      <w:r>
        <w:rPr>
          <w:lang w:eastAsia="en-GB"/>
        </w:rPr>
        <w:t>Lack of specific consultation</w:t>
      </w:r>
    </w:p>
    <w:p w14:paraId="73EEEECB" w14:textId="77777777" w:rsidR="008C1AD8" w:rsidRDefault="008C1AD8" w:rsidP="008C1AD8">
      <w:r>
        <w:t>Although information and data from consultation related to Growth Areas was utilised, this data was not specifically collected to inform a socio-economic impact assessment or was collected as part of another earlier process such as the Framework Plan or G21 planning. However, the consultation data along with other publicly socio-economic data is considered adequate to undertake a socio-economic impact assessment that addresses the ToR.</w:t>
      </w:r>
    </w:p>
    <w:p w14:paraId="304BE758" w14:textId="77777777" w:rsidR="008C1AD8" w:rsidRPr="00DF5B8D" w:rsidRDefault="008C1AD8" w:rsidP="008C1AD8">
      <w:r>
        <w:t xml:space="preserve">Additionally, the full extent of the social impact of development is difficult to capture as society is dynamic and complex </w:t>
      </w:r>
      <w:sdt>
        <w:sdtPr>
          <w:rPr>
            <w:color w:val="000000"/>
          </w:rPr>
          <w:tag w:val="MENDELEY_CITATION_v3_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"/>
          <w:id w:val="924838510"/>
          <w:placeholder>
            <w:docPart w:val="D7FA6FAA39773F49851699A422E06BC1"/>
          </w:placeholder>
        </w:sdtPr>
        <w:sdtContent>
          <w:r w:rsidRPr="00273871">
            <w:rPr>
              <w:rFonts w:eastAsia="Times New Roman"/>
              <w:color w:val="000000"/>
            </w:rPr>
            <w:t>(Vanclay, Esteves et al., 2015)</w:t>
          </w:r>
        </w:sdtContent>
      </w:sdt>
      <w:r w:rsidRPr="003426C6">
        <w:t>.</w:t>
      </w:r>
      <w:r w:rsidRPr="00BE5D9F">
        <w:rPr>
          <w:color w:val="FF0000"/>
        </w:rPr>
        <w:t xml:space="preserve"> </w:t>
      </w:r>
      <w:r>
        <w:t xml:space="preserve">It is acknowledged that therefore makes it impossible to fully understand and represent the views of all members of society. The needs of and the processes impacting on a society are constantly changing and, therefore, require assessment over time. </w:t>
      </w:r>
      <w:r w:rsidRPr="00EB6470">
        <w:t xml:space="preserve">This ongoing assessment of the </w:t>
      </w:r>
      <w:r>
        <w:t>socio-economic</w:t>
      </w:r>
      <w:r w:rsidRPr="00EB6470">
        <w:t xml:space="preserve"> impact of the Plan is built into the life of the Plan as part of the</w:t>
      </w:r>
      <w:r>
        <w:t xml:space="preserve"> adaptive management</w:t>
      </w:r>
      <w:r w:rsidRPr="00EB6470">
        <w:t xml:space="preserve"> approach </w:t>
      </w:r>
      <w:r>
        <w:t>under the</w:t>
      </w:r>
      <w:r w:rsidRPr="00EB6470">
        <w:t xml:space="preserve"> MER</w:t>
      </w:r>
      <w:r>
        <w:t xml:space="preserve">I framework (refer to </w:t>
      </w:r>
      <w:r w:rsidRPr="0046110A">
        <w:t>Chapter 2, Section 9.5).</w:t>
      </w:r>
    </w:p>
    <w:p w14:paraId="6AF6EFB6" w14:textId="77777777" w:rsidR="008C1AD8" w:rsidRDefault="008C1AD8" w:rsidP="008C1AD8">
      <w:pPr>
        <w:pStyle w:val="Heading4"/>
        <w:rPr>
          <w:lang w:eastAsia="en-GB"/>
        </w:rPr>
      </w:pPr>
      <w:r>
        <w:rPr>
          <w:lang w:eastAsia="en-GB"/>
        </w:rPr>
        <w:t>Lack of quantitative economic assessment</w:t>
      </w:r>
    </w:p>
    <w:p w14:paraId="1E5703AB" w14:textId="77777777" w:rsidR="008C1AD8" w:rsidRDefault="008C1AD8" w:rsidP="008C1AD8">
      <w:pPr>
        <w:rPr>
          <w:color w:val="000000" w:themeColor="text1"/>
          <w:lang w:eastAsia="en-GB"/>
        </w:rPr>
      </w:pPr>
      <w:r>
        <w:rPr>
          <w:color w:val="000000" w:themeColor="text1"/>
          <w:lang w:eastAsia="en-GB"/>
        </w:rPr>
        <w:t xml:space="preserve">The economic implications of implementing the Plan have only been addressed qualitatively as part of the socio-economic impact assessment. To enable a comprehensive assessment of economic impacts, quantitative data would need to be collected and analysed. However, this is not considered to be within the scope of this SAR. </w:t>
      </w:r>
    </w:p>
    <w:p w14:paraId="0B3475D7" w14:textId="77777777" w:rsidR="008C1AD8" w:rsidRPr="007B69DB" w:rsidRDefault="008C1AD8" w:rsidP="008C1AD8">
      <w:pPr>
        <w:rPr>
          <w:color w:val="000000" w:themeColor="text1"/>
          <w:lang w:eastAsia="en-GB"/>
        </w:rPr>
      </w:pPr>
      <w:r>
        <w:rPr>
          <w:color w:val="000000" w:themeColor="text1"/>
          <w:lang w:eastAsia="en-GB"/>
        </w:rPr>
        <w:t xml:space="preserve">The economic impact assessment undertaken as part of the socio-economic impact assessment </w:t>
      </w:r>
      <w:r>
        <w:t>is considered adequate to addresses the requirements of the ToR.</w:t>
      </w:r>
      <w:r>
        <w:rPr>
          <w:color w:val="000000" w:themeColor="text1"/>
          <w:lang w:eastAsia="en-GB"/>
        </w:rPr>
        <w:t xml:space="preserve"> </w:t>
      </w:r>
      <w:r>
        <w:t>Additionally, there will be</w:t>
      </w:r>
      <w:r w:rsidRPr="00EB6470">
        <w:t xml:space="preserve"> ongoing assessment of the </w:t>
      </w:r>
      <w:r>
        <w:t>socio-economic</w:t>
      </w:r>
      <w:r w:rsidRPr="00EB6470">
        <w:t xml:space="preserve"> impact of </w:t>
      </w:r>
      <w:r w:rsidRPr="00EB6470">
        <w:lastRenderedPageBreak/>
        <w:t xml:space="preserve">the Plan </w:t>
      </w:r>
      <w:r>
        <w:t>as part of</w:t>
      </w:r>
      <w:r w:rsidRPr="00EB6470">
        <w:t xml:space="preserve"> the</w:t>
      </w:r>
      <w:r>
        <w:t xml:space="preserve"> adaptive management process under the</w:t>
      </w:r>
      <w:r w:rsidRPr="00EB6470">
        <w:t xml:space="preserve"> </w:t>
      </w:r>
      <w:r>
        <w:t xml:space="preserve">Plan’s </w:t>
      </w:r>
      <w:r w:rsidRPr="00EB6470">
        <w:t>MER</w:t>
      </w:r>
      <w:r>
        <w:t xml:space="preserve">I framework. This will enable relevant assessment of economic impacts over the life of the Plan (refer to </w:t>
      </w:r>
      <w:r w:rsidRPr="0046110A">
        <w:t>Chapter 2, Section 9.5</w:t>
      </w:r>
      <w:r>
        <w:t>).</w:t>
      </w:r>
    </w:p>
    <w:p w14:paraId="76996DDA" w14:textId="77777777" w:rsidR="008C1AD8" w:rsidRDefault="008C1AD8" w:rsidP="008C1AD8">
      <w:pPr>
        <w:pStyle w:val="Heading2"/>
      </w:pPr>
      <w:bookmarkStart w:id="198" w:name="_Toc118705446"/>
      <w:bookmarkStart w:id="199" w:name="_Toc135122714"/>
      <w:r>
        <w:t>Socio-economic impact assessment</w:t>
      </w:r>
      <w:bookmarkEnd w:id="198"/>
      <w:bookmarkEnd w:id="199"/>
    </w:p>
    <w:p w14:paraId="77183F99" w14:textId="77777777" w:rsidR="008C1AD8" w:rsidRDefault="008C1AD8" w:rsidP="008C1AD8">
      <w:pPr>
        <w:pStyle w:val="Heading3"/>
      </w:pPr>
      <w:r>
        <w:t>Introduction</w:t>
      </w:r>
    </w:p>
    <w:p w14:paraId="784CD713" w14:textId="77777777" w:rsidR="008C1AD8" w:rsidRDefault="008C1AD8" w:rsidP="008C1AD8">
      <w:r>
        <w:t xml:space="preserve">This section provides the socio-economic impact assessment of the Plan. As outlined in Section </w:t>
      </w:r>
      <w:r>
        <w:fldChar w:fldCharType="begin"/>
      </w:r>
      <w:r>
        <w:instrText xml:space="preserve"> REF _Ref118189745 \r \h </w:instrText>
      </w:r>
      <w:r>
        <w:fldChar w:fldCharType="separate"/>
      </w:r>
      <w:r>
        <w:t>26.2.1</w:t>
      </w:r>
      <w:r>
        <w:fldChar w:fldCharType="end"/>
      </w:r>
      <w:r>
        <w:t xml:space="preserve">, the assessment uses the approach set out by </w:t>
      </w:r>
      <w:sdt>
        <w:sdtPr>
          <w:rPr>
            <w:color w:val="000000"/>
          </w:rPr>
          <w:tag w:val="MENDELEY_CITATION_v3_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"/>
          <w:id w:val="1450503101"/>
          <w:placeholder>
            <w:docPart w:val="D7FA6FAA39773F49851699A422E06BC1"/>
          </w:placeholder>
        </w:sdtPr>
        <w:sdtContent>
          <w:r w:rsidRPr="00273871">
            <w:rPr>
              <w:rFonts w:eastAsia="Times New Roman"/>
              <w:color w:val="000000"/>
            </w:rPr>
            <w:t>(Vanclay, Esteves et al., 2015)</w:t>
          </w:r>
        </w:sdtContent>
      </w:sdt>
      <w:r>
        <w:t xml:space="preserve"> and addresses the following aspects of the community:</w:t>
      </w:r>
    </w:p>
    <w:p w14:paraId="36E3F5E7" w14:textId="77777777" w:rsidR="008C1AD8" w:rsidRDefault="008C1AD8" w:rsidP="008C1AD8">
      <w:pPr>
        <w:pStyle w:val="Bullet1"/>
      </w:pPr>
      <w:r>
        <w:t>People’s way of life</w:t>
      </w:r>
    </w:p>
    <w:p w14:paraId="625D7E73" w14:textId="77777777" w:rsidR="008C1AD8" w:rsidRDefault="008C1AD8" w:rsidP="008C1AD8">
      <w:pPr>
        <w:pStyle w:val="Bullet1"/>
      </w:pPr>
      <w:r>
        <w:t>Their culture</w:t>
      </w:r>
    </w:p>
    <w:p w14:paraId="37C8F252" w14:textId="77777777" w:rsidR="008C1AD8" w:rsidRDefault="008C1AD8" w:rsidP="008C1AD8">
      <w:pPr>
        <w:pStyle w:val="Bullet1"/>
      </w:pPr>
      <w:r>
        <w:t>Their community</w:t>
      </w:r>
    </w:p>
    <w:p w14:paraId="330506E3" w14:textId="77777777" w:rsidR="008C1AD8" w:rsidRDefault="008C1AD8" w:rsidP="008C1AD8">
      <w:pPr>
        <w:pStyle w:val="Bullet1"/>
      </w:pPr>
      <w:r>
        <w:t>Their environment</w:t>
      </w:r>
    </w:p>
    <w:p w14:paraId="62E5F6CC" w14:textId="77777777" w:rsidR="008C1AD8" w:rsidRDefault="008C1AD8" w:rsidP="008C1AD8">
      <w:pPr>
        <w:pStyle w:val="Bullet1"/>
      </w:pPr>
      <w:r>
        <w:t>Their health and wellbeing</w:t>
      </w:r>
    </w:p>
    <w:p w14:paraId="2B39E320" w14:textId="77777777" w:rsidR="008C1AD8" w:rsidRDefault="008C1AD8" w:rsidP="008C1AD8">
      <w:pPr>
        <w:pStyle w:val="Bullet1"/>
      </w:pPr>
      <w:r>
        <w:t>Their personal and property rights</w:t>
      </w:r>
    </w:p>
    <w:p w14:paraId="66CB157E" w14:textId="77777777" w:rsidR="008C1AD8" w:rsidRDefault="008C1AD8" w:rsidP="008C1AD8">
      <w:r>
        <w:t>An overview of the socio-economic context and growth of Geelong is provided followed by an analysis of each of the aspects set out above.</w:t>
      </w:r>
    </w:p>
    <w:p w14:paraId="18047EEF" w14:textId="77777777" w:rsidR="008C1AD8" w:rsidRDefault="008C1AD8" w:rsidP="008C1AD8">
      <w:pPr>
        <w:pStyle w:val="Heading3"/>
      </w:pPr>
      <w:bookmarkStart w:id="200" w:name="_Ref118366418"/>
      <w:r>
        <w:t>Overview of the socio-economic context and growth of Geelong</w:t>
      </w:r>
      <w:bookmarkEnd w:id="200"/>
    </w:p>
    <w:p w14:paraId="7F864979" w14:textId="77777777" w:rsidR="008C1AD8" w:rsidRDefault="008C1AD8" w:rsidP="008C1AD8">
      <w:r>
        <w:t>Geelong occurs approximately 75 kilometres from Melbourne. It</w:t>
      </w:r>
      <w:r w:rsidRPr="00EA68A1">
        <w:t xml:space="preserve"> is the largest regional centre in Victoria and supports a population of over 270,000 people </w:t>
      </w:r>
      <w:sdt>
        <w:sdtPr>
          <w:rPr>
            <w:color w:val="000000"/>
          </w:rPr>
          <w:tag w:val="MENDELEY_CITATION_v3_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"/>
          <w:id w:val="-1044523583"/>
          <w:placeholder>
            <w:docPart w:val="D7FA6FAA39773F49851699A422E06BC1"/>
          </w:placeholder>
        </w:sdtPr>
        <w:sdtContent>
          <w:r w:rsidRPr="00273871">
            <w:rPr>
              <w:color w:val="000000"/>
            </w:rPr>
            <w:t>(Informed Decisions, 2022b; Remplan, 2022)</w:t>
          </w:r>
        </w:sdtContent>
      </w:sdt>
      <w:r w:rsidRPr="00EA68A1">
        <w:t xml:space="preserve">. </w:t>
      </w:r>
      <w:r>
        <w:t>The local government area is 1,252 km</w:t>
      </w:r>
      <w:r w:rsidRPr="007F7331">
        <w:rPr>
          <w:vertAlign w:val="superscript"/>
        </w:rPr>
        <w:t>2</w:t>
      </w:r>
      <w:r>
        <w:t xml:space="preserve"> in size and is comprised of country, coastal and suburban areas </w:t>
      </w:r>
      <w:sdt>
        <w:sdtPr>
          <w:rPr>
            <w:color w:val="000000"/>
          </w:rPr>
          <w:tag w:val="MENDELEY_CITATION_v3_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"/>
          <w:id w:val="-1993168349"/>
          <w:placeholder>
            <w:docPart w:val="D7FA6FAA39773F49851699A422E06BC1"/>
          </w:placeholder>
        </w:sdtPr>
        <w:sdtContent>
          <w:r w:rsidRPr="00273871">
            <w:rPr>
              <w:color w:val="000000"/>
            </w:rPr>
            <w:t>(The City of Greater Geelong, 2021a)</w:t>
          </w:r>
        </w:sdtContent>
      </w:sdt>
      <w:r>
        <w:t>.</w:t>
      </w:r>
    </w:p>
    <w:p w14:paraId="5DBD9F11" w14:textId="77777777" w:rsidR="008C1AD8" w:rsidRDefault="008C1AD8" w:rsidP="008C1AD8">
      <w:r w:rsidRPr="00EA68A1">
        <w:t xml:space="preserve">The population </w:t>
      </w:r>
      <w:r>
        <w:t xml:space="preserve">of Geelong </w:t>
      </w:r>
      <w:r w:rsidRPr="00EA68A1">
        <w:t>was recorded at 126,800 in 1981</w:t>
      </w:r>
      <w:r>
        <w:t xml:space="preserve">. </w:t>
      </w:r>
      <w:r w:rsidRPr="00EA68A1">
        <w:t xml:space="preserve">Since the early 2000s, Geelong has experienced rapid population growth </w:t>
      </w:r>
      <w:sdt>
        <w:sdtPr>
          <w:rPr>
            <w:color w:val="000000"/>
          </w:rPr>
          <w:tag w:val="MENDELEY_CITATION_v3_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"/>
          <w:id w:val="-1149889194"/>
          <w:placeholder>
            <w:docPart w:val="D7FA6FAA39773F49851699A422E06BC1"/>
          </w:placeholder>
        </w:sdtPr>
        <w:sdtContent>
          <w:r w:rsidRPr="00273871">
            <w:rPr>
              <w:color w:val="000000"/>
            </w:rPr>
            <w:t>(DELWP, 2010)</w:t>
          </w:r>
        </w:sdtContent>
      </w:sdt>
      <w:r w:rsidRPr="00EA68A1">
        <w:t xml:space="preserve">. The population is expected to grow to 393,216 by 2041 </w:t>
      </w:r>
      <w:sdt>
        <w:sdtPr>
          <w:rPr>
            <w:color w:val="000000"/>
          </w:rPr>
          <w:tag w:val="MENDELEY_CITATION_v3_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"/>
          <w:id w:val="836273369"/>
          <w:placeholder>
            <w:docPart w:val="D7FA6FAA39773F49851699A422E06BC1"/>
          </w:placeholder>
        </w:sdtPr>
        <w:sdtContent>
          <w:r w:rsidRPr="00273871">
            <w:rPr>
              <w:color w:val="000000"/>
            </w:rPr>
            <w:t>(The City of Greater Geelong, 2022b)</w:t>
          </w:r>
        </w:sdtContent>
      </w:sdt>
      <w:r w:rsidRPr="00EA68A1">
        <w:t>.</w:t>
      </w:r>
      <w:r>
        <w:t xml:space="preserve"> </w:t>
      </w:r>
    </w:p>
    <w:p w14:paraId="4E8C2F9C" w14:textId="77777777" w:rsidR="008C1AD8" w:rsidRPr="00371F4F" w:rsidRDefault="008C1AD8" w:rsidP="008C1AD8">
      <w:r w:rsidRPr="00371F4F">
        <w:t>The population is diverse in age, with the most dominant age groups as of 2021 being 35 – 49 (18.9 per cent of the population) and 25 – 34 (14.1 per cent of the population)</w:t>
      </w:r>
      <w:r>
        <w:t xml:space="preserve">. </w:t>
      </w:r>
      <w:r w:rsidRPr="00371F4F">
        <w:t xml:space="preserve">Geelong appears to be supporting an increasingly aging population </w:t>
      </w:r>
      <w:sdt>
        <w:sdtPr>
          <w:rPr>
            <w:color w:val="000000"/>
          </w:rPr>
          <w:tag w:val="MENDELEY_CITATION_v3_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"/>
          <w:id w:val="210235022"/>
          <w:placeholder>
            <w:docPart w:val="D7FA6FAA39773F49851699A422E06BC1"/>
          </w:placeholder>
        </w:sdtPr>
        <w:sdtContent>
          <w:r w:rsidRPr="00273871">
            <w:rPr>
              <w:color w:val="000000"/>
            </w:rPr>
            <w:t>(Informed Decisions, 2022b)</w:t>
          </w:r>
        </w:sdtContent>
      </w:sdt>
      <w:r w:rsidRPr="00371F4F">
        <w:t>.</w:t>
      </w:r>
    </w:p>
    <w:p w14:paraId="730B44BE" w14:textId="77777777" w:rsidR="008C1AD8" w:rsidRDefault="008C1AD8" w:rsidP="008C1AD8">
      <w:r>
        <w:t xml:space="preserve">Geelong has had strong economic growth in recent years, with an estimated Gross Regional Product of $15.4 billion, 19,600 businesses, and 120,000 local jobs. When compared to similar regions and cities across Australia, Geelong has had the higher growth in Gross Regional Product, jobs, and employment </w:t>
      </w:r>
      <w:sdt>
        <w:sdtPr>
          <w:rPr>
            <w:color w:val="000000"/>
          </w:rPr>
          <w:tag w:val="MENDELEY_CITATION_v3_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"/>
          <w:id w:val="-1877381598"/>
          <w:placeholder>
            <w:docPart w:val="D7FA6FAA39773F49851699A422E06BC1"/>
          </w:placeholder>
        </w:sdtPr>
        <w:sdtContent>
          <w:r w:rsidRPr="00273871">
            <w:rPr>
              <w:color w:val="000000"/>
            </w:rPr>
            <w:t>(The City of Greater Geelong, 2022d)</w:t>
          </w:r>
        </w:sdtContent>
      </w:sdt>
      <w:r>
        <w:t xml:space="preserve">. Dominant industry sectors in Geelong include </w:t>
      </w:r>
      <w:sdt>
        <w:sdtPr>
          <w:rPr>
            <w:color w:val="000000"/>
          </w:rPr>
          <w:tag w:val="MENDELEY_CITATION_v3_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"/>
          <w:id w:val="982962547"/>
          <w:placeholder>
            <w:docPart w:val="D7FA6FAA39773F49851699A422E06BC1"/>
          </w:placeholder>
        </w:sdtPr>
        <w:sdtContent>
          <w:r w:rsidRPr="00273871">
            <w:rPr>
              <w:color w:val="000000"/>
            </w:rPr>
            <w:t>(Informed Decisions, 2022b; The City of Greater Geelong, 2022d)</w:t>
          </w:r>
        </w:sdtContent>
      </w:sdt>
      <w:r>
        <w:t>:</w:t>
      </w:r>
    </w:p>
    <w:p w14:paraId="12591B65" w14:textId="77777777" w:rsidR="008C1AD8" w:rsidRDefault="008C1AD8" w:rsidP="008C1AD8">
      <w:pPr>
        <w:pStyle w:val="Bullet1"/>
      </w:pPr>
      <w:r>
        <w:t>Healthcare and social assistance</w:t>
      </w:r>
    </w:p>
    <w:p w14:paraId="7F7CBA98" w14:textId="77777777" w:rsidR="008C1AD8" w:rsidRDefault="008C1AD8" w:rsidP="008C1AD8">
      <w:pPr>
        <w:pStyle w:val="Bullet1"/>
      </w:pPr>
      <w:r>
        <w:t>Retail trade</w:t>
      </w:r>
    </w:p>
    <w:p w14:paraId="6F0F4F4E" w14:textId="77777777" w:rsidR="008C1AD8" w:rsidRDefault="008C1AD8" w:rsidP="008C1AD8">
      <w:pPr>
        <w:pStyle w:val="Bullet1"/>
      </w:pPr>
      <w:r>
        <w:t>Construction</w:t>
      </w:r>
    </w:p>
    <w:p w14:paraId="3962475E" w14:textId="77777777" w:rsidR="008C1AD8" w:rsidRDefault="008C1AD8" w:rsidP="008C1AD8">
      <w:pPr>
        <w:pStyle w:val="Bullet1"/>
      </w:pPr>
      <w:r>
        <w:t>Education and training</w:t>
      </w:r>
    </w:p>
    <w:p w14:paraId="0A58A782" w14:textId="77777777" w:rsidR="008C1AD8" w:rsidRDefault="008C1AD8" w:rsidP="008C1AD8">
      <w:pPr>
        <w:pStyle w:val="Bullet1"/>
      </w:pPr>
      <w:r>
        <w:t>Public administration and safety</w:t>
      </w:r>
    </w:p>
    <w:p w14:paraId="061EEF36" w14:textId="77777777" w:rsidR="008C1AD8" w:rsidRPr="00371F4F" w:rsidRDefault="008C1AD8" w:rsidP="008C1AD8">
      <w:pPr>
        <w:pStyle w:val="Bullet1"/>
      </w:pPr>
      <w:r>
        <w:t>Manufacturing</w:t>
      </w:r>
    </w:p>
    <w:p w14:paraId="6BCB9AF2" w14:textId="77777777" w:rsidR="008C1AD8" w:rsidRDefault="008C1AD8" w:rsidP="008C1AD8">
      <w:pPr>
        <w:pStyle w:val="Heading4"/>
      </w:pPr>
      <w:r>
        <w:t xml:space="preserve">Wadawurrung Country </w:t>
      </w:r>
    </w:p>
    <w:p w14:paraId="7D0415D2" w14:textId="77777777" w:rsidR="008C1AD8" w:rsidRDefault="008C1AD8" w:rsidP="008C1AD8">
      <w:r>
        <w:t xml:space="preserve">The Country known now as Geelong was occupied for at least 45,000 years by traditional owners prior to European Settlement. The traditional owners are the Wadawurrung Aboriginal people, meaning “the people who belong to the water”. Geelong occurs within the area of the Kulin Nation, comprised of five communities including Wadawurrung. Land of the Kulin people covers approximately two million hectares. Communities of the Kulin Nation share similar languages and the same belief system </w:t>
      </w:r>
      <w:sdt>
        <w:sdtPr>
          <w:rPr>
            <w:color w:val="000000"/>
          </w:rPr>
          <w:tag w:val="MENDELEY_CITATION_v3_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"/>
          <w:id w:val="560990918"/>
          <w:placeholder>
            <w:docPart w:val="D7FA6FAA39773F49851699A422E06BC1"/>
          </w:placeholder>
        </w:sdtPr>
        <w:sdtContent>
          <w:r w:rsidRPr="00273871">
            <w:rPr>
              <w:color w:val="000000"/>
            </w:rPr>
            <w:t>(Rowe, 2021)</w:t>
          </w:r>
        </w:sdtContent>
      </w:sdt>
      <w:r>
        <w:t xml:space="preserve">. </w:t>
      </w:r>
    </w:p>
    <w:p w14:paraId="20C60650" w14:textId="77777777" w:rsidR="008C1AD8" w:rsidRDefault="008C1AD8" w:rsidP="008C1AD8">
      <w:pPr>
        <w:rPr>
          <w:color w:val="FF0000"/>
        </w:rPr>
      </w:pPr>
      <w:r>
        <w:t xml:space="preserve">The Wadawurrung is comprised of 25 clans, each of which speak the same language or a similar dialect. The Wadawurrung people lived in the Geelong landscape in accordance with seasonal changes </w:t>
      </w:r>
      <w:sdt>
        <w:sdtPr>
          <w:rPr>
            <w:color w:val="000000"/>
          </w:rPr>
          <w:tag w:val="MENDELEY_CITATION_v3_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"/>
          <w:id w:val="1870802711"/>
          <w:placeholder>
            <w:docPart w:val="D7FA6FAA39773F49851699A422E06BC1"/>
          </w:placeholder>
        </w:sdtPr>
        <w:sdtContent>
          <w:r w:rsidRPr="00273871">
            <w:rPr>
              <w:color w:val="000000"/>
            </w:rPr>
            <w:t>(Rowe, 2021)</w:t>
          </w:r>
        </w:sdtContent>
      </w:sdt>
      <w:r w:rsidRPr="00595E4F">
        <w:rPr>
          <w:color w:val="000000" w:themeColor="text1"/>
        </w:rPr>
        <w:t xml:space="preserve">. </w:t>
      </w:r>
    </w:p>
    <w:p w14:paraId="67ECE9A0" w14:textId="77777777" w:rsidR="008C1AD8" w:rsidRDefault="008C1AD8" w:rsidP="008C1AD8">
      <w:r>
        <w:lastRenderedPageBreak/>
        <w:t xml:space="preserve">European settlement had a devastating impact on the Wadawurrung people, including the dispossession of traditional land practices, food gathering and customs. The Wadawurrung population was also severely impacted by the introduction of European diseases. European settlement was responsible for conflict between the Wadawurrung people and settlers, resulting in a number of killings of Wadawurrung people. European settlement also increased tension and conflict between Aboriginal language groups </w:t>
      </w:r>
      <w:sdt>
        <w:sdtPr>
          <w:rPr>
            <w:color w:val="000000"/>
          </w:rPr>
          <w:tag w:val="MENDELEY_CITATION_v3_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"/>
          <w:id w:val="2091570779"/>
          <w:placeholder>
            <w:docPart w:val="D7FA6FAA39773F49851699A422E06BC1"/>
          </w:placeholder>
        </w:sdtPr>
        <w:sdtContent>
          <w:r w:rsidRPr="00273871">
            <w:rPr>
              <w:color w:val="000000"/>
            </w:rPr>
            <w:t>(Rowe, 2021)</w:t>
          </w:r>
        </w:sdtContent>
      </w:sdt>
      <w:r>
        <w:t xml:space="preserve">. </w:t>
      </w:r>
    </w:p>
    <w:p w14:paraId="06CB92AB" w14:textId="77777777" w:rsidR="008C1AD8" w:rsidRPr="00595E4F" w:rsidRDefault="008C1AD8" w:rsidP="008C1AD8">
      <w:r>
        <w:t xml:space="preserve">European settlement reduced the Wadawurrung population from thousands to about 70 people. The Wadawurrung population today is comprised of approximately 600 people, all descendants of the apical ancestor John Robertson </w:t>
      </w:r>
      <w:sdt>
        <w:sdtPr>
          <w:rPr>
            <w:color w:val="000000"/>
          </w:rPr>
          <w:tag w:val="MENDELEY_CITATION_v3_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"/>
          <w:id w:val="-1080133119"/>
          <w:placeholder>
            <w:docPart w:val="D7FA6FAA39773F49851699A422E06BC1"/>
          </w:placeholder>
        </w:sdtPr>
        <w:sdtContent>
          <w:r w:rsidRPr="00273871">
            <w:rPr>
              <w:color w:val="000000"/>
            </w:rPr>
            <w:t>(Wadawurrung Traditional Owners Aboriginal Corporation, 2020)</w:t>
          </w:r>
        </w:sdtContent>
      </w:sdt>
      <w:r>
        <w:t>.</w:t>
      </w:r>
    </w:p>
    <w:p w14:paraId="4AC6610B" w14:textId="77777777" w:rsidR="008C1AD8" w:rsidRDefault="008C1AD8" w:rsidP="008C1AD8">
      <w:pPr>
        <w:pStyle w:val="Heading4"/>
      </w:pPr>
      <w:r>
        <w:t>Post European settlement</w:t>
      </w:r>
    </w:p>
    <w:p w14:paraId="3785C24E" w14:textId="77777777" w:rsidR="008C1AD8" w:rsidRPr="00472F29" w:rsidRDefault="008C1AD8" w:rsidP="008C1AD8">
      <w:r w:rsidRPr="00472F29">
        <w:t xml:space="preserve">The earliest European exploration of Geelong was in 1802 by Lieutenant John Murray. Pastoralists arrived at Point Henry in the 1830s </w:t>
      </w:r>
      <w:sdt>
        <w:sdtPr>
          <w:rPr>
            <w:color w:val="000000"/>
          </w:rPr>
          <w:tag w:val="MENDELEY_CITATION_v3_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"/>
          <w:id w:val="1388532562"/>
          <w:placeholder>
            <w:docPart w:val="D7FA6FAA39773F49851699A422E06BC1"/>
          </w:placeholder>
        </w:sdtPr>
        <w:sdtContent>
          <w:r w:rsidRPr="00273871">
            <w:rPr>
              <w:color w:val="000000"/>
            </w:rPr>
            <w:t>(Rowe, 2021)</w:t>
          </w:r>
        </w:sdtContent>
      </w:sdt>
      <w:r w:rsidRPr="00472F29">
        <w:t xml:space="preserve">. Geelong’s industry began with an emphasis on wool production and sheep farming. For many years, Geelong was known as the wool centre of the world </w:t>
      </w:r>
      <w:sdt>
        <w:sdtPr>
          <w:rPr>
            <w:color w:val="000000"/>
          </w:rPr>
          <w:tag w:val="MENDELEY_CITATION_v3_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"/>
          <w:id w:val="1019362663"/>
          <w:placeholder>
            <w:docPart w:val="D7FA6FAA39773F49851699A422E06BC1"/>
          </w:placeholder>
        </w:sdtPr>
        <w:sdtContent>
          <w:r w:rsidRPr="00273871">
            <w:rPr>
              <w:color w:val="000000"/>
            </w:rPr>
            <w:t>(Visit Victoria, 2022)</w:t>
          </w:r>
        </w:sdtContent>
      </w:sdt>
      <w:r w:rsidRPr="00472F29">
        <w:t xml:space="preserve">. </w:t>
      </w:r>
    </w:p>
    <w:p w14:paraId="217C05FA" w14:textId="77777777" w:rsidR="008C1AD8" w:rsidRPr="00472F29" w:rsidRDefault="008C1AD8" w:rsidP="008C1AD8">
      <w:r w:rsidRPr="00472F29">
        <w:t xml:space="preserve">The twentieth century saw an expansion in the manufacturing sector in Geelong </w:t>
      </w:r>
      <w:sdt>
        <w:sdtPr>
          <w:rPr>
            <w:color w:val="000000"/>
          </w:rPr>
          <w:tag w:val="MENDELEY_CITATION_v3_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"/>
          <w:id w:val="-1543434308"/>
          <w:placeholder>
            <w:docPart w:val="D7FA6FAA39773F49851699A422E06BC1"/>
          </w:placeholder>
        </w:sdtPr>
        <w:sdtContent>
          <w:r w:rsidRPr="00273871">
            <w:rPr>
              <w:color w:val="000000"/>
            </w:rPr>
            <w:t>(DELWP, 2010)</w:t>
          </w:r>
        </w:sdtContent>
      </w:sdt>
      <w:r w:rsidRPr="00472F29">
        <w:t xml:space="preserve">. During this time, a number of large companies established a presence in Geelong including Ford Motor Company, Cresco fertilisers, Godfrey Hirst, and Pilkington’s Glass. For much of the twentieth century, Geelong was considered a booming regional manufacturing centre </w:t>
      </w:r>
      <w:sdt>
        <w:sdtPr>
          <w:rPr>
            <w:color w:val="000000"/>
          </w:rPr>
          <w:tag w:val="MENDELEY_CITATION_v3_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"/>
          <w:id w:val="-925489000"/>
          <w:placeholder>
            <w:docPart w:val="D7FA6FAA39773F49851699A422E06BC1"/>
          </w:placeholder>
        </w:sdtPr>
        <w:sdtContent>
          <w:r w:rsidRPr="00273871">
            <w:rPr>
              <w:color w:val="000000"/>
            </w:rPr>
            <w:t>(Johnson, Bartel et al., 2020)</w:t>
          </w:r>
        </w:sdtContent>
      </w:sdt>
      <w:r w:rsidRPr="00472F29">
        <w:t>.</w:t>
      </w:r>
    </w:p>
    <w:p w14:paraId="2DFE00EB" w14:textId="77777777" w:rsidR="008C1AD8" w:rsidRPr="00472F29" w:rsidRDefault="008C1AD8" w:rsidP="008C1AD8">
      <w:r w:rsidRPr="00472F29">
        <w:t xml:space="preserve">The economy of Geelong experienced a shift towards professional services, health care and education in the twenty-first century </w:t>
      </w:r>
      <w:sdt>
        <w:sdtPr>
          <w:rPr>
            <w:color w:val="000000"/>
          </w:rPr>
          <w:tag w:val="MENDELEY_CITATION_v3_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"/>
          <w:id w:val="791485192"/>
          <w:placeholder>
            <w:docPart w:val="D7FA6FAA39773F49851699A422E06BC1"/>
          </w:placeholder>
        </w:sdtPr>
        <w:sdtContent>
          <w:r w:rsidRPr="00273871">
            <w:rPr>
              <w:color w:val="000000"/>
            </w:rPr>
            <w:t>(Johnson, Bartel et al., 2020)</w:t>
          </w:r>
        </w:sdtContent>
      </w:sdt>
      <w:r w:rsidRPr="00472F29">
        <w:t xml:space="preserve">. The decline in manufacturing in Geelong has had a strong impact on the region, causing unemployment and a level of social disadvantage in some areas. Despite these changes, Geelong is still considered as a manufacturing centre, although the nature of the industry has shifted towards jobs that require higher skill levels and capital modes of production </w:t>
      </w:r>
      <w:sdt>
        <w:sdtPr>
          <w:rPr>
            <w:color w:val="000000"/>
          </w:rPr>
          <w:tag w:val="MENDELEY_CITATION_v3_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"/>
          <w:id w:val="780530298"/>
          <w:placeholder>
            <w:docPart w:val="D7FA6FAA39773F49851699A422E06BC1"/>
          </w:placeholder>
        </w:sdtPr>
        <w:sdtContent>
          <w:r w:rsidRPr="00273871">
            <w:rPr>
              <w:color w:val="000000"/>
            </w:rPr>
            <w:t>(DELWP, 2010)</w:t>
          </w:r>
        </w:sdtContent>
      </w:sdt>
      <w:r w:rsidRPr="00472F29">
        <w:t>.</w:t>
      </w:r>
    </w:p>
    <w:p w14:paraId="0475FA96" w14:textId="77777777" w:rsidR="008C1AD8" w:rsidRPr="00472F29" w:rsidRDefault="008C1AD8" w:rsidP="008C1AD8">
      <w:r w:rsidRPr="00472F29">
        <w:t xml:space="preserve">Since the initial arrival of Europeans, Greater Geelong has welcomed immigrants from many parts of the world shaping the multicultural population observed today </w:t>
      </w:r>
      <w:sdt>
        <w:sdtPr>
          <w:rPr>
            <w:color w:val="000000"/>
          </w:rPr>
          <w:tag w:val="MENDELEY_CITATION_v3_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"/>
          <w:id w:val="1539543619"/>
          <w:placeholder>
            <w:docPart w:val="D7FA6FAA39773F49851699A422E06BC1"/>
          </w:placeholder>
        </w:sdtPr>
        <w:sdtContent>
          <w:r w:rsidRPr="00273871">
            <w:rPr>
              <w:color w:val="000000"/>
            </w:rPr>
            <w:t>(Rowe, 2021)</w:t>
          </w:r>
        </w:sdtContent>
      </w:sdt>
      <w:r w:rsidRPr="00472F29">
        <w:t>.</w:t>
      </w:r>
    </w:p>
    <w:p w14:paraId="3D1AFD59" w14:textId="77777777" w:rsidR="008C1AD8" w:rsidRDefault="008C1AD8" w:rsidP="008C1AD8">
      <w:pPr>
        <w:pStyle w:val="Heading4"/>
      </w:pPr>
      <w:r>
        <w:t>Socio-economic growth and development within the Growth Areas</w:t>
      </w:r>
    </w:p>
    <w:p w14:paraId="4F76034B" w14:textId="77777777" w:rsidR="008C1AD8" w:rsidRDefault="008C1AD8" w:rsidP="008C1AD8">
      <w:pPr>
        <w:pStyle w:val="Heading5"/>
      </w:pPr>
      <w:r>
        <w:t>G21 and the identification of the Growth Areas</w:t>
      </w:r>
    </w:p>
    <w:p w14:paraId="7D69246A" w14:textId="77777777" w:rsidR="008C1AD8" w:rsidRDefault="008C1AD8" w:rsidP="008C1AD8">
      <w:r>
        <w:t>The growth of Geelong has long been recognised. To help address the</w:t>
      </w:r>
      <w:r w:rsidRPr="00681866">
        <w:t xml:space="preserve"> </w:t>
      </w:r>
      <w:r w:rsidRPr="00940144">
        <w:t>challenges and opportunities</w:t>
      </w:r>
      <w:r>
        <w:t xml:space="preserve"> associated with the growth of the region, the Geelong Region Alliance was established. The region alliance is a collaboration between government, business and the local community within the Geelong region (G21 region)</w:t>
      </w:r>
      <w:r w:rsidRPr="003C7BC0">
        <w:t xml:space="preserve"> </w:t>
      </w:r>
      <w:sdt>
        <w:sdtPr>
          <w:rPr>
            <w:color w:val="000000"/>
          </w:rPr>
          <w:tag w:val="MENDELEY_CITATION_v3_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"/>
          <w:id w:val="789551638"/>
          <w:placeholder>
            <w:docPart w:val="D7FA6FAA39773F49851699A422E06BC1"/>
          </w:placeholder>
        </w:sdtPr>
        <w:sdtContent>
          <w:r w:rsidRPr="00273871">
            <w:rPr>
              <w:color w:val="000000"/>
            </w:rPr>
            <w:t>(Geelong Region Alliance, 2007)</w:t>
          </w:r>
        </w:sdtContent>
      </w:sdt>
      <w:r>
        <w:t>.</w:t>
      </w:r>
    </w:p>
    <w:p w14:paraId="45A70459" w14:textId="77777777" w:rsidR="008C1AD8" w:rsidRDefault="008C1AD8" w:rsidP="008C1AD8">
      <w:r>
        <w:t xml:space="preserve">The region alliance has undertaken a range of work to </w:t>
      </w:r>
      <w:r w:rsidRPr="00940144">
        <w:t xml:space="preserve">addresses the challenges and opportunities </w:t>
      </w:r>
      <w:r>
        <w:t xml:space="preserve">of future growth in </w:t>
      </w:r>
      <w:r w:rsidRPr="00940144">
        <w:t>the G21 region</w:t>
      </w:r>
      <w:r>
        <w:t xml:space="preserve">, including the development of </w:t>
      </w:r>
      <w:r w:rsidRPr="00940144">
        <w:t>the</w:t>
      </w:r>
      <w:r w:rsidRPr="00940144">
        <w:rPr>
          <w:i/>
          <w:iCs/>
        </w:rPr>
        <w:t xml:space="preserve"> G21 Geelong Region Plan – a sustainable growth strategy</w:t>
      </w:r>
      <w:r>
        <w:t xml:space="preserve"> (G21 Region Plan) </w:t>
      </w:r>
      <w:sdt>
        <w:sdtPr>
          <w:rPr>
            <w:color w:val="000000"/>
          </w:rPr>
          <w:tag w:val="MENDELEY_CITATION_v3_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"/>
          <w:id w:val="353006473"/>
          <w:placeholder>
            <w:docPart w:val="D7FA6FAA39773F49851699A422E06BC1"/>
          </w:placeholder>
        </w:sdtPr>
        <w:sdtContent>
          <w:r w:rsidRPr="00273871">
            <w:rPr>
              <w:color w:val="000000"/>
            </w:rPr>
            <w:t>(Geelong Region Alliance, 2007)</w:t>
          </w:r>
        </w:sdtContent>
      </w:sdt>
      <w:r>
        <w:t xml:space="preserve">. The G21 Region Plan was developed to establish a strategic framework for the </w:t>
      </w:r>
      <w:r w:rsidRPr="00E52040">
        <w:t>environment, settlement, land use, community cohesion and the economy</w:t>
      </w:r>
      <w:r>
        <w:t xml:space="preserve"> in the G21 region. The region plan identified how challenges for future growth may be addressed, including the delivery of </w:t>
      </w:r>
      <w:r w:rsidRPr="00E52040">
        <w:t xml:space="preserve">priority projects to </w:t>
      </w:r>
      <w:r>
        <w:t>enable</w:t>
      </w:r>
      <w:r w:rsidRPr="00E52040">
        <w:t xml:space="preserve"> future productivity, liveability and sustainability</w:t>
      </w:r>
      <w:r>
        <w:t xml:space="preserve">. The research undertaken to inform the G21 region plan included a projection of future population growth within the G21 region of 500,000 people by 2050 </w:t>
      </w:r>
      <w:sdt>
        <w:sdtPr>
          <w:rPr>
            <w:color w:val="000000"/>
          </w:rPr>
          <w:tag w:val="MENDELEY_CITATION_v3_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"/>
          <w:id w:val="201520354"/>
          <w:placeholder>
            <w:docPart w:val="D7FA6FAA39773F49851699A422E06BC1"/>
          </w:placeholder>
        </w:sdtPr>
        <w:sdtContent>
          <w:r w:rsidRPr="00273871">
            <w:rPr>
              <w:color w:val="000000"/>
            </w:rPr>
            <w:t>(Geelong Region Alliance, 2007)</w:t>
          </w:r>
        </w:sdtContent>
      </w:sdt>
      <w:r>
        <w:t>.</w:t>
      </w:r>
    </w:p>
    <w:p w14:paraId="335E9E54" w14:textId="77777777" w:rsidR="008C1AD8" w:rsidRPr="00371C2F" w:rsidRDefault="008C1AD8" w:rsidP="008C1AD8">
      <w:r>
        <w:t xml:space="preserve">Further documents to build upon the initial G21 Region Plan were also developed. The </w:t>
      </w:r>
      <w:r w:rsidRPr="00082852">
        <w:rPr>
          <w:i/>
          <w:iCs/>
        </w:rPr>
        <w:t xml:space="preserve">G21 Regional Growth Plan </w:t>
      </w:r>
      <w:r>
        <w:t xml:space="preserve">established a framework for strategic land use and settlement planning to promote a self-sustaining region that supports a stronger and more robust economy and attracts a diverse community </w:t>
      </w:r>
      <w:sdt>
        <w:sdtPr>
          <w:rPr>
            <w:color w:val="000000"/>
          </w:rPr>
          <w:tag w:val="MENDELEY_CITATION_v3_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"/>
          <w:id w:val="-966667639"/>
          <w:placeholder>
            <w:docPart w:val="D7FA6FAA39773F49851699A422E06BC1"/>
          </w:placeholder>
        </w:sdtPr>
        <w:sdtContent>
          <w:r w:rsidRPr="00273871">
            <w:rPr>
              <w:color w:val="000000"/>
            </w:rPr>
            <w:t>(Geelong Region Alliance, 2013)</w:t>
          </w:r>
        </w:sdtContent>
      </w:sdt>
      <w:r>
        <w:t>.</w:t>
      </w:r>
      <w:r w:rsidRPr="00082852">
        <w:t xml:space="preserve"> </w:t>
      </w:r>
      <w:r>
        <w:t xml:space="preserve">The </w:t>
      </w:r>
      <w:r w:rsidRPr="00681866">
        <w:rPr>
          <w:i/>
          <w:iCs/>
        </w:rPr>
        <w:t>G21</w:t>
      </w:r>
      <w:r>
        <w:rPr>
          <w:i/>
          <w:iCs/>
        </w:rPr>
        <w:t xml:space="preserve"> Region</w:t>
      </w:r>
      <w:r w:rsidRPr="00681866">
        <w:rPr>
          <w:i/>
          <w:iCs/>
        </w:rPr>
        <w:t xml:space="preserve"> Economic Development Strategy</w:t>
      </w:r>
      <w:r>
        <w:rPr>
          <w:i/>
          <w:iCs/>
        </w:rPr>
        <w:t xml:space="preserve"> </w:t>
      </w:r>
      <w:r>
        <w:t xml:space="preserve">identified the key initiatives that are most critical in driving beneficial socio-economic growth for the region and how they are supported by broader strategic objectives </w:t>
      </w:r>
      <w:sdt>
        <w:sdtPr>
          <w:rPr>
            <w:color w:val="000000"/>
          </w:rPr>
          <w:tag w:val="MENDELEY_CITATION_v3_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"/>
          <w:id w:val="582183445"/>
          <w:placeholder>
            <w:docPart w:val="D7FA6FAA39773F49851699A422E06BC1"/>
          </w:placeholder>
        </w:sdtPr>
        <w:sdtContent>
          <w:r w:rsidRPr="00273871">
            <w:rPr>
              <w:color w:val="000000"/>
            </w:rPr>
            <w:t>(Geelong Region Alliance, 2014)</w:t>
          </w:r>
        </w:sdtContent>
      </w:sdt>
      <w:r>
        <w:t xml:space="preserve">. The </w:t>
      </w:r>
      <w:r>
        <w:rPr>
          <w:i/>
          <w:iCs/>
        </w:rPr>
        <w:t xml:space="preserve">G21 Region Profile </w:t>
      </w:r>
      <w:r>
        <w:t xml:space="preserve">was prepared in 2019 and provides updated region-level demographic, socio-economic, health, community, environmental and economic data </w:t>
      </w:r>
      <w:sdt>
        <w:sdtPr>
          <w:rPr>
            <w:color w:val="000000"/>
          </w:rPr>
          <w:tag w:val="MENDELEY_CITATION_v3_eyJjaXRhdGlvbklEIjoiTUVOREVMRVlfQ0lUQVRJT05fMTgzMWY4YTItM2FmMC00NzIzLWE0YTUtMjgxNDg0NDk4NDZi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2112504326"/>
          <w:placeholder>
            <w:docPart w:val="D7FA6FAA39773F49851699A422E06BC1"/>
          </w:placeholder>
        </w:sdtPr>
        <w:sdtContent>
          <w:r w:rsidRPr="00273871">
            <w:rPr>
              <w:color w:val="000000"/>
            </w:rPr>
            <w:t>(Geelong Region Alliance, 2019)</w:t>
          </w:r>
        </w:sdtContent>
      </w:sdt>
      <w:r>
        <w:t>.</w:t>
      </w:r>
    </w:p>
    <w:p w14:paraId="4FECC7BE" w14:textId="77777777" w:rsidR="008C1AD8" w:rsidRDefault="008C1AD8" w:rsidP="008C1AD8">
      <w:r>
        <w:t>The work undertaken as part of the G21 identified the Growth Areas as ‘further investigation areas’ to support the projected future urban growth and informed the subsequent development of the Framework Plan.</w:t>
      </w:r>
    </w:p>
    <w:p w14:paraId="49B7ABF3" w14:textId="77777777" w:rsidR="008C1AD8" w:rsidRDefault="008C1AD8" w:rsidP="008C1AD8">
      <w:pPr>
        <w:pStyle w:val="Heading5"/>
      </w:pPr>
      <w:r>
        <w:t>The Framework Plan</w:t>
      </w:r>
    </w:p>
    <w:p w14:paraId="264C60A5" w14:textId="77777777" w:rsidR="008C1AD8" w:rsidRDefault="008C1AD8" w:rsidP="008C1AD8">
      <w:r>
        <w:t xml:space="preserve">The City subsequently developed the </w:t>
      </w:r>
      <w:r w:rsidRPr="008D523C">
        <w:rPr>
          <w:rFonts w:cs="Arial"/>
          <w:i/>
        </w:rPr>
        <w:t>Northern and Western Geelong Growth Area</w:t>
      </w:r>
      <w:r>
        <w:rPr>
          <w:rFonts w:cs="Arial"/>
          <w:i/>
        </w:rPr>
        <w:t>s</w:t>
      </w:r>
      <w:r w:rsidRPr="008D523C">
        <w:rPr>
          <w:rFonts w:cs="Arial"/>
          <w:i/>
        </w:rPr>
        <w:t xml:space="preserve"> Framework Plan </w:t>
      </w:r>
      <w:r w:rsidRPr="007E6DFF">
        <w:rPr>
          <w:rFonts w:cs="Arial"/>
          <w:iCs/>
        </w:rPr>
        <w:t>(the Framework Plan)</w:t>
      </w:r>
      <w:r>
        <w:rPr>
          <w:rFonts w:cs="Arial"/>
          <w:iCs/>
        </w:rPr>
        <w:t xml:space="preserve"> </w:t>
      </w:r>
      <w:sdt>
        <w:sdtPr>
          <w:rPr>
            <w:rFonts w:cs="Arial"/>
            <w:iCs/>
            <w:color w:val="000000"/>
          </w:rPr>
          <w:tag w:val="MENDELEY_CITATION_v3_eyJjaXRhdGlvbklEIjoiTUVOREVMRVlfQ0lUQVRJT05fMWRhY2ZhMjgtZjdlMC00MzIxLTg3YjEtMGUzNTZhMzIwMTE4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603619524"/>
          <w:placeholder>
            <w:docPart w:val="D7FA6FAA39773F49851699A422E06BC1"/>
          </w:placeholder>
        </w:sdtPr>
        <w:sdtEndPr>
          <w:rPr>
            <w:rFonts w:cs="Times New Roman"/>
            <w:iCs w:val="0"/>
          </w:rPr>
        </w:sdtEndPr>
        <w:sdtContent>
          <w:r w:rsidRPr="00273871">
            <w:rPr>
              <w:color w:val="000000"/>
            </w:rPr>
            <w:t>(The City of Greater Geelong, 2021b)</w:t>
          </w:r>
        </w:sdtContent>
      </w:sdt>
      <w:r>
        <w:rPr>
          <w:rFonts w:cs="Arial"/>
          <w:iCs/>
        </w:rPr>
        <w:t xml:space="preserve">, which describes the Growth Areas and outlines considerations for their future </w:t>
      </w:r>
      <w:r>
        <w:rPr>
          <w:rFonts w:cs="Arial"/>
          <w:iCs/>
        </w:rPr>
        <w:lastRenderedPageBreak/>
        <w:t>development until 2047.</w:t>
      </w:r>
      <w:r>
        <w:t xml:space="preserve"> The Growth Areas are the key areas identified for development to support Geelong’s long-term growth. This growth is driven by a strong economy and employment opportunities that are expected to continue in the coming decades </w:t>
      </w:r>
      <w:sdt>
        <w:sdtPr>
          <w:rPr>
            <w:color w:val="000000"/>
          </w:rPr>
          <w:tag w:val="MENDELEY_CITATION_v3_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"/>
          <w:id w:val="-930508907"/>
          <w:placeholder>
            <w:docPart w:val="D7FA6FAA39773F49851699A422E06BC1"/>
          </w:placeholder>
        </w:sdtPr>
        <w:sdtContent>
          <w:r w:rsidRPr="00273871">
            <w:rPr>
              <w:color w:val="000000"/>
            </w:rPr>
            <w:t>(Geelong Region Alliance, 2007; The City of Greater Geelong, 2021b)</w:t>
          </w:r>
        </w:sdtContent>
      </w:sdt>
      <w:r>
        <w:t>.</w:t>
      </w:r>
    </w:p>
    <w:p w14:paraId="5B246BD6" w14:textId="77777777" w:rsidR="008C1AD8" w:rsidRDefault="008C1AD8" w:rsidP="008C1AD8">
      <w:pPr>
        <w:rPr>
          <w:rFonts w:cs="Arial"/>
          <w:iCs/>
        </w:rPr>
      </w:pPr>
      <w:r>
        <w:rPr>
          <w:rFonts w:cs="Arial"/>
          <w:iCs/>
        </w:rPr>
        <w:t>The Framework Plan is a high-level strategic document that:</w:t>
      </w:r>
    </w:p>
    <w:p w14:paraId="1F49DF0A" w14:textId="77777777" w:rsidR="008C1AD8" w:rsidRDefault="008C1AD8" w:rsidP="008C1AD8">
      <w:pPr>
        <w:pStyle w:val="Bullet1"/>
      </w:pPr>
      <w:r>
        <w:t>Outlines considerations for future development in the Growth Areas</w:t>
      </w:r>
    </w:p>
    <w:p w14:paraId="6FFE447E" w14:textId="77777777" w:rsidR="008C1AD8" w:rsidRDefault="008C1AD8" w:rsidP="008C1AD8">
      <w:pPr>
        <w:pStyle w:val="Bullet1"/>
      </w:pPr>
      <w:r>
        <w:t xml:space="preserve">Describes the existing social, economic and environmental context of the Growth Areas </w:t>
      </w:r>
    </w:p>
    <w:p w14:paraId="08968904" w14:textId="77777777" w:rsidR="008C1AD8" w:rsidRDefault="008C1AD8" w:rsidP="008C1AD8">
      <w:pPr>
        <w:pStyle w:val="Bullet1"/>
      </w:pPr>
      <w:r>
        <w:t>Summarises pre-existing technical investigations</w:t>
      </w:r>
    </w:p>
    <w:p w14:paraId="12131FDE" w14:textId="77777777" w:rsidR="008C1AD8" w:rsidRDefault="008C1AD8" w:rsidP="008C1AD8">
      <w:pPr>
        <w:pStyle w:val="Bullet1"/>
      </w:pPr>
      <w:r>
        <w:t>Provides an overarching vision for the Growth Areas and subsequent objectives and actions to achieve the vision</w:t>
      </w:r>
    </w:p>
    <w:p w14:paraId="02BA5115" w14:textId="77777777" w:rsidR="008C1AD8" w:rsidRDefault="008C1AD8" w:rsidP="008C1AD8">
      <w:pPr>
        <w:pStyle w:val="Bullet1"/>
      </w:pPr>
      <w:r>
        <w:t>Outlines concept plans for future land uses within the Growth Areas</w:t>
      </w:r>
    </w:p>
    <w:p w14:paraId="40C54668" w14:textId="77777777" w:rsidR="008C1AD8" w:rsidRDefault="008C1AD8" w:rsidP="008C1AD8">
      <w:r>
        <w:t>A key function of the Framework Plan is to guide the future preparation of detailed Precinct Structure Plans (PSPs) for the Growth Areas, which will set-out the specific land uses within each urban precinct.</w:t>
      </w:r>
    </w:p>
    <w:p w14:paraId="6B2ACAF7" w14:textId="77777777" w:rsidR="008C1AD8" w:rsidRDefault="008C1AD8" w:rsidP="008C1AD8">
      <w:r>
        <w:t xml:space="preserve">The Framework Plan is incorporated into the Geelong Planning Scheme at </w:t>
      </w:r>
      <w:r w:rsidRPr="00553EFE">
        <w:t xml:space="preserve">Clause </w:t>
      </w:r>
      <w:r>
        <w:t>11.02.</w:t>
      </w:r>
    </w:p>
    <w:p w14:paraId="63B945A3" w14:textId="77777777" w:rsidR="008C1AD8" w:rsidRDefault="008C1AD8" w:rsidP="008C1AD8">
      <w:pPr>
        <w:pStyle w:val="Heading5"/>
      </w:pPr>
      <w:r>
        <w:t>A clever and creative future</w:t>
      </w:r>
    </w:p>
    <w:p w14:paraId="55B16B3C" w14:textId="77777777" w:rsidR="008C1AD8" w:rsidRDefault="008C1AD8" w:rsidP="008C1AD8">
      <w:r>
        <w:t xml:space="preserve">The City have prepared </w:t>
      </w:r>
      <w:r>
        <w:rPr>
          <w:i/>
          <w:iCs/>
        </w:rPr>
        <w:t xml:space="preserve">Greater Geelong: A Clever and Creative Future </w:t>
      </w:r>
      <w:r>
        <w:t xml:space="preserve">to guide development in the Geelong region. This document represents the Geelong community’s vision for the future and was prepared in consultation with over 16,000 Geelong residents. This is a key resource for designing and establishing the new communities in the Growth Areas </w:t>
      </w:r>
      <w:sdt>
        <w:sdtPr>
          <w:rPr>
            <w:color w:val="000000"/>
          </w:rPr>
          <w:tag w:val="MENDELEY_CITATION_v3_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"/>
          <w:id w:val="-12228829"/>
          <w:placeholder>
            <w:docPart w:val="D7FA6FAA39773F49851699A422E06BC1"/>
          </w:placeholder>
        </w:sdtPr>
        <w:sdtContent>
          <w:r w:rsidRPr="00273871">
            <w:rPr>
              <w:color w:val="000000"/>
            </w:rPr>
            <w:t>(The City of Greater Geelong, 2021b, 2022a)</w:t>
          </w:r>
        </w:sdtContent>
      </w:sdt>
      <w:r>
        <w:t xml:space="preserve">. </w:t>
      </w:r>
      <w:r>
        <w:rPr>
          <w:i/>
          <w:iCs/>
        </w:rPr>
        <w:t xml:space="preserve">A Clever and Creative Future </w:t>
      </w:r>
      <w:r>
        <w:t xml:space="preserve">includes nine community led aspirations which will be implemented throughout the development of the Growth Areas. These include </w:t>
      </w:r>
      <w:sdt>
        <w:sdtPr>
          <w:rPr>
            <w:color w:val="000000"/>
          </w:rPr>
          <w:tag w:val="MENDELEY_CITATION_v3_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"/>
          <w:id w:val="-91172611"/>
          <w:placeholder>
            <w:docPart w:val="D7FA6FAA39773F49851699A422E06BC1"/>
          </w:placeholder>
        </w:sdtPr>
        <w:sdtContent>
          <w:r w:rsidRPr="00273871">
            <w:rPr>
              <w:color w:val="000000"/>
            </w:rPr>
            <w:t>(The City of Greater Geelong, 2022a)</w:t>
          </w:r>
        </w:sdtContent>
      </w:sdt>
      <w:r>
        <w:t>:</w:t>
      </w:r>
    </w:p>
    <w:p w14:paraId="126BC1A7" w14:textId="77777777" w:rsidR="008C1AD8" w:rsidRDefault="008C1AD8" w:rsidP="008C1AD8">
      <w:pPr>
        <w:pStyle w:val="Bullet1"/>
      </w:pPr>
      <w:r w:rsidRPr="0069733D">
        <w:t>A prosperous economy that supports</w:t>
      </w:r>
      <w:r>
        <w:t xml:space="preserve"> </w:t>
      </w:r>
      <w:r w:rsidRPr="0069733D">
        <w:t>jobs and education opportunities</w:t>
      </w:r>
    </w:p>
    <w:p w14:paraId="4AF0E9E0" w14:textId="77777777" w:rsidR="008C1AD8" w:rsidRDefault="008C1AD8" w:rsidP="008C1AD8">
      <w:pPr>
        <w:pStyle w:val="Bullet1"/>
      </w:pPr>
      <w:r w:rsidRPr="0069733D">
        <w:t>A leader in developing and adopting</w:t>
      </w:r>
      <w:r>
        <w:t xml:space="preserve"> </w:t>
      </w:r>
      <w:r w:rsidRPr="0069733D">
        <w:t>technology</w:t>
      </w:r>
    </w:p>
    <w:p w14:paraId="174917C9" w14:textId="77777777" w:rsidR="008C1AD8" w:rsidRDefault="008C1AD8" w:rsidP="008C1AD8">
      <w:pPr>
        <w:pStyle w:val="Bullet1"/>
      </w:pPr>
      <w:r w:rsidRPr="00420AC8">
        <w:t>Creativity drives culture</w:t>
      </w:r>
    </w:p>
    <w:p w14:paraId="6A223297" w14:textId="77777777" w:rsidR="008C1AD8" w:rsidRDefault="008C1AD8" w:rsidP="008C1AD8">
      <w:pPr>
        <w:pStyle w:val="Bullet1"/>
      </w:pPr>
      <w:r w:rsidRPr="00420AC8">
        <w:t>A fast, reliable and connected</w:t>
      </w:r>
      <w:r>
        <w:t xml:space="preserve"> </w:t>
      </w:r>
      <w:r w:rsidRPr="00420AC8">
        <w:t>transport network</w:t>
      </w:r>
    </w:p>
    <w:p w14:paraId="3CFBAA04" w14:textId="77777777" w:rsidR="008C1AD8" w:rsidRDefault="008C1AD8" w:rsidP="008C1AD8">
      <w:pPr>
        <w:pStyle w:val="Bullet1"/>
      </w:pPr>
      <w:r w:rsidRPr="00420AC8">
        <w:t>People feel safe wherever they are</w:t>
      </w:r>
    </w:p>
    <w:p w14:paraId="1DB62928" w14:textId="77777777" w:rsidR="008C1AD8" w:rsidRDefault="008C1AD8" w:rsidP="008C1AD8">
      <w:pPr>
        <w:pStyle w:val="Bullet1"/>
      </w:pPr>
      <w:r w:rsidRPr="00420AC8">
        <w:t>An inclusive, diverse, healthy and</w:t>
      </w:r>
      <w:r>
        <w:t xml:space="preserve"> </w:t>
      </w:r>
      <w:r w:rsidRPr="00420AC8">
        <w:t>socially connected community</w:t>
      </w:r>
    </w:p>
    <w:p w14:paraId="7055A4DE" w14:textId="77777777" w:rsidR="008C1AD8" w:rsidRDefault="008C1AD8" w:rsidP="008C1AD8">
      <w:pPr>
        <w:pStyle w:val="Bullet1"/>
      </w:pPr>
      <w:r w:rsidRPr="00420AC8">
        <w:t>Sustainable development that</w:t>
      </w:r>
      <w:r>
        <w:t xml:space="preserve"> </w:t>
      </w:r>
      <w:r w:rsidRPr="00420AC8">
        <w:t>supports population growth and</w:t>
      </w:r>
      <w:r>
        <w:t xml:space="preserve"> </w:t>
      </w:r>
      <w:r w:rsidRPr="00420AC8">
        <w:t>protects the natural environment</w:t>
      </w:r>
    </w:p>
    <w:p w14:paraId="20A2C17A" w14:textId="77777777" w:rsidR="008C1AD8" w:rsidRDefault="008C1AD8" w:rsidP="008C1AD8">
      <w:pPr>
        <w:pStyle w:val="Bullet1"/>
      </w:pPr>
      <w:r w:rsidRPr="00420AC8">
        <w:t>Development and implementation of</w:t>
      </w:r>
      <w:r>
        <w:t xml:space="preserve"> </w:t>
      </w:r>
      <w:r w:rsidRPr="00420AC8">
        <w:t>sustainable solutions</w:t>
      </w:r>
    </w:p>
    <w:p w14:paraId="1EE51D4B" w14:textId="77777777" w:rsidR="008C1AD8" w:rsidRPr="00420AC8" w:rsidRDefault="008C1AD8" w:rsidP="008C1AD8">
      <w:pPr>
        <w:pStyle w:val="Bullet1"/>
      </w:pPr>
      <w:r w:rsidRPr="00420AC8">
        <w:t>A destination that attracts local and</w:t>
      </w:r>
      <w:r>
        <w:t xml:space="preserve"> </w:t>
      </w:r>
      <w:r w:rsidRPr="0069733D">
        <w:t>international visitors</w:t>
      </w:r>
    </w:p>
    <w:p w14:paraId="56A19405" w14:textId="77777777" w:rsidR="008C1AD8" w:rsidRDefault="008C1AD8" w:rsidP="008C1AD8">
      <w:pPr>
        <w:pStyle w:val="Heading3"/>
      </w:pPr>
      <w:r>
        <w:t>People’s way of life</w:t>
      </w:r>
    </w:p>
    <w:p w14:paraId="0FB8727D" w14:textId="77777777" w:rsidR="008C1AD8" w:rsidRDefault="008C1AD8" w:rsidP="008C1AD8">
      <w:pPr>
        <w:pStyle w:val="Heading4"/>
      </w:pPr>
      <w:r>
        <w:t>Employment</w:t>
      </w:r>
      <w:r w:rsidRPr="004A6591">
        <w:t xml:space="preserve"> </w:t>
      </w:r>
    </w:p>
    <w:p w14:paraId="320CE3C0" w14:textId="77777777" w:rsidR="008C1AD8" w:rsidRPr="00227579" w:rsidRDefault="008C1AD8" w:rsidP="008C1AD8">
      <w:r w:rsidRPr="00227579">
        <w:t xml:space="preserve">As of 2016, approximately 93.6 per cent of the Geelong population was employed. Of this, 53.3 per cent were employed full time, and 38.6 per cent were employed part time. The dominant industry sector in Geelong as of 2016 was health care and social assistance (15.3 per cent) </w:t>
      </w:r>
      <w:sdt>
        <w:sdtPr>
          <w:rPr>
            <w:color w:val="000000"/>
          </w:rPr>
          <w:tag w:val="MENDELEY_CITATION_v3_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"/>
          <w:id w:val="-82146459"/>
          <w:placeholder>
            <w:docPart w:val="D7FA6FAA39773F49851699A422E06BC1"/>
          </w:placeholder>
        </w:sdtPr>
        <w:sdtContent>
          <w:r w:rsidRPr="00273871">
            <w:rPr>
              <w:color w:val="000000"/>
            </w:rPr>
            <w:t>(DELWP, 2010)</w:t>
          </w:r>
        </w:sdtContent>
      </w:sdt>
      <w:r w:rsidRPr="00227579">
        <w:t xml:space="preserve">. One of the largest employers in Geelong is Barwon Health. This is reflective of the increased demand for aged care in the region associated with the ageing population </w:t>
      </w:r>
      <w:sdt>
        <w:sdtPr>
          <w:rPr>
            <w:color w:val="000000"/>
          </w:rPr>
          <w:tag w:val="MENDELEY_CITATION_v3_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"/>
          <w:id w:val="1346062649"/>
          <w:placeholder>
            <w:docPart w:val="D7FA6FAA39773F49851699A422E06BC1"/>
          </w:placeholder>
        </w:sdtPr>
        <w:sdtContent>
          <w:r w:rsidRPr="00273871">
            <w:rPr>
              <w:color w:val="000000"/>
            </w:rPr>
            <w:t>(DELWP, 2010)</w:t>
          </w:r>
        </w:sdtContent>
      </w:sdt>
      <w:r w:rsidRPr="00227579">
        <w:t>. Other key industries included retail trade (11.8 per cent), construction (9.8 per cent)</w:t>
      </w:r>
      <w:r>
        <w:t>,</w:t>
      </w:r>
      <w:r w:rsidRPr="00227579">
        <w:t xml:space="preserve"> and education and training (9.8 per cent) </w:t>
      </w:r>
      <w:sdt>
        <w:sdtPr>
          <w:rPr>
            <w:color w:val="000000"/>
          </w:rPr>
          <w:tag w:val="MENDELEY_CITATION_v3_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"/>
          <w:id w:val="1144696776"/>
          <w:placeholder>
            <w:docPart w:val="D7FA6FAA39773F49851699A422E06BC1"/>
          </w:placeholder>
        </w:sdtPr>
        <w:sdtContent>
          <w:r w:rsidRPr="00273871">
            <w:rPr>
              <w:color w:val="000000"/>
            </w:rPr>
            <w:t>(Informed Decisions, 2022b)</w:t>
          </w:r>
        </w:sdtContent>
      </w:sdt>
      <w:r w:rsidRPr="00227579">
        <w:t>.</w:t>
      </w:r>
    </w:p>
    <w:p w14:paraId="338A1B63" w14:textId="77777777" w:rsidR="008C1AD8" w:rsidRPr="00901485" w:rsidRDefault="008C1AD8" w:rsidP="008C1AD8">
      <w:r w:rsidRPr="00227579">
        <w:t xml:space="preserve">Individual income levels in Geelong as of 2021 indicate that of the population over 15 years of age, 32.3 per cent of people earn a low income (less than $500 per week), and 10.6 per cent of people earn a high income ($2,000 or more per week). </w:t>
      </w:r>
      <w:r w:rsidRPr="00336C59">
        <w:rPr>
          <w:lang w:eastAsia="en-GB"/>
        </w:rPr>
        <w:t xml:space="preserve">Younger residents (aged 15 – 19) and older residents (greater than 50 years) are more likely to earn less than $400 per week. The average income of Indigenous peoples living in the Geelong region is lower than for non-indigenous peoples </w:t>
      </w:r>
      <w:sdt>
        <w:sdtPr>
          <w:rPr>
            <w:color w:val="000000"/>
            <w:lang w:eastAsia="en-GB"/>
          </w:rPr>
          <w:tag w:val="MENDELEY_CITATION_v3_eyJjaXRhdGlvbklEIjoiTUVOREVMRVlfQ0lUQVRJT05fNGFlODE1NTMtOGQxYy00M2I4LTlkMDEtMGZiNjRhZjI4NTY3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463169803"/>
          <w:placeholder>
            <w:docPart w:val="D7FA6FAA39773F49851699A422E06BC1"/>
          </w:placeholder>
        </w:sdtPr>
        <w:sdtEndPr>
          <w:rPr>
            <w:lang w:eastAsia="en-AU"/>
          </w:rPr>
        </w:sdtEndPr>
        <w:sdtContent>
          <w:r w:rsidRPr="00273871">
            <w:rPr>
              <w:color w:val="000000"/>
            </w:rPr>
            <w:t>(Geelong Region Alliance, 2019)</w:t>
          </w:r>
        </w:sdtContent>
      </w:sdt>
      <w:r w:rsidRPr="00336C59">
        <w:rPr>
          <w:lang w:eastAsia="en-GB"/>
        </w:rPr>
        <w:t>.</w:t>
      </w:r>
    </w:p>
    <w:p w14:paraId="54496840" w14:textId="77777777" w:rsidR="008C1AD8" w:rsidRDefault="008C1AD8" w:rsidP="008C1AD8">
      <w:pPr>
        <w:pStyle w:val="Heading4"/>
      </w:pPr>
      <w:r>
        <w:t>Training and education</w:t>
      </w:r>
    </w:p>
    <w:p w14:paraId="1F313D70" w14:textId="77777777" w:rsidR="008C1AD8" w:rsidRPr="009302F7" w:rsidRDefault="008C1AD8" w:rsidP="008C1AD8">
      <w:r>
        <w:t xml:space="preserve">The completion of Year 12 in the Geelong region is lower than the Victorian average. However, the proportion of students who have completed year twelve has increased consistently from 39.9 per cent in 2006 and 45.1 per cent in 2011 to 50.6 per cent in 2016. For those who completed year 12 (as of 2016), approximately 70 per cent of students continued to post-secondary education and 51 per cent were enrolled in university </w:t>
      </w:r>
      <w:sdt>
        <w:sdtPr>
          <w:rPr>
            <w:color w:val="000000"/>
          </w:rPr>
          <w:tag w:val="MENDELEY_CITATION_v3_eyJjaXRhdGlvbklEIjoiTUVOREVMRVlfQ0lUQVRJT05fNTM2MzI0ZTgtYjBhMy00NmI3LThlYjktNDA2YWI4MTVlZjkz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267394703"/>
          <w:placeholder>
            <w:docPart w:val="D7FA6FAA39773F49851699A422E06BC1"/>
          </w:placeholder>
        </w:sdtPr>
        <w:sdtContent>
          <w:r w:rsidRPr="00273871">
            <w:rPr>
              <w:color w:val="000000"/>
            </w:rPr>
            <w:t>(Geelong Region Alliance, 2019)</w:t>
          </w:r>
        </w:sdtContent>
      </w:sdt>
      <w:r>
        <w:t>.</w:t>
      </w:r>
    </w:p>
    <w:p w14:paraId="3F0EB187" w14:textId="77777777" w:rsidR="008C1AD8" w:rsidRPr="009302F7" w:rsidRDefault="008C1AD8" w:rsidP="008C1AD8">
      <w:r>
        <w:lastRenderedPageBreak/>
        <w:t xml:space="preserve">The Geelong region has a lower number of post school qualifications than the Victorian average. Post school qualifications are more common in in men than women </w:t>
      </w:r>
      <w:sdt>
        <w:sdtPr>
          <w:rPr>
            <w:color w:val="000000"/>
          </w:rPr>
          <w:tag w:val="MENDELEY_CITATION_v3_eyJjaXRhdGlvbklEIjoiTUVOREVMRVlfQ0lUQVRJT05fMzYyZWY2OTAtNjBiMC00MTQ2LTkwYzYtNzE0NDZmM2ZmNjdm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221132474"/>
          <w:placeholder>
            <w:docPart w:val="D7FA6FAA39773F49851699A422E06BC1"/>
          </w:placeholder>
        </w:sdtPr>
        <w:sdtContent>
          <w:r w:rsidRPr="00273871">
            <w:rPr>
              <w:color w:val="000000"/>
            </w:rPr>
            <w:t>(Geelong Region Alliance, 2019)</w:t>
          </w:r>
        </w:sdtContent>
      </w:sdt>
      <w:r>
        <w:t>.</w:t>
      </w:r>
    </w:p>
    <w:p w14:paraId="31BD5898" w14:textId="77777777" w:rsidR="008C1AD8" w:rsidRDefault="008C1AD8" w:rsidP="008C1AD8">
      <w:pPr>
        <w:pStyle w:val="Heading4"/>
      </w:pPr>
      <w:r>
        <w:t>Transport</w:t>
      </w:r>
    </w:p>
    <w:p w14:paraId="47FC7CCF" w14:textId="77777777" w:rsidR="008C1AD8" w:rsidRPr="00244DDC" w:rsidRDefault="008C1AD8" w:rsidP="008C1AD8">
      <w:pPr>
        <w:rPr>
          <w:lang w:eastAsia="en-GB"/>
        </w:rPr>
      </w:pPr>
      <w:r>
        <w:rPr>
          <w:lang w:eastAsia="en-GB"/>
        </w:rPr>
        <w:t xml:space="preserve">A large number of residents in the Geelong region travel long distances to get to their workplace, including to the Melbourne CBD or inner suburbs. Travel to the Melbourne CBD for work has influenced an increased use of rail services. There are also a number of Greater Melbourne residents which travel to the Geelong region for work </w:t>
      </w:r>
      <w:sdt>
        <w:sdtPr>
          <w:rPr>
            <w:color w:val="000000"/>
            <w:lang w:eastAsia="en-GB"/>
          </w:rPr>
          <w:tag w:val="MENDELEY_CITATION_v3_eyJjaXRhdGlvbklEIjoiTUVOREVMRVlfQ0lUQVRJT05fZWI2MWE5ZjItZTYxYy00Yjc4LTg2NzQtNmI0MWViNTAyMTY3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985577418"/>
          <w:placeholder>
            <w:docPart w:val="D7FA6FAA39773F49851699A422E06BC1"/>
          </w:placeholder>
        </w:sdtPr>
        <w:sdtEndPr>
          <w:rPr>
            <w:lang w:eastAsia="en-AU"/>
          </w:rPr>
        </w:sdtEndPr>
        <w:sdtContent>
          <w:r w:rsidRPr="00273871">
            <w:rPr>
              <w:color w:val="000000"/>
            </w:rPr>
            <w:t>(Geelong Region Alliance, 2019)</w:t>
          </w:r>
        </w:sdtContent>
      </w:sdt>
      <w:r>
        <w:rPr>
          <w:lang w:eastAsia="en-GB"/>
        </w:rPr>
        <w:t>.</w:t>
      </w:r>
    </w:p>
    <w:p w14:paraId="3C4CF6E1" w14:textId="77777777" w:rsidR="008C1AD8" w:rsidRPr="008E2256" w:rsidRDefault="008C1AD8" w:rsidP="008C1AD8">
      <w:r>
        <w:t xml:space="preserve">Residents of Greater Geelong are considered to have relatively good access to public transport. More rural areas in the Geelong region tend to have a smaller population and have limited access to facilities and services like public transport. Approximately 76.9 per cent of the Greater Geelong population lives within 400 m of a public transport network </w:t>
      </w:r>
      <w:sdt>
        <w:sdtPr>
          <w:rPr>
            <w:color w:val="000000"/>
          </w:rPr>
          <w:tag w:val="MENDELEY_CITATION_v3_eyJjaXRhdGlvbklEIjoiTUVOREVMRVlfQ0lUQVRJT05fOTFmNTFhYzEtNjdlMC00YTM5LWIzYWEtMjQ4N2Y0ZGEwOGY2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671302616"/>
          <w:placeholder>
            <w:docPart w:val="D7FA6FAA39773F49851699A422E06BC1"/>
          </w:placeholder>
        </w:sdtPr>
        <w:sdtContent>
          <w:r w:rsidRPr="00273871">
            <w:rPr>
              <w:color w:val="000000"/>
            </w:rPr>
            <w:t>(Geelong Region Alliance, 2019)</w:t>
          </w:r>
        </w:sdtContent>
      </w:sdt>
      <w:r>
        <w:t>.</w:t>
      </w:r>
    </w:p>
    <w:p w14:paraId="6FA7DBDE" w14:textId="77777777" w:rsidR="008C1AD8" w:rsidRPr="00901485" w:rsidRDefault="008C1AD8" w:rsidP="008C1AD8">
      <w:r>
        <w:t xml:space="preserve">The proportion of Geelong residents who own a private vehicle is higher than the Victorian state average. Approximately 59.6 per cent of households in the Geelong region own two or more vehicles. Private vehicle ownership is a key component of the way Geelong residents travel daily given the limited access to public transport for some in more rural areas. Geelong residents are less likely to travel to work by train, bicycle, or working when compared with the Victorian average </w:t>
      </w:r>
      <w:sdt>
        <w:sdtPr>
          <w:rPr>
            <w:color w:val="000000"/>
          </w:rPr>
          <w:tag w:val="MENDELEY_CITATION_v3_eyJjaXRhdGlvbklEIjoiTUVOREVMRVlfQ0lUQVRJT05fNTljM2UxNmItMzM2Ni00YzkxLWI0YjYtY2U2M2IxZTQ4NTBk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672984034"/>
          <w:placeholder>
            <w:docPart w:val="D7FA6FAA39773F49851699A422E06BC1"/>
          </w:placeholder>
        </w:sdtPr>
        <w:sdtContent>
          <w:r w:rsidRPr="00273871">
            <w:rPr>
              <w:color w:val="000000"/>
            </w:rPr>
            <w:t>(Geelong Region Alliance, 2019)</w:t>
          </w:r>
        </w:sdtContent>
      </w:sdt>
      <w:r>
        <w:t>.</w:t>
      </w:r>
    </w:p>
    <w:p w14:paraId="15AAD474" w14:textId="77777777" w:rsidR="008C1AD8" w:rsidRPr="00B0533E" w:rsidRDefault="008C1AD8" w:rsidP="008C1AD8">
      <w:pPr>
        <w:pStyle w:val="Heading4"/>
      </w:pPr>
      <w:r>
        <w:t>Arts and recreation</w:t>
      </w:r>
    </w:p>
    <w:p w14:paraId="55A522E8" w14:textId="77777777" w:rsidR="008C1AD8" w:rsidRDefault="008C1AD8" w:rsidP="008C1AD8">
      <w:pPr>
        <w:rPr>
          <w:lang w:eastAsia="en-GB"/>
        </w:rPr>
      </w:pPr>
      <w:r>
        <w:rPr>
          <w:lang w:eastAsia="en-GB"/>
        </w:rPr>
        <w:t xml:space="preserve">Data from 2013/2014 indicates that a large proportion of the Geelong population over the age of 15 attended arts or cultural events (just under 90 per cent). Popular activities include cinemas, music events, libraries or archives, performing arts, art galleries, and museums </w:t>
      </w:r>
      <w:sdt>
        <w:sdtPr>
          <w:rPr>
            <w:color w:val="000000"/>
            <w:lang w:eastAsia="en-GB"/>
          </w:rPr>
          <w:tag w:val="MENDELEY_CITATION_v3_eyJjaXRhdGlvbklEIjoiTUVOREVMRVlfQ0lUQVRJT05fMWQwZDUxNmQtNmNhNS00NjYyLTk1YmMtOGZkMTIwODE0NjA5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84108005"/>
          <w:placeholder>
            <w:docPart w:val="D7FA6FAA39773F49851699A422E06BC1"/>
          </w:placeholder>
        </w:sdtPr>
        <w:sdtEndPr>
          <w:rPr>
            <w:lang w:eastAsia="en-AU"/>
          </w:rPr>
        </w:sdtEndPr>
        <w:sdtContent>
          <w:r w:rsidRPr="00273871">
            <w:rPr>
              <w:color w:val="000000"/>
            </w:rPr>
            <w:t>(Geelong Region Alliance, 2019)</w:t>
          </w:r>
        </w:sdtContent>
      </w:sdt>
      <w:r>
        <w:rPr>
          <w:lang w:eastAsia="en-GB"/>
        </w:rPr>
        <w:t>.</w:t>
      </w:r>
    </w:p>
    <w:p w14:paraId="3B390409" w14:textId="77777777" w:rsidR="008C1AD8" w:rsidRPr="00F10F32" w:rsidRDefault="008C1AD8" w:rsidP="008C1AD8">
      <w:pPr>
        <w:rPr>
          <w:lang w:eastAsia="en-GB"/>
        </w:rPr>
      </w:pPr>
      <w:r>
        <w:rPr>
          <w:lang w:eastAsia="en-GB"/>
        </w:rPr>
        <w:t xml:space="preserve">The City of Geelong has been designated as Australia’s first and only City of Design. This designation assists in driving new business and creative talent in Geelong and provides opportunities for local Geelong designers to showcase their work to other Cities of Design globally </w:t>
      </w:r>
      <w:sdt>
        <w:sdtPr>
          <w:rPr>
            <w:color w:val="000000"/>
            <w:lang w:eastAsia="en-GB"/>
          </w:rPr>
          <w:tag w:val="MENDELEY_CITATION_v3_eyJjaXRhdGlvbklEIjoiTUVOREVMRVlfQ0lUQVRJT05fMWE5ODYyNjctNGYwOS00Zjk0LTg3YmMtYmZjYzU4OTA2ZDI2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119964064"/>
          <w:placeholder>
            <w:docPart w:val="D7FA6FAA39773F49851699A422E06BC1"/>
          </w:placeholder>
        </w:sdtPr>
        <w:sdtEndPr>
          <w:rPr>
            <w:lang w:eastAsia="en-AU"/>
          </w:rPr>
        </w:sdtEndPr>
        <w:sdtContent>
          <w:r w:rsidRPr="00273871">
            <w:rPr>
              <w:color w:val="000000"/>
            </w:rPr>
            <w:t>(Geelong Region Alliance, 2019)</w:t>
          </w:r>
        </w:sdtContent>
      </w:sdt>
      <w:r>
        <w:rPr>
          <w:lang w:eastAsia="en-GB"/>
        </w:rPr>
        <w:t>.</w:t>
      </w:r>
    </w:p>
    <w:p w14:paraId="155C9A60" w14:textId="77777777" w:rsidR="008C1AD8" w:rsidRDefault="008C1AD8" w:rsidP="008C1AD8">
      <w:pPr>
        <w:pStyle w:val="Heading4"/>
        <w:rPr>
          <w:lang w:eastAsia="en-GB"/>
        </w:rPr>
      </w:pPr>
      <w:r>
        <w:rPr>
          <w:lang w:eastAsia="en-GB"/>
        </w:rPr>
        <w:t>Impacts of the Plan</w:t>
      </w:r>
    </w:p>
    <w:p w14:paraId="1C9B04D5" w14:textId="77777777" w:rsidR="008C1AD8" w:rsidRDefault="008C1AD8" w:rsidP="008C1AD8">
      <w:pPr>
        <w:pStyle w:val="Heading5"/>
      </w:pPr>
      <w:r>
        <w:t>Employment, education and training</w:t>
      </w:r>
    </w:p>
    <w:p w14:paraId="02151C73" w14:textId="77777777" w:rsidR="008C1AD8" w:rsidRDefault="008C1AD8" w:rsidP="008C1AD8">
      <w:r>
        <w:t xml:space="preserve">The development supported by the Plan will generate substantial business opportunities and create jobs across a range of employment sectors including commercial business, industry, education, health care, transport and agriculture. Additionally, the construction phases of development under the Plan will boost the economy of the region and generate many jobs that will be sustained over the coming decades as each precinct is released and developed </w:t>
      </w:r>
      <w:sdt>
        <w:sdtPr>
          <w:rPr>
            <w:color w:val="000000"/>
          </w:rPr>
          <w:tag w:val="MENDELEY_CITATION_v3_eyJjaXRhdGlvbklEIjoiTUVOREVMRVlfQ0lUQVRJT05fYmFlMDAzZmItN2I2NS00ZDMyLTg4ZDgtNmZhMjE1YzE1MDlj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202472268"/>
          <w:placeholder>
            <w:docPart w:val="D7FA6FAA39773F49851699A422E06BC1"/>
          </w:placeholder>
        </w:sdtPr>
        <w:sdtContent>
          <w:r w:rsidRPr="00273871">
            <w:rPr>
              <w:color w:val="000000"/>
            </w:rPr>
            <w:t>(The City of Greater Geelong, 2021b)</w:t>
          </w:r>
        </w:sdtContent>
      </w:sdt>
      <w:r>
        <w:t xml:space="preserve">. </w:t>
      </w:r>
    </w:p>
    <w:p w14:paraId="7EF11CAC" w14:textId="77777777" w:rsidR="008C1AD8" w:rsidRDefault="008C1AD8" w:rsidP="008C1AD8">
      <w:r>
        <w:t xml:space="preserve">The Growth Areas are also near the Geelong Ring Road Employment Precinct, Port of Geelong, Avalon Airport and Melbourne, which will facilitate further employment opportunities and economic growth for these areas </w:t>
      </w:r>
      <w:sdt>
        <w:sdtPr>
          <w:rPr>
            <w:color w:val="000000"/>
          </w:rPr>
          <w:tag w:val="MENDELEY_CITATION_v3_eyJjaXRhdGlvbklEIjoiTUVOREVMRVlfQ0lUQVRJT05fOWNmODJmNDItOTliYS00NThiLTk3N2QtMmExMGFlNzVmYjEy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587449455"/>
          <w:placeholder>
            <w:docPart w:val="D7FA6FAA39773F49851699A422E06BC1"/>
          </w:placeholder>
        </w:sdtPr>
        <w:sdtContent>
          <w:r w:rsidRPr="00273871">
            <w:rPr>
              <w:color w:val="000000"/>
            </w:rPr>
            <w:t>(The City of Greater Geelong, 2021b)</w:t>
          </w:r>
        </w:sdtContent>
      </w:sdt>
      <w:r>
        <w:t>.</w:t>
      </w:r>
    </w:p>
    <w:p w14:paraId="02E5FBD6" w14:textId="77777777" w:rsidR="008C1AD8" w:rsidRDefault="008C1AD8" w:rsidP="008C1AD8">
      <w:r>
        <w:t xml:space="preserve">Implementation of the Plan will therefore provide new employment, training and education opportunities for both current and future residents, as well as nearby residents. This is likely to provide economic growth and benefits to Geelong and may lead to positive changes and diversification of the workforce in the Geelong region and influence the level of employment. </w:t>
      </w:r>
    </w:p>
    <w:p w14:paraId="4BFAE2D6" w14:textId="77777777" w:rsidR="008C1AD8" w:rsidRDefault="008C1AD8" w:rsidP="008C1AD8">
      <w:pPr>
        <w:pStyle w:val="Heading5"/>
      </w:pPr>
      <w:r>
        <w:t>Transport</w:t>
      </w:r>
    </w:p>
    <w:p w14:paraId="72DCF805" w14:textId="77777777" w:rsidR="008C1AD8" w:rsidRDefault="008C1AD8" w:rsidP="008C1AD8">
      <w:r>
        <w:t xml:space="preserve">Development under the Plan will facilitate new public and private transport networks and corridors which will allow current and future residents and visitors to easily travel to and from the Growth Areas, as well as access facilities within the Growth Areas. Linkages and access points will be established to existing transport corridors such as the Geelong Ring Road to maximise use of existing transport infrastructure </w:t>
      </w:r>
      <w:sdt>
        <w:sdtPr>
          <w:rPr>
            <w:color w:val="000000"/>
          </w:rPr>
          <w:tag w:val="MENDELEY_CITATION_v3_eyJjaXRhdGlvbklEIjoiTUVOREVMRVlfQ0lUQVRJT05fZjhlNjI2NDktN2Q1NC00ZDc3LTk1NWMtMTllMGFmMWE1ZGJk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982805577"/>
          <w:placeholder>
            <w:docPart w:val="D7FA6FAA39773F49851699A422E06BC1"/>
          </w:placeholder>
        </w:sdtPr>
        <w:sdtContent>
          <w:r w:rsidRPr="00273871">
            <w:rPr>
              <w:color w:val="000000"/>
            </w:rPr>
            <w:t>(The City of Greater Geelong, 2021b)</w:t>
          </w:r>
        </w:sdtContent>
      </w:sdt>
      <w:r>
        <w:t xml:space="preserve">. </w:t>
      </w:r>
    </w:p>
    <w:p w14:paraId="2223C537" w14:textId="77777777" w:rsidR="008C1AD8" w:rsidRDefault="008C1AD8" w:rsidP="008C1AD8">
      <w:pPr>
        <w:keepNext/>
        <w:keepLines/>
      </w:pPr>
      <w:r>
        <w:lastRenderedPageBreak/>
        <w:t xml:space="preserve">Public transport including buses and rail will be prioritised within the Growth Areas to help promote more sustainable transport options. Additionally, open spaces within the Growth Areas will be maximised to allow for shared pathways that will facilitate sustainable transport linkages, such as via walking and cycling, throughout the Growth Areas </w:t>
      </w:r>
      <w:sdt>
        <w:sdtPr>
          <w:rPr>
            <w:color w:val="000000"/>
          </w:rPr>
          <w:tag w:val="MENDELEY_CITATION_v3_eyJjaXRhdGlvbklEIjoiTUVOREVMRVlfQ0lUQVRJT05fNDcwMzcyOWItODU4Yi00MTdhLTk5ZWMtNzg4OGNiZWYyZmEx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31640130"/>
          <w:placeholder>
            <w:docPart w:val="D7FA6FAA39773F49851699A422E06BC1"/>
          </w:placeholder>
        </w:sdtPr>
        <w:sdtContent>
          <w:r w:rsidRPr="00273871">
            <w:rPr>
              <w:color w:val="000000"/>
            </w:rPr>
            <w:t>(The City of Greater Geelong, 2021b)</w:t>
          </w:r>
        </w:sdtContent>
      </w:sdt>
      <w:r>
        <w:t>. This will provide new transport options and facilities for current and future residents, as well as visitors of the Growth Areas.</w:t>
      </w:r>
    </w:p>
    <w:p w14:paraId="515189F3" w14:textId="77777777" w:rsidR="008C1AD8" w:rsidRDefault="008C1AD8" w:rsidP="008C1AD8">
      <w:pPr>
        <w:pStyle w:val="Heading5"/>
      </w:pPr>
      <w:r>
        <w:t>Arts and recreation</w:t>
      </w:r>
    </w:p>
    <w:p w14:paraId="4026073E" w14:textId="77777777" w:rsidR="008C1AD8" w:rsidRDefault="008C1AD8" w:rsidP="008C1AD8">
      <w:r>
        <w:t xml:space="preserve">The Plan will facilitate the delivery of community infrastructure including libraries, art and cultural centres, sports facilities and function spaces. Community open spaces, including recreation reserves and local parks, will also be integrated into the layout of the Growth Areas, providing residents and visitors with new community and recreation opportunities </w:t>
      </w:r>
      <w:sdt>
        <w:sdtPr>
          <w:rPr>
            <w:color w:val="000000"/>
          </w:rPr>
          <w:tag w:val="MENDELEY_CITATION_v3_eyJjaXRhdGlvbklEIjoiTUVOREVMRVlfQ0lUQVRJT05fNTRlYmE5YzUtNmI4OC00OTVmLTk1YjItMWNmNDA0MzVkZDkw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348795231"/>
          <w:placeholder>
            <w:docPart w:val="D7FA6FAA39773F49851699A422E06BC1"/>
          </w:placeholder>
        </w:sdtPr>
        <w:sdtContent>
          <w:r w:rsidRPr="00273871">
            <w:rPr>
              <w:color w:val="000000"/>
            </w:rPr>
            <w:t>(The City of Greater Geelong, 2021b)</w:t>
          </w:r>
        </w:sdtContent>
      </w:sdt>
      <w:r>
        <w:t xml:space="preserve">. New art and recreation opportunities may also attract new businesses and investment in Geelong which may lead to increased tourism. This is likely to result in positive economic impacts and growth for Geelong. </w:t>
      </w:r>
    </w:p>
    <w:p w14:paraId="0DF0B8CF" w14:textId="77777777" w:rsidR="008C1AD8" w:rsidRPr="000D696D" w:rsidRDefault="008C1AD8" w:rsidP="008C1AD8">
      <w:pPr>
        <w:pStyle w:val="Heading5"/>
      </w:pPr>
      <w:r>
        <w:t>Conclusion</w:t>
      </w:r>
    </w:p>
    <w:p w14:paraId="66EE8429" w14:textId="77777777" w:rsidR="008C1AD8" w:rsidRPr="0088172C" w:rsidRDefault="008C1AD8" w:rsidP="008C1AD8">
      <w:pPr>
        <w:rPr>
          <w:lang w:eastAsia="en-GB"/>
        </w:rPr>
      </w:pPr>
      <w:r>
        <w:rPr>
          <w:lang w:eastAsia="en-GB"/>
        </w:rPr>
        <w:t>Implementation of the Plan will provide new opportunities and growth in employment, education and training, transport, and arts and recreation. This will lead to overall positive socio-economic impacts for current, future and nearby residents and visitors of the Growth Areas.</w:t>
      </w:r>
    </w:p>
    <w:p w14:paraId="6751041D" w14:textId="77777777" w:rsidR="008C1AD8" w:rsidRDefault="008C1AD8" w:rsidP="008C1AD8">
      <w:pPr>
        <w:pStyle w:val="Heading3"/>
      </w:pPr>
      <w:r>
        <w:t>Their culture</w:t>
      </w:r>
    </w:p>
    <w:p w14:paraId="2A17C9F7" w14:textId="77777777" w:rsidR="008C1AD8" w:rsidRDefault="008C1AD8" w:rsidP="008C1AD8">
      <w:pPr>
        <w:pStyle w:val="Heading4"/>
      </w:pPr>
      <w:r>
        <w:t>Traditional owners</w:t>
      </w:r>
    </w:p>
    <w:p w14:paraId="6DABE51D" w14:textId="77777777" w:rsidR="008C1AD8" w:rsidRPr="00F10F32" w:rsidRDefault="008C1AD8" w:rsidP="008C1AD8">
      <w:r w:rsidRPr="004A7EA2">
        <w:t xml:space="preserve">As of 2021, approximately 1.3 per cent of the Geelong population comprises Aboriginal and Torres Strait Islander peoples </w:t>
      </w:r>
      <w:sdt>
        <w:sdtPr>
          <w:rPr>
            <w:color w:val="000000"/>
          </w:rPr>
          <w:tag w:val="MENDELEY_CITATION_v3_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"/>
          <w:id w:val="-139198498"/>
          <w:placeholder>
            <w:docPart w:val="D7FA6FAA39773F49851699A422E06BC1"/>
          </w:placeholder>
        </w:sdtPr>
        <w:sdtContent>
          <w:r w:rsidRPr="00273871">
            <w:rPr>
              <w:color w:val="000000"/>
            </w:rPr>
            <w:t>(Informed Decisions, 2022b)</w:t>
          </w:r>
        </w:sdtContent>
      </w:sdt>
      <w:r w:rsidRPr="004A7EA2">
        <w:t>.</w:t>
      </w:r>
      <w:r>
        <w:t xml:space="preserve"> The Indigenous population of Geelong is skewed towards younger generations, with about 54 per cent of the Indigenous population under 24 years of age. The under-representation of Indigenous people in older age groups is consistent with lower life expectancy figures. The life expectancy for Indigenous peoples is 67.2 years for males and 72.9 years for females compared with 78.7 years for non-Indigenous males and 82.6 years for non-Indigenous females </w:t>
      </w:r>
      <w:sdt>
        <w:sdtPr>
          <w:rPr>
            <w:color w:val="000000"/>
          </w:rPr>
          <w:tag w:val="MENDELEY_CITATION_v3_eyJjaXRhdGlvbklEIjoiTUVOREVMRVlfQ0lUQVRJT05fOGE4YWE5ZDQtMTQwMy00ZmFlLWI1ODctOTUyODhjYzJmYWYx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235318638"/>
          <w:placeholder>
            <w:docPart w:val="D7FA6FAA39773F49851699A422E06BC1"/>
          </w:placeholder>
        </w:sdtPr>
        <w:sdtContent>
          <w:r w:rsidRPr="00273871">
            <w:rPr>
              <w:color w:val="000000"/>
            </w:rPr>
            <w:t>(Geelong Region Alliance, 2019)</w:t>
          </w:r>
        </w:sdtContent>
      </w:sdt>
      <w:r>
        <w:t>.</w:t>
      </w:r>
    </w:p>
    <w:p w14:paraId="76818850" w14:textId="77777777" w:rsidR="008C1AD8" w:rsidRDefault="008C1AD8" w:rsidP="008C1AD8">
      <w:r>
        <w:t xml:space="preserve">There are a number of registered Aboriginal places across the Growth Areas, comprised mostly of stone artefacts. The nature of the land in the NGGA suggests that the Wadawurrung people would have used the area for ephemeral activities (such as hunting and gathering) rather than long term occupation </w:t>
      </w:r>
      <w:sdt>
        <w:sdtPr>
          <w:rPr>
            <w:color w:val="000000"/>
          </w:rPr>
          <w:tag w:val="MENDELEY_CITATION_v3_eyJjaXRhdGlvbklEIjoiTUVOREVMRVlfQ0lUQVRJT05fM2UzNGQ1NTUtMzg3Yy00ZTliLTk1NzAtNTQzYzM1ZTNkMDEy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636843526"/>
          <w:placeholder>
            <w:docPart w:val="D7FA6FAA39773F49851699A422E06BC1"/>
          </w:placeholder>
        </w:sdtPr>
        <w:sdtContent>
          <w:r w:rsidRPr="00273871">
            <w:rPr>
              <w:color w:val="000000"/>
            </w:rPr>
            <w:t>(The City of Greater Geelong, 2021b)</w:t>
          </w:r>
        </w:sdtContent>
      </w:sdt>
      <w:r>
        <w:t>.</w:t>
      </w:r>
    </w:p>
    <w:p w14:paraId="62574BCA" w14:textId="77777777" w:rsidR="008C1AD8" w:rsidRPr="00C544D6" w:rsidRDefault="008C1AD8" w:rsidP="008C1AD8">
      <w:r>
        <w:t xml:space="preserve">There has been limited archaeological investigation within the Growth Areas, and the available data may not accurately reflect land use by the Wadawurrung. Preliminary Aboriginal site sensitivity mapping has indicated areas of high archaeological potential along the waterways in the WGGA and one area in the NGGA near to a registered stone artefact </w:t>
      </w:r>
      <w:sdt>
        <w:sdtPr>
          <w:rPr>
            <w:color w:val="000000"/>
          </w:rPr>
          <w:tag w:val="MENDELEY_CITATION_v3_eyJjaXRhdGlvbklEIjoiTUVOREVMRVlfQ0lUQVRJT05fMDYyMmY5YmItMWE0Mi00NTNhLTlkY2QtZjExZDM5YjVlYTMw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205138559"/>
          <w:placeholder>
            <w:docPart w:val="D7FA6FAA39773F49851699A422E06BC1"/>
          </w:placeholder>
        </w:sdtPr>
        <w:sdtContent>
          <w:r w:rsidRPr="00273871">
            <w:rPr>
              <w:color w:val="000000"/>
            </w:rPr>
            <w:t>(The City of Greater Geelong, 2021b)</w:t>
          </w:r>
        </w:sdtContent>
      </w:sdt>
      <w:r>
        <w:t>.</w:t>
      </w:r>
    </w:p>
    <w:p w14:paraId="4A035F6C" w14:textId="77777777" w:rsidR="008C1AD8" w:rsidRDefault="008C1AD8" w:rsidP="008C1AD8">
      <w:pPr>
        <w:pStyle w:val="Heading4"/>
      </w:pPr>
      <w:r w:rsidRPr="004B24F6">
        <w:t>Ethnicity</w:t>
      </w:r>
      <w:r>
        <w:t xml:space="preserve"> and language</w:t>
      </w:r>
    </w:p>
    <w:p w14:paraId="7E70804E" w14:textId="77777777" w:rsidR="008C1AD8" w:rsidRPr="00D27F86" w:rsidRDefault="008C1AD8" w:rsidP="008C1AD8">
      <w:r w:rsidRPr="00D27F86">
        <w:t xml:space="preserve">The community of Geelong has a diverse cultural profile. Ancestry data indicates that the 10 most prevalent ancestries include English, Australian, Irish, Scottish, Italian, German, Dutch, Indian, Croatian, and Chinese. English and Australian ancestries comprise 28 and 36 per cent of the population respectively. Irish and Scottish ancestries comprise 13 and 12 per cent of the population respectively. Remaining ethnicities comprise less than five per cent of the total Geelong population </w:t>
      </w:r>
      <w:sdt>
        <w:sdtPr>
          <w:rPr>
            <w:color w:val="000000"/>
          </w:rPr>
          <w:tag w:val="MENDELEY_CITATION_v3_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"/>
          <w:id w:val="-934821408"/>
          <w:placeholder>
            <w:docPart w:val="D7FA6FAA39773F49851699A422E06BC1"/>
          </w:placeholder>
        </w:sdtPr>
        <w:sdtContent>
          <w:r w:rsidRPr="00273871">
            <w:rPr>
              <w:color w:val="000000"/>
            </w:rPr>
            <w:t>(Informed Decisions, 2022b)</w:t>
          </w:r>
        </w:sdtContent>
      </w:sdt>
      <w:r w:rsidRPr="00D27F86">
        <w:t>.</w:t>
      </w:r>
    </w:p>
    <w:p w14:paraId="3CF73AE1" w14:textId="77777777" w:rsidR="008C1AD8" w:rsidRPr="00D27F86" w:rsidRDefault="008C1AD8" w:rsidP="008C1AD8">
      <w:r w:rsidRPr="00D27F86">
        <w:t xml:space="preserve">Approximately 17.7 per cent of the Geelong population was born overseas, including the United Kingdom (4.1 per cent), India (1.9 per cent), New Zealand (1.1 per cent), and a number of other countries contributing to &lt;1 per cent of the total population’s birthplace. Approximately 11.7 per cent of the Geelong population speaks a language other than English at home. The most common languages spoken include Mandarin, Punjabi and Italian </w:t>
      </w:r>
      <w:sdt>
        <w:sdtPr>
          <w:rPr>
            <w:color w:val="000000"/>
          </w:rPr>
          <w:tag w:val="MENDELEY_CITATION_v3_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"/>
          <w:id w:val="1469401498"/>
          <w:placeholder>
            <w:docPart w:val="D7FA6FAA39773F49851699A422E06BC1"/>
          </w:placeholder>
        </w:sdtPr>
        <w:sdtContent>
          <w:r w:rsidRPr="00273871">
            <w:rPr>
              <w:color w:val="000000"/>
            </w:rPr>
            <w:t>(Informed Decisions, 2022b)</w:t>
          </w:r>
        </w:sdtContent>
      </w:sdt>
      <w:r w:rsidRPr="00D27F86">
        <w:t>.</w:t>
      </w:r>
    </w:p>
    <w:p w14:paraId="739A9E08" w14:textId="77777777" w:rsidR="008C1AD8" w:rsidRPr="00B0533E" w:rsidRDefault="008C1AD8" w:rsidP="008C1AD8">
      <w:pPr>
        <w:pStyle w:val="Heading4"/>
      </w:pPr>
      <w:r>
        <w:t>Religion</w:t>
      </w:r>
    </w:p>
    <w:p w14:paraId="0DAD8003" w14:textId="77777777" w:rsidR="008C1AD8" w:rsidRPr="00AF657C" w:rsidRDefault="008C1AD8" w:rsidP="008C1AD8">
      <w:r w:rsidRPr="00D27F86">
        <w:t xml:space="preserve">The largest religious group as of 2021 in Geelong was Western (Roman) Catholic, comprising 22.2 per cent of the total population. Approximately 42 per cent of people did not identify with a religion in Geelong. There are a number of other </w:t>
      </w:r>
      <w:r w:rsidRPr="00CB5A1B">
        <w:t>religions c</w:t>
      </w:r>
      <w:r w:rsidRPr="00D27F86">
        <w:t xml:space="preserve">ontributing to the cultural diversity of Geelong, including Anglican (8 per cent of the population), Uniting Church (3.7 per cent of the population), and Presbyterian and Reformed (1.9 per cent of the population) </w:t>
      </w:r>
      <w:sdt>
        <w:sdtPr>
          <w:rPr>
            <w:color w:val="000000"/>
          </w:rPr>
          <w:tag w:val="MENDELEY_CITATION_v3_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"/>
          <w:id w:val="-947856981"/>
          <w:placeholder>
            <w:docPart w:val="D7FA6FAA39773F49851699A422E06BC1"/>
          </w:placeholder>
        </w:sdtPr>
        <w:sdtContent>
          <w:r w:rsidRPr="00273871">
            <w:rPr>
              <w:color w:val="000000"/>
            </w:rPr>
            <w:t>(Informed Decisions, 2022b)</w:t>
          </w:r>
        </w:sdtContent>
      </w:sdt>
      <w:r w:rsidRPr="00D27F86">
        <w:t>.</w:t>
      </w:r>
    </w:p>
    <w:p w14:paraId="5414A42B" w14:textId="77777777" w:rsidR="008C1AD8" w:rsidRDefault="008C1AD8" w:rsidP="008C1AD8">
      <w:pPr>
        <w:pStyle w:val="Heading4"/>
      </w:pPr>
      <w:r>
        <w:lastRenderedPageBreak/>
        <w:t>Impacts of the Plan</w:t>
      </w:r>
    </w:p>
    <w:p w14:paraId="36EADE7D" w14:textId="77777777" w:rsidR="008C1AD8" w:rsidRDefault="008C1AD8" w:rsidP="008C1AD8">
      <w:r>
        <w:t xml:space="preserve">As part of implementation of the Plan, the City aims to recognise and protect Aboriginal sites and work in partnership with the Wadawurrung people to interpret and manage Aboriginal heritage sites in the Growth Areas </w:t>
      </w:r>
      <w:sdt>
        <w:sdtPr>
          <w:rPr>
            <w:color w:val="000000"/>
          </w:rPr>
          <w:tag w:val="MENDELEY_CITATION_v3_eyJjaXRhdGlvbklEIjoiTUVOREVMRVlfQ0lUQVRJT05fMWE5Njk0Y2UtNmVlOC00M2Y2LTlhOTktOGVkNjNhNjM3MmY5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760453272"/>
          <w:placeholder>
            <w:docPart w:val="D7FA6FAA39773F49851699A422E06BC1"/>
          </w:placeholder>
        </w:sdtPr>
        <w:sdtContent>
          <w:r w:rsidRPr="00273871">
            <w:rPr>
              <w:color w:val="000000"/>
            </w:rPr>
            <w:t>(The City of Greater Geelong, 2021b)</w:t>
          </w:r>
        </w:sdtContent>
      </w:sdt>
      <w:r>
        <w:t xml:space="preserve">. Further consultation with Traditional owners will also be undertaken as part of the strategic assessment process and Plan implementation (see Section </w:t>
      </w:r>
      <w:r>
        <w:fldChar w:fldCharType="begin"/>
      </w:r>
      <w:r>
        <w:instrText xml:space="preserve"> REF _Ref117682195 \r \h </w:instrText>
      </w:r>
      <w:r>
        <w:fldChar w:fldCharType="separate"/>
      </w:r>
      <w:r>
        <w:t>26.4.1</w:t>
      </w:r>
      <w:r>
        <w:fldChar w:fldCharType="end"/>
      </w:r>
      <w:r>
        <w:t>).</w:t>
      </w:r>
    </w:p>
    <w:p w14:paraId="6B662538" w14:textId="77777777" w:rsidR="008C1AD8" w:rsidRDefault="008C1AD8" w:rsidP="008C1AD8">
      <w:r>
        <w:t xml:space="preserve">The Plan will facilitate urban development in the Growth Areas which will provide capacity to support the projected future population growth of Geelong </w:t>
      </w:r>
      <w:sdt>
        <w:sdtPr>
          <w:rPr>
            <w:color w:val="000000"/>
          </w:rPr>
          <w:tag w:val="MENDELEY_CITATION_v3_eyJjaXRhdGlvbklEIjoiTUVOREVMRVlfQ0lUQVRJT05fMjA2YjUxNGMtMDIwZi00NDFjLTg2MTgtNmI0YmU1ZjhhYzZj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431128689"/>
          <w:placeholder>
            <w:docPart w:val="D7FA6FAA39773F49851699A422E06BC1"/>
          </w:placeholder>
        </w:sdtPr>
        <w:sdtContent>
          <w:r w:rsidRPr="00273871">
            <w:rPr>
              <w:color w:val="000000"/>
            </w:rPr>
            <w:t>(The City of Greater Geelong, 2021b)</w:t>
          </w:r>
        </w:sdtContent>
      </w:sdt>
      <w:r>
        <w:t xml:space="preserve">. As new residents move to the Growth Areas and the population grows, the composition and diversity of religion, ethnicity and language will change. </w:t>
      </w:r>
    </w:p>
    <w:p w14:paraId="48AEBDF2" w14:textId="77777777" w:rsidR="008C1AD8" w:rsidRPr="00BD41F5" w:rsidRDefault="008C1AD8" w:rsidP="008C1AD8">
      <w:r>
        <w:t xml:space="preserve">It is not possible to accurately predict the exact changes to culture, as new residents may comprise of a more diverse population, but existing residents may also emigrate from the Growth Areas. Although the Plan will influence the culture of Geelong, it is not expected to have a substantial positive or negative effect. </w:t>
      </w:r>
    </w:p>
    <w:p w14:paraId="72B9B644" w14:textId="77777777" w:rsidR="008C1AD8" w:rsidRDefault="008C1AD8" w:rsidP="008C1AD8">
      <w:pPr>
        <w:pStyle w:val="Heading3"/>
      </w:pPr>
      <w:r>
        <w:t>Their community</w:t>
      </w:r>
    </w:p>
    <w:p w14:paraId="5992483C" w14:textId="77777777" w:rsidR="008C1AD8" w:rsidRDefault="008C1AD8" w:rsidP="008C1AD8">
      <w:pPr>
        <w:pStyle w:val="Heading4"/>
      </w:pPr>
      <w:r>
        <w:t>Public services</w:t>
      </w:r>
    </w:p>
    <w:p w14:paraId="5BEA1776" w14:textId="77777777" w:rsidR="008C1AD8" w:rsidRDefault="008C1AD8" w:rsidP="008C1AD8">
      <w:pPr>
        <w:rPr>
          <w:lang w:eastAsia="en-GB"/>
        </w:rPr>
      </w:pPr>
      <w:r>
        <w:rPr>
          <w:lang w:eastAsia="en-GB"/>
        </w:rPr>
        <w:t xml:space="preserve">Greater Geelong includes a number of public services and facilities. This includes (note that this list is not exhaustive and doesn’t include hotels, restaurants, cafes, nightclubs, and churches) </w:t>
      </w:r>
      <w:sdt>
        <w:sdtPr>
          <w:rPr>
            <w:color w:val="000000"/>
            <w:lang w:eastAsia="en-GB"/>
          </w:rPr>
          <w:tag w:val="MENDELEY_CITATION_v3_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"/>
          <w:id w:val="677393271"/>
          <w:placeholder>
            <w:docPart w:val="D7FA6FAA39773F49851699A422E06BC1"/>
          </w:placeholder>
        </w:sdtPr>
        <w:sdtEndPr>
          <w:rPr>
            <w:lang w:eastAsia="en-AU"/>
          </w:rPr>
        </w:sdtEndPr>
        <w:sdtContent>
          <w:r w:rsidRPr="00273871">
            <w:rPr>
              <w:color w:val="000000"/>
            </w:rPr>
            <w:t>(The City of Greater Geelong, 2018)</w:t>
          </w:r>
        </w:sdtContent>
      </w:sdt>
      <w:r>
        <w:rPr>
          <w:lang w:eastAsia="en-GB"/>
        </w:rPr>
        <w:t>:</w:t>
      </w:r>
    </w:p>
    <w:p w14:paraId="3E92F8C3" w14:textId="77777777" w:rsidR="008C1AD8" w:rsidRPr="00F065D9" w:rsidRDefault="008C1AD8" w:rsidP="008C1AD8">
      <w:pPr>
        <w:pStyle w:val="Bullet1"/>
      </w:pPr>
      <w:r w:rsidRPr="00F065D9">
        <w:t>74 aged care/nursing homes</w:t>
      </w:r>
    </w:p>
    <w:p w14:paraId="275E2416" w14:textId="77777777" w:rsidR="008C1AD8" w:rsidRPr="00F065D9" w:rsidRDefault="008C1AD8" w:rsidP="008C1AD8">
      <w:pPr>
        <w:pStyle w:val="Bullet1"/>
      </w:pPr>
      <w:r w:rsidRPr="00F065D9">
        <w:t>35 caravan parks</w:t>
      </w:r>
    </w:p>
    <w:p w14:paraId="619B3243" w14:textId="77777777" w:rsidR="008C1AD8" w:rsidRPr="00F065D9" w:rsidRDefault="008C1AD8" w:rsidP="008C1AD8">
      <w:pPr>
        <w:pStyle w:val="Bullet1"/>
      </w:pPr>
      <w:r w:rsidRPr="00F065D9">
        <w:t>18 childcare centres</w:t>
      </w:r>
    </w:p>
    <w:p w14:paraId="19E41F1E" w14:textId="77777777" w:rsidR="008C1AD8" w:rsidRPr="00F065D9" w:rsidRDefault="008C1AD8" w:rsidP="008C1AD8">
      <w:pPr>
        <w:pStyle w:val="Bullet1"/>
      </w:pPr>
      <w:r w:rsidRPr="00F065D9">
        <w:t>34 kindergartens</w:t>
      </w:r>
    </w:p>
    <w:p w14:paraId="5F8A6F27" w14:textId="77777777" w:rsidR="008C1AD8" w:rsidRPr="00F065D9" w:rsidRDefault="008C1AD8" w:rsidP="008C1AD8">
      <w:pPr>
        <w:pStyle w:val="Bullet1"/>
      </w:pPr>
      <w:r w:rsidRPr="00F065D9">
        <w:t>51 community halls</w:t>
      </w:r>
    </w:p>
    <w:p w14:paraId="5CD72048" w14:textId="77777777" w:rsidR="008C1AD8" w:rsidRPr="00F065D9" w:rsidRDefault="008C1AD8" w:rsidP="008C1AD8">
      <w:pPr>
        <w:pStyle w:val="Bullet1"/>
      </w:pPr>
      <w:r w:rsidRPr="00F065D9">
        <w:t>44 disability centres</w:t>
      </w:r>
    </w:p>
    <w:p w14:paraId="43FE4053" w14:textId="77777777" w:rsidR="008C1AD8" w:rsidRPr="00F065D9" w:rsidRDefault="008C1AD8" w:rsidP="008C1AD8">
      <w:pPr>
        <w:pStyle w:val="Bullet1"/>
      </w:pPr>
      <w:r w:rsidRPr="00F065D9">
        <w:t>5 hospitals</w:t>
      </w:r>
    </w:p>
    <w:p w14:paraId="0BF685A6" w14:textId="77777777" w:rsidR="008C1AD8" w:rsidRPr="00F065D9" w:rsidRDefault="008C1AD8" w:rsidP="008C1AD8">
      <w:pPr>
        <w:pStyle w:val="Bullet1"/>
      </w:pPr>
      <w:r w:rsidRPr="00F065D9">
        <w:t>20 maternal and child</w:t>
      </w:r>
      <w:r>
        <w:t>c</w:t>
      </w:r>
      <w:r w:rsidRPr="00F065D9">
        <w:t>are centres</w:t>
      </w:r>
    </w:p>
    <w:p w14:paraId="0B71EE73" w14:textId="77777777" w:rsidR="008C1AD8" w:rsidRPr="00F065D9" w:rsidRDefault="008C1AD8" w:rsidP="008C1AD8">
      <w:pPr>
        <w:pStyle w:val="Bullet1"/>
      </w:pPr>
      <w:r w:rsidRPr="00F065D9">
        <w:t>127 schools</w:t>
      </w:r>
    </w:p>
    <w:p w14:paraId="2CD56DA6" w14:textId="77777777" w:rsidR="008C1AD8" w:rsidRPr="00F065D9" w:rsidRDefault="008C1AD8" w:rsidP="008C1AD8">
      <w:pPr>
        <w:pStyle w:val="Bullet1"/>
      </w:pPr>
      <w:r w:rsidRPr="00F065D9">
        <w:t>19 senior citizen centres</w:t>
      </w:r>
    </w:p>
    <w:p w14:paraId="12DC31CE" w14:textId="77777777" w:rsidR="008C1AD8" w:rsidRPr="00F065D9" w:rsidRDefault="008C1AD8" w:rsidP="008C1AD8">
      <w:pPr>
        <w:pStyle w:val="Bullet1"/>
      </w:pPr>
      <w:r w:rsidRPr="00F065D9">
        <w:t>3 amusement parks</w:t>
      </w:r>
    </w:p>
    <w:p w14:paraId="246F5DAA" w14:textId="77777777" w:rsidR="008C1AD8" w:rsidRPr="00F065D9" w:rsidRDefault="008C1AD8" w:rsidP="008C1AD8">
      <w:pPr>
        <w:pStyle w:val="Bullet1"/>
      </w:pPr>
      <w:r w:rsidRPr="00F065D9">
        <w:t>4 permanently staffed country fire authority stations</w:t>
      </w:r>
    </w:p>
    <w:p w14:paraId="5F691494" w14:textId="77777777" w:rsidR="008C1AD8" w:rsidRPr="00F065D9" w:rsidRDefault="008C1AD8" w:rsidP="008C1AD8">
      <w:pPr>
        <w:pStyle w:val="Bullet1"/>
      </w:pPr>
      <w:r w:rsidRPr="00F065D9">
        <w:t>4 major police stations</w:t>
      </w:r>
    </w:p>
    <w:p w14:paraId="5D475917" w14:textId="77777777" w:rsidR="008C1AD8" w:rsidRPr="00591DDB" w:rsidRDefault="008C1AD8" w:rsidP="008C1AD8">
      <w:pPr>
        <w:rPr>
          <w:lang w:eastAsia="en-GB"/>
        </w:rPr>
      </w:pPr>
      <w:r w:rsidRPr="00591DDB">
        <w:rPr>
          <w:lang w:eastAsia="en-GB"/>
        </w:rPr>
        <w:t xml:space="preserve">The Geelong region has a higher than the Victorian average </w:t>
      </w:r>
      <w:r>
        <w:rPr>
          <w:lang w:eastAsia="en-GB"/>
        </w:rPr>
        <w:t xml:space="preserve">rate of </w:t>
      </w:r>
      <w:r w:rsidRPr="00591DDB">
        <w:rPr>
          <w:lang w:eastAsia="en-GB"/>
        </w:rPr>
        <w:t>access to community services and resources. Greater Geelong is well serviced with health and medical services</w:t>
      </w:r>
      <w:r>
        <w:rPr>
          <w:lang w:eastAsia="en-GB"/>
        </w:rPr>
        <w:t xml:space="preserve">. Public services in the Geelong region are impacted by temporary fluctuations in population associated with increased tourism during holiday seasons </w:t>
      </w:r>
      <w:sdt>
        <w:sdtPr>
          <w:rPr>
            <w:color w:val="000000"/>
            <w:lang w:eastAsia="en-GB"/>
          </w:rPr>
          <w:tag w:val="MENDELEY_CITATION_v3_eyJjaXRhdGlvbklEIjoiTUVOREVMRVlfQ0lUQVRJT05fMmI4YzZmYTgtNThlZi00ZWNmLTgxMjktZTUxMDVlMWY0Nzk3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417980804"/>
          <w:placeholder>
            <w:docPart w:val="D7FA6FAA39773F49851699A422E06BC1"/>
          </w:placeholder>
        </w:sdtPr>
        <w:sdtEndPr>
          <w:rPr>
            <w:lang w:eastAsia="en-AU"/>
          </w:rPr>
        </w:sdtEndPr>
        <w:sdtContent>
          <w:r w:rsidRPr="00273871">
            <w:rPr>
              <w:color w:val="000000"/>
            </w:rPr>
            <w:t>(Geelong Region Alliance, 2019)</w:t>
          </w:r>
        </w:sdtContent>
      </w:sdt>
      <w:r w:rsidRPr="00591DDB">
        <w:rPr>
          <w:lang w:eastAsia="en-GB"/>
        </w:rPr>
        <w:t>.</w:t>
      </w:r>
    </w:p>
    <w:p w14:paraId="1531B3B4" w14:textId="77777777" w:rsidR="008C1AD8" w:rsidRDefault="008C1AD8" w:rsidP="008C1AD8">
      <w:pPr>
        <w:pStyle w:val="Heading4"/>
      </w:pPr>
      <w:r w:rsidRPr="00C26284">
        <w:t>Post-contact heritage</w:t>
      </w:r>
    </w:p>
    <w:p w14:paraId="2EC7CCE5" w14:textId="77777777" w:rsidR="008C1AD8" w:rsidRPr="00C544D6" w:rsidRDefault="008C1AD8" w:rsidP="008C1AD8">
      <w:r>
        <w:t xml:space="preserve">Post contact heritage values in the NGGA are mostly related to the early settlement of large pastoral estates, and the eventual subdivision to small-scale freehold agricultural enterprises. Post contact heritage values within the WGGA are related to early settlement of large pastoral estates, rail and road infrastructure, quarrying and the history of the Fyansford and Batesford townships </w:t>
      </w:r>
      <w:sdt>
        <w:sdtPr>
          <w:rPr>
            <w:color w:val="000000"/>
          </w:rPr>
          <w:tag w:val="MENDELEY_CITATION_v3_eyJjaXRhdGlvbklEIjoiTUVOREVMRVlfQ0lUQVRJT05fNzA2ZmYwMDYtNjVhYi00MDFjLThhNjUtMmNiZWNkZTYzODQ3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215628908"/>
          <w:placeholder>
            <w:docPart w:val="D7FA6FAA39773F49851699A422E06BC1"/>
          </w:placeholder>
        </w:sdtPr>
        <w:sdtContent>
          <w:r w:rsidRPr="00273871">
            <w:rPr>
              <w:color w:val="000000"/>
            </w:rPr>
            <w:t>(The City of Greater Geelong, 2021b)</w:t>
          </w:r>
        </w:sdtContent>
      </w:sdt>
      <w:r>
        <w:t>.</w:t>
      </w:r>
    </w:p>
    <w:p w14:paraId="420C3220" w14:textId="77777777" w:rsidR="008C1AD8" w:rsidRPr="00991D4D" w:rsidRDefault="008C1AD8" w:rsidP="008C1AD8">
      <w:pPr>
        <w:pStyle w:val="Heading4"/>
      </w:pPr>
      <w:r>
        <w:t>Housing</w:t>
      </w:r>
    </w:p>
    <w:p w14:paraId="68EBD3A8" w14:textId="77777777" w:rsidR="008C1AD8" w:rsidRDefault="008C1AD8" w:rsidP="008C1AD8">
      <w:pPr>
        <w:rPr>
          <w:lang w:eastAsia="en-GB"/>
        </w:rPr>
      </w:pPr>
      <w:r>
        <w:rPr>
          <w:lang w:eastAsia="en-GB"/>
        </w:rPr>
        <w:t xml:space="preserve">The demand for housing in Geelong is driven by household formation patterns and population growth. Affordability of housing is a key constraint for the region. The number of people who own a home in Geelong is broadly consistent with the Victorian average. The median mortgage repayments in Geelong were $1,540 per month in 2016. This is approximately 9 percent less than the Victorian state median of $1,700 </w:t>
      </w:r>
      <w:sdt>
        <w:sdtPr>
          <w:rPr>
            <w:color w:val="000000"/>
            <w:lang w:eastAsia="en-GB"/>
          </w:rPr>
          <w:tag w:val="MENDELEY_CITATION_v3_eyJjaXRhdGlvbklEIjoiTUVOREVMRVlfQ0lUQVRJT05fMDJkMDMxMDItYmFmNi00YjFjLWE4NDQtZDZmMDkyYTA0Zjg0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339828106"/>
          <w:placeholder>
            <w:docPart w:val="D7FA6FAA39773F49851699A422E06BC1"/>
          </w:placeholder>
        </w:sdtPr>
        <w:sdtEndPr>
          <w:rPr>
            <w:lang w:eastAsia="en-AU"/>
          </w:rPr>
        </w:sdtEndPr>
        <w:sdtContent>
          <w:r w:rsidRPr="00273871">
            <w:rPr>
              <w:color w:val="000000"/>
            </w:rPr>
            <w:t>(Geelong Region Alliance, 2019)</w:t>
          </w:r>
        </w:sdtContent>
      </w:sdt>
      <w:r>
        <w:rPr>
          <w:lang w:eastAsia="en-GB"/>
        </w:rPr>
        <w:t>.</w:t>
      </w:r>
    </w:p>
    <w:p w14:paraId="3A23D2A9" w14:textId="77777777" w:rsidR="008C1AD8" w:rsidRDefault="008C1AD8" w:rsidP="008C1AD8">
      <w:pPr>
        <w:rPr>
          <w:lang w:eastAsia="en-GB"/>
        </w:rPr>
      </w:pPr>
      <w:r>
        <w:rPr>
          <w:lang w:eastAsia="en-GB"/>
        </w:rPr>
        <w:t xml:space="preserve">There are less people renting in Geelong (23.5 per cent) than the Victorian Average (26.7 per cent). The average rental price in the Geelong region was $280 per week as of 2016, $45 per week less than the Victorian average. Approximately 21.1 per cent of the rental dwellings in Geelong were identified as affordable in 2018 </w:t>
      </w:r>
      <w:sdt>
        <w:sdtPr>
          <w:rPr>
            <w:color w:val="000000"/>
            <w:lang w:eastAsia="en-GB"/>
          </w:rPr>
          <w:tag w:val="MENDELEY_CITATION_v3_eyJjaXRhdGlvbklEIjoiTUVOREVMRVlfQ0lUQVRJT05fYjA1ZjI0OTgtNWE0Ni00M2MyLTg0YmMtOTRjZWE3ZjI4MjE4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712112064"/>
          <w:placeholder>
            <w:docPart w:val="D7FA6FAA39773F49851699A422E06BC1"/>
          </w:placeholder>
        </w:sdtPr>
        <w:sdtEndPr>
          <w:rPr>
            <w:lang w:eastAsia="en-AU"/>
          </w:rPr>
        </w:sdtEndPr>
        <w:sdtContent>
          <w:r w:rsidRPr="00273871">
            <w:rPr>
              <w:color w:val="000000"/>
            </w:rPr>
            <w:t>(Geelong Region Alliance, 2019)</w:t>
          </w:r>
        </w:sdtContent>
      </w:sdt>
      <w:r>
        <w:rPr>
          <w:lang w:eastAsia="en-GB"/>
        </w:rPr>
        <w:t>.</w:t>
      </w:r>
    </w:p>
    <w:p w14:paraId="0B557630" w14:textId="77777777" w:rsidR="008C1AD8" w:rsidRDefault="008C1AD8" w:rsidP="008C1AD8">
      <w:pPr>
        <w:rPr>
          <w:lang w:eastAsia="en-GB"/>
        </w:rPr>
      </w:pPr>
      <w:r w:rsidRPr="00E2033F">
        <w:rPr>
          <w:lang w:eastAsia="en-GB"/>
        </w:rPr>
        <w:lastRenderedPageBreak/>
        <w:t>The City provides social housing for people on low incomes who need housing. Approximately 12.6 per cent of all rental dwellings in the Geelong region are occupied through public housing (3,680 dwellings). As of 2018, it was estimated that the total number of applicants for social housing in the Barwon Area was 2,699</w:t>
      </w:r>
      <w:r>
        <w:rPr>
          <w:lang w:eastAsia="en-GB"/>
        </w:rPr>
        <w:t xml:space="preserve"> </w:t>
      </w:r>
      <w:sdt>
        <w:sdtPr>
          <w:rPr>
            <w:color w:val="000000"/>
            <w:lang w:eastAsia="en-GB"/>
          </w:rPr>
          <w:tag w:val="MENDELEY_CITATION_v3_eyJjaXRhdGlvbklEIjoiTUVOREVMRVlfQ0lUQVRJT05fMDFmMjllNTItZDRkZi00MjQ4LWI3MDctOTQyOTM2ODYyYzdl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088419565"/>
          <w:placeholder>
            <w:docPart w:val="D7FA6FAA39773F49851699A422E06BC1"/>
          </w:placeholder>
        </w:sdtPr>
        <w:sdtEndPr>
          <w:rPr>
            <w:lang w:eastAsia="en-AU"/>
          </w:rPr>
        </w:sdtEndPr>
        <w:sdtContent>
          <w:r w:rsidRPr="00273871">
            <w:rPr>
              <w:color w:val="000000"/>
            </w:rPr>
            <w:t>(Geelong Region Alliance, 2019)</w:t>
          </w:r>
        </w:sdtContent>
      </w:sdt>
      <w:r w:rsidRPr="00E2033F">
        <w:rPr>
          <w:lang w:eastAsia="en-GB"/>
        </w:rPr>
        <w:t>.</w:t>
      </w:r>
    </w:p>
    <w:p w14:paraId="68A3CC47" w14:textId="77777777" w:rsidR="008C1AD8" w:rsidRPr="00367596" w:rsidRDefault="008C1AD8" w:rsidP="008C1AD8">
      <w:pPr>
        <w:rPr>
          <w:lang w:eastAsia="en-GB"/>
        </w:rPr>
      </w:pPr>
      <w:r w:rsidRPr="00E2033F">
        <w:rPr>
          <w:lang w:eastAsia="en-GB"/>
        </w:rPr>
        <w:t>The Geelong region has experienced a growth in homeless people between 2011 and 2016. The homeless proportion of the Geelong region population was 0.3 per cent in 2016. This is lower than the state average (0.4 per cent)</w:t>
      </w:r>
      <w:r>
        <w:rPr>
          <w:lang w:eastAsia="en-GB"/>
        </w:rPr>
        <w:t xml:space="preserve"> </w:t>
      </w:r>
      <w:sdt>
        <w:sdtPr>
          <w:rPr>
            <w:color w:val="000000"/>
            <w:lang w:eastAsia="en-GB"/>
          </w:rPr>
          <w:tag w:val="MENDELEY_CITATION_v3_eyJjaXRhdGlvbklEIjoiTUVOREVMRVlfQ0lUQVRJT05fZWJhMDdiMjctOTMxOC00NjVhLWE3ZDYtMTY2MGEyMGFiZWRl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915819020"/>
          <w:placeholder>
            <w:docPart w:val="D7FA6FAA39773F49851699A422E06BC1"/>
          </w:placeholder>
        </w:sdtPr>
        <w:sdtEndPr>
          <w:rPr>
            <w:lang w:eastAsia="en-AU"/>
          </w:rPr>
        </w:sdtEndPr>
        <w:sdtContent>
          <w:r w:rsidRPr="00273871">
            <w:rPr>
              <w:color w:val="000000"/>
            </w:rPr>
            <w:t>(Geelong Region Alliance, 2019)</w:t>
          </w:r>
        </w:sdtContent>
      </w:sdt>
      <w:r>
        <w:rPr>
          <w:lang w:eastAsia="en-GB"/>
        </w:rPr>
        <w:t>.</w:t>
      </w:r>
    </w:p>
    <w:p w14:paraId="6EE0AC83" w14:textId="77777777" w:rsidR="008C1AD8" w:rsidRDefault="008C1AD8" w:rsidP="008C1AD8">
      <w:pPr>
        <w:pStyle w:val="Heading4"/>
        <w:rPr>
          <w:lang w:eastAsia="en-GB"/>
        </w:rPr>
      </w:pPr>
      <w:r>
        <w:rPr>
          <w:lang w:eastAsia="en-GB"/>
        </w:rPr>
        <w:t>Impacts of the Plan</w:t>
      </w:r>
    </w:p>
    <w:p w14:paraId="3C470CEF" w14:textId="77777777" w:rsidR="008C1AD8" w:rsidRDefault="008C1AD8" w:rsidP="008C1AD8">
      <w:pPr>
        <w:pStyle w:val="Heading5"/>
      </w:pPr>
      <w:r>
        <w:t>Public services</w:t>
      </w:r>
    </w:p>
    <w:p w14:paraId="0CC80385" w14:textId="77777777" w:rsidR="008C1AD8" w:rsidRPr="00E82E1B" w:rsidRDefault="008C1AD8" w:rsidP="008C1AD8">
      <w:r>
        <w:t xml:space="preserve">Development of the Growth Areas under the Plan will facilitate new public services and infrastructure that will be required to support the increasing population. This will add to the already high level of </w:t>
      </w:r>
      <w:r w:rsidRPr="00591DDB">
        <w:rPr>
          <w:lang w:eastAsia="en-GB"/>
        </w:rPr>
        <w:t>access to community services and resources</w:t>
      </w:r>
      <w:r>
        <w:rPr>
          <w:lang w:eastAsia="en-GB"/>
        </w:rPr>
        <w:t xml:space="preserve"> for both current and future residents, and nearby residents of the Growth Areas. The increase in public services may also assist with fluctuations associated with increased tourism during holiday seasons</w:t>
      </w:r>
      <w:r w:rsidRPr="00591DDB">
        <w:rPr>
          <w:lang w:eastAsia="en-GB"/>
        </w:rPr>
        <w:t xml:space="preserve"> </w:t>
      </w:r>
      <w:sdt>
        <w:sdtPr>
          <w:rPr>
            <w:color w:val="000000"/>
            <w:lang w:eastAsia="en-GB"/>
          </w:rPr>
          <w:tag w:val="MENDELEY_CITATION_v3_eyJjaXRhdGlvbklEIjoiTUVOREVMRVlfQ0lUQVRJT05fZGZjMTc0YTQtZTFjMS00NTA0LTlmZDMtOTZmNmRlMWI3N2Y4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480260808"/>
          <w:placeholder>
            <w:docPart w:val="D7FA6FAA39773F49851699A422E06BC1"/>
          </w:placeholder>
        </w:sdtPr>
        <w:sdtEndPr>
          <w:rPr>
            <w:lang w:eastAsia="en-AU"/>
          </w:rPr>
        </w:sdtEndPr>
        <w:sdtContent>
          <w:r w:rsidRPr="00273871">
            <w:rPr>
              <w:color w:val="000000"/>
            </w:rPr>
            <w:t>(Geelong Region Alliance, 2019)</w:t>
          </w:r>
        </w:sdtContent>
      </w:sdt>
      <w:r w:rsidRPr="00591DDB">
        <w:rPr>
          <w:lang w:eastAsia="en-GB"/>
        </w:rPr>
        <w:t>.</w:t>
      </w:r>
    </w:p>
    <w:p w14:paraId="703BBEDC" w14:textId="77777777" w:rsidR="008C1AD8" w:rsidRPr="00E82E1B" w:rsidRDefault="008C1AD8" w:rsidP="008C1AD8">
      <w:pPr>
        <w:pStyle w:val="Heading5"/>
      </w:pPr>
      <w:r>
        <w:t>Post-contact heritage</w:t>
      </w:r>
    </w:p>
    <w:p w14:paraId="3F15EAF1" w14:textId="77777777" w:rsidR="008C1AD8" w:rsidRPr="008C116E" w:rsidRDefault="008C1AD8" w:rsidP="008C1AD8">
      <w:pPr>
        <w:rPr>
          <w:lang w:eastAsia="en-GB"/>
        </w:rPr>
      </w:pPr>
      <w:r>
        <w:t xml:space="preserve">The city aims to protect existing post-contact heritage sites and integrate them into the design of the Growth Areas. This will help provide the community with a sense of place and add character to the Growth Areas, potentially leading to positive community impacts for current and future residents </w:t>
      </w:r>
      <w:sdt>
        <w:sdtPr>
          <w:rPr>
            <w:color w:val="000000"/>
          </w:rPr>
          <w:tag w:val="MENDELEY_CITATION_v3_eyJjaXRhdGlvbklEIjoiTUVOREVMRVlfQ0lUQVRJT05fNDAzMTA3YTAtNjc2Ni00ODZlLTg3ZmUtNjA3YTE2MmQ2ZDEz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792008582"/>
          <w:placeholder>
            <w:docPart w:val="D7FA6FAA39773F49851699A422E06BC1"/>
          </w:placeholder>
        </w:sdtPr>
        <w:sdtContent>
          <w:r w:rsidRPr="00273871">
            <w:rPr>
              <w:color w:val="000000"/>
            </w:rPr>
            <w:t>(The City of Greater Geelong, 2021b)</w:t>
          </w:r>
        </w:sdtContent>
      </w:sdt>
      <w:r>
        <w:t>. Protecting and integrating these sites may also lead to added tourism and economic benefits for the community due to people visiting the sites from outside of the Geelong region.</w:t>
      </w:r>
    </w:p>
    <w:p w14:paraId="46E3047B" w14:textId="77777777" w:rsidR="008C1AD8" w:rsidRDefault="008C1AD8" w:rsidP="008C1AD8">
      <w:pPr>
        <w:pStyle w:val="Heading5"/>
      </w:pPr>
      <w:r>
        <w:t>Housing</w:t>
      </w:r>
    </w:p>
    <w:p w14:paraId="0E2FAFDD" w14:textId="77777777" w:rsidR="008C1AD8" w:rsidRDefault="008C1AD8" w:rsidP="008C1AD8">
      <w:r>
        <w:t xml:space="preserve">Recently (partly the result of the COVID-19 pandemic), housing availability has not adequately kept pace with demand, which has led to high house and land prices </w:t>
      </w:r>
      <w:sdt>
        <w:sdtPr>
          <w:rPr>
            <w:color w:val="000000"/>
          </w:rPr>
          <w:tag w:val="MENDELEY_CITATION_v3_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"/>
          <w:id w:val="-1707169799"/>
          <w:placeholder>
            <w:docPart w:val="D7FA6FAA39773F49851699A422E06BC1"/>
          </w:placeholder>
        </w:sdtPr>
        <w:sdtContent>
          <w:r w:rsidRPr="00273871">
            <w:rPr>
              <w:color w:val="000000"/>
            </w:rPr>
            <w:t>(Ratio, 2022)</w:t>
          </w:r>
        </w:sdtContent>
      </w:sdt>
      <w:r>
        <w:t xml:space="preserve">. This trend has been seen across most of Australia and supply of affordable housing is needed </w:t>
      </w:r>
      <w:sdt>
        <w:sdtPr>
          <w:rPr>
            <w:color w:val="000000"/>
          </w:rPr>
          <w:tag w:val="MENDELEY_CITATION_v3_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"/>
          <w:id w:val="-1457409564"/>
          <w:placeholder>
            <w:docPart w:val="D7FA6FAA39773F49851699A422E06BC1"/>
          </w:placeholder>
        </w:sdtPr>
        <w:sdtContent>
          <w:r w:rsidRPr="00273871">
            <w:rPr>
              <w:color w:val="000000"/>
            </w:rPr>
            <w:t>(Informed Decisions, 2022a; Ratio, 2022)</w:t>
          </w:r>
        </w:sdtContent>
      </w:sdt>
      <w:r>
        <w:t>. The Framework Plan was developed in consideration of the projected increase in Geelong’s growth and aimed to help supply the urban land required to support Geelong’s future growth.</w:t>
      </w:r>
    </w:p>
    <w:p w14:paraId="567A6835" w14:textId="77777777" w:rsidR="008C1AD8" w:rsidRDefault="008C1AD8" w:rsidP="008C1AD8">
      <w:r>
        <w:t xml:space="preserve">The development supported by the Plan aims to provide a sustainable and diverse mix of housing and accommodation to support future residents and visitors of Geelong. Diverse housing is important for the success of new urban areas, as it attracts a range of potential residents at all stages of their life. The City intends to provide a mix of </w:t>
      </w:r>
      <w:r w:rsidRPr="008F0B6D">
        <w:t>low-rise, multi-unit and clustered housing types</w:t>
      </w:r>
      <w:r>
        <w:t xml:space="preserve">, along with aged-care and affordable, community and social housing options </w:t>
      </w:r>
      <w:sdt>
        <w:sdtPr>
          <w:rPr>
            <w:color w:val="000000"/>
          </w:rPr>
          <w:tag w:val="MENDELEY_CITATION_v3_eyJjaXRhdGlvbklEIjoiTUVOREVMRVlfQ0lUQVRJT05fYjU0ZGFmZmYtNjY5YS00YjNmLWFkNGYtZjE1N2NiY2Q1ZDgx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456130915"/>
          <w:placeholder>
            <w:docPart w:val="D7FA6FAA39773F49851699A422E06BC1"/>
          </w:placeholder>
        </w:sdtPr>
        <w:sdtContent>
          <w:r w:rsidRPr="00273871">
            <w:rPr>
              <w:color w:val="000000"/>
            </w:rPr>
            <w:t>(The City of Greater Geelong, 2021b)</w:t>
          </w:r>
        </w:sdtContent>
      </w:sdt>
      <w:r>
        <w:t xml:space="preserve">. </w:t>
      </w:r>
    </w:p>
    <w:p w14:paraId="30FC9890" w14:textId="77777777" w:rsidR="008C1AD8" w:rsidRPr="004A7F8C" w:rsidRDefault="008C1AD8" w:rsidP="008C1AD8">
      <w:r w:rsidRPr="00AB604B">
        <w:t xml:space="preserve">The </w:t>
      </w:r>
      <w:r>
        <w:t>G</w:t>
      </w:r>
      <w:r w:rsidRPr="00AB604B">
        <w:t xml:space="preserve">rowth </w:t>
      </w:r>
      <w:r>
        <w:t>A</w:t>
      </w:r>
      <w:r w:rsidRPr="00AB604B">
        <w:t>reas have the capacity to accommodate 110,000 new residents</w:t>
      </w:r>
      <w:r>
        <w:t xml:space="preserve">. In additional to residential housing, a range of other accommodation types will also be provided including hotels, motels and caravan and camping parks. Existing rural living spaces will also be retained in some areas, providing opportunities for agriculture and rural industry </w:t>
      </w:r>
      <w:sdt>
        <w:sdtPr>
          <w:rPr>
            <w:color w:val="000000"/>
          </w:rPr>
          <w:tag w:val="MENDELEY_CITATION_v3_eyJjaXRhdGlvbklEIjoiTUVOREVMRVlfQ0lUQVRJT05fOTQyODkzZGQtN2NjMC00YTVhLWIxZWQtN2U1MzQ1YWY0NWQ2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054819776"/>
          <w:placeholder>
            <w:docPart w:val="D7FA6FAA39773F49851699A422E06BC1"/>
          </w:placeholder>
        </w:sdtPr>
        <w:sdtContent>
          <w:r w:rsidRPr="00273871">
            <w:rPr>
              <w:color w:val="000000"/>
            </w:rPr>
            <w:t>(The City of Greater Geelong, 2021b)</w:t>
          </w:r>
        </w:sdtContent>
      </w:sdt>
      <w:r>
        <w:t>.</w:t>
      </w:r>
    </w:p>
    <w:p w14:paraId="6575A7F3" w14:textId="77777777" w:rsidR="008C1AD8" w:rsidRPr="004A7F8C" w:rsidRDefault="008C1AD8" w:rsidP="008C1AD8">
      <w:r>
        <w:t>The increased availability and variety of housing options provided in the Growth Areas may relieve pressure on the current housing market and result in positive socio-economic impacts for current and future residents of Geelong.</w:t>
      </w:r>
    </w:p>
    <w:p w14:paraId="6DB8F4BC" w14:textId="77777777" w:rsidR="008C1AD8" w:rsidRDefault="008C1AD8" w:rsidP="008C1AD8">
      <w:pPr>
        <w:pStyle w:val="Heading5"/>
      </w:pPr>
      <w:r>
        <w:t>Conclusion</w:t>
      </w:r>
    </w:p>
    <w:p w14:paraId="6B91B9DE" w14:textId="77777777" w:rsidR="008C1AD8" w:rsidRPr="0088172C" w:rsidRDefault="008C1AD8" w:rsidP="008C1AD8">
      <w:pPr>
        <w:rPr>
          <w:lang w:eastAsia="en-GB"/>
        </w:rPr>
      </w:pPr>
      <w:r>
        <w:rPr>
          <w:lang w:eastAsia="en-GB"/>
        </w:rPr>
        <w:t>Implementation of the Plan will provide new public service facilities and infrastructure and will supply a diverse mix of housing and accommodation to help support the future population growth of Geelong. Existing heritage sites will also be protected and integrated into the Growth Areas. Overall, the Plan is therefore likely to result in positive community related socio-economic impacts for current, future and nearby residents of the Growth Areas.</w:t>
      </w:r>
    </w:p>
    <w:p w14:paraId="5094774D" w14:textId="77777777" w:rsidR="008C1AD8" w:rsidRDefault="008C1AD8" w:rsidP="008C1AD8">
      <w:pPr>
        <w:pStyle w:val="Heading3"/>
      </w:pPr>
      <w:r>
        <w:lastRenderedPageBreak/>
        <w:t>Their environment</w:t>
      </w:r>
    </w:p>
    <w:p w14:paraId="6AB1B656" w14:textId="77777777" w:rsidR="008C1AD8" w:rsidRDefault="008C1AD8" w:rsidP="008C1AD8">
      <w:pPr>
        <w:pStyle w:val="Heading4"/>
      </w:pPr>
      <w:r>
        <w:t>Biodiversity</w:t>
      </w:r>
    </w:p>
    <w:p w14:paraId="3EACFAA0" w14:textId="77777777" w:rsidR="008C1AD8" w:rsidRPr="00414D99" w:rsidRDefault="008C1AD8" w:rsidP="008C1AD8">
      <w:pPr>
        <w:keepNext/>
        <w:keepLines/>
      </w:pPr>
      <w:r>
        <w:t xml:space="preserve">The Geelong region supports a range of biodiversity values such as flora and fauna, ecological processes and natural habitats throughout rural lands, waterways, coastal reserves, grasslands, forests, nature reserves and streetscapes. Aside from its inherent value, biodiversity provides  important benefits for the community of Geelong including clean water and air, carbon sequestration, pollution and flood mitigation, productive soils, natural pest control, and visual amenity </w:t>
      </w:r>
      <w:sdt>
        <w:sdtPr>
          <w:rPr>
            <w:color w:val="000000"/>
          </w:rPr>
          <w:tag w:val="MENDELEY_CITATION_v3_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"/>
          <w:id w:val="-1240556702"/>
          <w:placeholder>
            <w:docPart w:val="2A82F144C2471849BDEF9506863450DB"/>
          </w:placeholder>
        </w:sdtPr>
        <w:sdtContent>
          <w:r w:rsidRPr="00273871">
            <w:rPr>
              <w:color w:val="000000"/>
            </w:rPr>
            <w:t>(The City of Greater Geelong, 2020b)</w:t>
          </w:r>
        </w:sdtContent>
      </w:sdt>
      <w:r>
        <w:t>.</w:t>
      </w:r>
    </w:p>
    <w:p w14:paraId="0D17AFDC" w14:textId="77777777" w:rsidR="008C1AD8" w:rsidRDefault="008C1AD8" w:rsidP="008C1AD8">
      <w:r>
        <w:t xml:space="preserve">Biodiversity in the Geelong region is in serious decline. Urgent action is necessary to prevent further decline, provide protection, and enhance and restore these values </w:t>
      </w:r>
      <w:sdt>
        <w:sdtPr>
          <w:rPr>
            <w:color w:val="000000"/>
          </w:rPr>
          <w:tag w:val="MENDELEY_CITATION_v3_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"/>
          <w:id w:val="-682979213"/>
          <w:placeholder>
            <w:docPart w:val="D7FA6FAA39773F49851699A422E06BC1"/>
          </w:placeholder>
        </w:sdtPr>
        <w:sdtContent>
          <w:r w:rsidRPr="00273871">
            <w:rPr>
              <w:color w:val="000000"/>
            </w:rPr>
            <w:t>(The City of Greater Geelong, 2020b)</w:t>
          </w:r>
        </w:sdtContent>
      </w:sdt>
      <w:r>
        <w:t>.</w:t>
      </w:r>
    </w:p>
    <w:p w14:paraId="60C23554" w14:textId="77777777" w:rsidR="008C1AD8" w:rsidRDefault="008C1AD8" w:rsidP="008C1AD8">
      <w:r>
        <w:t xml:space="preserve">A detailed description and impact assessment of biodiversity values listed under the EPBC Act is provided throughout Part 4 of the SAR. </w:t>
      </w:r>
    </w:p>
    <w:p w14:paraId="1584D061" w14:textId="77777777" w:rsidR="008C1AD8" w:rsidRPr="00CB7B13" w:rsidRDefault="008C1AD8" w:rsidP="008C1AD8">
      <w:pPr>
        <w:pStyle w:val="Heading4"/>
      </w:pPr>
      <w:r w:rsidRPr="00CB7B13">
        <w:t>Air quality</w:t>
      </w:r>
    </w:p>
    <w:p w14:paraId="233ACC31" w14:textId="77777777" w:rsidR="008C1AD8" w:rsidRPr="003177E4" w:rsidRDefault="008C1AD8" w:rsidP="008C1AD8">
      <w:pPr>
        <w:rPr>
          <w:lang w:eastAsia="en-GB"/>
        </w:rPr>
      </w:pPr>
      <w:r w:rsidRPr="003177E4">
        <w:rPr>
          <w:lang w:eastAsia="en-GB"/>
        </w:rPr>
        <w:t>Air quality in the Geelong region is monitored at Geelong South against national air quality objectives and goals. Measuring results for Geelong in 2017 indicate that air quality in Geelong was</w:t>
      </w:r>
      <w:r w:rsidRPr="003177E4">
        <w:t xml:space="preserve"> </w:t>
      </w:r>
      <w:sdt>
        <w:sdtPr>
          <w:rPr>
            <w:color w:val="000000"/>
          </w:rPr>
          <w:tag w:val="MENDELEY_CITATION_v3_eyJjaXRhdGlvbklEIjoiTUVOREVMRVlfQ0lUQVRJT05fNjU5ZWVmNjMtNjg3YS00YTYxLWIwZDMtYjJlMGJlMGRlOGY1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2019880497"/>
          <w:placeholder>
            <w:docPart w:val="D7FA6FAA39773F49851699A422E06BC1"/>
          </w:placeholder>
        </w:sdtPr>
        <w:sdtContent>
          <w:r w:rsidRPr="00273871">
            <w:rPr>
              <w:color w:val="000000"/>
            </w:rPr>
            <w:t>(Geelong Region Alliance, 2019)</w:t>
          </w:r>
        </w:sdtContent>
      </w:sdt>
      <w:r w:rsidRPr="003177E4">
        <w:rPr>
          <w:lang w:eastAsia="en-GB"/>
        </w:rPr>
        <w:t>:</w:t>
      </w:r>
    </w:p>
    <w:p w14:paraId="21B83B0F" w14:textId="77777777" w:rsidR="008C1AD8" w:rsidRPr="003177E4" w:rsidRDefault="008C1AD8" w:rsidP="008C1AD8">
      <w:pPr>
        <w:pStyle w:val="Bullet1"/>
        <w:rPr>
          <w:lang w:eastAsia="en-GB"/>
        </w:rPr>
      </w:pPr>
      <w:r w:rsidRPr="003177E4">
        <w:rPr>
          <w:lang w:eastAsia="en-GB"/>
        </w:rPr>
        <w:t xml:space="preserve">Good to very good on 286 days </w:t>
      </w:r>
    </w:p>
    <w:p w14:paraId="33BE7E53" w14:textId="77777777" w:rsidR="008C1AD8" w:rsidRPr="00AF657C" w:rsidRDefault="008C1AD8" w:rsidP="008C1AD8">
      <w:pPr>
        <w:pStyle w:val="Bullet1"/>
        <w:rPr>
          <w:lang w:eastAsia="en-GB"/>
        </w:rPr>
      </w:pPr>
      <w:r w:rsidRPr="003177E4">
        <w:rPr>
          <w:lang w:eastAsia="en-GB"/>
        </w:rPr>
        <w:t>Poor to very poor on 31 days</w:t>
      </w:r>
    </w:p>
    <w:p w14:paraId="2E0101C2" w14:textId="77777777" w:rsidR="008C1AD8" w:rsidRPr="00CB7B13" w:rsidRDefault="008C1AD8" w:rsidP="008C1AD8">
      <w:pPr>
        <w:pStyle w:val="Heading4"/>
      </w:pPr>
      <w:r w:rsidRPr="00CB7B13">
        <w:t>Water resources</w:t>
      </w:r>
    </w:p>
    <w:p w14:paraId="77AD2D84" w14:textId="77777777" w:rsidR="008C1AD8" w:rsidRPr="00B577A8" w:rsidRDefault="008C1AD8" w:rsidP="008C1AD8">
      <w:pPr>
        <w:rPr>
          <w:lang w:eastAsia="en-GB"/>
        </w:rPr>
      </w:pPr>
      <w:r w:rsidRPr="003177E4">
        <w:rPr>
          <w:lang w:eastAsia="en-GB"/>
        </w:rPr>
        <w:t xml:space="preserve">Water sources in Geelong are diverse, including groundwater, recycled water, water from Melbourne, and water from rivers and reservoirs. The availability of water resources in the Geelong region </w:t>
      </w:r>
      <w:r>
        <w:rPr>
          <w:lang w:eastAsia="en-GB"/>
        </w:rPr>
        <w:t>is</w:t>
      </w:r>
      <w:r w:rsidRPr="003177E4">
        <w:rPr>
          <w:lang w:eastAsia="en-GB"/>
        </w:rPr>
        <w:t xml:space="preserve"> expected to be impacted by climate change </w:t>
      </w:r>
      <w:sdt>
        <w:sdtPr>
          <w:rPr>
            <w:color w:val="000000"/>
            <w:lang w:eastAsia="en-GB"/>
          </w:rPr>
          <w:tag w:val="MENDELEY_CITATION_v3_eyJjaXRhdGlvbklEIjoiTUVOREVMRVlfQ0lUQVRJT05fMjM5MzRlOWMtYTVlZS00MTlkLWE4ZjUtNWI0ODkzZmEyZDkw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235683871"/>
          <w:placeholder>
            <w:docPart w:val="D7FA6FAA39773F49851699A422E06BC1"/>
          </w:placeholder>
        </w:sdtPr>
        <w:sdtEndPr>
          <w:rPr>
            <w:lang w:eastAsia="en-AU"/>
          </w:rPr>
        </w:sdtEndPr>
        <w:sdtContent>
          <w:r w:rsidRPr="00273871">
            <w:rPr>
              <w:color w:val="000000"/>
            </w:rPr>
            <w:t>(Geelong Region Alliance, 2019)</w:t>
          </w:r>
        </w:sdtContent>
      </w:sdt>
      <w:r w:rsidRPr="003177E4">
        <w:rPr>
          <w:lang w:eastAsia="en-GB"/>
        </w:rPr>
        <w:t>.</w:t>
      </w:r>
      <w:r>
        <w:rPr>
          <w:lang w:eastAsia="en-GB"/>
        </w:rPr>
        <w:t xml:space="preserve"> Population growth is also expected to put pressure on water supply in Geelong</w:t>
      </w:r>
      <w:r>
        <w:t>.</w:t>
      </w:r>
    </w:p>
    <w:p w14:paraId="49B80A14" w14:textId="77777777" w:rsidR="008C1AD8" w:rsidRPr="00CB7B13" w:rsidRDefault="008C1AD8" w:rsidP="008C1AD8">
      <w:pPr>
        <w:pStyle w:val="Heading4"/>
      </w:pPr>
      <w:r w:rsidRPr="00CB7B13">
        <w:t>Fire risks</w:t>
      </w:r>
    </w:p>
    <w:p w14:paraId="3467751D" w14:textId="77777777" w:rsidR="008C1AD8" w:rsidRPr="00B577A8" w:rsidRDefault="008C1AD8" w:rsidP="008C1AD8">
      <w:pPr>
        <w:pStyle w:val="Tabletext"/>
        <w:rPr>
          <w:lang w:eastAsia="en-GB"/>
        </w:rPr>
      </w:pPr>
      <w:r w:rsidRPr="003177E4">
        <w:rPr>
          <w:lang w:eastAsia="en-GB"/>
        </w:rPr>
        <w:t>The majority of the Geelong region is susceptible to bushfires</w:t>
      </w:r>
      <w:r>
        <w:rPr>
          <w:lang w:eastAsia="en-GB"/>
        </w:rPr>
        <w:t>. A</w:t>
      </w:r>
      <w:r w:rsidRPr="003177E4">
        <w:rPr>
          <w:lang w:eastAsia="en-GB"/>
        </w:rPr>
        <w:t xml:space="preserve">side from urban areas, remaining land has been defined as a ‘bushfire prone area’. This risk is likely to </w:t>
      </w:r>
      <w:r>
        <w:rPr>
          <w:lang w:eastAsia="en-GB"/>
        </w:rPr>
        <w:t>be</w:t>
      </w:r>
      <w:r w:rsidRPr="003177E4">
        <w:rPr>
          <w:lang w:eastAsia="en-GB"/>
        </w:rPr>
        <w:t xml:space="preserve"> exacerbate</w:t>
      </w:r>
      <w:r>
        <w:rPr>
          <w:lang w:eastAsia="en-GB"/>
        </w:rPr>
        <w:t>d</w:t>
      </w:r>
      <w:r w:rsidRPr="003177E4">
        <w:rPr>
          <w:lang w:eastAsia="en-GB"/>
        </w:rPr>
        <w:t xml:space="preserve"> in future climate scenarios </w:t>
      </w:r>
      <w:sdt>
        <w:sdtPr>
          <w:rPr>
            <w:color w:val="000000"/>
            <w:lang w:eastAsia="en-GB"/>
          </w:rPr>
          <w:tag w:val="MENDELEY_CITATION_v3_eyJjaXRhdGlvbklEIjoiTUVOREVMRVlfQ0lUQVRJT05fZDBkYzUzMjctMmEwOS00MDY3LThjNmUtMWZmMzgxYmIxMTE1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103841742"/>
          <w:placeholder>
            <w:docPart w:val="D7FA6FAA39773F49851699A422E06BC1"/>
          </w:placeholder>
        </w:sdtPr>
        <w:sdtEndPr>
          <w:rPr>
            <w:lang w:eastAsia="en-AU"/>
          </w:rPr>
        </w:sdtEndPr>
        <w:sdtContent>
          <w:r w:rsidRPr="00273871">
            <w:rPr>
              <w:color w:val="000000"/>
            </w:rPr>
            <w:t>(Geelong Region Alliance, 2019)</w:t>
          </w:r>
        </w:sdtContent>
      </w:sdt>
      <w:r w:rsidRPr="003177E4">
        <w:rPr>
          <w:lang w:eastAsia="en-GB"/>
        </w:rPr>
        <w:t>.</w:t>
      </w:r>
    </w:p>
    <w:p w14:paraId="000496D5" w14:textId="77777777" w:rsidR="008C1AD8" w:rsidRPr="00CB7B13" w:rsidRDefault="008C1AD8" w:rsidP="008C1AD8">
      <w:pPr>
        <w:pStyle w:val="Heading4"/>
      </w:pPr>
      <w:r>
        <w:t xml:space="preserve">Other </w:t>
      </w:r>
      <w:r w:rsidRPr="00CB7B13">
        <w:t>hazard</w:t>
      </w:r>
      <w:r>
        <w:t>s and</w:t>
      </w:r>
      <w:r w:rsidRPr="00CB7B13">
        <w:t xml:space="preserve"> risks</w:t>
      </w:r>
    </w:p>
    <w:p w14:paraId="4B1B0CD2" w14:textId="77777777" w:rsidR="008C1AD8" w:rsidRPr="00302063" w:rsidRDefault="008C1AD8" w:rsidP="008C1AD8">
      <w:r w:rsidRPr="00302063">
        <w:t>The City has identified a number of hazards and risks to Geelong. These include</w:t>
      </w:r>
      <w:r>
        <w:t xml:space="preserve"> </w:t>
      </w:r>
      <w:sdt>
        <w:sdtPr>
          <w:rPr>
            <w:color w:val="000000"/>
          </w:rPr>
          <w:tag w:val="MENDELEY_CITATION_v3_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"/>
          <w:id w:val="153889677"/>
          <w:placeholder>
            <w:docPart w:val="D7FA6FAA39773F49851699A422E06BC1"/>
          </w:placeholder>
        </w:sdtPr>
        <w:sdtContent>
          <w:r w:rsidRPr="00273871">
            <w:rPr>
              <w:color w:val="000000"/>
            </w:rPr>
            <w:t>(The City of Greater Geelong, 2022e)</w:t>
          </w:r>
        </w:sdtContent>
      </w:sdt>
      <w:r w:rsidRPr="00302063">
        <w:t>:</w:t>
      </w:r>
    </w:p>
    <w:p w14:paraId="67C7AAE8" w14:textId="77777777" w:rsidR="008C1AD8" w:rsidRPr="00302063" w:rsidRDefault="008C1AD8" w:rsidP="008C1AD8">
      <w:pPr>
        <w:pStyle w:val="Bullet1"/>
        <w:rPr>
          <w:i/>
          <w:iCs/>
        </w:rPr>
      </w:pPr>
      <w:r>
        <w:t>“</w:t>
      </w:r>
      <w:r w:rsidRPr="00302063">
        <w:rPr>
          <w:i/>
          <w:iCs/>
        </w:rPr>
        <w:t>Heatwaves</w:t>
      </w:r>
      <w:r>
        <w:rPr>
          <w:i/>
          <w:iCs/>
        </w:rPr>
        <w:t xml:space="preserve"> or drought </w:t>
      </w:r>
    </w:p>
    <w:p w14:paraId="71F46D15" w14:textId="77777777" w:rsidR="008C1AD8" w:rsidRPr="00302063" w:rsidRDefault="008C1AD8" w:rsidP="008C1AD8">
      <w:pPr>
        <w:pStyle w:val="Bullet1"/>
        <w:rPr>
          <w:i/>
          <w:iCs/>
        </w:rPr>
      </w:pPr>
      <w:r w:rsidRPr="00302063">
        <w:rPr>
          <w:i/>
          <w:iCs/>
        </w:rPr>
        <w:t>Epidemics or pandemics</w:t>
      </w:r>
    </w:p>
    <w:p w14:paraId="4909A08F" w14:textId="77777777" w:rsidR="008C1AD8" w:rsidRPr="00302063" w:rsidRDefault="008C1AD8" w:rsidP="008C1AD8">
      <w:pPr>
        <w:pStyle w:val="Bullet1"/>
        <w:rPr>
          <w:i/>
          <w:iCs/>
        </w:rPr>
      </w:pPr>
      <w:r w:rsidRPr="00302063">
        <w:rPr>
          <w:i/>
          <w:iCs/>
        </w:rPr>
        <w:t>Severe storms</w:t>
      </w:r>
    </w:p>
    <w:p w14:paraId="11617760" w14:textId="77777777" w:rsidR="008C1AD8" w:rsidRPr="00302063" w:rsidRDefault="008C1AD8" w:rsidP="008C1AD8">
      <w:pPr>
        <w:pStyle w:val="Bullet1"/>
        <w:rPr>
          <w:i/>
          <w:iCs/>
        </w:rPr>
      </w:pPr>
      <w:r w:rsidRPr="00302063">
        <w:rPr>
          <w:i/>
          <w:iCs/>
        </w:rPr>
        <w:t>Riverine and flash flooding</w:t>
      </w:r>
    </w:p>
    <w:p w14:paraId="632D6727" w14:textId="77777777" w:rsidR="008C1AD8" w:rsidRPr="00302063" w:rsidRDefault="008C1AD8" w:rsidP="008C1AD8">
      <w:pPr>
        <w:pStyle w:val="Bullet1"/>
        <w:rPr>
          <w:i/>
          <w:iCs/>
        </w:rPr>
      </w:pPr>
      <w:r w:rsidRPr="00302063">
        <w:rPr>
          <w:i/>
          <w:iCs/>
        </w:rPr>
        <w:t>Major road and rail transport accidents</w:t>
      </w:r>
    </w:p>
    <w:p w14:paraId="5FDB35BB" w14:textId="77777777" w:rsidR="008C1AD8" w:rsidRPr="00302063" w:rsidRDefault="008C1AD8" w:rsidP="008C1AD8">
      <w:pPr>
        <w:pStyle w:val="Bullet1"/>
        <w:rPr>
          <w:i/>
          <w:iCs/>
        </w:rPr>
      </w:pPr>
      <w:r w:rsidRPr="00302063">
        <w:rPr>
          <w:i/>
          <w:iCs/>
        </w:rPr>
        <w:t>Structural fires</w:t>
      </w:r>
    </w:p>
    <w:p w14:paraId="77A93CB8" w14:textId="77777777" w:rsidR="008C1AD8" w:rsidRPr="00302063" w:rsidRDefault="008C1AD8" w:rsidP="008C1AD8">
      <w:pPr>
        <w:pStyle w:val="Bullet1"/>
        <w:rPr>
          <w:i/>
          <w:iCs/>
        </w:rPr>
      </w:pPr>
      <w:r w:rsidRPr="00302063">
        <w:rPr>
          <w:i/>
          <w:iCs/>
        </w:rPr>
        <w:t>Bushfires</w:t>
      </w:r>
      <w:r>
        <w:rPr>
          <w:i/>
          <w:iCs/>
        </w:rPr>
        <w:t xml:space="preserve"> </w:t>
      </w:r>
    </w:p>
    <w:p w14:paraId="328B4D5D" w14:textId="77777777" w:rsidR="008C1AD8" w:rsidRPr="00302063" w:rsidRDefault="008C1AD8" w:rsidP="008C1AD8">
      <w:pPr>
        <w:pStyle w:val="Bullet1"/>
        <w:rPr>
          <w:i/>
          <w:iCs/>
        </w:rPr>
      </w:pPr>
      <w:r w:rsidRPr="00302063">
        <w:rPr>
          <w:i/>
          <w:iCs/>
        </w:rPr>
        <w:t>Actions of terrorism</w:t>
      </w:r>
    </w:p>
    <w:p w14:paraId="2523BFA1" w14:textId="77777777" w:rsidR="008C1AD8" w:rsidRPr="00302063" w:rsidRDefault="008C1AD8" w:rsidP="008C1AD8">
      <w:pPr>
        <w:pStyle w:val="Bullet1"/>
        <w:rPr>
          <w:i/>
          <w:iCs/>
        </w:rPr>
      </w:pPr>
      <w:r w:rsidRPr="00302063">
        <w:rPr>
          <w:i/>
          <w:iCs/>
        </w:rPr>
        <w:t>External incidents that may impact – power failure, contamination of water supply”</w:t>
      </w:r>
    </w:p>
    <w:p w14:paraId="677B4AF8" w14:textId="77777777" w:rsidR="008C1AD8" w:rsidRPr="00302063" w:rsidRDefault="008C1AD8" w:rsidP="008C1AD8">
      <w:r>
        <w:t xml:space="preserve">The City has a Municipal Emergency Management Plan in place to manage these risks (note this is currently under reform). This includes a Community Emergency Risk Assessment process </w:t>
      </w:r>
      <w:sdt>
        <w:sdtPr>
          <w:rPr>
            <w:color w:val="000000"/>
          </w:rPr>
          <w:tag w:val="MENDELEY_CITATION_v3_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"/>
          <w:id w:val="-1209793837"/>
          <w:placeholder>
            <w:docPart w:val="D7FA6FAA39773F49851699A422E06BC1"/>
          </w:placeholder>
        </w:sdtPr>
        <w:sdtContent>
          <w:r w:rsidRPr="00273871">
            <w:rPr>
              <w:color w:val="000000"/>
            </w:rPr>
            <w:t>(The City of Greater Geelong, 2022e)</w:t>
          </w:r>
        </w:sdtContent>
      </w:sdt>
      <w:r>
        <w:t xml:space="preserve">. </w:t>
      </w:r>
    </w:p>
    <w:p w14:paraId="7FF7F0DE" w14:textId="77777777" w:rsidR="008C1AD8" w:rsidRDefault="008C1AD8" w:rsidP="008C1AD8">
      <w:pPr>
        <w:pStyle w:val="Heading4"/>
      </w:pPr>
      <w:r>
        <w:lastRenderedPageBreak/>
        <w:t xml:space="preserve">Access to natural spaces </w:t>
      </w:r>
    </w:p>
    <w:p w14:paraId="65E0809D" w14:textId="77777777" w:rsidR="008C1AD8" w:rsidRPr="00DF5FDD" w:rsidRDefault="008C1AD8" w:rsidP="008C1AD8">
      <w:pPr>
        <w:keepNext/>
        <w:keepLines/>
      </w:pPr>
      <w:r>
        <w:t xml:space="preserve">Access to open spaces, walking trails, and sports facilities is important for community. Providing the community with adequate access to safe environments to exercise is an ongoing priority for the City. Data indicates that more adults are meeting physical activity guidelines. However, the number of adults who spend greater than 8 hours per day sitting has increased </w:t>
      </w:r>
      <w:sdt>
        <w:sdtPr>
          <w:rPr>
            <w:color w:val="000000"/>
          </w:rPr>
          <w:tag w:val="MENDELEY_CITATION_v3_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"/>
          <w:id w:val="-178577937"/>
          <w:placeholder>
            <w:docPart w:val="D7FA6FAA39773F49851699A422E06BC1"/>
          </w:placeholder>
        </w:sdtPr>
        <w:sdtContent>
          <w:r w:rsidRPr="00273871">
            <w:rPr>
              <w:color w:val="000000"/>
            </w:rPr>
            <w:t>(The City of Greater Geelong, 2021a)</w:t>
          </w:r>
        </w:sdtContent>
      </w:sdt>
      <w:r>
        <w:t>.</w:t>
      </w:r>
    </w:p>
    <w:p w14:paraId="70B2EC8F" w14:textId="77777777" w:rsidR="008C1AD8" w:rsidRPr="00DF5FDD" w:rsidRDefault="008C1AD8" w:rsidP="008C1AD8">
      <w:r>
        <w:t xml:space="preserve">Throughout Geelong, there is an estimated 1,300 ha of protected natural areas. Further, 2,146.8 ha within Geelong is designated as open public space </w:t>
      </w:r>
      <w:sdt>
        <w:sdtPr>
          <w:rPr>
            <w:color w:val="000000"/>
          </w:rPr>
          <w:tag w:val="MENDELEY_CITATION_v3_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"/>
          <w:id w:val="-1886629526"/>
          <w:placeholder>
            <w:docPart w:val="D7FA6FAA39773F49851699A422E06BC1"/>
          </w:placeholder>
        </w:sdtPr>
        <w:sdtContent>
          <w:r w:rsidRPr="00273871">
            <w:rPr>
              <w:color w:val="000000"/>
            </w:rPr>
            <w:t>(The City of Greater Geelong, 2021a)</w:t>
          </w:r>
        </w:sdtContent>
      </w:sdt>
      <w:r>
        <w:t>.</w:t>
      </w:r>
    </w:p>
    <w:p w14:paraId="1B2A2EE0" w14:textId="77777777" w:rsidR="008C1AD8" w:rsidRPr="00D21968" w:rsidRDefault="008C1AD8" w:rsidP="008C1AD8">
      <w:pPr>
        <w:pStyle w:val="Heading4"/>
      </w:pPr>
      <w:r>
        <w:t>Visual amenity</w:t>
      </w:r>
    </w:p>
    <w:p w14:paraId="3C5503B1" w14:textId="77777777" w:rsidR="008C1AD8" w:rsidRPr="00BD225A" w:rsidRDefault="008C1AD8" w:rsidP="008C1AD8">
      <w:r>
        <w:t xml:space="preserve">Amenity refers to the desirability, attractiveness, pleasantness, or utility of an area. Amenity is an important consideration for a number of stakeholders and the community </w:t>
      </w:r>
      <w:sdt>
        <w:sdtPr>
          <w:rPr>
            <w:color w:val="000000"/>
          </w:rPr>
          <w:tag w:val="MENDELEY_CITATION_v3_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"/>
          <w:id w:val="1550566970"/>
          <w:placeholder>
            <w:docPart w:val="D7FA6FAA39773F49851699A422E06BC1"/>
          </w:placeholder>
        </w:sdtPr>
        <w:sdtContent>
          <w:r w:rsidRPr="00273871">
            <w:rPr>
              <w:color w:val="000000"/>
            </w:rPr>
            <w:t>(DPE, 2022)</w:t>
          </w:r>
        </w:sdtContent>
      </w:sdt>
      <w:r>
        <w:t xml:space="preserve">. Amenity within neighbourhoods encourages residents to use and enjoy their surroundings in daily life. This may promote health and well-being by creating communities which are set within a healthy environment. Further, amenity will support businesses, attract new residents and facilitate major infrastructure and investment in arts and recreation </w:t>
      </w:r>
      <w:sdt>
        <w:sdtPr>
          <w:rPr>
            <w:color w:val="000000"/>
          </w:rPr>
          <w:tag w:val="MENDELEY_CITATION_v3_eyJjaXRhdGlvbklEIjoiTUVOREVMRVlfQ0lUQVRJT05fOGRlMzU4NTEtNDExYy00YWFmLWJiOWUtYzZkZWU1YzNiY2Vi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257166329"/>
          <w:placeholder>
            <w:docPart w:val="D7FA6FAA39773F49851699A422E06BC1"/>
          </w:placeholder>
        </w:sdtPr>
        <w:sdtContent>
          <w:r w:rsidRPr="00273871">
            <w:rPr>
              <w:color w:val="000000"/>
            </w:rPr>
            <w:t>(The City of Greater Geelong, 2021b)</w:t>
          </w:r>
        </w:sdtContent>
      </w:sdt>
      <w:r>
        <w:t>.</w:t>
      </w:r>
    </w:p>
    <w:p w14:paraId="247B7F9C" w14:textId="77777777" w:rsidR="008C1AD8" w:rsidRDefault="008C1AD8" w:rsidP="008C1AD8">
      <w:pPr>
        <w:pStyle w:val="Heading4"/>
      </w:pPr>
      <w:r>
        <w:t>Impacts of the Plan</w:t>
      </w:r>
    </w:p>
    <w:p w14:paraId="30DB4323" w14:textId="77777777" w:rsidR="008C1AD8" w:rsidRDefault="008C1AD8" w:rsidP="008C1AD8">
      <w:pPr>
        <w:pStyle w:val="Heading5"/>
      </w:pPr>
      <w:r>
        <w:t>Biodiversity</w:t>
      </w:r>
    </w:p>
    <w:p w14:paraId="66AB69C8" w14:textId="77777777" w:rsidR="008C1AD8" w:rsidRDefault="008C1AD8" w:rsidP="008C1AD8">
      <w:r w:rsidRPr="00326389">
        <w:t>In developing the Plan, the City applied the avoid, mitigate, and offset hierarchy to protect biodiversity within and around the Growth Areas.</w:t>
      </w:r>
      <w:r>
        <w:t xml:space="preserve"> The Plan includes a conservation framework that sets out commitments that will be delivered for:</w:t>
      </w:r>
    </w:p>
    <w:p w14:paraId="59061637" w14:textId="77777777" w:rsidR="008C1AD8" w:rsidRDefault="008C1AD8" w:rsidP="008C1AD8">
      <w:pPr>
        <w:pStyle w:val="Bullet1"/>
      </w:pPr>
      <w:r>
        <w:t xml:space="preserve">Avoiding and minimising impacts to MNES </w:t>
      </w:r>
    </w:p>
    <w:p w14:paraId="598F1FC9" w14:textId="77777777" w:rsidR="008C1AD8" w:rsidRDefault="008C1AD8" w:rsidP="008C1AD8">
      <w:pPr>
        <w:pStyle w:val="Bullet1"/>
      </w:pPr>
      <w:r>
        <w:t xml:space="preserve">Mitigating impacts to MNES </w:t>
      </w:r>
    </w:p>
    <w:p w14:paraId="62C339C2" w14:textId="77777777" w:rsidR="008C1AD8" w:rsidRDefault="008C1AD8" w:rsidP="008C1AD8">
      <w:pPr>
        <w:pStyle w:val="Bullet1"/>
      </w:pPr>
      <w:r>
        <w:t xml:space="preserve">Offsetting residual impacts to MNES </w:t>
      </w:r>
    </w:p>
    <w:p w14:paraId="768BBC36" w14:textId="77777777" w:rsidR="008C1AD8" w:rsidRPr="0091341A" w:rsidRDefault="008C1AD8" w:rsidP="008C1AD8">
      <w:r w:rsidRPr="0091341A">
        <w:t>Avoidance and minimisation of impacts to high value areas of biodiversity has been a key focus of the Plan. This included:</w:t>
      </w:r>
    </w:p>
    <w:p w14:paraId="69C063AB" w14:textId="77777777" w:rsidR="008C1AD8" w:rsidRPr="00FD798C" w:rsidRDefault="008C1AD8" w:rsidP="008C1AD8">
      <w:pPr>
        <w:pStyle w:val="Bullet1"/>
      </w:pPr>
      <w:r w:rsidRPr="00FD798C">
        <w:t>Avoidance of an additional important area in the NGGA that was focused on areas in better condition, connected to previously identified conservation area, likely to be viable in the long term</w:t>
      </w:r>
    </w:p>
    <w:p w14:paraId="14BC814C" w14:textId="77777777" w:rsidR="008C1AD8" w:rsidRPr="00FD798C" w:rsidRDefault="008C1AD8" w:rsidP="008C1AD8">
      <w:pPr>
        <w:pStyle w:val="Bullet1"/>
      </w:pPr>
      <w:r w:rsidRPr="00FD798C">
        <w:t>Avoidance of the Moorabool River and Cowies Creek Conservation Area in the WGGA</w:t>
      </w:r>
    </w:p>
    <w:p w14:paraId="1EB902D9" w14:textId="77777777" w:rsidR="008C1AD8" w:rsidRPr="00FD798C" w:rsidRDefault="008C1AD8" w:rsidP="008C1AD8">
      <w:pPr>
        <w:pStyle w:val="Bullet1"/>
      </w:pPr>
      <w:r w:rsidRPr="00FD798C">
        <w:t>Designing and locating external infrastructure development to avoid and minimise impacts to MNES and native vegetation</w:t>
      </w:r>
    </w:p>
    <w:p w14:paraId="3AAF0830" w14:textId="77777777" w:rsidR="008C1AD8" w:rsidRPr="0091341A" w:rsidRDefault="008C1AD8" w:rsidP="008C1AD8">
      <w:pPr>
        <w:pStyle w:val="Bullet1"/>
      </w:pPr>
      <w:r w:rsidRPr="00FD798C">
        <w:t>Preparing management plans for the protection and ongoing management of Striped Legless Lizard and Golden Sun Moth within the NGGA Conservation Area and for the Growling Grass Frog and areas of potential habitat for Adamson’s</w:t>
      </w:r>
      <w:r w:rsidRPr="0091341A">
        <w:t xml:space="preserve"> Blown-grass within the </w:t>
      </w:r>
      <w:r w:rsidRPr="0091341A">
        <w:rPr>
          <w:szCs w:val="18"/>
        </w:rPr>
        <w:t>Cowies Creek Conservation Area</w:t>
      </w:r>
    </w:p>
    <w:p w14:paraId="67D9EC9B" w14:textId="77777777" w:rsidR="008C1AD8" w:rsidRPr="00E536E4" w:rsidRDefault="008C1AD8" w:rsidP="008C1AD8">
      <w:r w:rsidRPr="0091341A">
        <w:t>Mitigation measures will also be implemented under the conservation framework to further reduce impacts to biodiversity. This includes:</w:t>
      </w:r>
    </w:p>
    <w:p w14:paraId="2E56E7FA" w14:textId="77777777" w:rsidR="008C1AD8" w:rsidRPr="000E0B7E" w:rsidRDefault="008C1AD8" w:rsidP="008C1AD8">
      <w:pPr>
        <w:pStyle w:val="Bullet1"/>
      </w:pPr>
      <w:r>
        <w:t>Continuing to implement s</w:t>
      </w:r>
      <w:r w:rsidRPr="006A7EBB">
        <w:t>tandard mitigation measures to</w:t>
      </w:r>
      <w:r>
        <w:t xml:space="preserve"> minimise </w:t>
      </w:r>
      <w:r w:rsidRPr="006A7EBB">
        <w:t xml:space="preserve">the indirect impacts of the development </w:t>
      </w:r>
      <w:r>
        <w:t xml:space="preserve">on MNES </w:t>
      </w:r>
      <w:r w:rsidRPr="006A7EBB">
        <w:t>in accordance with the requirements of the Geelong Planning Scheme, as updated from time to time, and generally in accordance with the Framework Plan</w:t>
      </w:r>
    </w:p>
    <w:p w14:paraId="570E2A5A" w14:textId="77777777" w:rsidR="008C1AD8" w:rsidRDefault="008C1AD8" w:rsidP="008C1AD8">
      <w:pPr>
        <w:pStyle w:val="Bullet1"/>
      </w:pPr>
      <w:r>
        <w:t xml:space="preserve">Implementing additional specific mitigation measures to minimise the indirect impacts of the development on </w:t>
      </w:r>
      <w:r w:rsidRPr="00A67EFC">
        <w:t xml:space="preserve">the NGGA </w:t>
      </w:r>
      <w:r>
        <w:t>Conservation Area,</w:t>
      </w:r>
      <w:r w:rsidRPr="00A67EFC">
        <w:t xml:space="preserve"> Cowies Creek </w:t>
      </w:r>
      <w:r>
        <w:t xml:space="preserve">Conservation Area, and MNES associated with waterways, riparian areas and wetlands </w:t>
      </w:r>
    </w:p>
    <w:p w14:paraId="557B91F1" w14:textId="77777777" w:rsidR="008C1AD8" w:rsidRDefault="008C1AD8" w:rsidP="008C1AD8">
      <w:pPr>
        <w:keepNext/>
        <w:keepLines/>
      </w:pPr>
      <w:r>
        <w:lastRenderedPageBreak/>
        <w:t xml:space="preserve">Offsetting </w:t>
      </w:r>
      <w:r w:rsidRPr="00301B66">
        <w:t xml:space="preserve">impacts to </w:t>
      </w:r>
      <w:r>
        <w:t>MNES</w:t>
      </w:r>
      <w:r w:rsidRPr="00301B66">
        <w:t xml:space="preserve"> is </w:t>
      </w:r>
      <w:r>
        <w:t>the final step in the offset mitigation hierarchy. Although impacts have been avoided, minimised, and mitigated as much as possible under the conservation framework, there are some remaining residual impacts that will occur as a result of the proposed development under the Plan. Offsetting of these impacts under the conservation framework includes:</w:t>
      </w:r>
    </w:p>
    <w:p w14:paraId="009A9CD4" w14:textId="77777777" w:rsidR="008C1AD8" w:rsidRDefault="008C1AD8" w:rsidP="008C1AD8">
      <w:pPr>
        <w:pStyle w:val="Bullet1"/>
        <w:keepNext/>
        <w:keepLines/>
      </w:pPr>
      <w:r>
        <w:t>Establishing the</w:t>
      </w:r>
      <w:r w:rsidRPr="00C624CD">
        <w:t xml:space="preserve"> NGGA Conservation Area to protect and manage</w:t>
      </w:r>
      <w:r>
        <w:t xml:space="preserve"> native vegetation and</w:t>
      </w:r>
      <w:r w:rsidRPr="00C624CD">
        <w:t xml:space="preserve"> habitat for Striped Legless Lizard and Golden Sun Moth in perpetuity</w:t>
      </w:r>
    </w:p>
    <w:p w14:paraId="467F0F10" w14:textId="77777777" w:rsidR="008C1AD8" w:rsidRDefault="008C1AD8" w:rsidP="008C1AD8">
      <w:pPr>
        <w:pStyle w:val="Bullet1"/>
      </w:pPr>
      <w:r>
        <w:t>Establishing o</w:t>
      </w:r>
      <w:r w:rsidRPr="007B513B">
        <w:t>ffset sites in strategic locations outside the Growth Areas to protect and manage habitat for MNES</w:t>
      </w:r>
      <w:r>
        <w:t xml:space="preserve"> including</w:t>
      </w:r>
      <w:r w:rsidRPr="007B513B">
        <w:t xml:space="preserve"> Natural Temperate Grassland</w:t>
      </w:r>
      <w:r>
        <w:t>,</w:t>
      </w:r>
      <w:r w:rsidRPr="007B513B">
        <w:t xml:space="preserve"> Striped Legless Lizard</w:t>
      </w:r>
      <w:r>
        <w:t xml:space="preserve"> and</w:t>
      </w:r>
      <w:r w:rsidRPr="007B513B">
        <w:t xml:space="preserve"> Golden Sun Moth</w:t>
      </w:r>
    </w:p>
    <w:p w14:paraId="1371AC70" w14:textId="77777777" w:rsidR="008C1AD8" w:rsidRDefault="008C1AD8" w:rsidP="008C1AD8">
      <w:r>
        <w:t xml:space="preserve">By </w:t>
      </w:r>
      <w:r w:rsidRPr="00326389">
        <w:t>appl</w:t>
      </w:r>
      <w:r>
        <w:t>ying</w:t>
      </w:r>
      <w:r w:rsidRPr="00326389">
        <w:t xml:space="preserve"> the avoid, mitigate, and offset hierarchy to protect biodiversity within and around the Growth Area</w:t>
      </w:r>
      <w:r>
        <w:t xml:space="preserve">s, the City is ensuring impacts to biodiversity are reduced and key environmental values are protected. </w:t>
      </w:r>
    </w:p>
    <w:p w14:paraId="0AF0F88B" w14:textId="77777777" w:rsidR="008C1AD8" w:rsidRPr="00B20914" w:rsidRDefault="008C1AD8" w:rsidP="008C1AD8">
      <w:pPr>
        <w:pStyle w:val="Heading5"/>
      </w:pPr>
      <w:r>
        <w:t>Air quality, water resources, fire, hazards and risks</w:t>
      </w:r>
    </w:p>
    <w:p w14:paraId="597B9448" w14:textId="77777777" w:rsidR="008C1AD8" w:rsidRDefault="008C1AD8" w:rsidP="008C1AD8">
      <w:r>
        <w:t>The Plan includes commitments to mitigate indirect impacts to biodiversity as a result of the Plan (as discussed above). These mitigation measures will help mitigate indirect impacts to current and future residents of the Growth Areas.</w:t>
      </w:r>
    </w:p>
    <w:p w14:paraId="74F4794D" w14:textId="77777777" w:rsidR="008C1AD8" w:rsidRDefault="008C1AD8" w:rsidP="008C1AD8">
      <w:r>
        <w:t>A number of impacts and risks are specifically associated with climate change. The Plan is considered to addresses significant vulnerabilities of climate change, particularly for biodiversity. This is because the Plan:</w:t>
      </w:r>
    </w:p>
    <w:p w14:paraId="61DE756F" w14:textId="77777777" w:rsidR="008C1AD8" w:rsidRDefault="008C1AD8" w:rsidP="008C1AD8">
      <w:pPr>
        <w:pStyle w:val="Bullet1"/>
      </w:pPr>
      <w:r>
        <w:t>Supports representativeness and replication of biodiversity by protecting and managing conservation areas within the Growth Areas and providing strategic offsets outside the Growth Areas</w:t>
      </w:r>
    </w:p>
    <w:p w14:paraId="2E4C03E8" w14:textId="77777777" w:rsidR="008C1AD8" w:rsidRDefault="008C1AD8" w:rsidP="008C1AD8">
      <w:pPr>
        <w:pStyle w:val="Bullet1"/>
      </w:pPr>
      <w:r>
        <w:t>Provides avoidance within the Growth Areas which focuses on the larger and more viable areas of biodiversity and applies a strategic offsetting approach outside of the Growth Areas</w:t>
      </w:r>
    </w:p>
    <w:p w14:paraId="353EBA4B" w14:textId="77777777" w:rsidR="008C1AD8" w:rsidRDefault="008C1AD8" w:rsidP="008C1AD8">
      <w:pPr>
        <w:pStyle w:val="Bullet1"/>
      </w:pPr>
      <w:r>
        <w:t xml:space="preserve">Is not expected to disrupt habitat connectivity within the Strategic Assessment Area, and will contribute to this principle by avoiding and protecting connected areas of habitat within the Growth Areas </w:t>
      </w:r>
    </w:p>
    <w:p w14:paraId="427D8F03" w14:textId="77777777" w:rsidR="008C1AD8" w:rsidRDefault="008C1AD8" w:rsidP="008C1AD8">
      <w:pPr>
        <w:pStyle w:val="Bullet1"/>
      </w:pPr>
      <w:r>
        <w:t xml:space="preserve">Includes a number of measures to address potential indirect impacts (threats) under the Plan </w:t>
      </w:r>
    </w:p>
    <w:p w14:paraId="65E42FAB" w14:textId="77777777" w:rsidR="008C1AD8" w:rsidRDefault="008C1AD8" w:rsidP="008C1AD8">
      <w:pPr>
        <w:pStyle w:val="Bullet1"/>
      </w:pPr>
      <w:r>
        <w:t xml:space="preserve">Incorporates adaptive management to ensure that </w:t>
      </w:r>
      <w:r w:rsidRPr="007B2A91">
        <w:t>outcomes are achieved efficiently and effectively</w:t>
      </w:r>
      <w:r>
        <w:t xml:space="preserve"> </w:t>
      </w:r>
    </w:p>
    <w:p w14:paraId="7E059B31" w14:textId="77777777" w:rsidR="008C1AD8" w:rsidRDefault="008C1AD8" w:rsidP="008C1AD8">
      <w:r>
        <w:t xml:space="preserve">The way in which the Plan addresses climate change is discussed in detail in </w:t>
      </w:r>
      <w:r w:rsidRPr="0046110A">
        <w:t xml:space="preserve">Part 5, </w:t>
      </w:r>
      <w:r w:rsidRPr="009E63A2">
        <w:t>Chapter 29.5</w:t>
      </w:r>
      <w:r w:rsidRPr="0046110A">
        <w:t xml:space="preserve"> of the</w:t>
      </w:r>
      <w:r>
        <w:t xml:space="preserve"> SAR.</w:t>
      </w:r>
    </w:p>
    <w:p w14:paraId="381FB278" w14:textId="77777777" w:rsidR="008C1AD8" w:rsidRDefault="008C1AD8" w:rsidP="008C1AD8">
      <w:r>
        <w:t>In addition to mitigation measures under the Plan, further mitigation measures and management for the environment will be required as part of the Victorian planning system during the Plan’s implementation. This includes:</w:t>
      </w:r>
    </w:p>
    <w:p w14:paraId="330E6F40" w14:textId="77777777" w:rsidR="008C1AD8" w:rsidRDefault="008C1AD8" w:rsidP="008C1AD8">
      <w:pPr>
        <w:pStyle w:val="Bullet1"/>
      </w:pPr>
      <w:r w:rsidRPr="008D7765">
        <w:t>The Planning Policy Framework (PPF)</w:t>
      </w:r>
      <w:r>
        <w:t xml:space="preserve"> which </w:t>
      </w:r>
      <w:r w:rsidRPr="00D17B46">
        <w:t>provides overarching policy to guide land use, subdivision and development in Victoria</w:t>
      </w:r>
      <w:r>
        <w:t>. Several policies under the PPF are relevant to the environmental management for the Growth Areas, including:</w:t>
      </w:r>
    </w:p>
    <w:p w14:paraId="4BCEB2EE" w14:textId="77777777" w:rsidR="008C1AD8" w:rsidRDefault="008C1AD8" w:rsidP="008C1AD8">
      <w:pPr>
        <w:pStyle w:val="Bullet2"/>
      </w:pPr>
      <w:r>
        <w:t>Clause 12.01 – aims to protect and enhance Victoria’s biodiversity</w:t>
      </w:r>
    </w:p>
    <w:p w14:paraId="53B335A4" w14:textId="77777777" w:rsidR="008C1AD8" w:rsidRDefault="008C1AD8" w:rsidP="008C1AD8">
      <w:pPr>
        <w:pStyle w:val="Bullet2"/>
      </w:pPr>
      <w:r>
        <w:t>Clause 12.03 – aims to protect and enhance river corridors, waterways, and wetlands</w:t>
      </w:r>
    </w:p>
    <w:p w14:paraId="1D1DC4F9" w14:textId="77777777" w:rsidR="008C1AD8" w:rsidRDefault="008C1AD8" w:rsidP="008C1AD8">
      <w:pPr>
        <w:pStyle w:val="Bullet2"/>
      </w:pPr>
      <w:r>
        <w:t xml:space="preserve">Clause 13.02 – aims to manage fire risks without unacceptable impacts to biodiversity </w:t>
      </w:r>
    </w:p>
    <w:p w14:paraId="1A1A499E" w14:textId="77777777" w:rsidR="008C1AD8" w:rsidRDefault="008C1AD8" w:rsidP="008C1AD8">
      <w:pPr>
        <w:pStyle w:val="Bullet2"/>
      </w:pPr>
      <w:r>
        <w:t>Clause 13.04 – aims to manage soil degradation and contaminated land</w:t>
      </w:r>
    </w:p>
    <w:p w14:paraId="7D86FEF9" w14:textId="77777777" w:rsidR="008C1AD8" w:rsidRDefault="008C1AD8" w:rsidP="008C1AD8">
      <w:pPr>
        <w:pStyle w:val="Bullet2"/>
      </w:pPr>
      <w:r>
        <w:t>Clause 14.02 – aims to protect water quality</w:t>
      </w:r>
    </w:p>
    <w:p w14:paraId="3EF088B9" w14:textId="77777777" w:rsidR="008C1AD8" w:rsidRDefault="008C1AD8" w:rsidP="008C1AD8">
      <w:pPr>
        <w:pStyle w:val="Bullet2"/>
      </w:pPr>
      <w:r>
        <w:t xml:space="preserve">Clause 19.03 – aims to sustainably manage water through integrated water management </w:t>
      </w:r>
    </w:p>
    <w:p w14:paraId="2CB9FB33" w14:textId="77777777" w:rsidR="008C1AD8" w:rsidRDefault="008C1AD8" w:rsidP="008C1AD8">
      <w:pPr>
        <w:pStyle w:val="Bullet1"/>
      </w:pPr>
      <w:r>
        <w:t xml:space="preserve">Native Vegetation Precinct Plans (NVPPs) which </w:t>
      </w:r>
      <w:r w:rsidRPr="00316B96">
        <w:t>provide</w:t>
      </w:r>
      <w:r>
        <w:t xml:space="preserve"> </w:t>
      </w:r>
      <w:r w:rsidRPr="00316B96">
        <w:t xml:space="preserve">for the strategic management of native vegetation </w:t>
      </w:r>
      <w:r>
        <w:t>within</w:t>
      </w:r>
      <w:r w:rsidRPr="00316B96">
        <w:t xml:space="preserve"> a precinct</w:t>
      </w:r>
      <w:r>
        <w:t xml:space="preserve"> or other defined area</w:t>
      </w:r>
      <w:r w:rsidRPr="00316B96">
        <w:t xml:space="preserve">. </w:t>
      </w:r>
      <w:r>
        <w:t>NVPPs identify the native vegetation to be retained, the native vegetation that can be removed, and the offset requirements for the native vegetation that can be removed</w:t>
      </w:r>
    </w:p>
    <w:p w14:paraId="75E68CC5" w14:textId="77777777" w:rsidR="008C1AD8" w:rsidRDefault="008C1AD8" w:rsidP="008C1AD8">
      <w:pPr>
        <w:pStyle w:val="Bullet1"/>
      </w:pPr>
      <w:r>
        <w:t>Planning permits for subdivision and development that are consistent with the Greater Geelong Planning Scheme and generally in accordance with the relevant PSP that applies to the land. The planning permits process involves:</w:t>
      </w:r>
    </w:p>
    <w:p w14:paraId="28B35914" w14:textId="77777777" w:rsidR="008C1AD8" w:rsidRDefault="008C1AD8" w:rsidP="008C1AD8">
      <w:pPr>
        <w:pStyle w:val="Bullet2"/>
      </w:pPr>
      <w:r>
        <w:t xml:space="preserve">Preparation of technical studies and reports that support the application and inform the planning decision, including plans to address the potential impacts (environmental and socio-economic) of the development </w:t>
      </w:r>
    </w:p>
    <w:p w14:paraId="036D2352" w14:textId="77777777" w:rsidR="008C1AD8" w:rsidRDefault="008C1AD8" w:rsidP="008C1AD8">
      <w:pPr>
        <w:pStyle w:val="Bullet2"/>
      </w:pPr>
      <w:r>
        <w:t xml:space="preserve">Referral of the application to specialist referral authorities for advice and comment where required – these may object to the permit or specify conditions to be included on a permit to address potential impacts </w:t>
      </w:r>
    </w:p>
    <w:p w14:paraId="0CF0A61B" w14:textId="77777777" w:rsidR="008C1AD8" w:rsidRDefault="008C1AD8" w:rsidP="008C1AD8">
      <w:pPr>
        <w:pStyle w:val="Bullet2"/>
      </w:pPr>
      <w:r>
        <w:t>An opportunity for stakeholders to raise concerns and make submissions through a notification process</w:t>
      </w:r>
    </w:p>
    <w:p w14:paraId="07211ED2" w14:textId="77777777" w:rsidR="008C1AD8" w:rsidRDefault="008C1AD8" w:rsidP="008C1AD8">
      <w:pPr>
        <w:pStyle w:val="Bullet2"/>
      </w:pPr>
      <w:r>
        <w:t>Inclusion of conditions on permits to address the potential impacts of the development</w:t>
      </w:r>
    </w:p>
    <w:p w14:paraId="1CA81CEE" w14:textId="77777777" w:rsidR="008C1AD8" w:rsidRDefault="008C1AD8" w:rsidP="008C1AD8">
      <w:r>
        <w:lastRenderedPageBreak/>
        <w:t>Implementation through the Victorian planning system, in combination with commitments under the Plan, will help ensure there are no long-term negative impacts to air quality and water resources, and that existing or potential risks or hazards are adequately managed for current, future and nearby residents of the Growth Areas.</w:t>
      </w:r>
    </w:p>
    <w:p w14:paraId="786AAA9A" w14:textId="77777777" w:rsidR="008C1AD8" w:rsidRDefault="008C1AD8" w:rsidP="008C1AD8">
      <w:pPr>
        <w:pStyle w:val="Heading5"/>
      </w:pPr>
      <w:r>
        <w:t>Access to natural spaces and visual amenity</w:t>
      </w:r>
    </w:p>
    <w:p w14:paraId="2F1FD57A" w14:textId="77777777" w:rsidR="008C1AD8" w:rsidRDefault="008C1AD8" w:rsidP="008C1AD8">
      <w:r>
        <w:t xml:space="preserve">Native vegetation within and surrounding the Growth Areas will be retained and protected as part of the Plan’s conservation framework (as discussed above). These areas will provide increased visual amenity to future residents and visitors of the Growth Areas. Additionally, some of these natural spaces will be accessible to people. For example, Cowies Creek Conservation Area will include walking paths, cycling paths and picnic areas in combination with protection and management of the riparian areas. Access to these natural spaces will provide residents and visitors with areas to exercise and enjoy nature. </w:t>
      </w:r>
    </w:p>
    <w:p w14:paraId="734D62A3" w14:textId="77777777" w:rsidR="008C1AD8" w:rsidRDefault="008C1AD8" w:rsidP="008C1AD8">
      <w:r w:rsidRPr="00E37553">
        <w:t xml:space="preserve">Community open spaces, including recreation reserves and local parks, will be integrated into the layout of the development areas, </w:t>
      </w:r>
      <w:r>
        <w:t xml:space="preserve">providing residents and visitors with access to these spaces for leisure and recreation, and adding visual amenity. Tree canopy cover will also be maximised in the Growth Areas to reduce urban heat, while also increasing visual amenity for the community. Optimising visual amenity may help attract new residents and businesses, and facilitate future investment opportunities and tourism in Geelong </w:t>
      </w:r>
      <w:sdt>
        <w:sdtPr>
          <w:rPr>
            <w:color w:val="000000"/>
          </w:rPr>
          <w:tag w:val="MENDELEY_CITATION_v3_eyJjaXRhdGlvbklEIjoiTUVOREVMRVlfQ0lUQVRJT05fODdjZmY5NWYtOTFjYS00MThjLTg1NjctMmNmZTdmZjdhNmQ0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887187180"/>
          <w:placeholder>
            <w:docPart w:val="D7FA6FAA39773F49851699A422E06BC1"/>
          </w:placeholder>
        </w:sdtPr>
        <w:sdtContent>
          <w:r w:rsidRPr="00273871">
            <w:rPr>
              <w:color w:val="000000"/>
            </w:rPr>
            <w:t>(The City of Greater Geelong, 2021b)</w:t>
          </w:r>
        </w:sdtContent>
      </w:sdt>
      <w:r>
        <w:t>.</w:t>
      </w:r>
    </w:p>
    <w:p w14:paraId="7ACE05B1" w14:textId="77777777" w:rsidR="008C1AD8" w:rsidRDefault="008C1AD8" w:rsidP="008C1AD8">
      <w:pPr>
        <w:pStyle w:val="Heading5"/>
      </w:pPr>
      <w:r>
        <w:t>Conclusion</w:t>
      </w:r>
    </w:p>
    <w:p w14:paraId="4CBD4884" w14:textId="77777777" w:rsidR="008C1AD8" w:rsidRDefault="008C1AD8" w:rsidP="008C1AD8">
      <w:pPr>
        <w:rPr>
          <w:lang w:eastAsia="en-GB"/>
        </w:rPr>
      </w:pPr>
      <w:r>
        <w:rPr>
          <w:lang w:eastAsia="en-GB"/>
        </w:rPr>
        <w:t xml:space="preserve">Protection and management of biodiversity is a key component of implementing the Plan that will help ensure environmental values are maintained and improved. Mitigation measures during implementation will ensure air and water quality, and the level of hazard or risk are not negatively impacted by the Plan. </w:t>
      </w:r>
    </w:p>
    <w:p w14:paraId="1493DB7A" w14:textId="77777777" w:rsidR="008C1AD8" w:rsidRPr="000F35D4" w:rsidRDefault="008C1AD8" w:rsidP="008C1AD8">
      <w:r>
        <w:t>Development and conservation under the Plan may also provide increased visual amenity and access to natural resources that could lead to positive socio-economic impacts for current, future and nearby residents of the Growth Areas.</w:t>
      </w:r>
    </w:p>
    <w:p w14:paraId="0757A3E7" w14:textId="77777777" w:rsidR="008C1AD8" w:rsidRPr="002949CF" w:rsidRDefault="008C1AD8" w:rsidP="008C1AD8">
      <w:pPr>
        <w:pStyle w:val="Heading3"/>
      </w:pPr>
      <w:r>
        <w:t>Their health and wellbeing</w:t>
      </w:r>
    </w:p>
    <w:p w14:paraId="48377A75" w14:textId="77777777" w:rsidR="008C1AD8" w:rsidRDefault="008C1AD8" w:rsidP="008C1AD8">
      <w:pPr>
        <w:pStyle w:val="Heading4"/>
      </w:pPr>
      <w:r>
        <w:t>Mental health</w:t>
      </w:r>
    </w:p>
    <w:p w14:paraId="1361B46C" w14:textId="77777777" w:rsidR="008C1AD8" w:rsidRPr="009947A3" w:rsidRDefault="008C1AD8" w:rsidP="008C1AD8">
      <w:pPr>
        <w:rPr>
          <w:lang w:eastAsia="en-GB"/>
        </w:rPr>
      </w:pPr>
      <w:r w:rsidRPr="009947A3">
        <w:rPr>
          <w:lang w:eastAsia="en-GB"/>
        </w:rPr>
        <w:t xml:space="preserve">Mental health or behavioural problems in the Geelong region are modelled to occur in 11.7 per </w:t>
      </w:r>
      <w:r>
        <w:rPr>
          <w:lang w:eastAsia="en-GB"/>
        </w:rPr>
        <w:t>cent of</w:t>
      </w:r>
      <w:r w:rsidRPr="009947A3">
        <w:rPr>
          <w:lang w:eastAsia="en-GB"/>
        </w:rPr>
        <w:t xml:space="preserve"> males, and 15.2 per </w:t>
      </w:r>
      <w:r>
        <w:rPr>
          <w:lang w:eastAsia="en-GB"/>
        </w:rPr>
        <w:t>cent of</w:t>
      </w:r>
      <w:r w:rsidRPr="009947A3">
        <w:rPr>
          <w:lang w:eastAsia="en-GB"/>
        </w:rPr>
        <w:t xml:space="preserve"> females. This is higher than the Victorian state average for both males and females. Approximately 15.8 per cent of the population of Greater Geelong have experienced high or very high levels of psychological distress. Between 2010 and 2014, the Geelong region had a rate of suicide higher than the Victorian average (approximately 11.5 deaths per 100,000 population)</w:t>
      </w:r>
      <w:r>
        <w:rPr>
          <w:lang w:eastAsia="en-GB"/>
        </w:rPr>
        <w:t xml:space="preserve"> </w:t>
      </w:r>
      <w:sdt>
        <w:sdtPr>
          <w:rPr>
            <w:color w:val="000000"/>
            <w:lang w:eastAsia="en-GB"/>
          </w:rPr>
          <w:tag w:val="MENDELEY_CITATION_v3_eyJjaXRhdGlvbklEIjoiTUVOREVMRVlfQ0lUQVRJT05fNDcyYzc2NTMtZTQyOC00MmY3LThiYzAtOWExNjcxZDk0OTlh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245248812"/>
          <w:placeholder>
            <w:docPart w:val="D7FA6FAA39773F49851699A422E06BC1"/>
          </w:placeholder>
        </w:sdtPr>
        <w:sdtEndPr>
          <w:rPr>
            <w:lang w:eastAsia="en-AU"/>
          </w:rPr>
        </w:sdtEndPr>
        <w:sdtContent>
          <w:r w:rsidRPr="00273871">
            <w:rPr>
              <w:color w:val="000000"/>
            </w:rPr>
            <w:t>(Geelong Region Alliance, 2019)</w:t>
          </w:r>
        </w:sdtContent>
      </w:sdt>
      <w:r w:rsidRPr="009947A3">
        <w:rPr>
          <w:lang w:eastAsia="en-GB"/>
        </w:rPr>
        <w:t>.</w:t>
      </w:r>
    </w:p>
    <w:p w14:paraId="26534583" w14:textId="77777777" w:rsidR="008C1AD8" w:rsidRPr="00367596" w:rsidRDefault="008C1AD8" w:rsidP="008C1AD8">
      <w:pPr>
        <w:rPr>
          <w:lang w:eastAsia="en-GB"/>
        </w:rPr>
      </w:pPr>
      <w:r w:rsidRPr="009947A3">
        <w:rPr>
          <w:lang w:eastAsia="en-GB"/>
        </w:rPr>
        <w:t xml:space="preserve">Community engagement is an important component of mental and physical health. Geelong has high rates of volunteering when compared to the Victorian average. Volunteering is more prevalent in older age groups, and females are more likely to volunteer with males </w:t>
      </w:r>
      <w:sdt>
        <w:sdtPr>
          <w:rPr>
            <w:color w:val="000000"/>
            <w:lang w:eastAsia="en-GB"/>
          </w:rPr>
          <w:tag w:val="MENDELEY_CITATION_v3_eyJjaXRhdGlvbklEIjoiTUVOREVMRVlfQ0lUQVRJT05fMDUzODllZjAtMzE0Yi00OWI4LWEyM2MtNmUyNmM5MWU2NWVi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307394245"/>
          <w:placeholder>
            <w:docPart w:val="D7FA6FAA39773F49851699A422E06BC1"/>
          </w:placeholder>
        </w:sdtPr>
        <w:sdtEndPr>
          <w:rPr>
            <w:lang w:eastAsia="en-AU"/>
          </w:rPr>
        </w:sdtEndPr>
        <w:sdtContent>
          <w:r w:rsidRPr="00273871">
            <w:rPr>
              <w:color w:val="000000"/>
            </w:rPr>
            <w:t>(Geelong Region Alliance, 2019)</w:t>
          </w:r>
        </w:sdtContent>
      </w:sdt>
      <w:r w:rsidRPr="009947A3">
        <w:rPr>
          <w:lang w:eastAsia="en-GB"/>
        </w:rPr>
        <w:t>.</w:t>
      </w:r>
    </w:p>
    <w:p w14:paraId="639E87DB" w14:textId="77777777" w:rsidR="008C1AD8" w:rsidRDefault="008C1AD8" w:rsidP="008C1AD8">
      <w:pPr>
        <w:pStyle w:val="Heading4"/>
      </w:pPr>
      <w:r>
        <w:t>Physical health</w:t>
      </w:r>
    </w:p>
    <w:p w14:paraId="53CED185" w14:textId="77777777" w:rsidR="008C1AD8" w:rsidRPr="00852AB0" w:rsidRDefault="008C1AD8" w:rsidP="008C1AD8">
      <w:pPr>
        <w:rPr>
          <w:lang w:eastAsia="en-GB"/>
        </w:rPr>
      </w:pPr>
      <w:r w:rsidRPr="00852AB0">
        <w:rPr>
          <w:lang w:eastAsia="en-GB"/>
        </w:rPr>
        <w:t xml:space="preserve">Physical health is influenced by a large variety of factors. Healthy behaviours and disease vary in the Geelong region. When compared with the Victorian average, the Geelong region has </w:t>
      </w:r>
      <w:sdt>
        <w:sdtPr>
          <w:rPr>
            <w:color w:val="000000"/>
            <w:lang w:eastAsia="en-GB"/>
          </w:rPr>
          <w:tag w:val="MENDELEY_CITATION_v3_eyJjaXRhdGlvbklEIjoiTUVOREVMRVlfQ0lUQVRJT05fZThkMWRkNzQtYzJhMS00ZmUyLTkxYmYtNmI1NWNmOThjMTVi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556199912"/>
          <w:placeholder>
            <w:docPart w:val="D7FA6FAA39773F49851699A422E06BC1"/>
          </w:placeholder>
        </w:sdtPr>
        <w:sdtEndPr>
          <w:rPr>
            <w:lang w:eastAsia="en-AU"/>
          </w:rPr>
        </w:sdtEndPr>
        <w:sdtContent>
          <w:r w:rsidRPr="00273871">
            <w:rPr>
              <w:color w:val="000000"/>
            </w:rPr>
            <w:t>(Geelong Region Alliance, 2019)</w:t>
          </w:r>
        </w:sdtContent>
      </w:sdt>
      <w:r w:rsidRPr="00852AB0">
        <w:rPr>
          <w:lang w:eastAsia="en-GB"/>
        </w:rPr>
        <w:t>:</w:t>
      </w:r>
    </w:p>
    <w:p w14:paraId="4048C9E9" w14:textId="77777777" w:rsidR="008C1AD8" w:rsidRPr="00852AB0" w:rsidRDefault="008C1AD8" w:rsidP="008C1AD8">
      <w:pPr>
        <w:pStyle w:val="Bullet1"/>
        <w:rPr>
          <w:lang w:eastAsia="en-GB"/>
        </w:rPr>
      </w:pPr>
      <w:r w:rsidRPr="00852AB0">
        <w:rPr>
          <w:lang w:eastAsia="en-GB"/>
        </w:rPr>
        <w:t>Fewer smokers</w:t>
      </w:r>
    </w:p>
    <w:p w14:paraId="4376CD61" w14:textId="77777777" w:rsidR="008C1AD8" w:rsidRPr="00852AB0" w:rsidRDefault="008C1AD8" w:rsidP="008C1AD8">
      <w:pPr>
        <w:pStyle w:val="Bullet1"/>
        <w:rPr>
          <w:lang w:eastAsia="en-GB"/>
        </w:rPr>
      </w:pPr>
      <w:r w:rsidRPr="00852AB0">
        <w:rPr>
          <w:lang w:eastAsia="en-GB"/>
        </w:rPr>
        <w:t>Better healthy eating habits</w:t>
      </w:r>
    </w:p>
    <w:p w14:paraId="3FB1E4FE" w14:textId="77777777" w:rsidR="008C1AD8" w:rsidRPr="00852AB0" w:rsidRDefault="008C1AD8" w:rsidP="008C1AD8">
      <w:pPr>
        <w:pStyle w:val="Bullet1"/>
        <w:rPr>
          <w:lang w:eastAsia="en-GB"/>
        </w:rPr>
      </w:pPr>
      <w:r w:rsidRPr="00852AB0">
        <w:rPr>
          <w:lang w:eastAsia="en-GB"/>
        </w:rPr>
        <w:t>More people getting a sufficient amount of exercise</w:t>
      </w:r>
    </w:p>
    <w:p w14:paraId="26AACD8D" w14:textId="77777777" w:rsidR="008C1AD8" w:rsidRPr="00852AB0" w:rsidRDefault="008C1AD8" w:rsidP="008C1AD8">
      <w:pPr>
        <w:pStyle w:val="Bullet1"/>
        <w:rPr>
          <w:lang w:eastAsia="en-GB"/>
        </w:rPr>
      </w:pPr>
      <w:r w:rsidRPr="00852AB0">
        <w:rPr>
          <w:lang w:eastAsia="en-GB"/>
        </w:rPr>
        <w:t>Higher levels of alcohol consumption</w:t>
      </w:r>
    </w:p>
    <w:p w14:paraId="019C5592" w14:textId="77777777" w:rsidR="008C1AD8" w:rsidRDefault="008C1AD8" w:rsidP="008C1AD8">
      <w:pPr>
        <w:pStyle w:val="Heading4"/>
        <w:rPr>
          <w:lang w:eastAsia="en-GB"/>
        </w:rPr>
      </w:pPr>
      <w:r>
        <w:rPr>
          <w:lang w:eastAsia="en-GB"/>
        </w:rPr>
        <w:t>Impacts of the Plan</w:t>
      </w:r>
    </w:p>
    <w:p w14:paraId="658B701E" w14:textId="77777777" w:rsidR="008C1AD8" w:rsidRDefault="008C1AD8" w:rsidP="008C1AD8">
      <w:r>
        <w:t>Impacts to mental and physical health as a result of the Plan are difficult to accurately predict and there may not be any significant impacts. However, the environment is an important component of both the mental and physical health of the community. The Plan aims to protect and avoid key environmental values, mitigate negative impacts, and provide aesthetic value and access the natural spaces (as discussed above). This may therefore positively impact the health and well-being of current, future and nearby residents of the Growth Areas.</w:t>
      </w:r>
    </w:p>
    <w:p w14:paraId="315923F0" w14:textId="77777777" w:rsidR="008C1AD8" w:rsidRDefault="008C1AD8" w:rsidP="008C1AD8">
      <w:pPr>
        <w:pStyle w:val="Heading3"/>
      </w:pPr>
      <w:r>
        <w:lastRenderedPageBreak/>
        <w:t>Their personal and property rights</w:t>
      </w:r>
    </w:p>
    <w:p w14:paraId="43C488DA" w14:textId="77777777" w:rsidR="008C1AD8" w:rsidRPr="00CB7B13" w:rsidRDefault="008C1AD8" w:rsidP="008C1AD8">
      <w:pPr>
        <w:pStyle w:val="Heading4"/>
      </w:pPr>
      <w:r w:rsidRPr="00CB7B13">
        <w:t>Land use change</w:t>
      </w:r>
    </w:p>
    <w:p w14:paraId="65C2E4CA" w14:textId="77777777" w:rsidR="008C1AD8" w:rsidRDefault="008C1AD8" w:rsidP="008C1AD8">
      <w:r w:rsidRPr="00D02CD8">
        <w:t>Within the broader Geelong region, current land use includes primary production (62 per cent), national parks, natural water reserves, and conservation areas (24 per cent), and urban land (14 per cent)</w:t>
      </w:r>
      <w:r>
        <w:t xml:space="preserve"> </w:t>
      </w:r>
      <w:sdt>
        <w:sdtPr>
          <w:rPr>
            <w:color w:val="000000"/>
          </w:rPr>
          <w:tag w:val="MENDELEY_CITATION_v3_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"/>
          <w:id w:val="1955977092"/>
          <w:placeholder>
            <w:docPart w:val="D7FA6FAA39773F49851699A422E06BC1"/>
          </w:placeholder>
        </w:sdtPr>
        <w:sdtContent>
          <w:r w:rsidRPr="00273871">
            <w:rPr>
              <w:color w:val="000000"/>
            </w:rPr>
            <w:t>(Geelong Region Alliance, 2019)</w:t>
          </w:r>
        </w:sdtContent>
      </w:sdt>
      <w:r w:rsidRPr="00D02CD8">
        <w:t xml:space="preserve">. </w:t>
      </w:r>
    </w:p>
    <w:p w14:paraId="00D0122C" w14:textId="77777777" w:rsidR="008C1AD8" w:rsidRDefault="008C1AD8" w:rsidP="008C1AD8">
      <w:r>
        <w:t xml:space="preserve">The Strategic Assessment Area primarily includes land which has been developed for agricultural purposes. The NGGA is primarily used for pastoral and cropping activities, associated with rural residential housing. The WGGA includes a mix of existing land uses, including agriculture, recreation reserves, Council-managed reserves, rural and medium density housing, and educational facilities. While the WGGA does not contain any formal conservation reserves, there are a number of reserves managed by the City – including the Moorabool River Reserve </w:t>
      </w:r>
      <w:sdt>
        <w:sdtPr>
          <w:rPr>
            <w:color w:val="000000"/>
          </w:rPr>
          <w:tag w:val="MENDELEY_CITATION_v3_eyJjaXRhdGlvbklEIjoiTUVOREVMRVlfQ0lUQVRJT05fZDExOWZiZTEtODMwNi00MTQ5LTlhZGYtMWJkMWU1NjcyNjVk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761837372"/>
          <w:placeholder>
            <w:docPart w:val="D7FA6FAA39773F49851699A422E06BC1"/>
          </w:placeholder>
        </w:sdtPr>
        <w:sdtContent>
          <w:r w:rsidRPr="00273871">
            <w:rPr>
              <w:color w:val="000000"/>
            </w:rPr>
            <w:t>(EHP, 2021)</w:t>
          </w:r>
        </w:sdtContent>
      </w:sdt>
      <w:r>
        <w:t xml:space="preserve">. </w:t>
      </w:r>
    </w:p>
    <w:p w14:paraId="4955CDF8" w14:textId="77777777" w:rsidR="008C1AD8" w:rsidRDefault="008C1AD8" w:rsidP="008C1AD8">
      <w:pPr>
        <w:pStyle w:val="Heading4"/>
        <w:ind w:left="0" w:firstLine="0"/>
      </w:pPr>
      <w:r>
        <w:t>Impacts of the Plan</w:t>
      </w:r>
    </w:p>
    <w:p w14:paraId="7BCB6E78" w14:textId="77777777" w:rsidR="008C1AD8" w:rsidRDefault="008C1AD8" w:rsidP="008C1AD8">
      <w:pPr>
        <w:pStyle w:val="Heading5"/>
      </w:pPr>
      <w:r>
        <w:t>Land use change</w:t>
      </w:r>
    </w:p>
    <w:p w14:paraId="4659F2EB" w14:textId="77777777" w:rsidR="008C1AD8" w:rsidRDefault="008C1AD8" w:rsidP="008C1AD8">
      <w:r>
        <w:t xml:space="preserve">To facilitate development and conservation under the Plan, the current composition of land use within the Growth Areas will change. The Urban Growth Zone (UGZ) under the Victorian planning system has been applied to the Growth Areas to manage the transition of non-urban land identified for urban growth into urban land. Within the </w:t>
      </w:r>
      <w:r w:rsidRPr="00096290">
        <w:t xml:space="preserve">UGZ, a </w:t>
      </w:r>
      <w:r>
        <w:t xml:space="preserve">PSP </w:t>
      </w:r>
      <w:r w:rsidRPr="00096290">
        <w:t>must be prepared before non</w:t>
      </w:r>
      <w:r>
        <w:t>-</w:t>
      </w:r>
      <w:r w:rsidRPr="00096290">
        <w:t>urban land can be converted into urban land.</w:t>
      </w:r>
      <w:r>
        <w:t xml:space="preserve"> The PSP will detail the specific land-uses within portions of the Growth Areas.</w:t>
      </w:r>
    </w:p>
    <w:p w14:paraId="03C90ED8" w14:textId="77777777" w:rsidR="008C1AD8" w:rsidRDefault="008C1AD8" w:rsidP="008C1AD8">
      <w:r>
        <w:t>Current land use consists of primary production with residents mostly living on rural properties. These residents and landowners within the Growth Areas will therefore be subject to changed land-use. Most of the current landowners will sell their rural properties to developers and the land will become urban land or conservation areas. This may have negative impacts to the current residents and landowners that live in a rural production environment and may not want to live in or be part of a more developed urban area. There will however be positive socio-economic impacts to new residents as the change in land use will provide them with new opportunities to live, work and play.</w:t>
      </w:r>
    </w:p>
    <w:p w14:paraId="534B3668" w14:textId="77777777" w:rsidR="008C1AD8" w:rsidRPr="00486289" w:rsidRDefault="008C1AD8" w:rsidP="008C1AD8">
      <w:r>
        <w:t>Although the change in land use may cause a negative impact to current landowners, they will also experience positive economic impacts due to the value of their land increasing and the opportunity to sell their land to developers.</w:t>
      </w:r>
    </w:p>
    <w:p w14:paraId="077307A1" w14:textId="77777777" w:rsidR="008C1AD8" w:rsidRDefault="008C1AD8" w:rsidP="008C1AD8">
      <w:pPr>
        <w:pStyle w:val="Heading2"/>
      </w:pPr>
      <w:bookmarkStart w:id="201" w:name="_Ref118192065"/>
      <w:bookmarkStart w:id="202" w:name="_Toc118705447"/>
      <w:bookmarkStart w:id="203" w:name="_Toc135122715"/>
      <w:r>
        <w:t>Consultation and procedural fairness</w:t>
      </w:r>
      <w:bookmarkEnd w:id="201"/>
      <w:bookmarkEnd w:id="202"/>
      <w:bookmarkEnd w:id="203"/>
    </w:p>
    <w:p w14:paraId="62F868C7" w14:textId="77777777" w:rsidR="008C1AD8" w:rsidRDefault="008C1AD8" w:rsidP="008C1AD8">
      <w:r>
        <w:t>This section provides an overview of the relevant consultation processes that have taken place for the Growth Areas and those that have or will take place as part of the strategic assessment process and implementation of the Plan. It also explains how the strategic assessment process supports procedural fairness.</w:t>
      </w:r>
    </w:p>
    <w:p w14:paraId="6ED88A75" w14:textId="77777777" w:rsidR="008C1AD8" w:rsidRDefault="008C1AD8" w:rsidP="008C1AD8">
      <w:pPr>
        <w:pStyle w:val="Heading3"/>
      </w:pPr>
      <w:bookmarkStart w:id="204" w:name="_Ref117682195"/>
      <w:r>
        <w:t>Consultation</w:t>
      </w:r>
      <w:bookmarkEnd w:id="204"/>
    </w:p>
    <w:p w14:paraId="0444A77D" w14:textId="77777777" w:rsidR="008C1AD8" w:rsidRDefault="008C1AD8" w:rsidP="008C1AD8">
      <w:r>
        <w:t>A number of consultation processes were involved in the identification and planning of the Growth Areas and development of the Framework Plan. Consultation has also been undertaken, or will be undertaken, during the strategic assessment process and during the Plan’s implementation. The following sections provide an overview of the relevant consultation processes.</w:t>
      </w:r>
    </w:p>
    <w:p w14:paraId="58DA18FC" w14:textId="77777777" w:rsidR="008C1AD8" w:rsidRDefault="008C1AD8" w:rsidP="008C1AD8">
      <w:pPr>
        <w:pStyle w:val="Heading4"/>
      </w:pPr>
      <w:r>
        <w:t>G21 and identification of the Growth Areas</w:t>
      </w:r>
    </w:p>
    <w:p w14:paraId="41FD6CB0" w14:textId="77777777" w:rsidR="008C1AD8" w:rsidRDefault="008C1AD8" w:rsidP="008C1AD8">
      <w:r>
        <w:t xml:space="preserve">The G21 process and identification of the Growth Areas is discussed in Section </w:t>
      </w:r>
      <w:r>
        <w:fldChar w:fldCharType="begin"/>
      </w:r>
      <w:r>
        <w:instrText xml:space="preserve"> REF _Ref118366418 \r \h </w:instrText>
      </w:r>
      <w:r>
        <w:fldChar w:fldCharType="separate"/>
      </w:r>
      <w:r>
        <w:t>26.3.2</w:t>
      </w:r>
      <w:r>
        <w:fldChar w:fldCharType="end"/>
      </w:r>
    </w:p>
    <w:p w14:paraId="323F806B" w14:textId="77777777" w:rsidR="008C1AD8" w:rsidRDefault="008C1AD8" w:rsidP="008C1AD8">
      <w:pPr>
        <w:keepNext/>
        <w:keepLines/>
      </w:pPr>
      <w:r>
        <w:t xml:space="preserve">Development of the G21 documents involved consultation with State Government, peak bodies and environmental, community and business organisations of the region </w:t>
      </w:r>
      <w:sdt>
        <w:sdtPr>
          <w:rPr>
            <w:color w:val="000000"/>
          </w:rPr>
          <w:tag w:val="MENDELEY_CITATION_v3_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"/>
          <w:id w:val="2103678193"/>
          <w:placeholder>
            <w:docPart w:val="D7FA6FAA39773F49851699A422E06BC1"/>
          </w:placeholder>
        </w:sdtPr>
        <w:sdtContent>
          <w:r w:rsidRPr="00273871">
            <w:rPr>
              <w:color w:val="000000"/>
            </w:rPr>
            <w:t>(Geelong Region Alliance, 2007)</w:t>
          </w:r>
        </w:sdtContent>
      </w:sdt>
      <w:r>
        <w:t xml:space="preserve">. The G21 Region Plan was the primary document developed for the G21region alliance and involved an extensive consultation process which included </w:t>
      </w:r>
      <w:sdt>
        <w:sdtPr>
          <w:rPr>
            <w:color w:val="000000"/>
          </w:rPr>
          <w:tag w:val="MENDELEY_CITATION_v3_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"/>
          <w:id w:val="584275729"/>
          <w:placeholder>
            <w:docPart w:val="D7FA6FAA39773F49851699A422E06BC1"/>
          </w:placeholder>
        </w:sdtPr>
        <w:sdtContent>
          <w:r w:rsidRPr="00273871">
            <w:rPr>
              <w:color w:val="000000"/>
            </w:rPr>
            <w:t>(Geelong Region Alliance, 2007)</w:t>
          </w:r>
        </w:sdtContent>
      </w:sdt>
      <w:r>
        <w:t>:</w:t>
      </w:r>
    </w:p>
    <w:p w14:paraId="492E529A" w14:textId="77777777" w:rsidR="008C1AD8" w:rsidRDefault="008C1AD8" w:rsidP="008C1AD8">
      <w:pPr>
        <w:pStyle w:val="Bullet1"/>
      </w:pPr>
      <w:r>
        <w:t>More than 35 consultation forums to receive advice and opinions from various regional interest groups. The overall attendance of these forums almost reached 1,000 participants</w:t>
      </w:r>
    </w:p>
    <w:p w14:paraId="1123AD99" w14:textId="77777777" w:rsidR="008C1AD8" w:rsidRDefault="008C1AD8" w:rsidP="008C1AD8">
      <w:pPr>
        <w:pStyle w:val="Bullet1"/>
      </w:pPr>
      <w:r>
        <w:t>Releasing a first draft of the</w:t>
      </w:r>
      <w:r w:rsidRPr="00535AB1">
        <w:t xml:space="preserve"> </w:t>
      </w:r>
      <w:r>
        <w:t>G21 Region Plan for stakeholder review and public comment</w:t>
      </w:r>
    </w:p>
    <w:p w14:paraId="20C77D48" w14:textId="77777777" w:rsidR="008C1AD8" w:rsidRDefault="008C1AD8" w:rsidP="008C1AD8">
      <w:pPr>
        <w:pStyle w:val="Bullet1"/>
      </w:pPr>
      <w:r>
        <w:t xml:space="preserve">Updating and revising G21 Region Plan based on the feedback received during consultation </w:t>
      </w:r>
    </w:p>
    <w:p w14:paraId="201DFD90" w14:textId="77777777" w:rsidR="008C1AD8" w:rsidRDefault="008C1AD8" w:rsidP="008C1AD8">
      <w:pPr>
        <w:pStyle w:val="Heading4"/>
      </w:pPr>
      <w:r>
        <w:lastRenderedPageBreak/>
        <w:t>Framework Plan</w:t>
      </w:r>
    </w:p>
    <w:p w14:paraId="39953EF3" w14:textId="77777777" w:rsidR="008C1AD8" w:rsidRDefault="008C1AD8" w:rsidP="008C1AD8">
      <w:r>
        <w:t xml:space="preserve">The Framework Plan for the Growth Areas is discussed in Section </w:t>
      </w:r>
      <w:r>
        <w:fldChar w:fldCharType="begin"/>
      </w:r>
      <w:r>
        <w:instrText xml:space="preserve"> REF _Ref118366418 \r \h </w:instrText>
      </w:r>
      <w:r>
        <w:fldChar w:fldCharType="separate"/>
      </w:r>
      <w:r>
        <w:t>26.3.2</w:t>
      </w:r>
      <w:r>
        <w:fldChar w:fldCharType="end"/>
      </w:r>
    </w:p>
    <w:p w14:paraId="2D9CCE9D" w14:textId="77777777" w:rsidR="008C1AD8" w:rsidRDefault="008C1AD8" w:rsidP="008C1AD8">
      <w:r>
        <w:t xml:space="preserve">Development of the Framework Plan involved in-depth consultation with the community and stakeholders. This included </w:t>
      </w:r>
      <w:sdt>
        <w:sdtPr>
          <w:rPr>
            <w:color w:val="000000"/>
          </w:rPr>
          <w:tag w:val="MENDELEY_CITATION_v3_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"/>
          <w:id w:val="1619639659"/>
          <w:placeholder>
            <w:docPart w:val="D7FA6FAA39773F49851699A422E06BC1"/>
          </w:placeholder>
        </w:sdtPr>
        <w:sdtContent>
          <w:r w:rsidRPr="00273871">
            <w:rPr>
              <w:color w:val="000000"/>
            </w:rPr>
            <w:t>(The City of Greater Geelong, 2021b)</w:t>
          </w:r>
        </w:sdtContent>
      </w:sdt>
      <w:r>
        <w:t>:</w:t>
      </w:r>
    </w:p>
    <w:p w14:paraId="73AF2ACF" w14:textId="77777777" w:rsidR="008C1AD8" w:rsidRDefault="008C1AD8" w:rsidP="008C1AD8">
      <w:pPr>
        <w:pStyle w:val="Bullet1"/>
      </w:pPr>
      <w:r>
        <w:t>‘Open House’ community information sessions including:</w:t>
      </w:r>
    </w:p>
    <w:p w14:paraId="220A35DF" w14:textId="77777777" w:rsidR="008C1AD8" w:rsidRDefault="008C1AD8" w:rsidP="008C1AD8">
      <w:pPr>
        <w:pStyle w:val="Bullet2"/>
      </w:pPr>
      <w:r>
        <w:t>A session to invite landowners to meet the project team and learn more about the project</w:t>
      </w:r>
    </w:p>
    <w:p w14:paraId="7CC16A6C" w14:textId="77777777" w:rsidR="008C1AD8" w:rsidRDefault="008C1AD8" w:rsidP="008C1AD8">
      <w:pPr>
        <w:pStyle w:val="Bullet2"/>
      </w:pPr>
      <w:r>
        <w:t>Following the completion of technical studies another session took place to invite landowners to learn about the outcomes of draft technical studies that would inform the Framework Plan</w:t>
      </w:r>
    </w:p>
    <w:p w14:paraId="231CBD34" w14:textId="77777777" w:rsidR="008C1AD8" w:rsidRDefault="008C1AD8" w:rsidP="008C1AD8">
      <w:pPr>
        <w:pStyle w:val="Bullet2"/>
      </w:pPr>
      <w:r>
        <w:t>Three concurrent sessions with landowners in in central Geelong, Corio and Batesford to discuss the draft future urban structure with the project team</w:t>
      </w:r>
    </w:p>
    <w:p w14:paraId="2093330F" w14:textId="77777777" w:rsidR="008C1AD8" w:rsidRDefault="008C1AD8" w:rsidP="008C1AD8">
      <w:pPr>
        <w:pStyle w:val="Bullet1"/>
      </w:pPr>
      <w:r>
        <w:t>A ‘Vision and Principles Workshop’ with key stakeholders and landowners to develop the framework plan vision and set the principles for the future landscape in the Growth Areas</w:t>
      </w:r>
    </w:p>
    <w:p w14:paraId="4A1A7EA5" w14:textId="77777777" w:rsidR="008C1AD8" w:rsidRDefault="008C1AD8" w:rsidP="008C1AD8">
      <w:pPr>
        <w:pStyle w:val="Bullet1"/>
      </w:pPr>
      <w:r>
        <w:t>‘Enquiry by Design’ workshops where stakeholders and landowners discussed and developed a draft future urban structure for the Growth Areas</w:t>
      </w:r>
    </w:p>
    <w:p w14:paraId="7579629E" w14:textId="77777777" w:rsidR="008C1AD8" w:rsidRDefault="008C1AD8" w:rsidP="008C1AD8">
      <w:pPr>
        <w:pStyle w:val="Bullet1"/>
        <w:rPr>
          <w:lang w:val="en-GB"/>
        </w:rPr>
      </w:pPr>
      <w:r>
        <w:rPr>
          <w:lang w:val="en-GB"/>
        </w:rPr>
        <w:t>A community feedback period (45 days) via online and written surveys. The community engagement undertaken as part of this process included:</w:t>
      </w:r>
    </w:p>
    <w:p w14:paraId="4CC95011" w14:textId="77777777" w:rsidR="008C1AD8" w:rsidRDefault="008C1AD8" w:rsidP="008C1AD8">
      <w:pPr>
        <w:pStyle w:val="Bullet2"/>
        <w:rPr>
          <w:lang w:val="en-GB"/>
        </w:rPr>
      </w:pPr>
      <w:r>
        <w:rPr>
          <w:lang w:val="en-GB"/>
        </w:rPr>
        <w:t xml:space="preserve">Four open houses across the Geelong region that included more than 250 participants </w:t>
      </w:r>
    </w:p>
    <w:p w14:paraId="62118200" w14:textId="77777777" w:rsidR="008C1AD8" w:rsidRDefault="008C1AD8" w:rsidP="008C1AD8">
      <w:pPr>
        <w:pStyle w:val="Bullet2"/>
        <w:rPr>
          <w:lang w:val="en-GB"/>
        </w:rPr>
      </w:pPr>
      <w:r>
        <w:rPr>
          <w:lang w:val="en-GB"/>
        </w:rPr>
        <w:t>Project brochures were sent to landowners</w:t>
      </w:r>
    </w:p>
    <w:p w14:paraId="54B5346F" w14:textId="77777777" w:rsidR="008C1AD8" w:rsidRDefault="008C1AD8" w:rsidP="008C1AD8">
      <w:pPr>
        <w:pStyle w:val="Bullet2"/>
        <w:rPr>
          <w:lang w:val="en-GB"/>
        </w:rPr>
      </w:pPr>
      <w:r>
        <w:rPr>
          <w:lang w:val="en-GB"/>
        </w:rPr>
        <w:t>Multiple advertisements in the local newspaper</w:t>
      </w:r>
    </w:p>
    <w:p w14:paraId="46A95885" w14:textId="77777777" w:rsidR="008C1AD8" w:rsidRDefault="008C1AD8" w:rsidP="008C1AD8">
      <w:pPr>
        <w:pStyle w:val="Bullet2"/>
        <w:rPr>
          <w:lang w:val="en-GB"/>
        </w:rPr>
      </w:pPr>
      <w:r>
        <w:rPr>
          <w:lang w:val="en-GB"/>
        </w:rPr>
        <w:t>Circulation of ‘community update’ newsletters</w:t>
      </w:r>
    </w:p>
    <w:p w14:paraId="69B5CA1E" w14:textId="77777777" w:rsidR="008C1AD8" w:rsidRDefault="008C1AD8" w:rsidP="008C1AD8">
      <w:pPr>
        <w:pStyle w:val="Bullet2"/>
        <w:rPr>
          <w:lang w:val="en-GB"/>
        </w:rPr>
      </w:pPr>
      <w:r>
        <w:rPr>
          <w:lang w:val="en-GB"/>
        </w:rPr>
        <w:t>Project information video posted to the City’s Facebook and YouTube</w:t>
      </w:r>
    </w:p>
    <w:p w14:paraId="7E17DF00" w14:textId="77777777" w:rsidR="008C1AD8" w:rsidRDefault="008C1AD8" w:rsidP="008C1AD8">
      <w:pPr>
        <w:pStyle w:val="Bullet2"/>
        <w:rPr>
          <w:lang w:val="en-GB"/>
        </w:rPr>
      </w:pPr>
      <w:r>
        <w:rPr>
          <w:lang w:val="en-GB"/>
        </w:rPr>
        <w:t>79 submissions were received relating to social, economic, and environmental concerns, and opposition or support of the Growth Areas</w:t>
      </w:r>
    </w:p>
    <w:p w14:paraId="74D2F7BC" w14:textId="77777777" w:rsidR="008C1AD8" w:rsidRPr="00AA35DC" w:rsidRDefault="008C1AD8" w:rsidP="008C1AD8">
      <w:pPr>
        <w:pStyle w:val="Bullet1"/>
        <w:rPr>
          <w:lang w:val="en-GB"/>
        </w:rPr>
      </w:pPr>
      <w:r>
        <w:rPr>
          <w:lang w:val="en-GB"/>
        </w:rPr>
        <w:t xml:space="preserve">Preparation of the Framework Plan included responding to community submissions </w:t>
      </w:r>
    </w:p>
    <w:p w14:paraId="5C76E759" w14:textId="77777777" w:rsidR="008C1AD8" w:rsidRPr="007B4984" w:rsidRDefault="008C1AD8" w:rsidP="008C1AD8">
      <w:pPr>
        <w:pStyle w:val="Heading4"/>
      </w:pPr>
      <w:r w:rsidRPr="007B4984">
        <w:t>Strategic assessment process</w:t>
      </w:r>
    </w:p>
    <w:p w14:paraId="58962B81" w14:textId="77777777" w:rsidR="008C1AD8" w:rsidRPr="007B4984" w:rsidRDefault="008C1AD8" w:rsidP="008C1AD8">
      <w:pPr>
        <w:pStyle w:val="Heading5"/>
      </w:pPr>
      <w:r w:rsidRPr="007B4984">
        <w:t>Engagement to date</w:t>
      </w:r>
    </w:p>
    <w:p w14:paraId="140FDC77" w14:textId="77777777" w:rsidR="008C1AD8" w:rsidRPr="007B4984" w:rsidRDefault="008C1AD8" w:rsidP="008C1AD8">
      <w:r w:rsidRPr="007B4984">
        <w:t>Consultation has been undertaken during the development of the Plan as part of the strategic assessment process. This included</w:t>
      </w:r>
      <w:r>
        <w:t>:</w:t>
      </w:r>
    </w:p>
    <w:p w14:paraId="3F898A96" w14:textId="77777777" w:rsidR="008C1AD8" w:rsidRPr="007B4984" w:rsidRDefault="008C1AD8" w:rsidP="008C1AD8">
      <w:pPr>
        <w:pStyle w:val="Bullet1"/>
      </w:pPr>
      <w:r w:rsidRPr="007B4984">
        <w:t>An opportunity for stakeholder and community feedback on the draft ToR for the Strategic Assessment</w:t>
      </w:r>
    </w:p>
    <w:p w14:paraId="1A966FAA" w14:textId="77777777" w:rsidR="008C1AD8" w:rsidRDefault="008C1AD8" w:rsidP="008C1AD8">
      <w:pPr>
        <w:pStyle w:val="Bullet1"/>
      </w:pPr>
      <w:r w:rsidRPr="007B4984">
        <w:t xml:space="preserve">A number of stakeholder sessions between March and </w:t>
      </w:r>
      <w:r>
        <w:t>October</w:t>
      </w:r>
      <w:r w:rsidRPr="007B4984">
        <w:t xml:space="preserve"> 2022 with DCCEEW, DELWP, and landholders to consult on</w:t>
      </w:r>
      <w:r>
        <w:t>:</w:t>
      </w:r>
    </w:p>
    <w:p w14:paraId="18469810" w14:textId="77777777" w:rsidR="008C1AD8" w:rsidRDefault="008C1AD8" w:rsidP="008C1AD8">
      <w:pPr>
        <w:pStyle w:val="Bullet2"/>
      </w:pPr>
      <w:r w:rsidRPr="007B4984">
        <w:t>The Structured Decision Making project for the NGGA</w:t>
      </w:r>
    </w:p>
    <w:p w14:paraId="67446657" w14:textId="77777777" w:rsidR="008C1AD8" w:rsidRPr="007B4984" w:rsidRDefault="008C1AD8" w:rsidP="008C1AD8">
      <w:pPr>
        <w:pStyle w:val="Bullet2"/>
      </w:pPr>
      <w:r>
        <w:t>Potential funding mechanisms to deliver the conservation package</w:t>
      </w:r>
    </w:p>
    <w:p w14:paraId="46171137" w14:textId="77777777" w:rsidR="008C1AD8" w:rsidRPr="007B4984" w:rsidRDefault="008C1AD8" w:rsidP="008C1AD8">
      <w:pPr>
        <w:pStyle w:val="Heading5"/>
      </w:pPr>
      <w:r w:rsidRPr="007B4984">
        <w:t>Future engagement</w:t>
      </w:r>
    </w:p>
    <w:p w14:paraId="7DFC3D40" w14:textId="77777777" w:rsidR="008C1AD8" w:rsidRPr="007B4984" w:rsidRDefault="008C1AD8" w:rsidP="008C1AD8">
      <w:r w:rsidRPr="007B4984">
        <w:t>As part of the strategic assessment process under the EPBC Act there is a compulsory public consultation process where the strategic assessment documents (the SAR and the Plan) are published for public comment. Stakeholders and community members can submit submissions providing comments, concerns, questions or support as part of this process. The final strategic assessment documents are then prepared, taking any submissions into consideration. An additional submissions report will also be prepared that will detail how each of the submissions were addressed.</w:t>
      </w:r>
    </w:p>
    <w:p w14:paraId="50C6AB06" w14:textId="77777777" w:rsidR="008C1AD8" w:rsidRPr="007B4984" w:rsidRDefault="008C1AD8" w:rsidP="008C1AD8">
      <w:pPr>
        <w:keepNext/>
        <w:keepLines/>
      </w:pPr>
      <w:r w:rsidRPr="007B4984">
        <w:lastRenderedPageBreak/>
        <w:t>The City will undertake engagement in the lead up to and post public comment. Key stakeholder groups for consultation include:</w:t>
      </w:r>
    </w:p>
    <w:p w14:paraId="709BD8DF" w14:textId="77777777" w:rsidR="008C1AD8" w:rsidRPr="007B4984" w:rsidRDefault="008C1AD8" w:rsidP="008C1AD8">
      <w:pPr>
        <w:pStyle w:val="Bullet1"/>
        <w:keepNext/>
        <w:keepLines/>
      </w:pPr>
      <w:r w:rsidRPr="007B4984">
        <w:t>Corangamite Catchment Management Authority</w:t>
      </w:r>
    </w:p>
    <w:p w14:paraId="25DBDF18" w14:textId="77777777" w:rsidR="008C1AD8" w:rsidRPr="007B4984" w:rsidDel="006F2D99" w:rsidRDefault="008C1AD8" w:rsidP="008C1AD8">
      <w:pPr>
        <w:pStyle w:val="Bullet1"/>
        <w:keepNext/>
        <w:keepLines/>
      </w:pPr>
      <w:r w:rsidRPr="007B4984">
        <w:t>Environment groups</w:t>
      </w:r>
    </w:p>
    <w:p w14:paraId="7F0A6DC3" w14:textId="77777777" w:rsidR="008C1AD8" w:rsidRPr="007B4984" w:rsidRDefault="008C1AD8" w:rsidP="008C1AD8">
      <w:pPr>
        <w:pStyle w:val="Bullet1"/>
        <w:keepNext/>
        <w:keepLines/>
      </w:pPr>
      <w:r w:rsidRPr="007B4984">
        <w:t>Landholders</w:t>
      </w:r>
    </w:p>
    <w:p w14:paraId="4E21CE12" w14:textId="77777777" w:rsidR="008C1AD8" w:rsidRPr="007B4984" w:rsidRDefault="008C1AD8" w:rsidP="008C1AD8">
      <w:pPr>
        <w:pStyle w:val="Bullet1"/>
        <w:keepNext/>
        <w:keepLines/>
      </w:pPr>
      <w:r w:rsidRPr="007B4984">
        <w:t>The Australian Government Department of Climate Change, Energy, the Environment, and Water (DCCEEW)</w:t>
      </w:r>
    </w:p>
    <w:p w14:paraId="01EB6887" w14:textId="77777777" w:rsidR="008C1AD8" w:rsidRPr="007B4984" w:rsidRDefault="008C1AD8" w:rsidP="008C1AD8">
      <w:pPr>
        <w:pStyle w:val="Bullet1"/>
      </w:pPr>
      <w:r w:rsidRPr="007B4984">
        <w:t xml:space="preserve">The Victorian Government Department of Environment, Land, Water and Planning (DELWP) </w:t>
      </w:r>
    </w:p>
    <w:p w14:paraId="3F15AA4E" w14:textId="77777777" w:rsidR="008C1AD8" w:rsidRPr="007B4984" w:rsidRDefault="008C1AD8" w:rsidP="008C1AD8">
      <w:pPr>
        <w:pStyle w:val="Bullet1"/>
      </w:pPr>
      <w:r w:rsidRPr="007B4984">
        <w:t>The Wadawurrung Traditional Owners Aboriginal Corporation</w:t>
      </w:r>
    </w:p>
    <w:p w14:paraId="3D335312" w14:textId="77777777" w:rsidR="008C1AD8" w:rsidRPr="007B4984" w:rsidRDefault="008C1AD8" w:rsidP="008C1AD8">
      <w:r w:rsidRPr="007B4984">
        <w:t xml:space="preserve">The level and type of engagement with these groups will vary in accordance with their role in the Project. </w:t>
      </w:r>
    </w:p>
    <w:p w14:paraId="7506B71F" w14:textId="77777777" w:rsidR="008C1AD8" w:rsidRPr="00260F26" w:rsidRDefault="008C1AD8" w:rsidP="008C1AD8">
      <w:pPr>
        <w:rPr>
          <w:highlight w:val="yellow"/>
        </w:rPr>
      </w:pPr>
      <w:r w:rsidRPr="007B4984">
        <w:t xml:space="preserve">Additionally, further consultation will be undertaken as part of the Plan’s implementation. The Plan includes a commitment to develop a Stakeholder Engagement Strategy to guide engagement with key stakeholders on the implementation of </w:t>
      </w:r>
      <w:r w:rsidRPr="00DE3D09">
        <w:t xml:space="preserve">the Plan (Commitment </w:t>
      </w:r>
      <w:r w:rsidRPr="009E63A2">
        <w:t>16</w:t>
      </w:r>
      <w:r w:rsidRPr="00DE3D09">
        <w:t>).</w:t>
      </w:r>
    </w:p>
    <w:p w14:paraId="1DAC1B72" w14:textId="77777777" w:rsidR="008C1AD8" w:rsidRDefault="008C1AD8" w:rsidP="008C1AD8">
      <w:pPr>
        <w:pStyle w:val="Heading4"/>
        <w:ind w:left="0" w:firstLine="0"/>
      </w:pPr>
      <w:r>
        <w:t>Future PSP processes</w:t>
      </w:r>
    </w:p>
    <w:p w14:paraId="6EA5AF91" w14:textId="77777777" w:rsidR="008C1AD8" w:rsidRDefault="008C1AD8" w:rsidP="008C1AD8">
      <w:pPr>
        <w:pStyle w:val="Heading5"/>
      </w:pPr>
      <w:r>
        <w:t>Background and context</w:t>
      </w:r>
    </w:p>
    <w:p w14:paraId="654D2EA2" w14:textId="77777777" w:rsidR="008C1AD8" w:rsidRDefault="008C1AD8" w:rsidP="008C1AD8">
      <w:r>
        <w:t>PSPs</w:t>
      </w:r>
      <w:r w:rsidRPr="00D47C60">
        <w:t xml:space="preserve"> are high-level strategic plans that set out the preferred spatial location of land uses and</w:t>
      </w:r>
      <w:r>
        <w:t xml:space="preserve"> </w:t>
      </w:r>
      <w:r w:rsidRPr="00D47C60">
        <w:t>infrastructure</w:t>
      </w:r>
      <w:r>
        <w:t xml:space="preserve"> within each precinct, including details of the future urban structure of the precinct. </w:t>
      </w:r>
      <w:r>
        <w:rPr>
          <w:lang w:eastAsia="en-GB"/>
        </w:rPr>
        <w:t xml:space="preserve">This helps to stage development within an area and guide provision of subdivision permits, building permits and infrastructure delivery. Although PSPs provide a level of certainty for development, they are intended to be flexible to allow for site specific considerations. </w:t>
      </w:r>
    </w:p>
    <w:p w14:paraId="5D02D856" w14:textId="77777777" w:rsidR="008C1AD8" w:rsidRDefault="008C1AD8" w:rsidP="008C1AD8">
      <w:pPr>
        <w:rPr>
          <w:lang w:eastAsia="en-GB"/>
        </w:rPr>
      </w:pPr>
      <w:r>
        <w:rPr>
          <w:lang w:eastAsia="en-GB"/>
        </w:rPr>
        <w:t>The Framework Plan proposes the preparation of nine PSPs for the Growth Areas, of which six will be covered by the Strategic Assessment Area. The PSPs will be prepared sequentially as parts of the Growth Areas are released for development in accordance with a development release plan.</w:t>
      </w:r>
    </w:p>
    <w:p w14:paraId="51325320" w14:textId="77777777" w:rsidR="008C1AD8" w:rsidRDefault="008C1AD8" w:rsidP="008C1AD8">
      <w:r>
        <w:t xml:space="preserve">The City will prepare PSPs in consideration of the Framework Plan and the </w:t>
      </w:r>
      <w:r w:rsidRPr="00437731">
        <w:rPr>
          <w:i/>
          <w:iCs/>
        </w:rPr>
        <w:t>Precinct Structure Planning Guidelines: New Communities in Victoria</w:t>
      </w:r>
      <w:r>
        <w:t xml:space="preserve"> </w:t>
      </w:r>
      <w:sdt>
        <w:sdtPr>
          <w:rPr>
            <w:color w:val="000000"/>
          </w:rPr>
          <w:tag w:val="MENDELEY_CITATION_v3_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"/>
          <w:id w:val="-696472316"/>
          <w:placeholder>
            <w:docPart w:val="D7FA6FAA39773F49851699A422E06BC1"/>
          </w:placeholder>
        </w:sdtPr>
        <w:sdtContent>
          <w:r w:rsidRPr="00273871">
            <w:rPr>
              <w:color w:val="000000"/>
            </w:rPr>
            <w:t>(Victorian Planning Authority, 2021)</w:t>
          </w:r>
        </w:sdtContent>
      </w:sdt>
      <w:r>
        <w:t>.</w:t>
      </w:r>
    </w:p>
    <w:p w14:paraId="12ABE472" w14:textId="77777777" w:rsidR="008C1AD8" w:rsidRDefault="008C1AD8" w:rsidP="008C1AD8">
      <w:pPr>
        <w:pStyle w:val="Heading5"/>
      </w:pPr>
      <w:r>
        <w:t>Consultation process</w:t>
      </w:r>
    </w:p>
    <w:p w14:paraId="67679984" w14:textId="77777777" w:rsidR="008C1AD8" w:rsidRDefault="008C1AD8" w:rsidP="008C1AD8">
      <w:r>
        <w:t>Consultation forms part of the PSP process which involves the following key steps:</w:t>
      </w:r>
    </w:p>
    <w:p w14:paraId="0C794E53" w14:textId="77777777" w:rsidR="008C1AD8" w:rsidRDefault="008C1AD8" w:rsidP="008C1AD8">
      <w:pPr>
        <w:pStyle w:val="Bullet1"/>
      </w:pPr>
      <w:r>
        <w:t>Early consultation with stakeholders to develop a vision for the precinct</w:t>
      </w:r>
    </w:p>
    <w:p w14:paraId="24BE72D0" w14:textId="77777777" w:rsidR="008C1AD8" w:rsidRDefault="008C1AD8" w:rsidP="008C1AD8">
      <w:pPr>
        <w:pStyle w:val="Bullet1"/>
      </w:pPr>
      <w:r>
        <w:t>Preparation of technical studies and reports to understand key issues and constraints for the precinct, and to inform planning and management responses to be addressed in the PSP</w:t>
      </w:r>
    </w:p>
    <w:p w14:paraId="394752EE" w14:textId="77777777" w:rsidR="008C1AD8" w:rsidRDefault="008C1AD8" w:rsidP="008C1AD8">
      <w:pPr>
        <w:pStyle w:val="Bullet1"/>
      </w:pPr>
      <w:r>
        <w:t>An opportunity for stakeholders to raise concerns and make submissions through public exhibition</w:t>
      </w:r>
    </w:p>
    <w:p w14:paraId="0045453D" w14:textId="77777777" w:rsidR="008C1AD8" w:rsidRDefault="008C1AD8" w:rsidP="008C1AD8">
      <w:pPr>
        <w:pStyle w:val="Bullet1"/>
      </w:pPr>
      <w:r>
        <w:t xml:space="preserve">An independent planning panel hearing to consider and resolve key technical, planning and stakeholder issues </w:t>
      </w:r>
    </w:p>
    <w:p w14:paraId="7C7DE14A" w14:textId="77777777" w:rsidR="008C1AD8" w:rsidRDefault="008C1AD8" w:rsidP="008C1AD8">
      <w:pPr>
        <w:pStyle w:val="Bullet1"/>
      </w:pPr>
      <w:r>
        <w:t>Approval of the PSP and incorporation into the Geelong Planning Scheme through a planning scheme amendment</w:t>
      </w:r>
    </w:p>
    <w:p w14:paraId="0438D391" w14:textId="77777777" w:rsidR="008C1AD8" w:rsidRDefault="008C1AD8" w:rsidP="008C1AD8">
      <w:pPr>
        <w:pStyle w:val="Heading3"/>
      </w:pPr>
      <w:r>
        <w:lastRenderedPageBreak/>
        <w:t>Procedural fairness</w:t>
      </w:r>
    </w:p>
    <w:p w14:paraId="131910F5" w14:textId="77777777" w:rsidR="008C1AD8" w:rsidRDefault="008C1AD8" w:rsidP="008C1AD8">
      <w:pPr>
        <w:pStyle w:val="Heading4"/>
      </w:pPr>
      <w:r w:rsidRPr="00C11DCE">
        <w:t>Defining procedural fairness</w:t>
      </w:r>
    </w:p>
    <w:p w14:paraId="43AC5215" w14:textId="77777777" w:rsidR="008C1AD8" w:rsidRDefault="008C1AD8" w:rsidP="008C1AD8">
      <w:pPr>
        <w:keepNext/>
        <w:keepLines/>
      </w:pPr>
      <w:r>
        <w:t xml:space="preserve">Procedural fairness (also referred to as ‘natural justice’) requires fair and proper procedure to be followed when making a decision, to ensure a fair hearing and unbiased decision making. It typically applies to decisions that may negatively affect an interest of a person or corporation </w:t>
      </w:r>
      <w:sdt>
        <w:sdtPr>
          <w:rPr>
            <w:color w:val="000000"/>
          </w:rPr>
          <w:tag w:val="MENDELEY_CITATION_v3_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"/>
          <w:id w:val="-1544054857"/>
          <w:placeholder>
            <w:docPart w:val="D7FA6FAA39773F49851699A422E06BC1"/>
          </w:placeholder>
        </w:sdtPr>
        <w:sdtContent>
          <w:r w:rsidRPr="00273871">
            <w:rPr>
              <w:color w:val="000000"/>
            </w:rPr>
            <w:t>(Ombudsman Western Australia, 2019)</w:t>
          </w:r>
        </w:sdtContent>
      </w:sdt>
      <w:r>
        <w:t xml:space="preserve">. Procedural fairness involves three main principles </w:t>
      </w:r>
      <w:sdt>
        <w:sdtPr>
          <w:rPr>
            <w:color w:val="000000"/>
          </w:rPr>
          <w:tag w:val="MENDELEY_CITATION_v3_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"/>
          <w:id w:val="204456924"/>
          <w:placeholder>
            <w:docPart w:val="D7FA6FAA39773F49851699A422E06BC1"/>
          </w:placeholder>
        </w:sdtPr>
        <w:sdtContent>
          <w:r w:rsidRPr="00273871">
            <w:rPr>
              <w:color w:val="000000"/>
            </w:rPr>
            <w:t>(Ombudsman Western Australia, 2019; James Cook University Australia, 2022)</w:t>
          </w:r>
        </w:sdtContent>
      </w:sdt>
      <w:r>
        <w:t>:</w:t>
      </w:r>
    </w:p>
    <w:p w14:paraId="44D5C99E" w14:textId="77777777" w:rsidR="008C1AD8" w:rsidRPr="007F2020" w:rsidRDefault="008C1AD8" w:rsidP="008C1AD8">
      <w:pPr>
        <w:pStyle w:val="Bullet1"/>
        <w:keepNext/>
        <w:keepLines/>
      </w:pPr>
      <w:r w:rsidRPr="007F2020">
        <w:rPr>
          <w:u w:val="single"/>
        </w:rPr>
        <w:t>The right to be heard</w:t>
      </w:r>
      <w:r w:rsidRPr="007F2020">
        <w:t xml:space="preserve"> (also known as ‘the hearing rule’): an opportunity is provided for the party to present information before a decision is reached that might adversely affect them</w:t>
      </w:r>
    </w:p>
    <w:p w14:paraId="58A49201" w14:textId="77777777" w:rsidR="008C1AD8" w:rsidRPr="007F2020" w:rsidRDefault="008C1AD8" w:rsidP="008C1AD8">
      <w:pPr>
        <w:pStyle w:val="Bullet1"/>
        <w:keepNext/>
        <w:keepLines/>
      </w:pPr>
      <w:r w:rsidRPr="007F2020">
        <w:rPr>
          <w:u w:val="single"/>
        </w:rPr>
        <w:t>The right to be treated without bias</w:t>
      </w:r>
      <w:r w:rsidRPr="007F2020">
        <w:t>: any information presented should be considered without bias and the decision maker should be impartial and act without bias</w:t>
      </w:r>
    </w:p>
    <w:p w14:paraId="3C8227E0" w14:textId="77777777" w:rsidR="008C1AD8" w:rsidRDefault="008C1AD8" w:rsidP="008C1AD8">
      <w:pPr>
        <w:pStyle w:val="Bullet1"/>
      </w:pPr>
      <w:r w:rsidRPr="007F2020">
        <w:rPr>
          <w:u w:val="single"/>
        </w:rPr>
        <w:t>The decision is made based on relevant evidence</w:t>
      </w:r>
      <w:r w:rsidRPr="007F2020">
        <w:t>: Any final decisions made should only consider evidence that is credible, reliable and sufficient to answer the critical questions. Irrelevant information or suspicion should not</w:t>
      </w:r>
      <w:r>
        <w:t xml:space="preserve"> inform the decision</w:t>
      </w:r>
    </w:p>
    <w:p w14:paraId="68408B59" w14:textId="77777777" w:rsidR="008C1AD8" w:rsidRDefault="008C1AD8" w:rsidP="008C1AD8">
      <w:pPr>
        <w:pStyle w:val="Heading4"/>
      </w:pPr>
      <w:r>
        <w:t>How the strategic assessment process provides procedural fairness</w:t>
      </w:r>
    </w:p>
    <w:p w14:paraId="0F2EC068" w14:textId="77777777" w:rsidR="008C1AD8" w:rsidRDefault="008C1AD8" w:rsidP="008C1AD8">
      <w:r>
        <w:t xml:space="preserve">The consultation process that forms part of the strategic assessment process under Part 10 of the EPBC Act (described in Section </w:t>
      </w:r>
      <w:r>
        <w:fldChar w:fldCharType="begin"/>
      </w:r>
      <w:r>
        <w:instrText xml:space="preserve"> REF _Ref117682195 \r \h </w:instrText>
      </w:r>
      <w:r>
        <w:fldChar w:fldCharType="separate"/>
      </w:r>
      <w:r>
        <w:t>26.4.1</w:t>
      </w:r>
      <w:r>
        <w:fldChar w:fldCharType="end"/>
      </w:r>
      <w:r>
        <w:t>) provides potentially affected parties with procedural fairness. The way in which the consultation process supports each of the three main principles of procedural fairness is explained below.</w:t>
      </w:r>
    </w:p>
    <w:p w14:paraId="0F981EEA" w14:textId="77777777" w:rsidR="008C1AD8" w:rsidRDefault="008C1AD8" w:rsidP="008C1AD8">
      <w:pPr>
        <w:pStyle w:val="Heading5"/>
      </w:pPr>
      <w:r>
        <w:t>The right to be heard</w:t>
      </w:r>
    </w:p>
    <w:p w14:paraId="59E6B546" w14:textId="77777777" w:rsidR="008C1AD8" w:rsidRDefault="008C1AD8" w:rsidP="008C1AD8">
      <w:r>
        <w:t>As part of the public comment period, submissions can be made by potentially affected parties before a final decision is made. These submissions need to be considered when preparing the final strategic assessment documents. A submissions report is also be prepared as part of this process, so that the potentially affected parties, other stakeholders and the Minister can understand how each of the submissions were addressed.</w:t>
      </w:r>
    </w:p>
    <w:p w14:paraId="02C5161A" w14:textId="77777777" w:rsidR="008C1AD8" w:rsidRDefault="008C1AD8" w:rsidP="008C1AD8">
      <w:pPr>
        <w:pStyle w:val="Heading5"/>
      </w:pPr>
      <w:r>
        <w:t>The right to be treated without bias</w:t>
      </w:r>
    </w:p>
    <w:p w14:paraId="5DED847D" w14:textId="77777777" w:rsidR="008C1AD8" w:rsidRPr="00A32BC3" w:rsidRDefault="008C1AD8" w:rsidP="008C1AD8">
      <w:r>
        <w:t>Any submissions received during the consultation process are considered without bias. The parties that are proposing or preparing the Plan must also disclose any conflicts of interest so that the decision maker (the Minister) is aware of any potential conflicts of interest when making the decision. The Minister must also make a decision without bias and disclose any potential conflicts of interest.</w:t>
      </w:r>
    </w:p>
    <w:p w14:paraId="7C008D38" w14:textId="77777777" w:rsidR="008C1AD8" w:rsidRDefault="008C1AD8" w:rsidP="008C1AD8">
      <w:pPr>
        <w:pStyle w:val="Heading5"/>
      </w:pPr>
      <w:r>
        <w:t>The decision is made based on relevant evidence</w:t>
      </w:r>
    </w:p>
    <w:p w14:paraId="3C369E12" w14:textId="77777777" w:rsidR="008C1AD8" w:rsidRDefault="008C1AD8" w:rsidP="008C1AD8">
      <w:r>
        <w:t>The Minister will make a decision on the Plan based on the relevant evidence provided as part of the strategic assessment process, including any submissions from potentially affected parties. This decision is made purely on the relevant, evidence-based information presented to the Minister and does not consider irrelevant information, suspicion, bias or unsubstantiated information.</w:t>
      </w:r>
    </w:p>
    <w:p w14:paraId="165AF4A1" w14:textId="77777777" w:rsidR="008C1AD8" w:rsidRPr="00073961" w:rsidRDefault="008C1AD8" w:rsidP="008C1AD8"/>
    <w:p w14:paraId="3A678108" w14:textId="77777777" w:rsidR="008C1AD8" w:rsidRDefault="008C1AD8" w:rsidP="008C1AD8">
      <w:pPr>
        <w:sectPr w:rsidR="008C1AD8" w:rsidSect="00440087">
          <w:pgSz w:w="11900" w:h="16840"/>
          <w:pgMar w:top="1247" w:right="1134" w:bottom="1247" w:left="1134" w:header="708" w:footer="708" w:gutter="0"/>
          <w:pgNumType w:start="1" w:chapStyle="1"/>
          <w:cols w:space="708"/>
          <w:docGrid w:linePitch="360"/>
        </w:sectPr>
      </w:pPr>
    </w:p>
    <w:p w14:paraId="2FCDE0C1" w14:textId="77777777" w:rsidR="008C1AD8" w:rsidRDefault="008C1AD8" w:rsidP="008C1AD8">
      <w:pPr>
        <w:pStyle w:val="Acronymsreferences"/>
      </w:pPr>
      <w:bookmarkStart w:id="205" w:name="_Toc135122716"/>
      <w:r>
        <w:lastRenderedPageBreak/>
        <w:t>References</w:t>
      </w:r>
      <w:bookmarkEnd w:id="55"/>
      <w:bookmarkEnd w:id="205"/>
    </w:p>
    <w:sdt>
      <w:sdtPr>
        <w:tag w:val="MENDELEY_BIBLIOGRAPHY"/>
        <w:id w:val="252167772"/>
        <w:placeholder>
          <w:docPart w:val="53263D66753F864BA248D609BD120A46"/>
        </w:placeholder>
      </w:sdtPr>
      <w:sdtContent>
        <w:p w14:paraId="08342595" w14:textId="77777777" w:rsidR="008C1AD8" w:rsidRDefault="008C1AD8" w:rsidP="008C1AD8">
          <w:pPr>
            <w:rPr>
              <w:rFonts w:eastAsia="Times New Roman"/>
              <w:sz w:val="24"/>
              <w:szCs w:val="24"/>
            </w:rPr>
          </w:pPr>
          <w:r>
            <w:rPr>
              <w:rFonts w:eastAsia="Times New Roman"/>
            </w:rPr>
            <w:t>AECOM (2021) ‘Growling Grass Frog Strategy for Cowies Creek - 20 Evans Road, Bell Post Hill’.</w:t>
          </w:r>
        </w:p>
        <w:p w14:paraId="539273F5" w14:textId="77777777" w:rsidR="008C1AD8" w:rsidRDefault="008C1AD8" w:rsidP="008C1AD8">
          <w:pPr>
            <w:rPr>
              <w:rFonts w:eastAsia="Times New Roman"/>
            </w:rPr>
          </w:pPr>
          <w:r>
            <w:rPr>
              <w:rFonts w:eastAsia="Times New Roman"/>
            </w:rPr>
            <w:t>Alluvium (2022) ‘Creamery Road Development Services Scheme CONCEPT DESIGN REPORT (FINAL)’.</w:t>
          </w:r>
        </w:p>
        <w:p w14:paraId="34776C00" w14:textId="77777777" w:rsidR="008C1AD8" w:rsidRDefault="008C1AD8" w:rsidP="008C1AD8">
          <w:pPr>
            <w:rPr>
              <w:rFonts w:eastAsia="Times New Roman"/>
            </w:rPr>
          </w:pPr>
          <w:r>
            <w:rPr>
              <w:rFonts w:eastAsia="Times New Roman"/>
            </w:rPr>
            <w:t xml:space="preserve">Australian Bureau of Statistics (2022) </w:t>
          </w:r>
          <w:r>
            <w:rPr>
              <w:rFonts w:eastAsia="Times New Roman"/>
              <w:i/>
              <w:iCs/>
            </w:rPr>
            <w:t>2021 Census</w:t>
          </w:r>
          <w:r>
            <w:rPr>
              <w:rFonts w:eastAsia="Times New Roman"/>
            </w:rPr>
            <w:t>. Available at: https://www.abs.gov.au/census.</w:t>
          </w:r>
        </w:p>
        <w:p w14:paraId="6477085A" w14:textId="77777777" w:rsidR="008C1AD8" w:rsidRDefault="008C1AD8" w:rsidP="008C1AD8">
          <w:pPr>
            <w:rPr>
              <w:rFonts w:eastAsia="Times New Roman"/>
            </w:rPr>
          </w:pPr>
          <w:r>
            <w:rPr>
              <w:rFonts w:eastAsia="Times New Roman"/>
            </w:rPr>
            <w:t>Beacon Ecological (2009) ‘Flora and Fauna Survey, for a Proposed Dam at Cowies Creek Reserve, 299 Anakie Road, Lovely Banks, Victoria. FINAL report July 2009 Luke Hynes and Annette Aboltins Attachment D’.</w:t>
          </w:r>
        </w:p>
        <w:p w14:paraId="4588420E" w14:textId="77777777" w:rsidR="008C1AD8" w:rsidRDefault="008C1AD8" w:rsidP="008C1AD8">
          <w:pPr>
            <w:rPr>
              <w:rFonts w:eastAsia="Times New Roman"/>
            </w:rPr>
          </w:pPr>
          <w:r>
            <w:rPr>
              <w:rFonts w:eastAsia="Times New Roman"/>
            </w:rPr>
            <w:t>Beacon Ecological (2010) ‘Cowies Creek Amphibian Survey and Targeted Growling Grass Frog (Litoria raniformis) Survey, Summer 2009-2010’.</w:t>
          </w:r>
        </w:p>
        <w:p w14:paraId="175AF95E" w14:textId="77777777" w:rsidR="008C1AD8" w:rsidRDefault="008C1AD8" w:rsidP="008C1AD8">
          <w:pPr>
            <w:rPr>
              <w:rFonts w:eastAsia="Times New Roman"/>
            </w:rPr>
          </w:pPr>
          <w:r>
            <w:rPr>
              <w:rFonts w:eastAsia="Times New Roman"/>
            </w:rPr>
            <w:t>Biosis (2018) ‘Youth Justice Redevelopment Project, Cherry Creek, Victoria: Preliminary Documentation’. Prepared for Department of Justice and Regulation.</w:t>
          </w:r>
        </w:p>
        <w:p w14:paraId="181D3C4E" w14:textId="77777777" w:rsidR="008C1AD8" w:rsidRDefault="008C1AD8" w:rsidP="008C1AD8">
          <w:pPr>
            <w:rPr>
              <w:rFonts w:eastAsia="Times New Roman"/>
            </w:rPr>
          </w:pPr>
          <w:r>
            <w:rPr>
              <w:rFonts w:eastAsia="Times New Roman"/>
            </w:rPr>
            <w:t xml:space="preserve">Birdlife International (2022) </w:t>
          </w:r>
          <w:r>
            <w:rPr>
              <w:rFonts w:eastAsia="Times New Roman"/>
              <w:i/>
              <w:iCs/>
            </w:rPr>
            <w:t>BirdLife Data Zone</w:t>
          </w:r>
          <w:r>
            <w:rPr>
              <w:rFonts w:eastAsia="Times New Roman"/>
            </w:rPr>
            <w:t>. Available at: http://datazone.birdlife.org/species/search.</w:t>
          </w:r>
        </w:p>
        <w:p w14:paraId="349F35CF" w14:textId="77777777" w:rsidR="008C1AD8" w:rsidRDefault="008C1AD8" w:rsidP="008C1AD8">
          <w:pPr>
            <w:rPr>
              <w:rFonts w:eastAsia="Times New Roman"/>
            </w:rPr>
          </w:pPr>
          <w:r>
            <w:rPr>
              <w:rFonts w:eastAsia="Times New Roman"/>
            </w:rPr>
            <w:t>Carter, O. and Walsh, N. (2006) ‘National Recovery Plan for the Spiny Rice-flower Pimelea spinescens subsp. spinescens’. Department of Sustainability and Environment.</w:t>
          </w:r>
        </w:p>
        <w:p w14:paraId="5AE005E3" w14:textId="77777777" w:rsidR="008C1AD8" w:rsidRDefault="008C1AD8" w:rsidP="008C1AD8">
          <w:pPr>
            <w:rPr>
              <w:rFonts w:eastAsia="Times New Roman"/>
            </w:rPr>
          </w:pPr>
          <w:r>
            <w:rPr>
              <w:rFonts w:eastAsia="Times New Roman"/>
            </w:rPr>
            <w:t>Clemann, N. and Gillespie, G. (2012) ‘National Recovery Plan for the Southern Bell Frog Litoria raniformis’. Department of Sustainability and Environment.</w:t>
          </w:r>
        </w:p>
        <w:p w14:paraId="5F4EBE70" w14:textId="77777777" w:rsidR="008C1AD8" w:rsidRDefault="008C1AD8" w:rsidP="008C1AD8">
          <w:pPr>
            <w:rPr>
              <w:rFonts w:eastAsia="Times New Roman"/>
            </w:rPr>
          </w:pPr>
          <w:r>
            <w:rPr>
              <w:rFonts w:eastAsia="Times New Roman"/>
            </w:rPr>
            <w:t>Commonwealth of Australia (2012) ‘How to use the offsets assessment guide’.</w:t>
          </w:r>
        </w:p>
        <w:p w14:paraId="6AECBAE2" w14:textId="77777777" w:rsidR="008C1AD8" w:rsidRDefault="008C1AD8" w:rsidP="008C1AD8">
          <w:pPr>
            <w:rPr>
              <w:rFonts w:eastAsia="Times New Roman"/>
            </w:rPr>
          </w:pPr>
          <w:r>
            <w:rPr>
              <w:rFonts w:eastAsia="Times New Roman"/>
            </w:rPr>
            <w:t>Commonwealth of Australia (2015) ‘Wildlife Conservation Plan for Migratory Shorebirds’. Department of the Environment.</w:t>
          </w:r>
        </w:p>
        <w:p w14:paraId="16CA5508" w14:textId="77777777" w:rsidR="008C1AD8" w:rsidRDefault="008C1AD8" w:rsidP="008C1AD8">
          <w:pPr>
            <w:rPr>
              <w:rFonts w:eastAsia="Times New Roman"/>
            </w:rPr>
          </w:pPr>
          <w:r>
            <w:rPr>
              <w:rFonts w:eastAsia="Times New Roman"/>
            </w:rPr>
            <w:t>Commonwealth of Australia (2020) ‘Wildlife Conservation Plan for Seabirds’.</w:t>
          </w:r>
        </w:p>
        <w:p w14:paraId="6B2CE128" w14:textId="77777777" w:rsidR="008C1AD8" w:rsidRDefault="008C1AD8" w:rsidP="008C1AD8">
          <w:pPr>
            <w:rPr>
              <w:rFonts w:eastAsia="Times New Roman"/>
            </w:rPr>
          </w:pPr>
          <w:r>
            <w:rPr>
              <w:rFonts w:eastAsia="Times New Roman"/>
            </w:rPr>
            <w:t>Community Safety Building Authority (2022) ‘Cherry Creek Youth Justice Project - EPBC 2017/8049 Compliance Report’. Victoria State Government.</w:t>
          </w:r>
        </w:p>
        <w:p w14:paraId="33C69FC9" w14:textId="77777777" w:rsidR="008C1AD8" w:rsidRDefault="008C1AD8" w:rsidP="008C1AD8">
          <w:pPr>
            <w:rPr>
              <w:rFonts w:eastAsia="Times New Roman"/>
            </w:rPr>
          </w:pPr>
          <w:r>
            <w:rPr>
              <w:rFonts w:eastAsia="Times New Roman"/>
            </w:rPr>
            <w:t xml:space="preserve">Conservation Volunteers Australia (2022) </w:t>
          </w:r>
          <w:r>
            <w:rPr>
              <w:rFonts w:eastAsia="Times New Roman"/>
              <w:i/>
              <w:iCs/>
            </w:rPr>
            <w:t>The Spit Nature Conservation Reserve - Avalon</w:t>
          </w:r>
          <w:r>
            <w:rPr>
              <w:rFonts w:eastAsia="Times New Roman"/>
            </w:rPr>
            <w:t>. Available at: https://bookings.conservationvolunteers.org/project/the-spit-nature-conservation-reserve-avalon (Accessed: 19 July 2022).</w:t>
          </w:r>
        </w:p>
        <w:p w14:paraId="65ECBD35" w14:textId="77777777" w:rsidR="008C1AD8" w:rsidRDefault="008C1AD8" w:rsidP="008C1AD8">
          <w:pPr>
            <w:rPr>
              <w:rFonts w:eastAsia="Times New Roman"/>
            </w:rPr>
          </w:pPr>
          <w:r>
            <w:rPr>
              <w:rFonts w:eastAsia="Times New Roman"/>
            </w:rPr>
            <w:t>Corangamite CMA (2014) ‘Corangamite Waterway Strategy 2014 - 2022’.</w:t>
          </w:r>
        </w:p>
        <w:p w14:paraId="46237644" w14:textId="77777777" w:rsidR="008C1AD8" w:rsidRDefault="008C1AD8" w:rsidP="008C1AD8">
          <w:pPr>
            <w:rPr>
              <w:rFonts w:eastAsia="Times New Roman"/>
            </w:rPr>
          </w:pPr>
          <w:r>
            <w:rPr>
              <w:rFonts w:eastAsia="Times New Roman"/>
            </w:rPr>
            <w:t>CSIRO (1999) ‘Urban Stormwater Best Practice Environmental Management Guidelines’. CSIRO.</w:t>
          </w:r>
        </w:p>
        <w:p w14:paraId="597CEAA4" w14:textId="77777777" w:rsidR="008C1AD8" w:rsidRDefault="008C1AD8" w:rsidP="008C1AD8">
          <w:pPr>
            <w:rPr>
              <w:rFonts w:eastAsia="Times New Roman"/>
            </w:rPr>
          </w:pPr>
          <w:r>
            <w:rPr>
              <w:rFonts w:eastAsia="Times New Roman"/>
            </w:rPr>
            <w:t>DAWE (2020) ‘National Recovery Plan for the Australian Fairy Tern (Sternula nereis nereis)’. Department of Agriculture, Water and the Environment.</w:t>
          </w:r>
        </w:p>
        <w:p w14:paraId="28426A8C" w14:textId="77777777" w:rsidR="008C1AD8" w:rsidRDefault="008C1AD8" w:rsidP="008C1AD8">
          <w:pPr>
            <w:rPr>
              <w:rFonts w:eastAsia="Times New Roman"/>
            </w:rPr>
          </w:pPr>
          <w:r>
            <w:rPr>
              <w:rFonts w:eastAsia="Times New Roman"/>
            </w:rPr>
            <w:t>DAWE (2021a) ‘Conservation Advice for Synemon plana (Golden Sun Moth)’. Department of Agriculture, Water and the Environment.</w:t>
          </w:r>
        </w:p>
        <w:p w14:paraId="16FE55F4" w14:textId="77777777" w:rsidR="008C1AD8" w:rsidRDefault="008C1AD8" w:rsidP="008C1AD8">
          <w:pPr>
            <w:rPr>
              <w:rFonts w:eastAsia="Times New Roman"/>
            </w:rPr>
          </w:pPr>
          <w:r>
            <w:rPr>
              <w:rFonts w:eastAsia="Times New Roman"/>
            </w:rPr>
            <w:t>DAWE (2021b) ‘FINALISED PRIORITY ASSESSMENT LIST FOR THE ASSESSMENT PERIOD COMMENCING 1 OCTOBER 2021’. Department of Agriculture, Water and the Environment.</w:t>
          </w:r>
        </w:p>
        <w:p w14:paraId="363423FE" w14:textId="77777777" w:rsidR="008C1AD8" w:rsidRDefault="008C1AD8" w:rsidP="008C1AD8">
          <w:pPr>
            <w:rPr>
              <w:rFonts w:eastAsia="Times New Roman"/>
            </w:rPr>
          </w:pPr>
          <w:r>
            <w:rPr>
              <w:rFonts w:eastAsia="Times New Roman"/>
            </w:rPr>
            <w:t>DAWE (2022) ‘Draft Conservation Advice for Sternula albifrons (little tern)’. Department of Agriculture, Water and the Environment.</w:t>
          </w:r>
        </w:p>
        <w:p w14:paraId="0955A384" w14:textId="77777777" w:rsidR="008C1AD8" w:rsidRDefault="008C1AD8" w:rsidP="008C1AD8">
          <w:pPr>
            <w:rPr>
              <w:rFonts w:eastAsia="Times New Roman"/>
            </w:rPr>
          </w:pPr>
          <w:r>
            <w:rPr>
              <w:rFonts w:eastAsia="Times New Roman"/>
            </w:rPr>
            <w:t xml:space="preserve">DCCEEW (2022) </w:t>
          </w:r>
          <w:r>
            <w:rPr>
              <w:rFonts w:eastAsia="Times New Roman"/>
              <w:i/>
              <w:iCs/>
            </w:rPr>
            <w:t>Species Profiles and Threats Database (SPRAT)</w:t>
          </w:r>
          <w:r>
            <w:rPr>
              <w:rFonts w:eastAsia="Times New Roman"/>
            </w:rPr>
            <w:t>.</w:t>
          </w:r>
        </w:p>
        <w:p w14:paraId="356EA312" w14:textId="77777777" w:rsidR="008C1AD8" w:rsidRDefault="008C1AD8" w:rsidP="008C1AD8">
          <w:pPr>
            <w:rPr>
              <w:rFonts w:eastAsia="Times New Roman"/>
            </w:rPr>
          </w:pPr>
          <w:r>
            <w:rPr>
              <w:rFonts w:eastAsia="Times New Roman"/>
            </w:rPr>
            <w:t xml:space="preserve">DCCEEW (2023) ‘Conservation Advice for </w:t>
          </w:r>
          <w:r>
            <w:rPr>
              <w:rFonts w:eastAsia="Times New Roman"/>
              <w:i/>
              <w:iCs/>
            </w:rPr>
            <w:t>Neophema chrysostoma</w:t>
          </w:r>
          <w:r>
            <w:rPr>
              <w:rFonts w:eastAsia="Times New Roman"/>
            </w:rPr>
            <w:t xml:space="preserve"> (Blue-winged Parrot)’.</w:t>
          </w:r>
        </w:p>
        <w:p w14:paraId="7072B224" w14:textId="77777777" w:rsidR="008C1AD8" w:rsidRDefault="008C1AD8" w:rsidP="008C1AD8">
          <w:pPr>
            <w:rPr>
              <w:rFonts w:eastAsia="Times New Roman"/>
            </w:rPr>
          </w:pPr>
          <w:r>
            <w:rPr>
              <w:rFonts w:eastAsia="Times New Roman"/>
            </w:rPr>
            <w:t>DELWP (2005) ‘Native Vegetation - Modelled 2005 Ecological Vegetation Classes (with Bioregional Conservation Status)’. Department of Environment, Land, Water and Planning.</w:t>
          </w:r>
        </w:p>
        <w:p w14:paraId="7B290FA7" w14:textId="77777777" w:rsidR="008C1AD8" w:rsidRDefault="008C1AD8" w:rsidP="008C1AD8">
          <w:pPr>
            <w:rPr>
              <w:rFonts w:eastAsia="Times New Roman"/>
            </w:rPr>
          </w:pPr>
          <w:r>
            <w:rPr>
              <w:rFonts w:eastAsia="Times New Roman"/>
            </w:rPr>
            <w:lastRenderedPageBreak/>
            <w:t>DELWP (2010) ‘Victoria’s regional centres – a generation of change’. Department of Environment, Land, Water and Planning.</w:t>
          </w:r>
        </w:p>
        <w:p w14:paraId="714A6E2E" w14:textId="77777777" w:rsidR="008C1AD8" w:rsidRDefault="008C1AD8" w:rsidP="008C1AD8">
          <w:pPr>
            <w:rPr>
              <w:rFonts w:eastAsia="Times New Roman"/>
            </w:rPr>
          </w:pPr>
          <w:r>
            <w:rPr>
              <w:rFonts w:eastAsia="Times New Roman"/>
            </w:rPr>
            <w:t>DELWP (2017a) ‘Growling Grass Frog Crossing Design Standards Melbourne Strategic Assessment’. Department of Environment, Land, Water and Planning.</w:t>
          </w:r>
        </w:p>
        <w:p w14:paraId="4F71C5EF" w14:textId="77777777" w:rsidR="008C1AD8" w:rsidRDefault="008C1AD8" w:rsidP="008C1AD8">
          <w:pPr>
            <w:rPr>
              <w:rFonts w:eastAsia="Times New Roman"/>
            </w:rPr>
          </w:pPr>
          <w:r>
            <w:rPr>
              <w:rFonts w:eastAsia="Times New Roman"/>
            </w:rPr>
            <w:t>DELWP (2017b) ‘Growling Grass Frog Habitat Design Standards Melbourne Strategic Assessment’. Department of Environment, Land, Water and Planning.</w:t>
          </w:r>
        </w:p>
        <w:p w14:paraId="5AC338F7" w14:textId="77777777" w:rsidR="008C1AD8" w:rsidRDefault="008C1AD8" w:rsidP="008C1AD8">
          <w:pPr>
            <w:rPr>
              <w:rFonts w:eastAsia="Times New Roman"/>
            </w:rPr>
          </w:pPr>
          <w:r>
            <w:rPr>
              <w:rFonts w:eastAsia="Times New Roman"/>
            </w:rPr>
            <w:t>DELWP (2017c) ‘Growling Grass Frog Masterplan for Melbourne’s Growth Corridors Melbourne Strategic Assessment’. Department of Environment, Land, Water and Planning.</w:t>
          </w:r>
        </w:p>
        <w:p w14:paraId="0E6D3F17" w14:textId="77777777" w:rsidR="008C1AD8" w:rsidRDefault="008C1AD8" w:rsidP="008C1AD8">
          <w:pPr>
            <w:rPr>
              <w:rFonts w:eastAsia="Times New Roman"/>
            </w:rPr>
          </w:pPr>
          <w:r>
            <w:rPr>
              <w:rFonts w:eastAsia="Times New Roman"/>
            </w:rPr>
            <w:t>DELWP (2017d) ‘Habitat Importance Models’. Department of Environment, Land, Water and Planning.</w:t>
          </w:r>
        </w:p>
        <w:p w14:paraId="101A034A" w14:textId="77777777" w:rsidR="008C1AD8" w:rsidRDefault="008C1AD8" w:rsidP="008C1AD8">
          <w:pPr>
            <w:rPr>
              <w:rFonts w:eastAsia="Times New Roman"/>
            </w:rPr>
          </w:pPr>
          <w:r>
            <w:rPr>
              <w:rFonts w:eastAsia="Times New Roman"/>
            </w:rPr>
            <w:t>DELWP (2018) ‘Port Phillip Bay (Western Shoreline) and Bellarine Peninsula Ramsar Site Management Plan’. Department of Environment, Land, Water and Planning.</w:t>
          </w:r>
        </w:p>
        <w:p w14:paraId="50FCEE9F" w14:textId="77777777" w:rsidR="008C1AD8" w:rsidRDefault="008C1AD8" w:rsidP="008C1AD8">
          <w:pPr>
            <w:rPr>
              <w:rFonts w:eastAsia="Times New Roman"/>
            </w:rPr>
          </w:pPr>
          <w:r>
            <w:rPr>
              <w:rFonts w:eastAsia="Times New Roman"/>
            </w:rPr>
            <w:t>DELWP (2019) ‘Moolap Coastal Strategic Framework Plan’. Department of Environment, Land, Water and Planning.</w:t>
          </w:r>
        </w:p>
        <w:p w14:paraId="125B2135" w14:textId="77777777" w:rsidR="008C1AD8" w:rsidRDefault="008C1AD8" w:rsidP="008C1AD8">
          <w:pPr>
            <w:rPr>
              <w:rFonts w:eastAsia="Times New Roman"/>
            </w:rPr>
          </w:pPr>
          <w:r>
            <w:rPr>
              <w:rFonts w:eastAsia="Times New Roman"/>
            </w:rPr>
            <w:t>DELWP (2020) ‘Port Phillip Bay (Western Shoreline) &amp; Bellarine Peninsula Ramsar Site Ecological Character Description’. Department of Environment, Land, Water and Planning.</w:t>
          </w:r>
        </w:p>
        <w:p w14:paraId="4D15A0C1" w14:textId="77777777" w:rsidR="008C1AD8" w:rsidRDefault="008C1AD8" w:rsidP="008C1AD8">
          <w:pPr>
            <w:rPr>
              <w:rFonts w:eastAsia="Times New Roman"/>
            </w:rPr>
          </w:pPr>
          <w:r>
            <w:rPr>
              <w:rFonts w:eastAsia="Times New Roman"/>
            </w:rPr>
            <w:t>DELWP (2022) ‘Port Phillip Bay (Western Shoreline) and Bellarine Peninsula Ramsar Site Boundary Review’.</w:t>
          </w:r>
        </w:p>
        <w:p w14:paraId="51C4F649" w14:textId="77777777" w:rsidR="008C1AD8" w:rsidRDefault="008C1AD8" w:rsidP="008C1AD8">
          <w:pPr>
            <w:rPr>
              <w:rFonts w:eastAsia="Times New Roman"/>
            </w:rPr>
          </w:pPr>
          <w:r>
            <w:rPr>
              <w:rFonts w:eastAsia="Times New Roman"/>
            </w:rPr>
            <w:t>Department of Jobs Precincts and Regions (2022) ‘Coastal Acid Sulphate Soils’.</w:t>
          </w:r>
        </w:p>
        <w:p w14:paraId="0C29371F" w14:textId="77777777" w:rsidR="008C1AD8" w:rsidRDefault="008C1AD8" w:rsidP="008C1AD8">
          <w:pPr>
            <w:rPr>
              <w:rFonts w:eastAsia="Times New Roman"/>
            </w:rPr>
          </w:pPr>
          <w:r>
            <w:rPr>
              <w:rFonts w:eastAsia="Times New Roman"/>
            </w:rPr>
            <w:t>DEWHA (2008a) ‘Approved Conservation Advice for the Natural Temperate Grassland of the Victorian Volcanic Plain’. Department of the Environment, Water, Heritage and Arts.</w:t>
          </w:r>
        </w:p>
        <w:p w14:paraId="2434699E" w14:textId="77777777" w:rsidR="008C1AD8" w:rsidRDefault="008C1AD8" w:rsidP="008C1AD8">
          <w:pPr>
            <w:rPr>
              <w:rFonts w:eastAsia="Times New Roman"/>
            </w:rPr>
          </w:pPr>
          <w:r>
            <w:rPr>
              <w:rFonts w:eastAsia="Times New Roman"/>
            </w:rPr>
            <w:t>DEWHA (2008b) ‘National framework and guidance for describing the ecological character of Australian Ramsar wetlands’.</w:t>
          </w:r>
        </w:p>
        <w:p w14:paraId="09C4A593" w14:textId="77777777" w:rsidR="008C1AD8" w:rsidRDefault="008C1AD8" w:rsidP="008C1AD8">
          <w:pPr>
            <w:rPr>
              <w:rFonts w:eastAsia="Times New Roman"/>
            </w:rPr>
          </w:pPr>
          <w:r>
            <w:rPr>
              <w:rFonts w:eastAsia="Times New Roman"/>
            </w:rPr>
            <w:t>DEWHA (2008c) ‘Natural Temperate Grassland of the Victorian Volcanic Plain A nationally threatened ecological community’. Department of Environment, Land, Water and Planning.</w:t>
          </w:r>
        </w:p>
        <w:p w14:paraId="58109D57" w14:textId="77777777" w:rsidR="008C1AD8" w:rsidRDefault="008C1AD8" w:rsidP="008C1AD8">
          <w:pPr>
            <w:rPr>
              <w:rFonts w:eastAsia="Times New Roman"/>
            </w:rPr>
          </w:pPr>
          <w:r>
            <w:rPr>
              <w:rFonts w:eastAsia="Times New Roman"/>
            </w:rPr>
            <w:t xml:space="preserve">DEWHA (2008d) </w:t>
          </w:r>
          <w:r>
            <w:rPr>
              <w:rFonts w:eastAsia="Times New Roman"/>
              <w:i/>
              <w:iCs/>
            </w:rPr>
            <w:t>Threat abatement plan for predation by the European red fox.</w:t>
          </w:r>
          <w:r>
            <w:rPr>
              <w:rFonts w:eastAsia="Times New Roman"/>
            </w:rPr>
            <w:t xml:space="preserve"> Canberra, ACT: Dept. of the Environment, Water, Heritage, and the Arts.</w:t>
          </w:r>
        </w:p>
        <w:p w14:paraId="10710181" w14:textId="77777777" w:rsidR="008C1AD8" w:rsidRDefault="008C1AD8" w:rsidP="008C1AD8">
          <w:pPr>
            <w:rPr>
              <w:rFonts w:eastAsia="Times New Roman"/>
            </w:rPr>
          </w:pPr>
          <w:r>
            <w:rPr>
              <w:rFonts w:eastAsia="Times New Roman"/>
            </w:rPr>
            <w:t>DEWHA (2009a) ‘Background Paper to EPBC Act Policy Statement 3.11 – Nationally Threatened Species and Ecological Communities Significant Impact Guidelines for the Critically Endangered Spiny Rice-flower (Pimelea spinescens subsp. spinescens)’. Department of Environment, Water, Heritage and Arts.</w:t>
          </w:r>
        </w:p>
        <w:p w14:paraId="5A535EBE" w14:textId="77777777" w:rsidR="008C1AD8" w:rsidRDefault="008C1AD8" w:rsidP="008C1AD8">
          <w:pPr>
            <w:rPr>
              <w:rFonts w:eastAsia="Times New Roman"/>
            </w:rPr>
          </w:pPr>
          <w:r>
            <w:rPr>
              <w:rFonts w:eastAsia="Times New Roman"/>
            </w:rPr>
            <w:t>DEWHA (2009b) ‘EPBC Act Policy Statement 3.11 - Significant Impact Guidelines for the Critically Endangered Spiny Rice-flower (Pimelea spinescens subsp. spinescens)’. Department of Environment, Water, Heritage and Arts.</w:t>
          </w:r>
        </w:p>
        <w:p w14:paraId="4B6697A8" w14:textId="77777777" w:rsidR="008C1AD8" w:rsidRDefault="008C1AD8" w:rsidP="008C1AD8">
          <w:pPr>
            <w:rPr>
              <w:rFonts w:eastAsia="Times New Roman"/>
            </w:rPr>
          </w:pPr>
          <w:r>
            <w:rPr>
              <w:rFonts w:eastAsia="Times New Roman"/>
            </w:rPr>
            <w:t>DEWHA (2009c) ‘EPBC Act Policy Statement 3.14: Significant impact guidelines for the vulnerable growling grass frog (Litoria raniformis)’. Department of Environment, Water, Heritage and Arts.</w:t>
          </w:r>
        </w:p>
        <w:p w14:paraId="39D4F2CE" w14:textId="77777777" w:rsidR="008C1AD8" w:rsidRDefault="008C1AD8" w:rsidP="008C1AD8">
          <w:pPr>
            <w:rPr>
              <w:rFonts w:eastAsia="Times New Roman"/>
            </w:rPr>
          </w:pPr>
          <w:r>
            <w:rPr>
              <w:rFonts w:eastAsia="Times New Roman"/>
            </w:rPr>
            <w:t>DEWHA (2009d) ‘EPBC Act Policy Statement 3.14: Significant impact guidelines for the vulnerable growling grass frog (Litoria raniformis) - Background Paper’. Department of Environment, Water, Heritage and Arts.</w:t>
          </w:r>
        </w:p>
        <w:p w14:paraId="39739C75" w14:textId="77777777" w:rsidR="008C1AD8" w:rsidRDefault="008C1AD8" w:rsidP="008C1AD8">
          <w:pPr>
            <w:rPr>
              <w:rFonts w:eastAsia="Times New Roman"/>
            </w:rPr>
          </w:pPr>
          <w:r>
            <w:rPr>
              <w:rFonts w:eastAsia="Times New Roman"/>
            </w:rPr>
            <w:t>DEWHA (2009e) ‘Significant impact guidelines for the critically endangered golden sun moth (</w:t>
          </w:r>
          <w:r>
            <w:rPr>
              <w:rFonts w:eastAsia="Times New Roman"/>
              <w:i/>
              <w:iCs/>
            </w:rPr>
            <w:t>Synemon plana</w:t>
          </w:r>
          <w:r>
            <w:rPr>
              <w:rFonts w:eastAsia="Times New Roman"/>
            </w:rPr>
            <w:t>) - Nationally threatened species and ecological communities EPBC Act policy statement 3.12’. Department of Environment, Water, Heritage and Arts.</w:t>
          </w:r>
        </w:p>
        <w:p w14:paraId="23460341" w14:textId="77777777" w:rsidR="008C1AD8" w:rsidRDefault="008C1AD8" w:rsidP="008C1AD8">
          <w:pPr>
            <w:rPr>
              <w:rFonts w:eastAsia="Times New Roman"/>
            </w:rPr>
          </w:pPr>
          <w:r>
            <w:rPr>
              <w:rFonts w:eastAsia="Times New Roman"/>
            </w:rPr>
            <w:t>DEWHA (2010) ‘Survey Guidelines for Australia’s Threatened Frogs. EPBC Act survey guidelines 6.3’. Department of Environment, Water, Heritage and Arts.</w:t>
          </w:r>
        </w:p>
        <w:p w14:paraId="4FF7AAC8" w14:textId="77777777" w:rsidR="008C1AD8" w:rsidRDefault="008C1AD8" w:rsidP="008C1AD8">
          <w:pPr>
            <w:rPr>
              <w:rFonts w:eastAsia="Times New Roman"/>
            </w:rPr>
          </w:pPr>
          <w:r>
            <w:rPr>
              <w:rFonts w:eastAsia="Times New Roman"/>
            </w:rPr>
            <w:t xml:space="preserve">DoE (2013) </w:t>
          </w:r>
          <w:r>
            <w:rPr>
              <w:rFonts w:eastAsia="Times New Roman"/>
              <w:i/>
              <w:iCs/>
            </w:rPr>
            <w:t>Matters of National Environmental Significance: Significant Impact Guidelines 1.1</w:t>
          </w:r>
          <w:r>
            <w:rPr>
              <w:rFonts w:eastAsia="Times New Roman"/>
            </w:rPr>
            <w:t>. Canberra: Department of the Environment.</w:t>
          </w:r>
        </w:p>
        <w:p w14:paraId="6B5F9026" w14:textId="77777777" w:rsidR="008C1AD8" w:rsidRDefault="008C1AD8" w:rsidP="008C1AD8">
          <w:pPr>
            <w:rPr>
              <w:rFonts w:eastAsia="Times New Roman"/>
            </w:rPr>
          </w:pPr>
          <w:r>
            <w:rPr>
              <w:rFonts w:eastAsia="Times New Roman"/>
            </w:rPr>
            <w:t>DoE (2014) ‘Environmental Management Plan Guidelines 2014’. Commonwealth Department of the Environment.</w:t>
          </w:r>
        </w:p>
        <w:p w14:paraId="4C29E54F" w14:textId="77777777" w:rsidR="008C1AD8" w:rsidRDefault="008C1AD8" w:rsidP="008C1AD8">
          <w:pPr>
            <w:rPr>
              <w:rFonts w:eastAsia="Times New Roman"/>
            </w:rPr>
          </w:pPr>
          <w:r>
            <w:rPr>
              <w:rFonts w:eastAsia="Times New Roman"/>
            </w:rPr>
            <w:lastRenderedPageBreak/>
            <w:t>DoE (2015a) ‘Draft Referral guideline for 14 birds listed as migratory species under the EPBC Act’. Department of Environment.</w:t>
          </w:r>
        </w:p>
        <w:p w14:paraId="7E4EE9ED" w14:textId="77777777" w:rsidR="008C1AD8" w:rsidRDefault="008C1AD8" w:rsidP="008C1AD8">
          <w:pPr>
            <w:rPr>
              <w:rFonts w:eastAsia="Times New Roman"/>
            </w:rPr>
          </w:pPr>
          <w:r>
            <w:rPr>
              <w:rFonts w:eastAsia="Times New Roman"/>
            </w:rPr>
            <w:t>DoE (2015b) ‘Numenius madagascariensis (eastern curlew) Conservation Advice’, pp. 1–13.</w:t>
          </w:r>
        </w:p>
        <w:p w14:paraId="34712E52" w14:textId="77777777" w:rsidR="008C1AD8" w:rsidRDefault="008C1AD8" w:rsidP="008C1AD8">
          <w:pPr>
            <w:rPr>
              <w:rFonts w:eastAsia="Times New Roman"/>
            </w:rPr>
          </w:pPr>
          <w:r>
            <w:rPr>
              <w:rFonts w:eastAsia="Times New Roman"/>
            </w:rPr>
            <w:t xml:space="preserve">DoE (2015c) </w:t>
          </w:r>
          <w:r>
            <w:rPr>
              <w:rFonts w:eastAsia="Times New Roman"/>
              <w:i/>
              <w:iCs/>
            </w:rPr>
            <w:t>Threat abatement plan for predation by feral cats</w:t>
          </w:r>
          <w:r>
            <w:rPr>
              <w:rFonts w:eastAsia="Times New Roman"/>
            </w:rPr>
            <w:t>. Canberra.</w:t>
          </w:r>
        </w:p>
        <w:p w14:paraId="750AD7FA" w14:textId="77777777" w:rsidR="008C1AD8" w:rsidRDefault="008C1AD8" w:rsidP="008C1AD8">
          <w:pPr>
            <w:rPr>
              <w:rFonts w:eastAsia="Times New Roman"/>
            </w:rPr>
          </w:pPr>
          <w:r>
            <w:rPr>
              <w:rFonts w:eastAsia="Times New Roman"/>
            </w:rPr>
            <w:t>DoE (2017) ‘EPBC Act Policy Statement 3.21: Industry guidelines for avoiding, assessing and mitigating impacts on EPBC Act listed migratory shorebird species’. Department of Environment.</w:t>
          </w:r>
        </w:p>
        <w:p w14:paraId="3C0C8A01" w14:textId="77777777" w:rsidR="008C1AD8" w:rsidRDefault="008C1AD8" w:rsidP="008C1AD8">
          <w:pPr>
            <w:rPr>
              <w:rFonts w:eastAsia="Times New Roman"/>
            </w:rPr>
          </w:pPr>
          <w:r>
            <w:rPr>
              <w:rFonts w:eastAsia="Times New Roman"/>
            </w:rPr>
            <w:t xml:space="preserve">DoEE (2016a) </w:t>
          </w:r>
          <w:r>
            <w:rPr>
              <w:rFonts w:eastAsia="Times New Roman"/>
              <w:i/>
              <w:iCs/>
            </w:rPr>
            <w:t>Threat abatement plan for competition and land degradation by rabbits</w:t>
          </w:r>
          <w:r>
            <w:rPr>
              <w:rFonts w:eastAsia="Times New Roman"/>
            </w:rPr>
            <w:t>. Department of Environment and Energy, Canberra.</w:t>
          </w:r>
        </w:p>
        <w:p w14:paraId="48172FB0" w14:textId="77777777" w:rsidR="008C1AD8" w:rsidRDefault="008C1AD8" w:rsidP="008C1AD8">
          <w:pPr>
            <w:rPr>
              <w:rFonts w:eastAsia="Times New Roman"/>
            </w:rPr>
          </w:pPr>
          <w:r>
            <w:rPr>
              <w:rFonts w:eastAsia="Times New Roman"/>
            </w:rPr>
            <w:t xml:space="preserve">DoEE (2016b) </w:t>
          </w:r>
          <w:r>
            <w:rPr>
              <w:rFonts w:eastAsia="Times New Roman"/>
              <w:i/>
              <w:iCs/>
            </w:rPr>
            <w:t>Threat Abatement Plan for infection of amphibians with chytrid fungus resulting in chytridiomycosis</w:t>
          </w:r>
          <w:r>
            <w:rPr>
              <w:rFonts w:eastAsia="Times New Roman"/>
            </w:rPr>
            <w:t>. Department of Environment and Energy.</w:t>
          </w:r>
        </w:p>
        <w:p w14:paraId="3C8D5F49" w14:textId="77777777" w:rsidR="008C1AD8" w:rsidRDefault="008C1AD8" w:rsidP="008C1AD8">
          <w:pPr>
            <w:rPr>
              <w:rFonts w:eastAsia="Times New Roman"/>
            </w:rPr>
          </w:pPr>
          <w:r>
            <w:rPr>
              <w:rFonts w:eastAsia="Times New Roman"/>
            </w:rPr>
            <w:t xml:space="preserve">DPE (2022) </w:t>
          </w:r>
          <w:r>
            <w:rPr>
              <w:rFonts w:eastAsia="Times New Roman"/>
              <w:i/>
              <w:iCs/>
            </w:rPr>
            <w:t>Key Guidance - Amenity</w:t>
          </w:r>
          <w:r>
            <w:rPr>
              <w:rFonts w:eastAsia="Times New Roman"/>
            </w:rPr>
            <w:t xml:space="preserve">, </w:t>
          </w:r>
          <w:r>
            <w:rPr>
              <w:rFonts w:eastAsia="Times New Roman"/>
              <w:i/>
              <w:iCs/>
            </w:rPr>
            <w:t>NSW Planning Portal</w:t>
          </w:r>
          <w:r>
            <w:rPr>
              <w:rFonts w:eastAsia="Times New Roman"/>
            </w:rPr>
            <w:t>. Available at: https://pp.planningportal.nsw.gov.au/major-projects/assessment/policies-and-guidelines/key-guidance/amenity.</w:t>
          </w:r>
        </w:p>
        <w:p w14:paraId="168D4006" w14:textId="77777777" w:rsidR="008C1AD8" w:rsidRDefault="008C1AD8" w:rsidP="008C1AD8">
          <w:pPr>
            <w:rPr>
              <w:rFonts w:eastAsia="Times New Roman"/>
            </w:rPr>
          </w:pPr>
          <w:r>
            <w:rPr>
              <w:rFonts w:eastAsia="Times New Roman"/>
            </w:rPr>
            <w:t>DSE (2003) ‘Biodiversity Action Planning: Strategic Overview for the Victorian Volcanic Plain Bioregion’. Victorian Government Department of Sustainability and Environment.</w:t>
          </w:r>
        </w:p>
        <w:p w14:paraId="43DDEB1D" w14:textId="77777777" w:rsidR="008C1AD8" w:rsidRDefault="008C1AD8" w:rsidP="008C1AD8">
          <w:pPr>
            <w:rPr>
              <w:rFonts w:eastAsia="Times New Roman"/>
            </w:rPr>
          </w:pPr>
          <w:r>
            <w:rPr>
              <w:rFonts w:eastAsia="Times New Roman"/>
            </w:rPr>
            <w:t>DSE (2008) ‘Action Statement | Spiny Rice-flower’. Department of Sustainability and Environment.</w:t>
          </w:r>
        </w:p>
        <w:p w14:paraId="33919592" w14:textId="77777777" w:rsidR="008C1AD8" w:rsidRDefault="008C1AD8" w:rsidP="008C1AD8">
          <w:pPr>
            <w:rPr>
              <w:rFonts w:eastAsia="Times New Roman"/>
            </w:rPr>
          </w:pPr>
          <w:r>
            <w:rPr>
              <w:rFonts w:eastAsia="Times New Roman"/>
            </w:rPr>
            <w:t>DSEWPaC (2011a) ‘Nationally Threatened Ecological Communities of the Victorian Volcanic Plain: Natural Temperate Grassland &amp; Grassy Eucalypt Woodland’. Department of Sustainability, Environment, Water Population and Communities.</w:t>
          </w:r>
        </w:p>
        <w:p w14:paraId="7323DA4D" w14:textId="77777777" w:rsidR="008C1AD8" w:rsidRDefault="008C1AD8" w:rsidP="008C1AD8">
          <w:pPr>
            <w:rPr>
              <w:rFonts w:eastAsia="Times New Roman"/>
            </w:rPr>
          </w:pPr>
          <w:r>
            <w:rPr>
              <w:rFonts w:eastAsia="Times New Roman"/>
            </w:rPr>
            <w:t>DSEWPaC (2011b) ‘Survey guidelines for Australia’s threatened reptiles. EPBC Act survey guidelines 6.6’. Department of Sustainability, Environment, Water Population and Communities.</w:t>
          </w:r>
        </w:p>
        <w:p w14:paraId="417ABB20" w14:textId="77777777" w:rsidR="008C1AD8" w:rsidRDefault="008C1AD8" w:rsidP="008C1AD8">
          <w:pPr>
            <w:rPr>
              <w:rFonts w:eastAsia="Times New Roman"/>
            </w:rPr>
          </w:pPr>
          <w:r>
            <w:rPr>
              <w:rFonts w:eastAsia="Times New Roman"/>
            </w:rPr>
            <w:t>DSEWPaC (2013) ‘Rostratula australis (Australian painted snipe) Approved Conservation Advice’. Department of Sustainability, Environment, Water, Population and Communities.</w:t>
          </w:r>
        </w:p>
        <w:p w14:paraId="1C699DE8" w14:textId="77777777" w:rsidR="008C1AD8" w:rsidRDefault="008C1AD8" w:rsidP="008C1AD8">
          <w:pPr>
            <w:rPr>
              <w:rFonts w:eastAsia="Times New Roman"/>
            </w:rPr>
          </w:pPr>
          <w:r>
            <w:rPr>
              <w:rFonts w:eastAsia="Times New Roman"/>
            </w:rPr>
            <w:t>DSEWPC (2011) ‘EPBC Act - Referral guidelines for the vulnerable striped legless lizard, Delma impar’. Department of Sustainability, Environment, Water, Population and Communities.</w:t>
          </w:r>
        </w:p>
        <w:p w14:paraId="1ADB9A9C" w14:textId="77777777" w:rsidR="008C1AD8" w:rsidRDefault="008C1AD8" w:rsidP="008C1AD8">
          <w:pPr>
            <w:rPr>
              <w:rFonts w:eastAsia="Times New Roman"/>
            </w:rPr>
          </w:pPr>
          <w:r>
            <w:rPr>
              <w:rFonts w:eastAsia="Times New Roman"/>
            </w:rPr>
            <w:t>EHP (2021) ‘Existing Ecological Conditions: Northern and Western Geelong Growth Areas’. Prepared for the City of Greater Geelong.</w:t>
          </w:r>
        </w:p>
        <w:p w14:paraId="75C71787" w14:textId="77777777" w:rsidR="008C1AD8" w:rsidRDefault="008C1AD8" w:rsidP="008C1AD8">
          <w:pPr>
            <w:rPr>
              <w:rFonts w:eastAsia="Times New Roman"/>
            </w:rPr>
          </w:pPr>
          <w:r>
            <w:rPr>
              <w:rFonts w:eastAsia="Times New Roman"/>
            </w:rPr>
            <w:t>Engage Victoria (2022) ‘Port Phillip Bay and Bellarine Peninsula Ramsar Site Boundary Review’.</w:t>
          </w:r>
        </w:p>
        <w:p w14:paraId="71DE9378" w14:textId="77777777" w:rsidR="008C1AD8" w:rsidRDefault="008C1AD8" w:rsidP="008C1AD8">
          <w:pPr>
            <w:rPr>
              <w:rFonts w:eastAsia="Times New Roman"/>
            </w:rPr>
          </w:pPr>
          <w:r>
            <w:rPr>
              <w:rFonts w:eastAsia="Times New Roman"/>
            </w:rPr>
            <w:t>Geelong Region Alliance (2007) ‘The Geelong Region Plan’. G21 Geelong Region Alliance.</w:t>
          </w:r>
        </w:p>
        <w:p w14:paraId="02CC6559" w14:textId="77777777" w:rsidR="008C1AD8" w:rsidRDefault="008C1AD8" w:rsidP="008C1AD8">
          <w:pPr>
            <w:rPr>
              <w:rFonts w:eastAsia="Times New Roman"/>
            </w:rPr>
          </w:pPr>
          <w:r>
            <w:rPr>
              <w:rFonts w:eastAsia="Times New Roman"/>
            </w:rPr>
            <w:t>Geelong Region Alliance (2013) ‘G21 Regional Growth Plan’. G21 Geelong Region Alliance.</w:t>
          </w:r>
        </w:p>
        <w:p w14:paraId="7658B975" w14:textId="77777777" w:rsidR="008C1AD8" w:rsidRDefault="008C1AD8" w:rsidP="008C1AD8">
          <w:pPr>
            <w:rPr>
              <w:rFonts w:eastAsia="Times New Roman"/>
            </w:rPr>
          </w:pPr>
          <w:r>
            <w:rPr>
              <w:rFonts w:eastAsia="Times New Roman"/>
            </w:rPr>
            <w:t>Geelong Region Alliance (2014) ‘G21 Region Economic Development Strategy’. G21 Geelong Region Alliance.</w:t>
          </w:r>
        </w:p>
        <w:p w14:paraId="44CFAB34" w14:textId="77777777" w:rsidR="008C1AD8" w:rsidRDefault="008C1AD8" w:rsidP="008C1AD8">
          <w:pPr>
            <w:rPr>
              <w:rFonts w:eastAsia="Times New Roman"/>
            </w:rPr>
          </w:pPr>
          <w:r>
            <w:rPr>
              <w:rFonts w:eastAsia="Times New Roman"/>
            </w:rPr>
            <w:t>Geelong Region Alliance (2019) ‘G21 Region Profile’. G21 Geelong Region Alliance.</w:t>
          </w:r>
        </w:p>
        <w:p w14:paraId="6DE7B14B" w14:textId="77777777" w:rsidR="008C1AD8" w:rsidRDefault="008C1AD8" w:rsidP="008C1AD8">
          <w:pPr>
            <w:rPr>
              <w:rFonts w:eastAsia="Times New Roman"/>
            </w:rPr>
          </w:pPr>
          <w:r>
            <w:rPr>
              <w:rFonts w:eastAsia="Times New Roman"/>
            </w:rPr>
            <w:t xml:space="preserve">Gordon, A. </w:t>
          </w:r>
          <w:r>
            <w:rPr>
              <w:rFonts w:eastAsia="Times New Roman"/>
              <w:i/>
              <w:iCs/>
            </w:rPr>
            <w:t>et al.</w:t>
          </w:r>
          <w:r>
            <w:rPr>
              <w:rFonts w:eastAsia="Times New Roman"/>
            </w:rPr>
            <w:t xml:space="preserve"> (2011) ‘Assessing the impacts of biodiversity offset policies’, </w:t>
          </w:r>
          <w:r>
            <w:rPr>
              <w:rFonts w:eastAsia="Times New Roman"/>
              <w:i/>
              <w:iCs/>
            </w:rPr>
            <w:t>Environmental Modelling &amp; Software</w:t>
          </w:r>
          <w:r>
            <w:rPr>
              <w:rFonts w:eastAsia="Times New Roman"/>
            </w:rPr>
            <w:t>, 26(12), pp. 1481–1488. Available at: https://doi.org/10.1016/j.envsoft.2011.07.021.</w:t>
          </w:r>
        </w:p>
        <w:p w14:paraId="6C898E6B" w14:textId="77777777" w:rsidR="008C1AD8" w:rsidRDefault="008C1AD8" w:rsidP="008C1AD8">
          <w:pPr>
            <w:rPr>
              <w:rFonts w:eastAsia="Times New Roman"/>
            </w:rPr>
          </w:pPr>
          <w:r>
            <w:rPr>
              <w:rFonts w:eastAsia="Times New Roman"/>
            </w:rPr>
            <w:t xml:space="preserve">Gordon, A. and Peterson, I. (2019) </w:t>
          </w:r>
          <w:r>
            <w:rPr>
              <w:rFonts w:eastAsia="Times New Roman"/>
              <w:i/>
              <w:iCs/>
            </w:rPr>
            <w:t>CUMBERLAND SUBREGION CONSERVATION PLAN – VEGETATION TREND ANALYSIS</w:t>
          </w:r>
          <w:r>
            <w:rPr>
              <w:rFonts w:eastAsia="Times New Roman"/>
            </w:rPr>
            <w:t>. Melbourne, Victoria.</w:t>
          </w:r>
        </w:p>
        <w:p w14:paraId="74298898" w14:textId="77777777" w:rsidR="008C1AD8" w:rsidRDefault="008C1AD8" w:rsidP="008C1AD8">
          <w:pPr>
            <w:rPr>
              <w:rFonts w:eastAsia="Times New Roman"/>
            </w:rPr>
          </w:pPr>
          <w:r>
            <w:rPr>
              <w:rFonts w:eastAsia="Times New Roman"/>
            </w:rPr>
            <w:t xml:space="preserve">Hansen, B.D. </w:t>
          </w:r>
          <w:r>
            <w:rPr>
              <w:rFonts w:eastAsia="Times New Roman"/>
              <w:i/>
              <w:iCs/>
            </w:rPr>
            <w:t>et al.</w:t>
          </w:r>
          <w:r>
            <w:rPr>
              <w:rFonts w:eastAsia="Times New Roman"/>
            </w:rPr>
            <w:t xml:space="preserve"> (2016) ‘Revision of the East Asian-Australasian Flyway Population Estimates for 37 listed Migratory Shorebird Species’. Unpublished report for the Department of the Environment. BirdLife Australia, Melbourne., p. 90.</w:t>
          </w:r>
        </w:p>
        <w:p w14:paraId="786A1472" w14:textId="77777777" w:rsidR="008C1AD8" w:rsidRDefault="008C1AD8" w:rsidP="008C1AD8">
          <w:pPr>
            <w:rPr>
              <w:rFonts w:eastAsia="Times New Roman"/>
            </w:rPr>
          </w:pPr>
          <w:r>
            <w:rPr>
              <w:rFonts w:eastAsia="Times New Roman"/>
            </w:rPr>
            <w:t xml:space="preserve">Heard, G., Scroggie, M. and Clemann, N. (2010) </w:t>
          </w:r>
          <w:r>
            <w:rPr>
              <w:rFonts w:eastAsia="Times New Roman"/>
              <w:i/>
              <w:iCs/>
            </w:rPr>
            <w:t>Guidelines for managing the endangered Growling Grass Frog in urbanising landscapes</w:t>
          </w:r>
          <w:r>
            <w:rPr>
              <w:rFonts w:eastAsia="Times New Roman"/>
            </w:rPr>
            <w:t>. Citeseer.</w:t>
          </w:r>
        </w:p>
        <w:p w14:paraId="189F428B" w14:textId="77777777" w:rsidR="008C1AD8" w:rsidRDefault="008C1AD8" w:rsidP="008C1AD8">
          <w:pPr>
            <w:rPr>
              <w:rFonts w:eastAsia="Times New Roman"/>
            </w:rPr>
          </w:pPr>
          <w:r>
            <w:rPr>
              <w:rFonts w:eastAsia="Times New Roman"/>
            </w:rPr>
            <w:lastRenderedPageBreak/>
            <w:t xml:space="preserve">Howland, B.W.A. </w:t>
          </w:r>
          <w:r>
            <w:rPr>
              <w:rFonts w:eastAsia="Times New Roman"/>
              <w:i/>
              <w:iCs/>
            </w:rPr>
            <w:t>et al.</w:t>
          </w:r>
          <w:r>
            <w:rPr>
              <w:rFonts w:eastAsia="Times New Roman"/>
            </w:rPr>
            <w:t xml:space="preserve"> (2016) ‘Habitat preference of the striped legless lizard: Implications of grazing by native herbivores and livestock for conservation of grassland biota’, </w:t>
          </w:r>
          <w:r>
            <w:rPr>
              <w:rFonts w:eastAsia="Times New Roman"/>
              <w:i/>
              <w:iCs/>
            </w:rPr>
            <w:t>Austral Ecology</w:t>
          </w:r>
          <w:r>
            <w:rPr>
              <w:rFonts w:eastAsia="Times New Roman"/>
            </w:rPr>
            <w:t>, 41(4), pp. 455–464. Available at: https://doi.org/10.1111/aec.12337.</w:t>
          </w:r>
        </w:p>
        <w:p w14:paraId="30C87BFB" w14:textId="77777777" w:rsidR="008C1AD8" w:rsidRDefault="008C1AD8" w:rsidP="008C1AD8">
          <w:pPr>
            <w:rPr>
              <w:rFonts w:eastAsia="Times New Roman"/>
            </w:rPr>
          </w:pPr>
          <w:r>
            <w:rPr>
              <w:rFonts w:eastAsia="Times New Roman"/>
            </w:rPr>
            <w:t xml:space="preserve">Informed Decisions (2022a) </w:t>
          </w:r>
          <w:r>
            <w:rPr>
              <w:rFonts w:eastAsia="Times New Roman"/>
              <w:i/>
              <w:iCs/>
            </w:rPr>
            <w:t>City of Greater Geelong - Housing Monitor</w:t>
          </w:r>
          <w:r>
            <w:rPr>
              <w:rFonts w:eastAsia="Times New Roman"/>
            </w:rPr>
            <w:t>. Available at: https://housing.id.com.au/geelong.</w:t>
          </w:r>
        </w:p>
        <w:p w14:paraId="1649097A" w14:textId="77777777" w:rsidR="008C1AD8" w:rsidRDefault="008C1AD8" w:rsidP="008C1AD8">
          <w:pPr>
            <w:rPr>
              <w:rFonts w:eastAsia="Times New Roman"/>
            </w:rPr>
          </w:pPr>
          <w:r>
            <w:rPr>
              <w:rFonts w:eastAsia="Times New Roman"/>
            </w:rPr>
            <w:t xml:space="preserve">Informed Decisions (2022b) </w:t>
          </w:r>
          <w:r>
            <w:rPr>
              <w:rFonts w:eastAsia="Times New Roman"/>
              <w:i/>
              <w:iCs/>
            </w:rPr>
            <w:t>Welcome to the City of Greater Geelong Community Profile</w:t>
          </w:r>
          <w:r>
            <w:rPr>
              <w:rFonts w:eastAsia="Times New Roman"/>
            </w:rPr>
            <w:t>. Available at: https://profile.id.com.au/geelong.</w:t>
          </w:r>
        </w:p>
        <w:p w14:paraId="0AFD5721" w14:textId="77777777" w:rsidR="008C1AD8" w:rsidRDefault="008C1AD8" w:rsidP="008C1AD8">
          <w:pPr>
            <w:rPr>
              <w:rFonts w:eastAsia="Times New Roman"/>
            </w:rPr>
          </w:pPr>
          <w:r>
            <w:rPr>
              <w:rFonts w:eastAsia="Times New Roman"/>
            </w:rPr>
            <w:t xml:space="preserve">James Cook University Australia (2022) </w:t>
          </w:r>
          <w:r>
            <w:rPr>
              <w:rFonts w:eastAsia="Times New Roman"/>
              <w:i/>
              <w:iCs/>
            </w:rPr>
            <w:t>Procedural Fairness</w:t>
          </w:r>
          <w:r>
            <w:rPr>
              <w:rFonts w:eastAsia="Times New Roman"/>
            </w:rPr>
            <w:t>.</w:t>
          </w:r>
        </w:p>
        <w:p w14:paraId="34043D3E" w14:textId="77777777" w:rsidR="008C1AD8" w:rsidRDefault="008C1AD8" w:rsidP="008C1AD8">
          <w:pPr>
            <w:rPr>
              <w:rFonts w:eastAsia="Times New Roman"/>
            </w:rPr>
          </w:pPr>
          <w:r>
            <w:rPr>
              <w:rFonts w:eastAsia="Times New Roman"/>
            </w:rPr>
            <w:t>Johnson, L., Bartel, R. and Mundell, M. (2020) ‘Resilient Geelong: Reasons for success and challenges for a post-COVID-19 future’. Committee for Geelong.</w:t>
          </w:r>
        </w:p>
        <w:p w14:paraId="21AE4C77" w14:textId="77777777" w:rsidR="008C1AD8" w:rsidRDefault="008C1AD8" w:rsidP="008C1AD8">
          <w:pPr>
            <w:rPr>
              <w:rFonts w:eastAsia="Times New Roman"/>
            </w:rPr>
          </w:pPr>
          <w:r>
            <w:rPr>
              <w:rFonts w:eastAsia="Times New Roman"/>
            </w:rPr>
            <w:t>Murphy, A. (2010) ‘National Recovery Plan for Adamson’s Blown-grass Lachnagrostis adamsonii’. Department of Sustainability and Environment.</w:t>
          </w:r>
        </w:p>
        <w:p w14:paraId="36B83C03" w14:textId="77777777" w:rsidR="008C1AD8" w:rsidRDefault="008C1AD8" w:rsidP="008C1AD8">
          <w:pPr>
            <w:rPr>
              <w:rFonts w:eastAsia="Times New Roman"/>
            </w:rPr>
          </w:pPr>
          <w:r>
            <w:rPr>
              <w:rFonts w:eastAsia="Times New Roman"/>
            </w:rPr>
            <w:t>Nature Advisory (2021) ‘Summary of Flora and Fauna Assessment - Independent review of EHP report’.</w:t>
          </w:r>
        </w:p>
        <w:p w14:paraId="54E2FD34" w14:textId="77777777" w:rsidR="008C1AD8" w:rsidRDefault="008C1AD8" w:rsidP="008C1AD8">
          <w:pPr>
            <w:rPr>
              <w:rFonts w:eastAsia="Times New Roman"/>
            </w:rPr>
          </w:pPr>
          <w:r>
            <w:rPr>
              <w:rFonts w:eastAsia="Times New Roman"/>
            </w:rPr>
            <w:t>Ombudsman Western Australia (2019) ‘Procedural fairness (natural justice) - Guidelines’. Ombudsman Western Australia.</w:t>
          </w:r>
        </w:p>
        <w:p w14:paraId="2318A3FC" w14:textId="77777777" w:rsidR="008C1AD8" w:rsidRDefault="008C1AD8" w:rsidP="008C1AD8">
          <w:pPr>
            <w:rPr>
              <w:rFonts w:eastAsia="Times New Roman"/>
            </w:rPr>
          </w:pPr>
          <w:r>
            <w:rPr>
              <w:rFonts w:eastAsia="Times New Roman"/>
            </w:rPr>
            <w:t>Parks Victoria (2022a) ‘BARWON RIVER ESTUARY WALK (LAKE CONNEWARRE WILDLIFE RESERVE)’.</w:t>
          </w:r>
        </w:p>
        <w:p w14:paraId="0357CA33" w14:textId="77777777" w:rsidR="008C1AD8" w:rsidRDefault="008C1AD8" w:rsidP="008C1AD8">
          <w:pPr>
            <w:rPr>
              <w:rFonts w:eastAsia="Times New Roman"/>
            </w:rPr>
          </w:pPr>
          <w:r>
            <w:rPr>
              <w:rFonts w:eastAsia="Times New Roman"/>
            </w:rPr>
            <w:t>Parks Victoria (2022b) ‘BREAMLEA FLORA AND FAUNA RESERVE’.</w:t>
          </w:r>
        </w:p>
        <w:p w14:paraId="59F4BD39" w14:textId="77777777" w:rsidR="008C1AD8" w:rsidRDefault="008C1AD8" w:rsidP="008C1AD8">
          <w:pPr>
            <w:rPr>
              <w:rFonts w:eastAsia="Times New Roman"/>
            </w:rPr>
          </w:pPr>
          <w:r>
            <w:rPr>
              <w:rFonts w:eastAsia="Times New Roman"/>
            </w:rPr>
            <w:t>Parks Victoria (2022c) ‘KIRK POINT DAY VISITOR AREA (THE SPIT WILDLIFE RESERVE)’.</w:t>
          </w:r>
        </w:p>
        <w:p w14:paraId="1D0C247A" w14:textId="77777777" w:rsidR="008C1AD8" w:rsidRDefault="008C1AD8" w:rsidP="008C1AD8">
          <w:pPr>
            <w:rPr>
              <w:rFonts w:eastAsia="Times New Roman"/>
            </w:rPr>
          </w:pPr>
          <w:r>
            <w:rPr>
              <w:rFonts w:eastAsia="Times New Roman"/>
            </w:rPr>
            <w:t>Parks Victoria (2022d) ‘Limeburners Bay Wildlife Reserve (Limeburners Lagoon (Hovells Creek) Flora and Fauna Reserve)’.</w:t>
          </w:r>
        </w:p>
        <w:p w14:paraId="75E01DF4" w14:textId="77777777" w:rsidR="008C1AD8" w:rsidRDefault="008C1AD8" w:rsidP="008C1AD8">
          <w:pPr>
            <w:rPr>
              <w:rFonts w:eastAsia="Times New Roman"/>
            </w:rPr>
          </w:pPr>
          <w:r>
            <w:rPr>
              <w:rFonts w:eastAsia="Times New Roman"/>
            </w:rPr>
            <w:t>Parks Victoria (2022e) ‘LOWER BARWON RIVER - MINAH STREET DAY VISITOR AREA (LAKE CONNEWARRE WILDLIFE RESERVE)’.</w:t>
          </w:r>
        </w:p>
        <w:p w14:paraId="31EA1E57" w14:textId="77777777" w:rsidR="008C1AD8" w:rsidRDefault="008C1AD8" w:rsidP="008C1AD8">
          <w:pPr>
            <w:rPr>
              <w:rFonts w:eastAsia="Times New Roman"/>
            </w:rPr>
          </w:pPr>
          <w:r>
            <w:rPr>
              <w:rFonts w:eastAsia="Times New Roman"/>
            </w:rPr>
            <w:t>Parks Victoria (2022f) ‘LOWER BARWON RIVER - SHEEPWASH (LAKE CONNEWARRE WILDLIFE RESERVE)’.</w:t>
          </w:r>
        </w:p>
        <w:p w14:paraId="7D9ABD74" w14:textId="77777777" w:rsidR="008C1AD8" w:rsidRDefault="008C1AD8" w:rsidP="008C1AD8">
          <w:pPr>
            <w:rPr>
              <w:rFonts w:eastAsia="Times New Roman"/>
            </w:rPr>
          </w:pPr>
          <w:r>
            <w:rPr>
              <w:rFonts w:eastAsia="Times New Roman"/>
            </w:rPr>
            <w:t>Parks Victoria (2022g) ‘PELICAN COURT DAY VISITOR SITE (LAKE CONNEWARRE WILDLIFE RESERVE)’.</w:t>
          </w:r>
        </w:p>
        <w:p w14:paraId="346300C7" w14:textId="77777777" w:rsidR="008C1AD8" w:rsidRDefault="008C1AD8" w:rsidP="008C1AD8">
          <w:pPr>
            <w:rPr>
              <w:rFonts w:eastAsia="Times New Roman"/>
            </w:rPr>
          </w:pPr>
          <w:r>
            <w:rPr>
              <w:rFonts w:eastAsia="Times New Roman"/>
            </w:rPr>
            <w:t>Parks Victoria (2022h) ‘Striped Legless Lizard Delma impar’.</w:t>
          </w:r>
        </w:p>
        <w:p w14:paraId="5521B2E0" w14:textId="77777777" w:rsidR="008C1AD8" w:rsidRDefault="008C1AD8" w:rsidP="008C1AD8">
          <w:pPr>
            <w:rPr>
              <w:rFonts w:eastAsia="Times New Roman"/>
            </w:rPr>
          </w:pPr>
          <w:r>
            <w:rPr>
              <w:rFonts w:eastAsia="Times New Roman"/>
            </w:rPr>
            <w:t>Parks Victoria (2022i) ‘TAITS POINT DAY VISITOR AREA (LAKE CONNEWARRE WILDLIFE RESERVE)’.</w:t>
          </w:r>
        </w:p>
        <w:p w14:paraId="08D81A63" w14:textId="77777777" w:rsidR="008C1AD8" w:rsidRDefault="008C1AD8" w:rsidP="008C1AD8">
          <w:pPr>
            <w:rPr>
              <w:rFonts w:eastAsia="Times New Roman"/>
            </w:rPr>
          </w:pPr>
          <w:r>
            <w:rPr>
              <w:rFonts w:eastAsia="Times New Roman"/>
            </w:rPr>
            <w:t>Parks Victoria (2022j) ‘THE SPIT (MURCAIM) (THE SPIT WILDLIFE RESERVE)’.</w:t>
          </w:r>
        </w:p>
        <w:p w14:paraId="657907BA" w14:textId="77777777" w:rsidR="008C1AD8" w:rsidRDefault="008C1AD8" w:rsidP="008C1AD8">
          <w:pPr>
            <w:rPr>
              <w:rFonts w:eastAsia="Times New Roman"/>
            </w:rPr>
          </w:pPr>
          <w:r>
            <w:rPr>
              <w:rFonts w:eastAsia="Times New Roman"/>
            </w:rPr>
            <w:t>Ramsar Convention (2005) ‘Resolution IX.1 Annex A. A Conceptual Framework for the wise use of wetlands and the maintenance of their ecological character.’</w:t>
          </w:r>
        </w:p>
        <w:p w14:paraId="6F2A5A83" w14:textId="77777777" w:rsidR="008C1AD8" w:rsidRDefault="008C1AD8" w:rsidP="008C1AD8">
          <w:pPr>
            <w:rPr>
              <w:rFonts w:eastAsia="Times New Roman"/>
            </w:rPr>
          </w:pPr>
          <w:r>
            <w:rPr>
              <w:rFonts w:eastAsia="Times New Roman"/>
            </w:rPr>
            <w:t xml:space="preserve">Ratio (2022) </w:t>
          </w:r>
          <w:r>
            <w:rPr>
              <w:rFonts w:eastAsia="Times New Roman"/>
              <w:i/>
              <w:iCs/>
            </w:rPr>
            <w:t>Geelong Residential Supply and Demand Assessment</w:t>
          </w:r>
          <w:r>
            <w:rPr>
              <w:rFonts w:eastAsia="Times New Roman"/>
            </w:rPr>
            <w:t>. Available at: https://ratio.com.au/geelong-residential-supply-and-demand-assessment/.</w:t>
          </w:r>
        </w:p>
        <w:p w14:paraId="46DF3BAA" w14:textId="77777777" w:rsidR="008C1AD8" w:rsidRDefault="008C1AD8" w:rsidP="008C1AD8">
          <w:pPr>
            <w:rPr>
              <w:rFonts w:eastAsia="Times New Roman"/>
            </w:rPr>
          </w:pPr>
          <w:r>
            <w:rPr>
              <w:rFonts w:eastAsia="Times New Roman"/>
            </w:rPr>
            <w:t>Regional Roads Victoria (2022) ‘Geelong Bacchus Marsh Road – Between Lara and Maddingley Safer Roads Infrastructure Project, Geelong, Victoria - Compliance Assessment Report Feb 2022’. Regional Roads Victoria (Department of Transport).</w:t>
          </w:r>
        </w:p>
        <w:p w14:paraId="7D00CE22" w14:textId="77777777" w:rsidR="008C1AD8" w:rsidRDefault="008C1AD8" w:rsidP="008C1AD8">
          <w:pPr>
            <w:rPr>
              <w:rFonts w:eastAsia="Times New Roman"/>
            </w:rPr>
          </w:pPr>
          <w:r>
            <w:rPr>
              <w:rFonts w:eastAsia="Times New Roman"/>
            </w:rPr>
            <w:t xml:space="preserve">Remplan (2022) </w:t>
          </w:r>
          <w:r>
            <w:rPr>
              <w:rFonts w:eastAsia="Times New Roman"/>
              <w:i/>
              <w:iCs/>
            </w:rPr>
            <w:t>Our Place - Our Community</w:t>
          </w:r>
          <w:r>
            <w:rPr>
              <w:rFonts w:eastAsia="Times New Roman"/>
            </w:rPr>
            <w:t>. Available at: https://app.remplan.com.au/geelong/community/summary?state=0V9yFwL9mSbQj1MIm0oWWzCktVtXVM (Accessed: 19 October 2022).</w:t>
          </w:r>
        </w:p>
        <w:p w14:paraId="22F0E557" w14:textId="77777777" w:rsidR="008C1AD8" w:rsidRDefault="008C1AD8" w:rsidP="008C1AD8">
          <w:pPr>
            <w:rPr>
              <w:rFonts w:eastAsia="Times New Roman"/>
            </w:rPr>
          </w:pPr>
          <w:r>
            <w:rPr>
              <w:rFonts w:eastAsia="Times New Roman"/>
            </w:rPr>
            <w:t>Rowe, D. (2021) ‘About Corayo: A Thematic History of Greater Geelong’. The City of Greater Geelong.</w:t>
          </w:r>
        </w:p>
        <w:p w14:paraId="0E9AFF2B" w14:textId="77777777" w:rsidR="008C1AD8" w:rsidRDefault="008C1AD8" w:rsidP="008C1AD8">
          <w:pPr>
            <w:rPr>
              <w:rFonts w:eastAsia="Times New Roman"/>
            </w:rPr>
          </w:pPr>
          <w:r>
            <w:rPr>
              <w:rFonts w:eastAsia="Times New Roman"/>
            </w:rPr>
            <w:t>Saddlier, S. and Hammer, M. (2010) ‘National Recovery Plan for the Yarra Pygmy Perch Nannoperca obscura’. Department of Sustainability and Environment.</w:t>
          </w:r>
        </w:p>
        <w:p w14:paraId="6B3BCFD0" w14:textId="77777777" w:rsidR="008C1AD8" w:rsidRDefault="008C1AD8" w:rsidP="008C1AD8">
          <w:pPr>
            <w:rPr>
              <w:rFonts w:eastAsia="Times New Roman"/>
            </w:rPr>
          </w:pPr>
          <w:r>
            <w:rPr>
              <w:rFonts w:eastAsia="Times New Roman"/>
            </w:rPr>
            <w:lastRenderedPageBreak/>
            <w:t>Saddlier, S., Jackson, J. and Hammer, M. (2010) ‘National Recovery Plan for the Dwarf Galaxias Galaxiella pusilla’. Department of Sustainability and Environment.</w:t>
          </w:r>
        </w:p>
        <w:p w14:paraId="70A04B6E" w14:textId="77777777" w:rsidR="008C1AD8" w:rsidRDefault="008C1AD8" w:rsidP="008C1AD8">
          <w:pPr>
            <w:rPr>
              <w:rFonts w:eastAsia="Times New Roman"/>
            </w:rPr>
          </w:pPr>
          <w:r>
            <w:rPr>
              <w:rFonts w:eastAsia="Times New Roman"/>
            </w:rPr>
            <w:t xml:space="preserve">Shahzad, H. </w:t>
          </w:r>
          <w:r>
            <w:rPr>
              <w:rFonts w:eastAsia="Times New Roman"/>
              <w:i/>
              <w:iCs/>
            </w:rPr>
            <w:t>et al.</w:t>
          </w:r>
          <w:r>
            <w:rPr>
              <w:rFonts w:eastAsia="Times New Roman"/>
            </w:rPr>
            <w:t xml:space="preserve"> (2022) ‘Characterizing the stormwater runoff quality and evaluating the performance of curbside infiltration systems to improve stormwater quality of an urban catchment’, </w:t>
          </w:r>
          <w:r>
            <w:rPr>
              <w:rFonts w:eastAsia="Times New Roman"/>
              <w:i/>
              <w:iCs/>
            </w:rPr>
            <w:t>Water (Switzerland)</w:t>
          </w:r>
          <w:r>
            <w:rPr>
              <w:rFonts w:eastAsia="Times New Roman"/>
            </w:rPr>
            <w:t>, 14(1). Available at: https://doi.org/10.3390/w14010014.</w:t>
          </w:r>
        </w:p>
        <w:p w14:paraId="507AB851" w14:textId="77777777" w:rsidR="008C1AD8" w:rsidRDefault="008C1AD8" w:rsidP="008C1AD8">
          <w:pPr>
            <w:rPr>
              <w:rFonts w:eastAsia="Times New Roman"/>
            </w:rPr>
          </w:pPr>
          <w:r>
            <w:rPr>
              <w:rFonts w:eastAsia="Times New Roman"/>
            </w:rPr>
            <w:t>SMEC (2019) ‘Geelong-Bacchus Marsh Road Upgrade Project , Victoria [EPBC 2017/8018] - Offset Management Strategy’. Prepared for VicRoads.</w:t>
          </w:r>
        </w:p>
        <w:p w14:paraId="0EFDD0EC" w14:textId="77777777" w:rsidR="008C1AD8" w:rsidRDefault="008C1AD8" w:rsidP="008C1AD8">
          <w:pPr>
            <w:rPr>
              <w:rFonts w:eastAsia="Times New Roman"/>
            </w:rPr>
          </w:pPr>
          <w:r>
            <w:rPr>
              <w:rFonts w:eastAsia="Times New Roman"/>
            </w:rPr>
            <w:t>Smith, W. and Robertson, P. (1999) ‘National Recovery Plan for the Striped Legless Lizard (Delma impar)’. NSW National Parks &amp; Wildlife Service.</w:t>
          </w:r>
        </w:p>
        <w:p w14:paraId="3A44AAE0" w14:textId="77777777" w:rsidR="008C1AD8" w:rsidRDefault="008C1AD8" w:rsidP="008C1AD8">
          <w:pPr>
            <w:rPr>
              <w:rFonts w:eastAsia="Times New Roman"/>
            </w:rPr>
          </w:pPr>
          <w:r>
            <w:rPr>
              <w:rFonts w:eastAsia="Times New Roman"/>
            </w:rPr>
            <w:t>SWIFFT (2022a) ‘Golden Sun Moth’. State Wide Integrated Flora and Fauna Teams.</w:t>
          </w:r>
        </w:p>
        <w:p w14:paraId="775C359A" w14:textId="77777777" w:rsidR="008C1AD8" w:rsidRDefault="008C1AD8" w:rsidP="008C1AD8">
          <w:pPr>
            <w:rPr>
              <w:rFonts w:eastAsia="Times New Roman"/>
            </w:rPr>
          </w:pPr>
          <w:r>
            <w:rPr>
              <w:rFonts w:eastAsia="Times New Roman"/>
            </w:rPr>
            <w:t>SWIFFT (2022b) ‘Spiny Rice-flower’. State Wide Integrated Flora and Fauna Teams.</w:t>
          </w:r>
        </w:p>
        <w:p w14:paraId="27815A2B" w14:textId="77777777" w:rsidR="008C1AD8" w:rsidRDefault="008C1AD8" w:rsidP="008C1AD8">
          <w:pPr>
            <w:rPr>
              <w:rFonts w:eastAsia="Times New Roman"/>
            </w:rPr>
          </w:pPr>
          <w:r>
            <w:rPr>
              <w:rFonts w:eastAsia="Times New Roman"/>
            </w:rPr>
            <w:t>The Breamlea Association (2016) ‘Breamlea Fauna and Flora’.</w:t>
          </w:r>
        </w:p>
        <w:p w14:paraId="286CFBD0" w14:textId="77777777" w:rsidR="008C1AD8" w:rsidRDefault="008C1AD8" w:rsidP="008C1AD8">
          <w:pPr>
            <w:rPr>
              <w:rFonts w:eastAsia="Times New Roman"/>
            </w:rPr>
          </w:pPr>
          <w:r>
            <w:rPr>
              <w:rFonts w:eastAsia="Times New Roman"/>
            </w:rPr>
            <w:t>The City of Greater Geelong (2016) ‘catchments-city-of-greater-geelong’. https://www.geelongdataexchange.com.au/explore/dataset/catchments-city-of-greater-geelong/information/.</w:t>
          </w:r>
        </w:p>
        <w:p w14:paraId="78052C62" w14:textId="77777777" w:rsidR="008C1AD8" w:rsidRDefault="008C1AD8" w:rsidP="008C1AD8">
          <w:pPr>
            <w:rPr>
              <w:rFonts w:eastAsia="Times New Roman"/>
            </w:rPr>
          </w:pPr>
          <w:r>
            <w:rPr>
              <w:rFonts w:eastAsia="Times New Roman"/>
            </w:rPr>
            <w:t>The City of Greater Geelong (2018) ‘Municipal emergency management plan’.</w:t>
          </w:r>
        </w:p>
        <w:p w14:paraId="798492ED" w14:textId="77777777" w:rsidR="008C1AD8" w:rsidRDefault="008C1AD8" w:rsidP="008C1AD8">
          <w:pPr>
            <w:rPr>
              <w:rFonts w:eastAsia="Times New Roman"/>
            </w:rPr>
          </w:pPr>
          <w:r>
            <w:rPr>
              <w:rFonts w:eastAsia="Times New Roman"/>
            </w:rPr>
            <w:t>The City of Greater Geelong (2020) ‘Environment Strategy 2020–30’.</w:t>
          </w:r>
        </w:p>
        <w:p w14:paraId="6E057A84" w14:textId="77777777" w:rsidR="008C1AD8" w:rsidRDefault="008C1AD8" w:rsidP="008C1AD8">
          <w:pPr>
            <w:rPr>
              <w:rFonts w:eastAsia="Times New Roman"/>
            </w:rPr>
          </w:pPr>
          <w:r>
            <w:rPr>
              <w:rFonts w:eastAsia="Times New Roman"/>
            </w:rPr>
            <w:t>The City of Greater Geelong (2021a) ‘Our Community Plan’.</w:t>
          </w:r>
        </w:p>
        <w:p w14:paraId="633A13DC" w14:textId="77777777" w:rsidR="008C1AD8" w:rsidRDefault="008C1AD8" w:rsidP="008C1AD8">
          <w:pPr>
            <w:rPr>
              <w:rFonts w:eastAsia="Times New Roman"/>
            </w:rPr>
          </w:pPr>
          <w:r>
            <w:rPr>
              <w:rFonts w:eastAsia="Times New Roman"/>
            </w:rPr>
            <w:t>The City of Greater Geelong (2021b) ‘The northern and western geelong growth areas framework plan.’</w:t>
          </w:r>
        </w:p>
        <w:p w14:paraId="4618CD24" w14:textId="77777777" w:rsidR="008C1AD8" w:rsidRDefault="008C1AD8" w:rsidP="008C1AD8">
          <w:pPr>
            <w:rPr>
              <w:rFonts w:eastAsia="Times New Roman"/>
            </w:rPr>
          </w:pPr>
          <w:r>
            <w:rPr>
              <w:rFonts w:eastAsia="Times New Roman"/>
            </w:rPr>
            <w:t xml:space="preserve">The City of Greater Geelong (2022a) </w:t>
          </w:r>
          <w:r>
            <w:rPr>
              <w:rFonts w:eastAsia="Times New Roman"/>
              <w:i/>
              <w:iCs/>
            </w:rPr>
            <w:t>A clever and creative future</w:t>
          </w:r>
          <w:r>
            <w:rPr>
              <w:rFonts w:eastAsia="Times New Roman"/>
            </w:rPr>
            <w:t>. Available at: https://www.geelongaustralia.com.au/clevercreative/default.aspx (Accessed: 2 November 2022).</w:t>
          </w:r>
        </w:p>
        <w:p w14:paraId="4082BF56" w14:textId="77777777" w:rsidR="008C1AD8" w:rsidRDefault="008C1AD8" w:rsidP="008C1AD8">
          <w:pPr>
            <w:rPr>
              <w:rFonts w:eastAsia="Times New Roman"/>
            </w:rPr>
          </w:pPr>
          <w:r>
            <w:rPr>
              <w:rFonts w:eastAsia="Times New Roman"/>
            </w:rPr>
            <w:t xml:space="preserve">The City of Greater Geelong (2022b) </w:t>
          </w:r>
          <w:r>
            <w:rPr>
              <w:rFonts w:eastAsia="Times New Roman"/>
              <w:i/>
              <w:iCs/>
            </w:rPr>
            <w:t>Community profile</w:t>
          </w:r>
          <w:r>
            <w:rPr>
              <w:rFonts w:eastAsia="Times New Roman"/>
            </w:rPr>
            <w:t>. Available at: https://www.geelongaustralia.com.au/geelong/article/item/8d4ada1a54c1202.aspx (Accessed: 20 October 2022).</w:t>
          </w:r>
        </w:p>
        <w:p w14:paraId="72F3173D" w14:textId="77777777" w:rsidR="008C1AD8" w:rsidRDefault="008C1AD8" w:rsidP="008C1AD8">
          <w:pPr>
            <w:rPr>
              <w:rFonts w:eastAsia="Times New Roman"/>
            </w:rPr>
          </w:pPr>
          <w:r>
            <w:rPr>
              <w:rFonts w:eastAsia="Times New Roman"/>
            </w:rPr>
            <w:t>The City of Greater Geelong (2022c) ‘Domestic animal management plan 2022-2025’.</w:t>
          </w:r>
        </w:p>
        <w:p w14:paraId="72CF668F" w14:textId="77777777" w:rsidR="008C1AD8" w:rsidRDefault="008C1AD8" w:rsidP="008C1AD8">
          <w:pPr>
            <w:rPr>
              <w:rFonts w:eastAsia="Times New Roman"/>
            </w:rPr>
          </w:pPr>
          <w:r>
            <w:rPr>
              <w:rFonts w:eastAsia="Times New Roman"/>
            </w:rPr>
            <w:t xml:space="preserve">The City of Greater Geelong (2022d) </w:t>
          </w:r>
          <w:r>
            <w:rPr>
              <w:rFonts w:eastAsia="Times New Roman"/>
              <w:i/>
              <w:iCs/>
            </w:rPr>
            <w:t>Employment and economy</w:t>
          </w:r>
          <w:r>
            <w:rPr>
              <w:rFonts w:eastAsia="Times New Roman"/>
            </w:rPr>
            <w:t>.</w:t>
          </w:r>
        </w:p>
        <w:p w14:paraId="199E6F44" w14:textId="77777777" w:rsidR="008C1AD8" w:rsidRDefault="008C1AD8" w:rsidP="008C1AD8">
          <w:pPr>
            <w:rPr>
              <w:rFonts w:eastAsia="Times New Roman"/>
            </w:rPr>
          </w:pPr>
          <w:r>
            <w:rPr>
              <w:rFonts w:eastAsia="Times New Roman"/>
            </w:rPr>
            <w:t xml:space="preserve">The City of Greater Geelong (2022e) </w:t>
          </w:r>
          <w:r>
            <w:rPr>
              <w:rFonts w:eastAsia="Times New Roman"/>
              <w:i/>
              <w:iCs/>
            </w:rPr>
            <w:t>Risks and Hazards for Geelong</w:t>
          </w:r>
          <w:r>
            <w:rPr>
              <w:rFonts w:eastAsia="Times New Roman"/>
            </w:rPr>
            <w:t>.</w:t>
          </w:r>
        </w:p>
        <w:p w14:paraId="6E1F4C28" w14:textId="77777777" w:rsidR="008C1AD8" w:rsidRDefault="008C1AD8" w:rsidP="008C1AD8">
          <w:pPr>
            <w:rPr>
              <w:rFonts w:eastAsia="Times New Roman"/>
            </w:rPr>
          </w:pPr>
          <w:r>
            <w:rPr>
              <w:rFonts w:eastAsia="Times New Roman"/>
            </w:rPr>
            <w:t>TSSC (2003) ‘Commonwealth Listing Advice on Pimelea spinescens subsp. spinescens (Plains Rice-flower, Spiny Rice-flower, Prickly Pimelea)’. Threatened Species Scientific Committee.</w:t>
          </w:r>
        </w:p>
        <w:p w14:paraId="41B98D2C" w14:textId="77777777" w:rsidR="008C1AD8" w:rsidRDefault="008C1AD8" w:rsidP="008C1AD8">
          <w:pPr>
            <w:rPr>
              <w:rFonts w:eastAsia="Times New Roman"/>
            </w:rPr>
          </w:pPr>
          <w:r>
            <w:rPr>
              <w:rFonts w:eastAsia="Times New Roman"/>
            </w:rPr>
            <w:t>TSSC (2008) ‘Commonwealth Listing Advice on Natural Temperate Grassland of the Victorian Volcanic Plain’. Threatened Species Scientific Committee.</w:t>
          </w:r>
        </w:p>
        <w:p w14:paraId="0669A761" w14:textId="77777777" w:rsidR="008C1AD8" w:rsidRDefault="008C1AD8" w:rsidP="008C1AD8">
          <w:pPr>
            <w:rPr>
              <w:rFonts w:eastAsia="Times New Roman"/>
            </w:rPr>
          </w:pPr>
          <w:r>
            <w:rPr>
              <w:rFonts w:eastAsia="Times New Roman"/>
            </w:rPr>
            <w:t>TSSC (2016a) ‘Conservation Advice Delma impar striped legless lizard’. Department of Environment and Energy.</w:t>
          </w:r>
        </w:p>
        <w:p w14:paraId="1E46F847" w14:textId="77777777" w:rsidR="008C1AD8" w:rsidRDefault="008C1AD8" w:rsidP="008C1AD8">
          <w:pPr>
            <w:rPr>
              <w:rFonts w:eastAsia="Times New Roman"/>
            </w:rPr>
          </w:pPr>
          <w:r>
            <w:rPr>
              <w:rFonts w:eastAsia="Times New Roman"/>
            </w:rPr>
            <w:t>TSSC (2016b) ‘Conservation Advice Pimelea spinescens subsp. spinescens’. Department of the Environment and Energy.</w:t>
          </w:r>
        </w:p>
        <w:p w14:paraId="23AF6C93" w14:textId="77777777" w:rsidR="008C1AD8" w:rsidRDefault="008C1AD8" w:rsidP="008C1AD8">
          <w:pPr>
            <w:rPr>
              <w:rFonts w:eastAsia="Times New Roman"/>
            </w:rPr>
          </w:pPr>
          <w:r>
            <w:rPr>
              <w:rFonts w:eastAsia="Times New Roman"/>
            </w:rPr>
            <w:t>TSSC (2016c) ‘Limosa lapponica baueri (bar-tailed godwit (western Alaskan)) Conservation Advice’, (May), p. 15.</w:t>
          </w:r>
        </w:p>
        <w:p w14:paraId="1BE50066" w14:textId="77777777" w:rsidR="008C1AD8" w:rsidRDefault="008C1AD8" w:rsidP="008C1AD8">
          <w:pPr>
            <w:rPr>
              <w:rFonts w:eastAsia="Times New Roman"/>
            </w:rPr>
          </w:pPr>
          <w:r>
            <w:rPr>
              <w:rFonts w:eastAsia="Times New Roman"/>
            </w:rPr>
            <w:t>TSSC (2021) ‘Conservation Advice Prototroctes maraena Australian Grayling’. Department of Agriculture, Water and the Environment.</w:t>
          </w:r>
        </w:p>
        <w:p w14:paraId="3B4CF6FD" w14:textId="77777777" w:rsidR="008C1AD8" w:rsidRDefault="008C1AD8" w:rsidP="008C1AD8">
          <w:pPr>
            <w:rPr>
              <w:rFonts w:eastAsia="Times New Roman"/>
            </w:rPr>
          </w:pPr>
          <w:r>
            <w:rPr>
              <w:rFonts w:eastAsia="Times New Roman"/>
            </w:rPr>
            <w:t>US EPA (2022) ‘Urbanization - Hydrology’.</w:t>
          </w:r>
        </w:p>
        <w:p w14:paraId="12AC08A7" w14:textId="77777777" w:rsidR="008C1AD8" w:rsidRDefault="008C1AD8" w:rsidP="008C1AD8">
          <w:pPr>
            <w:rPr>
              <w:rFonts w:eastAsia="Times New Roman"/>
            </w:rPr>
          </w:pPr>
          <w:r>
            <w:rPr>
              <w:rFonts w:eastAsia="Times New Roman"/>
            </w:rPr>
            <w:t xml:space="preserve">Vanclay, F. </w:t>
          </w:r>
          <w:r>
            <w:rPr>
              <w:rFonts w:eastAsia="Times New Roman"/>
              <w:i/>
              <w:iCs/>
            </w:rPr>
            <w:t>et al.</w:t>
          </w:r>
          <w:r>
            <w:rPr>
              <w:rFonts w:eastAsia="Times New Roman"/>
            </w:rPr>
            <w:t xml:space="preserve"> (2015) ‘Social Impact Assessment: Guidance for Assessing and Managing the Social Impacts of Projects’. International Association for Impact Assessment.</w:t>
          </w:r>
        </w:p>
        <w:p w14:paraId="6CD49FBE" w14:textId="77777777" w:rsidR="008C1AD8" w:rsidRDefault="008C1AD8" w:rsidP="008C1AD8">
          <w:pPr>
            <w:rPr>
              <w:rFonts w:eastAsia="Times New Roman"/>
            </w:rPr>
          </w:pPr>
          <w:r>
            <w:rPr>
              <w:rFonts w:eastAsia="Times New Roman"/>
            </w:rPr>
            <w:t>Victoria State Government (2017) ‘Plan Melbourne 2017-2050’.</w:t>
          </w:r>
        </w:p>
        <w:p w14:paraId="34013B41" w14:textId="77777777" w:rsidR="008C1AD8" w:rsidRDefault="008C1AD8" w:rsidP="008C1AD8">
          <w:pPr>
            <w:rPr>
              <w:rFonts w:eastAsia="Times New Roman"/>
            </w:rPr>
          </w:pPr>
          <w:r>
            <w:rPr>
              <w:rFonts w:eastAsia="Times New Roman"/>
            </w:rPr>
            <w:lastRenderedPageBreak/>
            <w:t>Victorian Planning Authority (2021) ‘Precinct Structure Planning Guidelines: New Communities in Victoria’.</w:t>
          </w:r>
        </w:p>
        <w:p w14:paraId="2E4AF06D" w14:textId="77777777" w:rsidR="008C1AD8" w:rsidRDefault="008C1AD8" w:rsidP="008C1AD8">
          <w:pPr>
            <w:rPr>
              <w:rFonts w:eastAsia="Times New Roman"/>
            </w:rPr>
          </w:pPr>
          <w:r>
            <w:rPr>
              <w:rFonts w:eastAsia="Times New Roman"/>
            </w:rPr>
            <w:t>Visit Victoria (2022) ‘History and heritage’. Victoria State Government.</w:t>
          </w:r>
        </w:p>
        <w:p w14:paraId="0BF647D6" w14:textId="77777777" w:rsidR="008C1AD8" w:rsidRDefault="008C1AD8" w:rsidP="008C1AD8">
          <w:pPr>
            <w:rPr>
              <w:rFonts w:eastAsia="Times New Roman"/>
            </w:rPr>
          </w:pPr>
          <w:r>
            <w:rPr>
              <w:rFonts w:eastAsia="Times New Roman"/>
            </w:rPr>
            <w:t xml:space="preserve">Vranjic, J. (2008) ‘Natural Temperate Grassland of the Victorian Volcanic Plain: A Nationally Threatened Ecological Community’, </w:t>
          </w:r>
          <w:r>
            <w:rPr>
              <w:rFonts w:eastAsia="Times New Roman"/>
              <w:i/>
              <w:iCs/>
            </w:rPr>
            <w:t>Australasian Plant Conservation: Journal of the Australian Network for Plant Conservation</w:t>
          </w:r>
          <w:r>
            <w:rPr>
              <w:rFonts w:eastAsia="Times New Roman"/>
            </w:rPr>
            <w:t>, 17(2), pp. 42–43. Available at: https://doi.org/10.3316/informit.890724278584362.</w:t>
          </w:r>
        </w:p>
        <w:p w14:paraId="022EA61A" w14:textId="77777777" w:rsidR="008C1AD8" w:rsidRDefault="008C1AD8" w:rsidP="008C1AD8">
          <w:pPr>
            <w:rPr>
              <w:rFonts w:eastAsia="Times New Roman"/>
            </w:rPr>
          </w:pPr>
          <w:r>
            <w:rPr>
              <w:rFonts w:eastAsia="Times New Roman"/>
            </w:rPr>
            <w:t>Wadawurrung Traditional Owners Aboriginal Corporation (2020) ‘Paleert Tjaara Dja - let’s make Country good together 2020 - 2030 - Wadawurrung Country Plan’.</w:t>
          </w:r>
        </w:p>
        <w:p w14:paraId="52A6E040" w14:textId="77777777" w:rsidR="008C1AD8" w:rsidRDefault="008C1AD8" w:rsidP="008C1AD8">
          <w:pPr>
            <w:rPr>
              <w:rFonts w:eastAsia="Times New Roman"/>
            </w:rPr>
          </w:pPr>
          <w:r>
            <w:rPr>
              <w:rFonts w:eastAsia="Times New Roman"/>
            </w:rPr>
            <w:t xml:space="preserve">Weller, D. </w:t>
          </w:r>
          <w:r>
            <w:rPr>
              <w:rFonts w:eastAsia="Times New Roman"/>
              <w:i/>
              <w:iCs/>
            </w:rPr>
            <w:t>et al.</w:t>
          </w:r>
          <w:r>
            <w:rPr>
              <w:rFonts w:eastAsia="Times New Roman"/>
            </w:rPr>
            <w:t xml:space="preserve"> (2020) ‘Australian National Directory of Important Migratory Shorebird Habitat’. Prepared for the Department of Agriculture, Water and the Environment by Birdlife Australia.</w:t>
          </w:r>
        </w:p>
        <w:p w14:paraId="66F5E8EB" w14:textId="77777777" w:rsidR="008C1AD8" w:rsidRDefault="008C1AD8" w:rsidP="008C1AD8">
          <w:r>
            <w:rPr>
              <w:rFonts w:eastAsia="Times New Roman"/>
            </w:rPr>
            <w:t> </w:t>
          </w:r>
        </w:p>
      </w:sdtContent>
    </w:sdt>
    <w:p w14:paraId="5F0793BB" w14:textId="77777777" w:rsidR="008C1AD8" w:rsidRDefault="008C1AD8"/>
    <w:p w14:paraId="6C60228C" w14:textId="77777777" w:rsidR="008C1AD8" w:rsidRDefault="008C1AD8"/>
    <w:p w14:paraId="2749D896" w14:textId="77777777" w:rsidR="00820819" w:rsidRDefault="00820819">
      <w:pPr>
        <w:sectPr w:rsidR="00820819" w:rsidSect="00417E97">
          <w:headerReference w:type="default" r:id="rId108"/>
          <w:footerReference w:type="default" r:id="rId109"/>
          <w:pgSz w:w="11900" w:h="16840"/>
          <w:pgMar w:top="1247" w:right="1134" w:bottom="1247" w:left="1134" w:header="708" w:footer="708" w:gutter="0"/>
          <w:pgNumType w:fmt="upperLetter" w:start="1"/>
          <w:cols w:space="708"/>
          <w:docGrid w:linePitch="360"/>
        </w:sectPr>
      </w:pPr>
    </w:p>
    <w:p w14:paraId="3FD19F41" w14:textId="77777777" w:rsidR="000B173B" w:rsidRDefault="000B173B" w:rsidP="000B173B">
      <w:pPr>
        <w:jc w:val="center"/>
      </w:pPr>
      <w:r w:rsidRPr="002B70F0">
        <w:rPr>
          <w:noProof/>
          <w:lang w:val="en-US" w:eastAsia="en-US"/>
        </w:rPr>
        <w:lastRenderedPageBreak/>
        <w:drawing>
          <wp:anchor distT="0" distB="0" distL="114300" distR="114300" simplePos="0" relativeHeight="251670528" behindDoc="1" locked="0" layoutInCell="1" allowOverlap="1" wp14:anchorId="3DA67296" wp14:editId="3586B3B1">
            <wp:simplePos x="0" y="0"/>
            <wp:positionH relativeFrom="margin">
              <wp:posOffset>346075</wp:posOffset>
            </wp:positionH>
            <wp:positionV relativeFrom="paragraph">
              <wp:posOffset>-89011</wp:posOffset>
            </wp:positionV>
            <wp:extent cx="2091690" cy="479536"/>
            <wp:effectExtent l="0" t="0" r="0" b="3175"/>
            <wp:wrapNone/>
            <wp:docPr id="655475515" name="Picture 655475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is-logo-rgb-pos-sml.png"/>
                    <pic:cNvPicPr/>
                  </pic:nvPicPr>
                  <pic:blipFill>
                    <a:blip r:embed="rId8" cstate="screen">
                      <a:extLst>
                        <a:ext uri="{28A0092B-C50C-407E-A947-70E740481C1C}">
                          <a14:useLocalDpi xmlns:a14="http://schemas.microsoft.com/office/drawing/2010/main"/>
                        </a:ext>
                      </a:extLst>
                    </a:blip>
                    <a:stretch>
                      <a:fillRect/>
                    </a:stretch>
                  </pic:blipFill>
                  <pic:spPr>
                    <a:xfrm>
                      <a:off x="0" y="0"/>
                      <a:ext cx="2091690" cy="479536"/>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1" locked="0" layoutInCell="1" allowOverlap="1" wp14:anchorId="0BA866EB" wp14:editId="56810223">
            <wp:simplePos x="0" y="0"/>
            <wp:positionH relativeFrom="column">
              <wp:posOffset>-11878</wp:posOffset>
            </wp:positionH>
            <wp:positionV relativeFrom="paragraph">
              <wp:posOffset>-615017</wp:posOffset>
            </wp:positionV>
            <wp:extent cx="7606665" cy="10744200"/>
            <wp:effectExtent l="0" t="0" r="0" b="0"/>
            <wp:wrapNone/>
            <wp:docPr id="1318637366" name="Picture 1318637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report-cover"/>
                    <pic:cNvPicPr>
                      <a:picLocks/>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7606665"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76145" w14:textId="77777777" w:rsidR="000B173B" w:rsidRDefault="000B173B" w:rsidP="000B173B"/>
    <w:p w14:paraId="4CBB7A0B" w14:textId="77777777" w:rsidR="000B173B" w:rsidRDefault="000B173B" w:rsidP="000B173B"/>
    <w:p w14:paraId="4F45DA00" w14:textId="77777777" w:rsidR="000B173B" w:rsidRPr="003F36B6" w:rsidRDefault="000B173B" w:rsidP="000B173B">
      <w:pPr>
        <w:pStyle w:val="Reportdateclient"/>
      </w:pPr>
      <w:r>
        <w:t>MAY 2023</w:t>
      </w:r>
    </w:p>
    <w:p w14:paraId="45C92251" w14:textId="77777777" w:rsidR="000B173B" w:rsidRPr="00362323" w:rsidRDefault="000B173B" w:rsidP="000B173B"/>
    <w:p w14:paraId="503661FB" w14:textId="77777777" w:rsidR="000B173B" w:rsidRPr="00362323" w:rsidRDefault="000B173B" w:rsidP="000B173B"/>
    <w:p w14:paraId="5159AAE1" w14:textId="77777777" w:rsidR="000B173B" w:rsidRPr="00DA74E6" w:rsidRDefault="000B173B" w:rsidP="000B173B">
      <w:pPr>
        <w:pStyle w:val="Reporttitle"/>
      </w:pPr>
      <w:r>
        <w:t>DRAFT NWGGA STRATEGIC ASSESSMENT REPORT</w:t>
      </w:r>
    </w:p>
    <w:p w14:paraId="77FD6BA0" w14:textId="77777777" w:rsidR="000B173B" w:rsidRDefault="000B173B" w:rsidP="000B173B">
      <w:pPr>
        <w:pStyle w:val="Reporttitle2"/>
      </w:pPr>
      <w:r>
        <w:t>PUBLIC EXHIBITION VERSION</w:t>
      </w:r>
    </w:p>
    <w:p w14:paraId="5016DCEC" w14:textId="77777777" w:rsidR="000B173B" w:rsidRDefault="000B173B" w:rsidP="000B173B">
      <w:pPr>
        <w:pStyle w:val="Reporttitle2"/>
      </w:pPr>
    </w:p>
    <w:p w14:paraId="1826370F" w14:textId="77777777" w:rsidR="000B173B" w:rsidRDefault="000B173B" w:rsidP="000B173B">
      <w:pPr>
        <w:pStyle w:val="Reporttitle2"/>
        <w:rPr>
          <w:sz w:val="36"/>
          <w:szCs w:val="36"/>
        </w:rPr>
      </w:pPr>
      <w:r w:rsidRPr="006A4E18">
        <w:rPr>
          <w:sz w:val="36"/>
          <w:szCs w:val="36"/>
        </w:rPr>
        <w:t>PART 4: IMPACT ASSESSMENT</w:t>
      </w:r>
    </w:p>
    <w:p w14:paraId="0D1AEE74" w14:textId="77777777" w:rsidR="000B173B" w:rsidRDefault="000B173B" w:rsidP="000B173B">
      <w:pPr>
        <w:pStyle w:val="Reporttitle2"/>
        <w:rPr>
          <w:szCs w:val="24"/>
        </w:rPr>
      </w:pPr>
      <w:r>
        <w:rPr>
          <w:szCs w:val="24"/>
        </w:rPr>
        <w:t xml:space="preserve">ATTACHMENT A - </w:t>
      </w:r>
      <w:r w:rsidRPr="000F624C">
        <w:rPr>
          <w:szCs w:val="24"/>
        </w:rPr>
        <w:t>DETAILED CATEGORISATION AND PRELIMINARY ASSESSMENT FOR PROTECTED MATTERS</w:t>
      </w:r>
    </w:p>
    <w:p w14:paraId="5D3A8DDD" w14:textId="77777777" w:rsidR="000B173B" w:rsidRDefault="000B173B" w:rsidP="000B173B">
      <w:pPr>
        <w:pStyle w:val="Reporttitle2"/>
        <w:rPr>
          <w:szCs w:val="24"/>
        </w:rPr>
      </w:pPr>
      <w:r>
        <w:rPr>
          <w:szCs w:val="24"/>
        </w:rPr>
        <w:t xml:space="preserve">ATTACHMENT B - </w:t>
      </w:r>
      <w:r w:rsidRPr="006A4E18">
        <w:rPr>
          <w:szCs w:val="24"/>
        </w:rPr>
        <w:t>BACKGROUND INFORMATION FOR THE COMBINED FAUNA ASSESSMENT: BIRDS</w:t>
      </w:r>
    </w:p>
    <w:p w14:paraId="2A613A31" w14:textId="77777777" w:rsidR="000B173B" w:rsidRDefault="000B173B" w:rsidP="000B173B">
      <w:pPr>
        <w:pStyle w:val="Reporttitle2"/>
        <w:rPr>
          <w:szCs w:val="24"/>
        </w:rPr>
      </w:pPr>
      <w:r>
        <w:rPr>
          <w:szCs w:val="24"/>
        </w:rPr>
        <w:t xml:space="preserve">ATTACHMENT C - </w:t>
      </w:r>
      <w:r w:rsidRPr="006A4E18">
        <w:rPr>
          <w:szCs w:val="24"/>
        </w:rPr>
        <w:t>BACKGROUND INFORMATION FOR THE COMBINED FAUNA ASSESSMENT: FISH</w:t>
      </w:r>
      <w:r>
        <w:rPr>
          <w:szCs w:val="24"/>
        </w:rPr>
        <w:t xml:space="preserve"> </w:t>
      </w:r>
    </w:p>
    <w:p w14:paraId="6F023AA5" w14:textId="77777777" w:rsidR="000B173B" w:rsidRPr="00B70E4C" w:rsidRDefault="000B173B" w:rsidP="000B173B">
      <w:pPr>
        <w:pStyle w:val="Reporttitle2"/>
        <w:rPr>
          <w:szCs w:val="24"/>
        </w:rPr>
      </w:pPr>
    </w:p>
    <w:p w14:paraId="4390CBC5" w14:textId="77777777" w:rsidR="000B173B" w:rsidRPr="00DA74E6" w:rsidRDefault="000B173B" w:rsidP="000B173B"/>
    <w:p w14:paraId="24E619C3" w14:textId="77777777" w:rsidR="000B173B" w:rsidRPr="00DA74E6" w:rsidRDefault="000B173B" w:rsidP="000B173B"/>
    <w:p w14:paraId="2A771579" w14:textId="77777777" w:rsidR="000B173B" w:rsidRPr="00DA74E6" w:rsidRDefault="000B173B" w:rsidP="000B173B"/>
    <w:p w14:paraId="357F8F4F" w14:textId="77777777" w:rsidR="000B173B" w:rsidRPr="00DA74E6" w:rsidRDefault="000B173B" w:rsidP="000B173B"/>
    <w:p w14:paraId="79A9A70F" w14:textId="77777777" w:rsidR="000B173B" w:rsidRDefault="000B173B" w:rsidP="000B173B"/>
    <w:p w14:paraId="7C7AD0B9" w14:textId="77777777" w:rsidR="000B173B" w:rsidRDefault="000B173B" w:rsidP="000B173B"/>
    <w:p w14:paraId="0EA6472A" w14:textId="77777777" w:rsidR="000B173B" w:rsidRDefault="000B173B" w:rsidP="000B173B"/>
    <w:p w14:paraId="1C04D6C6" w14:textId="77777777" w:rsidR="000B173B" w:rsidRDefault="000B173B" w:rsidP="000B173B"/>
    <w:p w14:paraId="00B02C78" w14:textId="77777777" w:rsidR="000B173B" w:rsidRDefault="000B173B" w:rsidP="000B173B"/>
    <w:p w14:paraId="01A6B676" w14:textId="77777777" w:rsidR="000B173B" w:rsidRDefault="000B173B" w:rsidP="000B173B"/>
    <w:p w14:paraId="73B28F8D" w14:textId="77777777" w:rsidR="000B173B" w:rsidRDefault="000B173B" w:rsidP="000B173B"/>
    <w:p w14:paraId="243A12E3" w14:textId="77777777" w:rsidR="000B173B" w:rsidRDefault="000B173B" w:rsidP="000B173B"/>
    <w:p w14:paraId="62F366F4" w14:textId="77777777" w:rsidR="000B173B" w:rsidRDefault="000B173B" w:rsidP="000B173B">
      <w:pPr>
        <w:pStyle w:val="Reportdateclient"/>
      </w:pPr>
      <w:r w:rsidRPr="003F36B6">
        <w:t>PREPARED FOR</w:t>
      </w:r>
      <w:r>
        <w:t xml:space="preserve"> THE CITY OF GREATER GEELONG</w:t>
      </w:r>
    </w:p>
    <w:p w14:paraId="2EC18C56" w14:textId="77777777" w:rsidR="000B173B" w:rsidRDefault="000B173B" w:rsidP="000B173B">
      <w:pPr>
        <w:pStyle w:val="Reportdateclient"/>
      </w:pPr>
    </w:p>
    <w:p w14:paraId="52319615" w14:textId="77777777" w:rsidR="000B173B" w:rsidRDefault="000B173B" w:rsidP="000B173B">
      <w:pPr>
        <w:sectPr w:rsidR="000B173B" w:rsidSect="009E1D0C">
          <w:headerReference w:type="even" r:id="rId110"/>
          <w:headerReference w:type="default" r:id="rId111"/>
          <w:footerReference w:type="default" r:id="rId112"/>
          <w:headerReference w:type="first" r:id="rId113"/>
          <w:pgSz w:w="11900" w:h="16840"/>
          <w:pgMar w:top="0" w:right="0" w:bottom="0" w:left="0" w:header="709" w:footer="709" w:gutter="0"/>
          <w:cols w:space="708"/>
          <w:titlePg/>
          <w:docGrid w:linePitch="360"/>
        </w:sectPr>
      </w:pPr>
    </w:p>
    <w:p w14:paraId="53579179" w14:textId="77777777" w:rsidR="000B173B" w:rsidRDefault="000B173B" w:rsidP="000B173B">
      <w:pPr>
        <w:pStyle w:val="Documenttracking"/>
        <w:spacing w:before="120" w:after="120"/>
      </w:pPr>
    </w:p>
    <w:p w14:paraId="6174B3BC" w14:textId="77777777" w:rsidR="000B173B" w:rsidRDefault="000B173B" w:rsidP="000B173B">
      <w:pPr>
        <w:pStyle w:val="Documenttracking"/>
        <w:spacing w:before="120" w:after="120"/>
      </w:pPr>
    </w:p>
    <w:p w14:paraId="552018E6" w14:textId="77777777" w:rsidR="000B173B" w:rsidRDefault="000B173B" w:rsidP="000B173B">
      <w:pPr>
        <w:pStyle w:val="Documenttracking"/>
        <w:spacing w:before="120" w:after="120"/>
      </w:pPr>
    </w:p>
    <w:p w14:paraId="4B681515" w14:textId="77777777" w:rsidR="000B173B" w:rsidRDefault="000B173B" w:rsidP="000B173B">
      <w:pPr>
        <w:pStyle w:val="Documenttracking"/>
        <w:spacing w:before="120" w:after="120"/>
      </w:pPr>
    </w:p>
    <w:p w14:paraId="72FDA530" w14:textId="77777777" w:rsidR="000B173B" w:rsidRDefault="000B173B" w:rsidP="000B173B">
      <w:pPr>
        <w:pStyle w:val="Documenttracking"/>
        <w:spacing w:before="120" w:after="120"/>
      </w:pPr>
    </w:p>
    <w:p w14:paraId="07B7051F" w14:textId="77777777" w:rsidR="000B173B" w:rsidRDefault="000B173B" w:rsidP="000B173B">
      <w:pPr>
        <w:pStyle w:val="Documenttracking"/>
        <w:spacing w:before="120" w:after="120"/>
      </w:pPr>
    </w:p>
    <w:p w14:paraId="134C3248" w14:textId="77777777" w:rsidR="000B173B" w:rsidRDefault="000B173B" w:rsidP="000B173B">
      <w:pPr>
        <w:pStyle w:val="Documenttracking"/>
        <w:spacing w:before="120" w:after="120"/>
      </w:pPr>
    </w:p>
    <w:p w14:paraId="6D31BA96" w14:textId="77777777" w:rsidR="000B173B" w:rsidRDefault="000B173B" w:rsidP="000B173B">
      <w:pPr>
        <w:pStyle w:val="Documenttracking"/>
        <w:spacing w:before="120" w:after="120"/>
      </w:pPr>
    </w:p>
    <w:p w14:paraId="27D002CE" w14:textId="77777777" w:rsidR="000B173B" w:rsidRDefault="000B173B" w:rsidP="000B173B">
      <w:pPr>
        <w:pStyle w:val="Documenttracking"/>
        <w:spacing w:before="120" w:after="120"/>
      </w:pPr>
    </w:p>
    <w:p w14:paraId="72086B7B" w14:textId="77777777" w:rsidR="000B173B" w:rsidRDefault="000B173B" w:rsidP="000B173B">
      <w:pPr>
        <w:pStyle w:val="Documenttracking"/>
        <w:spacing w:before="120" w:after="120"/>
      </w:pPr>
    </w:p>
    <w:p w14:paraId="481034EF" w14:textId="77777777" w:rsidR="000B173B" w:rsidRDefault="000B173B" w:rsidP="000B173B">
      <w:pPr>
        <w:pStyle w:val="Documenttracking"/>
        <w:spacing w:before="120" w:after="120"/>
      </w:pPr>
    </w:p>
    <w:p w14:paraId="30CB9A34" w14:textId="77777777" w:rsidR="000B173B" w:rsidRDefault="000B173B" w:rsidP="000B173B">
      <w:pPr>
        <w:pStyle w:val="Documenttracking"/>
        <w:spacing w:before="120" w:after="120"/>
      </w:pPr>
    </w:p>
    <w:p w14:paraId="0DE78D84" w14:textId="77777777" w:rsidR="000B173B" w:rsidRDefault="000B173B" w:rsidP="000B173B">
      <w:pPr>
        <w:pStyle w:val="Documenttracking"/>
        <w:spacing w:before="120" w:after="120"/>
      </w:pPr>
    </w:p>
    <w:p w14:paraId="072CC584" w14:textId="77777777" w:rsidR="000B173B" w:rsidRDefault="000B173B" w:rsidP="000B173B">
      <w:pPr>
        <w:pStyle w:val="Documenttracking"/>
        <w:spacing w:before="120" w:after="120"/>
      </w:pPr>
    </w:p>
    <w:p w14:paraId="5BA21425" w14:textId="77777777" w:rsidR="000B173B" w:rsidRDefault="000B173B" w:rsidP="000B173B">
      <w:pPr>
        <w:pStyle w:val="Documenttracking"/>
        <w:spacing w:before="120" w:after="120"/>
      </w:pPr>
    </w:p>
    <w:p w14:paraId="73EBBC4F" w14:textId="77777777" w:rsidR="000B173B" w:rsidRDefault="000B173B" w:rsidP="000B173B">
      <w:pPr>
        <w:pStyle w:val="Documenttracking"/>
        <w:spacing w:before="120" w:after="120"/>
      </w:pPr>
    </w:p>
    <w:p w14:paraId="35A41FFB" w14:textId="77777777" w:rsidR="000B173B" w:rsidRDefault="000B173B" w:rsidP="000B173B">
      <w:pPr>
        <w:pStyle w:val="Documenttracking"/>
        <w:spacing w:before="120" w:after="120"/>
      </w:pPr>
    </w:p>
    <w:p w14:paraId="746BAEA1" w14:textId="77777777" w:rsidR="000B173B" w:rsidRDefault="000B173B" w:rsidP="000B173B">
      <w:pPr>
        <w:pStyle w:val="Documenttracking"/>
        <w:spacing w:before="120" w:after="120"/>
      </w:pPr>
    </w:p>
    <w:p w14:paraId="62175D82" w14:textId="77777777" w:rsidR="000B173B" w:rsidRDefault="000B173B" w:rsidP="000B173B">
      <w:pPr>
        <w:pStyle w:val="Documenttracking"/>
        <w:spacing w:before="120" w:after="120"/>
      </w:pPr>
    </w:p>
    <w:p w14:paraId="356B2A34" w14:textId="77777777" w:rsidR="000B173B" w:rsidRDefault="000B173B" w:rsidP="000B173B">
      <w:pPr>
        <w:pStyle w:val="Documenttracking"/>
        <w:spacing w:before="120" w:after="120"/>
      </w:pPr>
    </w:p>
    <w:p w14:paraId="6B3EEEE5" w14:textId="77777777" w:rsidR="000B173B" w:rsidRDefault="000B173B" w:rsidP="000B173B">
      <w:pPr>
        <w:pStyle w:val="Documenttracking"/>
        <w:spacing w:before="120" w:after="120"/>
      </w:pPr>
    </w:p>
    <w:p w14:paraId="685FB782" w14:textId="77777777" w:rsidR="000B173B" w:rsidRDefault="000B173B" w:rsidP="000B173B">
      <w:pPr>
        <w:pStyle w:val="Documenttracking"/>
        <w:spacing w:before="120" w:after="120"/>
      </w:pPr>
    </w:p>
    <w:p w14:paraId="3B0FDADB" w14:textId="77777777" w:rsidR="000B173B" w:rsidRDefault="000B173B" w:rsidP="000B173B">
      <w:pPr>
        <w:pStyle w:val="Documenttracking"/>
        <w:spacing w:before="120" w:after="120"/>
      </w:pPr>
    </w:p>
    <w:p w14:paraId="6A4BDB39" w14:textId="77777777" w:rsidR="000B173B" w:rsidRDefault="000B173B" w:rsidP="000B173B">
      <w:pPr>
        <w:pStyle w:val="Documenttracking"/>
        <w:spacing w:before="120" w:after="120"/>
      </w:pPr>
    </w:p>
    <w:p w14:paraId="7B260779" w14:textId="77777777" w:rsidR="000B173B" w:rsidRDefault="000B173B" w:rsidP="000B173B">
      <w:pPr>
        <w:pStyle w:val="Documenttracking"/>
        <w:spacing w:before="120" w:after="120"/>
      </w:pPr>
    </w:p>
    <w:p w14:paraId="7CF9B121" w14:textId="77777777" w:rsidR="000B173B" w:rsidRDefault="000B173B" w:rsidP="000B173B">
      <w:pPr>
        <w:pStyle w:val="Documenttracking"/>
        <w:spacing w:before="120" w:after="120"/>
      </w:pPr>
    </w:p>
    <w:p w14:paraId="120D28B7" w14:textId="77777777" w:rsidR="000B173B" w:rsidRPr="00375EE0" w:rsidRDefault="000B173B" w:rsidP="000B173B">
      <w:pPr>
        <w:pStyle w:val="Documenttracking"/>
        <w:spacing w:before="120" w:after="120"/>
      </w:pPr>
      <w:r w:rsidRPr="00D97CAB">
        <w:t>DOCUMENT TRACKING</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firstRow="1" w:lastRow="0" w:firstColumn="1" w:lastColumn="0" w:noHBand="0" w:noVBand="0"/>
      </w:tblPr>
      <w:tblGrid>
        <w:gridCol w:w="2600"/>
        <w:gridCol w:w="7022"/>
      </w:tblGrid>
      <w:tr w:rsidR="000B173B" w:rsidRPr="004A7017" w14:paraId="29F02005" w14:textId="77777777" w:rsidTr="00A15226">
        <w:tc>
          <w:tcPr>
            <w:tcW w:w="5000" w:type="pct"/>
            <w:gridSpan w:val="2"/>
            <w:shd w:val="clear" w:color="auto" w:fill="B4C6E7" w:themeFill="accent1" w:themeFillTint="66"/>
          </w:tcPr>
          <w:p w14:paraId="1DDFB359" w14:textId="77777777" w:rsidR="000B173B" w:rsidRPr="004A7017" w:rsidRDefault="000B173B" w:rsidP="00A15226">
            <w:pPr>
              <w:pStyle w:val="Documenttracking"/>
              <w:spacing w:before="120" w:after="120"/>
            </w:pPr>
            <w:r w:rsidRPr="004A7017">
              <w:t>PREPARED BY:</w:t>
            </w:r>
          </w:p>
        </w:tc>
      </w:tr>
      <w:tr w:rsidR="000B173B" w:rsidRPr="004A7017" w14:paraId="07018A36" w14:textId="77777777" w:rsidTr="00A15226">
        <w:tc>
          <w:tcPr>
            <w:tcW w:w="5000" w:type="pct"/>
            <w:gridSpan w:val="2"/>
          </w:tcPr>
          <w:p w14:paraId="7C092C9D" w14:textId="77777777" w:rsidR="000B173B" w:rsidRPr="004A7017" w:rsidRDefault="000B173B" w:rsidP="00A15226">
            <w:pPr>
              <w:spacing w:before="120" w:after="120"/>
            </w:pPr>
            <w:r w:rsidRPr="004A7017">
              <w:t>Natasha Buckingham, Heidi Birkby, Heather Tolley</w:t>
            </w:r>
            <w:r>
              <w:t xml:space="preserve"> (Open Lines)</w:t>
            </w:r>
          </w:p>
        </w:tc>
      </w:tr>
      <w:tr w:rsidR="000B173B" w:rsidRPr="004A7017" w14:paraId="1F00189A" w14:textId="77777777" w:rsidTr="00A15226">
        <w:tc>
          <w:tcPr>
            <w:tcW w:w="5000" w:type="pct"/>
            <w:gridSpan w:val="2"/>
            <w:shd w:val="clear" w:color="auto" w:fill="B4C6E7" w:themeFill="accent1" w:themeFillTint="66"/>
          </w:tcPr>
          <w:p w14:paraId="611FE0CE" w14:textId="77777777" w:rsidR="000B173B" w:rsidRPr="004A7017" w:rsidRDefault="000B173B" w:rsidP="00A15226">
            <w:pPr>
              <w:spacing w:before="120" w:after="120"/>
              <w:rPr>
                <w:b/>
              </w:rPr>
            </w:pPr>
            <w:r w:rsidRPr="004A7017">
              <w:rPr>
                <w:b/>
              </w:rPr>
              <w:t>REVIEWED BY:</w:t>
            </w:r>
          </w:p>
        </w:tc>
      </w:tr>
      <w:tr w:rsidR="000B173B" w:rsidRPr="004A7017" w14:paraId="73BF8EC6" w14:textId="77777777" w:rsidTr="00A15226">
        <w:tc>
          <w:tcPr>
            <w:tcW w:w="5000" w:type="pct"/>
            <w:gridSpan w:val="2"/>
          </w:tcPr>
          <w:p w14:paraId="61BC96A6" w14:textId="77777777" w:rsidR="000B173B" w:rsidRDefault="000B173B" w:rsidP="00A15226">
            <w:pPr>
              <w:spacing w:before="120" w:after="120"/>
            </w:pPr>
            <w:r>
              <w:t xml:space="preserve">Heather Tolley, </w:t>
            </w:r>
            <w:r w:rsidRPr="004A7017">
              <w:t>Peter Hemphill</w:t>
            </w:r>
            <w:r>
              <w:t xml:space="preserve"> (Open Lines)</w:t>
            </w:r>
          </w:p>
          <w:p w14:paraId="1AEC3BD1" w14:textId="77777777" w:rsidR="000B173B" w:rsidRPr="004A7017" w:rsidRDefault="000B173B" w:rsidP="00A15226">
            <w:pPr>
              <w:spacing w:before="120" w:after="120"/>
            </w:pPr>
            <w:r>
              <w:t>Mitchell Deaves (Biosis)</w:t>
            </w:r>
          </w:p>
        </w:tc>
      </w:tr>
      <w:tr w:rsidR="000B173B" w:rsidRPr="004A7017" w14:paraId="0CC19643" w14:textId="77777777" w:rsidTr="00A15226">
        <w:tc>
          <w:tcPr>
            <w:tcW w:w="5000" w:type="pct"/>
            <w:gridSpan w:val="2"/>
            <w:shd w:val="clear" w:color="auto" w:fill="B4C6E7" w:themeFill="accent1" w:themeFillTint="66"/>
          </w:tcPr>
          <w:p w14:paraId="16D53792" w14:textId="77777777" w:rsidR="000B173B" w:rsidRPr="004A7017" w:rsidRDefault="000B173B" w:rsidP="00A15226">
            <w:pPr>
              <w:spacing w:before="120" w:after="120"/>
              <w:rPr>
                <w:b/>
              </w:rPr>
            </w:pPr>
            <w:r w:rsidRPr="004A7017">
              <w:rPr>
                <w:b/>
              </w:rPr>
              <w:t>VERSION CONTROL:</w:t>
            </w:r>
          </w:p>
        </w:tc>
      </w:tr>
      <w:tr w:rsidR="000B173B" w:rsidRPr="004A7017" w14:paraId="70B45B80" w14:textId="77777777" w:rsidTr="00A15226">
        <w:tc>
          <w:tcPr>
            <w:tcW w:w="1351" w:type="pct"/>
          </w:tcPr>
          <w:p w14:paraId="79AE40FC" w14:textId="77777777" w:rsidR="000B173B" w:rsidRPr="004A7017" w:rsidRDefault="000B173B" w:rsidP="00A15226">
            <w:pPr>
              <w:pStyle w:val="Documenttracking"/>
              <w:spacing w:before="120" w:after="120"/>
            </w:pPr>
            <w:r w:rsidRPr="004A7017">
              <w:t>VERSION:</w:t>
            </w:r>
          </w:p>
        </w:tc>
        <w:tc>
          <w:tcPr>
            <w:tcW w:w="3649" w:type="pct"/>
            <w:shd w:val="clear" w:color="auto" w:fill="auto"/>
          </w:tcPr>
          <w:p w14:paraId="2CFFE9AD" w14:textId="77777777" w:rsidR="000B173B" w:rsidRPr="004A7017" w:rsidRDefault="000B173B" w:rsidP="00A15226">
            <w:pPr>
              <w:spacing w:before="120" w:after="120"/>
            </w:pPr>
            <w:r>
              <w:t xml:space="preserve">Public exhibition version </w:t>
            </w:r>
          </w:p>
        </w:tc>
      </w:tr>
      <w:tr w:rsidR="000B173B" w:rsidRPr="00362323" w14:paraId="37812A3E" w14:textId="77777777" w:rsidTr="00A15226">
        <w:tc>
          <w:tcPr>
            <w:tcW w:w="1351" w:type="pct"/>
          </w:tcPr>
          <w:p w14:paraId="52272C8B" w14:textId="77777777" w:rsidR="000B173B" w:rsidRPr="004A7017" w:rsidRDefault="000B173B" w:rsidP="00A15226">
            <w:pPr>
              <w:pStyle w:val="Documenttracking"/>
              <w:spacing w:before="120" w:after="120"/>
            </w:pPr>
            <w:r w:rsidRPr="004A7017">
              <w:t>DATE:</w:t>
            </w:r>
          </w:p>
        </w:tc>
        <w:tc>
          <w:tcPr>
            <w:tcW w:w="3649" w:type="pct"/>
          </w:tcPr>
          <w:p w14:paraId="43E4B1AE" w14:textId="77777777" w:rsidR="000B173B" w:rsidRPr="00EC3979" w:rsidRDefault="000B173B" w:rsidP="00A15226">
            <w:pPr>
              <w:spacing w:before="120" w:after="120"/>
            </w:pPr>
            <w:r>
              <w:t>May 2023</w:t>
            </w:r>
          </w:p>
        </w:tc>
      </w:tr>
    </w:tbl>
    <w:p w14:paraId="713E51AE" w14:textId="77777777" w:rsidR="000B173B" w:rsidRDefault="000B173B" w:rsidP="000B173B">
      <w:pPr>
        <w:tabs>
          <w:tab w:val="clear" w:pos="4962"/>
        </w:tabs>
        <w:spacing w:before="0" w:after="0" w:line="240" w:lineRule="auto"/>
        <w:rPr>
          <w:rFonts w:ascii="Helvetica" w:hAnsi="Helvetica"/>
          <w:sz w:val="40"/>
          <w:szCs w:val="40"/>
        </w:rPr>
      </w:pPr>
      <w:r>
        <w:rPr>
          <w:rFonts w:ascii="Helvetica" w:hAnsi="Helvetica"/>
          <w:sz w:val="40"/>
          <w:szCs w:val="40"/>
        </w:rPr>
        <w:br w:type="page"/>
      </w:r>
    </w:p>
    <w:p w14:paraId="7ED07326" w14:textId="77777777" w:rsidR="000B173B" w:rsidRDefault="000B173B" w:rsidP="000B173B">
      <w:pPr>
        <w:pStyle w:val="Contents"/>
      </w:pPr>
      <w:r w:rsidRPr="006E333F">
        <w:lastRenderedPageBreak/>
        <w:t>Contents</w:t>
      </w:r>
    </w:p>
    <w:p w14:paraId="1DDE6B13" w14:textId="77777777" w:rsidR="000B173B" w:rsidRDefault="000B173B" w:rsidP="000B173B">
      <w:pPr>
        <w:pStyle w:val="TOC1"/>
        <w:rPr>
          <w:rFonts w:asciiTheme="minorHAnsi" w:eastAsiaTheme="minorEastAsia" w:hAnsiTheme="minorHAnsi" w:cstheme="minorBidi"/>
          <w:b w:val="0"/>
          <w:bCs w:val="0"/>
          <w:caps w:val="0"/>
          <w:noProof/>
          <w:sz w:val="24"/>
          <w:szCs w:val="24"/>
          <w:lang w:eastAsia="en-GB"/>
        </w:rPr>
      </w:pPr>
      <w:r>
        <w:fldChar w:fldCharType="begin"/>
      </w:r>
      <w:r>
        <w:instrText xml:space="preserve"> TOC \o "1-2" \h \z \u </w:instrText>
      </w:r>
      <w:r>
        <w:fldChar w:fldCharType="separate"/>
      </w:r>
      <w:hyperlink w:anchor="_Toc131154381" w:history="1">
        <w:r w:rsidRPr="00511B32">
          <w:rPr>
            <w:rStyle w:val="Hyperlink"/>
            <w:noProof/>
          </w:rPr>
          <w:t>List of Tables</w:t>
        </w:r>
        <w:r>
          <w:rPr>
            <w:noProof/>
            <w:webHidden/>
          </w:rPr>
          <w:tab/>
        </w:r>
        <w:r>
          <w:rPr>
            <w:noProof/>
            <w:webHidden/>
          </w:rPr>
          <w:fldChar w:fldCharType="begin"/>
        </w:r>
        <w:r>
          <w:rPr>
            <w:noProof/>
            <w:webHidden/>
          </w:rPr>
          <w:instrText xml:space="preserve"> PAGEREF _Toc131154381 \h </w:instrText>
        </w:r>
        <w:r>
          <w:rPr>
            <w:noProof/>
            <w:webHidden/>
          </w:rPr>
        </w:r>
        <w:r>
          <w:rPr>
            <w:noProof/>
            <w:webHidden/>
          </w:rPr>
          <w:fldChar w:fldCharType="separate"/>
        </w:r>
        <w:r>
          <w:rPr>
            <w:noProof/>
            <w:webHidden/>
          </w:rPr>
          <w:t>iii</w:t>
        </w:r>
        <w:r>
          <w:rPr>
            <w:noProof/>
            <w:webHidden/>
          </w:rPr>
          <w:fldChar w:fldCharType="end"/>
        </w:r>
      </w:hyperlink>
    </w:p>
    <w:p w14:paraId="78BE6B86" w14:textId="77777777" w:rsidR="000B173B" w:rsidRDefault="000B173B" w:rsidP="000B173B">
      <w:pPr>
        <w:pStyle w:val="TOC1"/>
        <w:rPr>
          <w:rFonts w:asciiTheme="minorHAnsi" w:eastAsiaTheme="minorEastAsia" w:hAnsiTheme="minorHAnsi" w:cstheme="minorBidi"/>
          <w:b w:val="0"/>
          <w:bCs w:val="0"/>
          <w:caps w:val="0"/>
          <w:noProof/>
          <w:sz w:val="24"/>
          <w:szCs w:val="24"/>
          <w:lang w:eastAsia="en-GB"/>
        </w:rPr>
      </w:pPr>
      <w:hyperlink w:anchor="_Toc131154382" w:history="1">
        <w:r w:rsidRPr="00511B32">
          <w:rPr>
            <w:rStyle w:val="Hyperlink"/>
            <w:noProof/>
          </w:rPr>
          <w:t>A.</w:t>
        </w:r>
        <w:r>
          <w:rPr>
            <w:rFonts w:asciiTheme="minorHAnsi" w:eastAsiaTheme="minorEastAsia" w:hAnsiTheme="minorHAnsi" w:cstheme="minorBidi"/>
            <w:b w:val="0"/>
            <w:bCs w:val="0"/>
            <w:caps w:val="0"/>
            <w:noProof/>
            <w:sz w:val="24"/>
            <w:szCs w:val="24"/>
            <w:lang w:eastAsia="en-GB"/>
          </w:rPr>
          <w:tab/>
        </w:r>
        <w:r w:rsidRPr="00511B32">
          <w:rPr>
            <w:rStyle w:val="Hyperlink"/>
            <w:noProof/>
          </w:rPr>
          <w:t>Detailed categorisation and preliminary assessment for protected matters</w:t>
        </w:r>
        <w:r>
          <w:rPr>
            <w:noProof/>
            <w:webHidden/>
          </w:rPr>
          <w:tab/>
        </w:r>
        <w:r>
          <w:rPr>
            <w:noProof/>
            <w:webHidden/>
          </w:rPr>
          <w:fldChar w:fldCharType="begin"/>
        </w:r>
        <w:r>
          <w:rPr>
            <w:noProof/>
            <w:webHidden/>
          </w:rPr>
          <w:instrText xml:space="preserve"> PAGEREF _Toc131154382 \h </w:instrText>
        </w:r>
        <w:r>
          <w:rPr>
            <w:noProof/>
            <w:webHidden/>
          </w:rPr>
        </w:r>
        <w:r>
          <w:rPr>
            <w:noProof/>
            <w:webHidden/>
          </w:rPr>
          <w:fldChar w:fldCharType="separate"/>
        </w:r>
        <w:r>
          <w:rPr>
            <w:noProof/>
            <w:webHidden/>
          </w:rPr>
          <w:t>A-1</w:t>
        </w:r>
        <w:r>
          <w:rPr>
            <w:noProof/>
            <w:webHidden/>
          </w:rPr>
          <w:fldChar w:fldCharType="end"/>
        </w:r>
      </w:hyperlink>
    </w:p>
    <w:p w14:paraId="3C2FF9A7"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83" w:history="1">
        <w:r w:rsidRPr="00511B32">
          <w:rPr>
            <w:rStyle w:val="Hyperlink"/>
            <w:noProof/>
          </w:rPr>
          <w:t>Threatened species categorisation</w:t>
        </w:r>
        <w:r>
          <w:rPr>
            <w:noProof/>
            <w:webHidden/>
          </w:rPr>
          <w:tab/>
        </w:r>
        <w:r>
          <w:rPr>
            <w:noProof/>
            <w:webHidden/>
          </w:rPr>
          <w:fldChar w:fldCharType="begin"/>
        </w:r>
        <w:r>
          <w:rPr>
            <w:noProof/>
            <w:webHidden/>
          </w:rPr>
          <w:instrText xml:space="preserve"> PAGEREF _Toc131154383 \h </w:instrText>
        </w:r>
        <w:r>
          <w:rPr>
            <w:noProof/>
            <w:webHidden/>
          </w:rPr>
        </w:r>
        <w:r>
          <w:rPr>
            <w:noProof/>
            <w:webHidden/>
          </w:rPr>
          <w:fldChar w:fldCharType="separate"/>
        </w:r>
        <w:r>
          <w:rPr>
            <w:noProof/>
            <w:webHidden/>
          </w:rPr>
          <w:t>A-2</w:t>
        </w:r>
        <w:r>
          <w:rPr>
            <w:noProof/>
            <w:webHidden/>
          </w:rPr>
          <w:fldChar w:fldCharType="end"/>
        </w:r>
      </w:hyperlink>
    </w:p>
    <w:p w14:paraId="17894CD1"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84" w:history="1">
        <w:r w:rsidRPr="00511B32">
          <w:rPr>
            <w:rStyle w:val="Hyperlink"/>
            <w:noProof/>
          </w:rPr>
          <w:t>Threatened ecological community categorisation</w:t>
        </w:r>
        <w:r>
          <w:rPr>
            <w:noProof/>
            <w:webHidden/>
          </w:rPr>
          <w:tab/>
        </w:r>
        <w:r>
          <w:rPr>
            <w:noProof/>
            <w:webHidden/>
          </w:rPr>
          <w:fldChar w:fldCharType="begin"/>
        </w:r>
        <w:r>
          <w:rPr>
            <w:noProof/>
            <w:webHidden/>
          </w:rPr>
          <w:instrText xml:space="preserve"> PAGEREF _Toc131154384 \h </w:instrText>
        </w:r>
        <w:r>
          <w:rPr>
            <w:noProof/>
            <w:webHidden/>
          </w:rPr>
        </w:r>
        <w:r>
          <w:rPr>
            <w:noProof/>
            <w:webHidden/>
          </w:rPr>
          <w:fldChar w:fldCharType="separate"/>
        </w:r>
        <w:r>
          <w:rPr>
            <w:noProof/>
            <w:webHidden/>
          </w:rPr>
          <w:t>A-52</w:t>
        </w:r>
        <w:r>
          <w:rPr>
            <w:noProof/>
            <w:webHidden/>
          </w:rPr>
          <w:fldChar w:fldCharType="end"/>
        </w:r>
      </w:hyperlink>
    </w:p>
    <w:p w14:paraId="0954BCE7"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85" w:history="1">
        <w:r w:rsidRPr="00511B32">
          <w:rPr>
            <w:rStyle w:val="Hyperlink"/>
            <w:noProof/>
          </w:rPr>
          <w:t>FPAL species categorisation</w:t>
        </w:r>
        <w:r>
          <w:rPr>
            <w:noProof/>
            <w:webHidden/>
          </w:rPr>
          <w:tab/>
        </w:r>
        <w:r>
          <w:rPr>
            <w:noProof/>
            <w:webHidden/>
          </w:rPr>
          <w:fldChar w:fldCharType="begin"/>
        </w:r>
        <w:r>
          <w:rPr>
            <w:noProof/>
            <w:webHidden/>
          </w:rPr>
          <w:instrText xml:space="preserve"> PAGEREF _Toc131154385 \h </w:instrText>
        </w:r>
        <w:r>
          <w:rPr>
            <w:noProof/>
            <w:webHidden/>
          </w:rPr>
        </w:r>
        <w:r>
          <w:rPr>
            <w:noProof/>
            <w:webHidden/>
          </w:rPr>
          <w:fldChar w:fldCharType="separate"/>
        </w:r>
        <w:r>
          <w:rPr>
            <w:noProof/>
            <w:webHidden/>
          </w:rPr>
          <w:t>A-57</w:t>
        </w:r>
        <w:r>
          <w:rPr>
            <w:noProof/>
            <w:webHidden/>
          </w:rPr>
          <w:fldChar w:fldCharType="end"/>
        </w:r>
      </w:hyperlink>
    </w:p>
    <w:p w14:paraId="12DFAEA1"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86" w:history="1">
        <w:r w:rsidRPr="00511B32">
          <w:rPr>
            <w:rStyle w:val="Hyperlink"/>
            <w:noProof/>
          </w:rPr>
          <w:t>FPAL communities categorisation</w:t>
        </w:r>
        <w:r>
          <w:rPr>
            <w:noProof/>
            <w:webHidden/>
          </w:rPr>
          <w:tab/>
        </w:r>
        <w:r>
          <w:rPr>
            <w:noProof/>
            <w:webHidden/>
          </w:rPr>
          <w:fldChar w:fldCharType="begin"/>
        </w:r>
        <w:r>
          <w:rPr>
            <w:noProof/>
            <w:webHidden/>
          </w:rPr>
          <w:instrText xml:space="preserve"> PAGEREF _Toc131154386 \h </w:instrText>
        </w:r>
        <w:r>
          <w:rPr>
            <w:noProof/>
            <w:webHidden/>
          </w:rPr>
        </w:r>
        <w:r>
          <w:rPr>
            <w:noProof/>
            <w:webHidden/>
          </w:rPr>
          <w:fldChar w:fldCharType="separate"/>
        </w:r>
        <w:r>
          <w:rPr>
            <w:noProof/>
            <w:webHidden/>
          </w:rPr>
          <w:t>A-64</w:t>
        </w:r>
        <w:r>
          <w:rPr>
            <w:noProof/>
            <w:webHidden/>
          </w:rPr>
          <w:fldChar w:fldCharType="end"/>
        </w:r>
      </w:hyperlink>
    </w:p>
    <w:p w14:paraId="2A3B1F9F"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87" w:history="1">
        <w:r w:rsidRPr="00511B32">
          <w:rPr>
            <w:rStyle w:val="Hyperlink"/>
            <w:noProof/>
          </w:rPr>
          <w:t>Migratory species categorisation</w:t>
        </w:r>
        <w:r>
          <w:rPr>
            <w:noProof/>
            <w:webHidden/>
          </w:rPr>
          <w:tab/>
        </w:r>
        <w:r>
          <w:rPr>
            <w:noProof/>
            <w:webHidden/>
          </w:rPr>
          <w:fldChar w:fldCharType="begin"/>
        </w:r>
        <w:r>
          <w:rPr>
            <w:noProof/>
            <w:webHidden/>
          </w:rPr>
          <w:instrText xml:space="preserve"> PAGEREF _Toc131154387 \h </w:instrText>
        </w:r>
        <w:r>
          <w:rPr>
            <w:noProof/>
            <w:webHidden/>
          </w:rPr>
        </w:r>
        <w:r>
          <w:rPr>
            <w:noProof/>
            <w:webHidden/>
          </w:rPr>
          <w:fldChar w:fldCharType="separate"/>
        </w:r>
        <w:r>
          <w:rPr>
            <w:noProof/>
            <w:webHidden/>
          </w:rPr>
          <w:t>A-65</w:t>
        </w:r>
        <w:r>
          <w:rPr>
            <w:noProof/>
            <w:webHidden/>
          </w:rPr>
          <w:fldChar w:fldCharType="end"/>
        </w:r>
      </w:hyperlink>
    </w:p>
    <w:p w14:paraId="3938D507" w14:textId="77777777" w:rsidR="000B173B" w:rsidRDefault="000B173B" w:rsidP="000B173B">
      <w:pPr>
        <w:pStyle w:val="TOC1"/>
        <w:rPr>
          <w:rFonts w:asciiTheme="minorHAnsi" w:eastAsiaTheme="minorEastAsia" w:hAnsiTheme="minorHAnsi" w:cstheme="minorBidi"/>
          <w:b w:val="0"/>
          <w:bCs w:val="0"/>
          <w:caps w:val="0"/>
          <w:noProof/>
          <w:sz w:val="24"/>
          <w:szCs w:val="24"/>
          <w:lang w:eastAsia="en-GB"/>
        </w:rPr>
      </w:pPr>
      <w:hyperlink w:anchor="_Toc131154388" w:history="1">
        <w:r w:rsidRPr="00511B32">
          <w:rPr>
            <w:rStyle w:val="Hyperlink"/>
            <w:noProof/>
          </w:rPr>
          <w:t>B.</w:t>
        </w:r>
        <w:r>
          <w:rPr>
            <w:rFonts w:asciiTheme="minorHAnsi" w:eastAsiaTheme="minorEastAsia" w:hAnsiTheme="minorHAnsi" w:cstheme="minorBidi"/>
            <w:b w:val="0"/>
            <w:bCs w:val="0"/>
            <w:caps w:val="0"/>
            <w:noProof/>
            <w:sz w:val="24"/>
            <w:szCs w:val="24"/>
            <w:lang w:eastAsia="en-GB"/>
          </w:rPr>
          <w:tab/>
        </w:r>
        <w:r w:rsidRPr="00511B32">
          <w:rPr>
            <w:rStyle w:val="Hyperlink"/>
            <w:noProof/>
          </w:rPr>
          <w:t>Background information for the combined fauna assessment: birds</w:t>
        </w:r>
        <w:r>
          <w:rPr>
            <w:noProof/>
            <w:webHidden/>
          </w:rPr>
          <w:tab/>
        </w:r>
        <w:r>
          <w:rPr>
            <w:noProof/>
            <w:webHidden/>
          </w:rPr>
          <w:fldChar w:fldCharType="begin"/>
        </w:r>
        <w:r>
          <w:rPr>
            <w:noProof/>
            <w:webHidden/>
          </w:rPr>
          <w:instrText xml:space="preserve"> PAGEREF _Toc131154388 \h </w:instrText>
        </w:r>
        <w:r>
          <w:rPr>
            <w:noProof/>
            <w:webHidden/>
          </w:rPr>
        </w:r>
        <w:r>
          <w:rPr>
            <w:noProof/>
            <w:webHidden/>
          </w:rPr>
          <w:fldChar w:fldCharType="separate"/>
        </w:r>
        <w:r>
          <w:rPr>
            <w:noProof/>
            <w:webHidden/>
          </w:rPr>
          <w:t>B-1</w:t>
        </w:r>
        <w:r>
          <w:rPr>
            <w:noProof/>
            <w:webHidden/>
          </w:rPr>
          <w:fldChar w:fldCharType="end"/>
        </w:r>
      </w:hyperlink>
    </w:p>
    <w:p w14:paraId="54514535"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89" w:history="1">
        <w:r w:rsidRPr="00511B32">
          <w:rPr>
            <w:rStyle w:val="Hyperlink"/>
            <w:noProof/>
          </w:rPr>
          <w:t xml:space="preserve">Australasian Bittern </w:t>
        </w:r>
        <w:r w:rsidRPr="00511B32">
          <w:rPr>
            <w:rStyle w:val="Hyperlink"/>
            <w:i/>
            <w:iCs/>
            <w:noProof/>
          </w:rPr>
          <w:t>(Botaurus poiciloptilus)</w:t>
        </w:r>
        <w:r>
          <w:rPr>
            <w:noProof/>
            <w:webHidden/>
          </w:rPr>
          <w:tab/>
        </w:r>
        <w:r>
          <w:rPr>
            <w:noProof/>
            <w:webHidden/>
          </w:rPr>
          <w:fldChar w:fldCharType="begin"/>
        </w:r>
        <w:r>
          <w:rPr>
            <w:noProof/>
            <w:webHidden/>
          </w:rPr>
          <w:instrText xml:space="preserve"> PAGEREF _Toc131154389 \h </w:instrText>
        </w:r>
        <w:r>
          <w:rPr>
            <w:noProof/>
            <w:webHidden/>
          </w:rPr>
        </w:r>
        <w:r>
          <w:rPr>
            <w:noProof/>
            <w:webHidden/>
          </w:rPr>
          <w:fldChar w:fldCharType="separate"/>
        </w:r>
        <w:r>
          <w:rPr>
            <w:noProof/>
            <w:webHidden/>
          </w:rPr>
          <w:t>B-2</w:t>
        </w:r>
        <w:r>
          <w:rPr>
            <w:noProof/>
            <w:webHidden/>
          </w:rPr>
          <w:fldChar w:fldCharType="end"/>
        </w:r>
      </w:hyperlink>
    </w:p>
    <w:p w14:paraId="4CD8F006"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0" w:history="1">
        <w:r w:rsidRPr="00511B32">
          <w:rPr>
            <w:rStyle w:val="Hyperlink"/>
            <w:noProof/>
          </w:rPr>
          <w:t xml:space="preserve">Australian Fairy Tern </w:t>
        </w:r>
        <w:r w:rsidRPr="00511B32">
          <w:rPr>
            <w:rStyle w:val="Hyperlink"/>
            <w:i/>
            <w:iCs/>
            <w:noProof/>
          </w:rPr>
          <w:t>(Sternula nereis nereis)</w:t>
        </w:r>
        <w:r>
          <w:rPr>
            <w:noProof/>
            <w:webHidden/>
          </w:rPr>
          <w:tab/>
        </w:r>
        <w:r>
          <w:rPr>
            <w:noProof/>
            <w:webHidden/>
          </w:rPr>
          <w:fldChar w:fldCharType="begin"/>
        </w:r>
        <w:r>
          <w:rPr>
            <w:noProof/>
            <w:webHidden/>
          </w:rPr>
          <w:instrText xml:space="preserve"> PAGEREF _Toc131154390 \h </w:instrText>
        </w:r>
        <w:r>
          <w:rPr>
            <w:noProof/>
            <w:webHidden/>
          </w:rPr>
        </w:r>
        <w:r>
          <w:rPr>
            <w:noProof/>
            <w:webHidden/>
          </w:rPr>
          <w:fldChar w:fldCharType="separate"/>
        </w:r>
        <w:r>
          <w:rPr>
            <w:noProof/>
            <w:webHidden/>
          </w:rPr>
          <w:t>B-6</w:t>
        </w:r>
        <w:r>
          <w:rPr>
            <w:noProof/>
            <w:webHidden/>
          </w:rPr>
          <w:fldChar w:fldCharType="end"/>
        </w:r>
      </w:hyperlink>
    </w:p>
    <w:p w14:paraId="397CF3FE"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1" w:history="1">
        <w:r w:rsidRPr="00511B32">
          <w:rPr>
            <w:rStyle w:val="Hyperlink"/>
            <w:noProof/>
          </w:rPr>
          <w:t xml:space="preserve">Australian Painted Snipe </w:t>
        </w:r>
        <w:r w:rsidRPr="00511B32">
          <w:rPr>
            <w:rStyle w:val="Hyperlink"/>
            <w:i/>
            <w:iCs/>
            <w:noProof/>
          </w:rPr>
          <w:t>(Rostratula australis)</w:t>
        </w:r>
        <w:r>
          <w:rPr>
            <w:noProof/>
            <w:webHidden/>
          </w:rPr>
          <w:tab/>
        </w:r>
        <w:r>
          <w:rPr>
            <w:noProof/>
            <w:webHidden/>
          </w:rPr>
          <w:fldChar w:fldCharType="begin"/>
        </w:r>
        <w:r>
          <w:rPr>
            <w:noProof/>
            <w:webHidden/>
          </w:rPr>
          <w:instrText xml:space="preserve"> PAGEREF _Toc131154391 \h </w:instrText>
        </w:r>
        <w:r>
          <w:rPr>
            <w:noProof/>
            <w:webHidden/>
          </w:rPr>
        </w:r>
        <w:r>
          <w:rPr>
            <w:noProof/>
            <w:webHidden/>
          </w:rPr>
          <w:fldChar w:fldCharType="separate"/>
        </w:r>
        <w:r>
          <w:rPr>
            <w:noProof/>
            <w:webHidden/>
          </w:rPr>
          <w:t>B-11</w:t>
        </w:r>
        <w:r>
          <w:rPr>
            <w:noProof/>
            <w:webHidden/>
          </w:rPr>
          <w:fldChar w:fldCharType="end"/>
        </w:r>
      </w:hyperlink>
    </w:p>
    <w:p w14:paraId="09A91AA3"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2" w:history="1">
        <w:r w:rsidRPr="00511B32">
          <w:rPr>
            <w:rStyle w:val="Hyperlink"/>
            <w:noProof/>
          </w:rPr>
          <w:t xml:space="preserve">Curlew Sandpiper </w:t>
        </w:r>
        <w:r w:rsidRPr="00511B32">
          <w:rPr>
            <w:rStyle w:val="Hyperlink"/>
            <w:i/>
            <w:iCs/>
            <w:noProof/>
          </w:rPr>
          <w:t>(Calidris ferruginea)</w:t>
        </w:r>
        <w:r>
          <w:rPr>
            <w:noProof/>
            <w:webHidden/>
          </w:rPr>
          <w:tab/>
        </w:r>
        <w:r>
          <w:rPr>
            <w:noProof/>
            <w:webHidden/>
          </w:rPr>
          <w:fldChar w:fldCharType="begin"/>
        </w:r>
        <w:r>
          <w:rPr>
            <w:noProof/>
            <w:webHidden/>
          </w:rPr>
          <w:instrText xml:space="preserve"> PAGEREF _Toc131154392 \h </w:instrText>
        </w:r>
        <w:r>
          <w:rPr>
            <w:noProof/>
            <w:webHidden/>
          </w:rPr>
        </w:r>
        <w:r>
          <w:rPr>
            <w:noProof/>
            <w:webHidden/>
          </w:rPr>
          <w:fldChar w:fldCharType="separate"/>
        </w:r>
        <w:r>
          <w:rPr>
            <w:noProof/>
            <w:webHidden/>
          </w:rPr>
          <w:t>B-16</w:t>
        </w:r>
        <w:r>
          <w:rPr>
            <w:noProof/>
            <w:webHidden/>
          </w:rPr>
          <w:fldChar w:fldCharType="end"/>
        </w:r>
      </w:hyperlink>
    </w:p>
    <w:p w14:paraId="376F9E01"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3" w:history="1">
        <w:r w:rsidRPr="00511B32">
          <w:rPr>
            <w:rStyle w:val="Hyperlink"/>
            <w:noProof/>
          </w:rPr>
          <w:t xml:space="preserve">Eastern Curlew </w:t>
        </w:r>
        <w:r w:rsidRPr="00511B32">
          <w:rPr>
            <w:rStyle w:val="Hyperlink"/>
            <w:i/>
            <w:iCs/>
            <w:noProof/>
          </w:rPr>
          <w:t>(Numenius madagascariensis)</w:t>
        </w:r>
        <w:r>
          <w:rPr>
            <w:noProof/>
            <w:webHidden/>
          </w:rPr>
          <w:tab/>
        </w:r>
        <w:r>
          <w:rPr>
            <w:noProof/>
            <w:webHidden/>
          </w:rPr>
          <w:fldChar w:fldCharType="begin"/>
        </w:r>
        <w:r>
          <w:rPr>
            <w:noProof/>
            <w:webHidden/>
          </w:rPr>
          <w:instrText xml:space="preserve"> PAGEREF _Toc131154393 \h </w:instrText>
        </w:r>
        <w:r>
          <w:rPr>
            <w:noProof/>
            <w:webHidden/>
          </w:rPr>
        </w:r>
        <w:r>
          <w:rPr>
            <w:noProof/>
            <w:webHidden/>
          </w:rPr>
          <w:fldChar w:fldCharType="separate"/>
        </w:r>
        <w:r>
          <w:rPr>
            <w:noProof/>
            <w:webHidden/>
          </w:rPr>
          <w:t>B-20</w:t>
        </w:r>
        <w:r>
          <w:rPr>
            <w:noProof/>
            <w:webHidden/>
          </w:rPr>
          <w:fldChar w:fldCharType="end"/>
        </w:r>
      </w:hyperlink>
    </w:p>
    <w:p w14:paraId="500D6E72"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4" w:history="1">
        <w:r w:rsidRPr="00511B32">
          <w:rPr>
            <w:rStyle w:val="Hyperlink"/>
            <w:noProof/>
          </w:rPr>
          <w:t xml:space="preserve">Great Knot </w:t>
        </w:r>
        <w:r w:rsidRPr="00511B32">
          <w:rPr>
            <w:rStyle w:val="Hyperlink"/>
            <w:i/>
            <w:iCs/>
            <w:noProof/>
          </w:rPr>
          <w:t>(Calidris tenuirostris)</w:t>
        </w:r>
        <w:r>
          <w:rPr>
            <w:noProof/>
            <w:webHidden/>
          </w:rPr>
          <w:tab/>
        </w:r>
        <w:r>
          <w:rPr>
            <w:noProof/>
            <w:webHidden/>
          </w:rPr>
          <w:fldChar w:fldCharType="begin"/>
        </w:r>
        <w:r>
          <w:rPr>
            <w:noProof/>
            <w:webHidden/>
          </w:rPr>
          <w:instrText xml:space="preserve"> PAGEREF _Toc131154394 \h </w:instrText>
        </w:r>
        <w:r>
          <w:rPr>
            <w:noProof/>
            <w:webHidden/>
          </w:rPr>
        </w:r>
        <w:r>
          <w:rPr>
            <w:noProof/>
            <w:webHidden/>
          </w:rPr>
          <w:fldChar w:fldCharType="separate"/>
        </w:r>
        <w:r>
          <w:rPr>
            <w:noProof/>
            <w:webHidden/>
          </w:rPr>
          <w:t>B-24</w:t>
        </w:r>
        <w:r>
          <w:rPr>
            <w:noProof/>
            <w:webHidden/>
          </w:rPr>
          <w:fldChar w:fldCharType="end"/>
        </w:r>
      </w:hyperlink>
    </w:p>
    <w:p w14:paraId="2E52DC57"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5" w:history="1">
        <w:r w:rsidRPr="00511B32">
          <w:rPr>
            <w:rStyle w:val="Hyperlink"/>
            <w:noProof/>
          </w:rPr>
          <w:t xml:space="preserve">Greater Sand Plover </w:t>
        </w:r>
        <w:r w:rsidRPr="00511B32">
          <w:rPr>
            <w:rStyle w:val="Hyperlink"/>
            <w:i/>
            <w:iCs/>
            <w:noProof/>
          </w:rPr>
          <w:t>(Charadrius leschenaultii)</w:t>
        </w:r>
        <w:r>
          <w:rPr>
            <w:noProof/>
            <w:webHidden/>
          </w:rPr>
          <w:tab/>
        </w:r>
        <w:r>
          <w:rPr>
            <w:noProof/>
            <w:webHidden/>
          </w:rPr>
          <w:fldChar w:fldCharType="begin"/>
        </w:r>
        <w:r>
          <w:rPr>
            <w:noProof/>
            <w:webHidden/>
          </w:rPr>
          <w:instrText xml:space="preserve"> PAGEREF _Toc131154395 \h </w:instrText>
        </w:r>
        <w:r>
          <w:rPr>
            <w:noProof/>
            <w:webHidden/>
          </w:rPr>
        </w:r>
        <w:r>
          <w:rPr>
            <w:noProof/>
            <w:webHidden/>
          </w:rPr>
          <w:fldChar w:fldCharType="separate"/>
        </w:r>
        <w:r>
          <w:rPr>
            <w:noProof/>
            <w:webHidden/>
          </w:rPr>
          <w:t>B-28</w:t>
        </w:r>
        <w:r>
          <w:rPr>
            <w:noProof/>
            <w:webHidden/>
          </w:rPr>
          <w:fldChar w:fldCharType="end"/>
        </w:r>
      </w:hyperlink>
    </w:p>
    <w:p w14:paraId="3BDBAFAD"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6" w:history="1">
        <w:r w:rsidRPr="00511B32">
          <w:rPr>
            <w:rStyle w:val="Hyperlink"/>
            <w:noProof/>
          </w:rPr>
          <w:t xml:space="preserve">Lesser Sand Plover </w:t>
        </w:r>
        <w:r w:rsidRPr="00511B32">
          <w:rPr>
            <w:rStyle w:val="Hyperlink"/>
            <w:i/>
            <w:iCs/>
            <w:noProof/>
          </w:rPr>
          <w:t>(Charadrius mongolus)</w:t>
        </w:r>
        <w:r>
          <w:rPr>
            <w:noProof/>
            <w:webHidden/>
          </w:rPr>
          <w:tab/>
        </w:r>
        <w:r>
          <w:rPr>
            <w:noProof/>
            <w:webHidden/>
          </w:rPr>
          <w:fldChar w:fldCharType="begin"/>
        </w:r>
        <w:r>
          <w:rPr>
            <w:noProof/>
            <w:webHidden/>
          </w:rPr>
          <w:instrText xml:space="preserve"> PAGEREF _Toc131154396 \h </w:instrText>
        </w:r>
        <w:r>
          <w:rPr>
            <w:noProof/>
            <w:webHidden/>
          </w:rPr>
        </w:r>
        <w:r>
          <w:rPr>
            <w:noProof/>
            <w:webHidden/>
          </w:rPr>
          <w:fldChar w:fldCharType="separate"/>
        </w:r>
        <w:r>
          <w:rPr>
            <w:noProof/>
            <w:webHidden/>
          </w:rPr>
          <w:t>B-32</w:t>
        </w:r>
        <w:r>
          <w:rPr>
            <w:noProof/>
            <w:webHidden/>
          </w:rPr>
          <w:fldChar w:fldCharType="end"/>
        </w:r>
      </w:hyperlink>
    </w:p>
    <w:p w14:paraId="75EF50EB"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7" w:history="1">
        <w:r w:rsidRPr="00511B32">
          <w:rPr>
            <w:rStyle w:val="Hyperlink"/>
            <w:noProof/>
          </w:rPr>
          <w:t xml:space="preserve">Orange-bellied Parrot </w:t>
        </w:r>
        <w:r w:rsidRPr="00511B32">
          <w:rPr>
            <w:rStyle w:val="Hyperlink"/>
            <w:i/>
            <w:iCs/>
            <w:noProof/>
          </w:rPr>
          <w:t>(Neophema chrysogaster)</w:t>
        </w:r>
        <w:r>
          <w:rPr>
            <w:noProof/>
            <w:webHidden/>
          </w:rPr>
          <w:tab/>
        </w:r>
        <w:r>
          <w:rPr>
            <w:noProof/>
            <w:webHidden/>
          </w:rPr>
          <w:fldChar w:fldCharType="begin"/>
        </w:r>
        <w:r>
          <w:rPr>
            <w:noProof/>
            <w:webHidden/>
          </w:rPr>
          <w:instrText xml:space="preserve"> PAGEREF _Toc131154397 \h </w:instrText>
        </w:r>
        <w:r>
          <w:rPr>
            <w:noProof/>
            <w:webHidden/>
          </w:rPr>
        </w:r>
        <w:r>
          <w:rPr>
            <w:noProof/>
            <w:webHidden/>
          </w:rPr>
          <w:fldChar w:fldCharType="separate"/>
        </w:r>
        <w:r>
          <w:rPr>
            <w:noProof/>
            <w:webHidden/>
          </w:rPr>
          <w:t>B-36</w:t>
        </w:r>
        <w:r>
          <w:rPr>
            <w:noProof/>
            <w:webHidden/>
          </w:rPr>
          <w:fldChar w:fldCharType="end"/>
        </w:r>
      </w:hyperlink>
    </w:p>
    <w:p w14:paraId="790035BD"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8" w:history="1">
        <w:r w:rsidRPr="00511B32">
          <w:rPr>
            <w:rStyle w:val="Hyperlink"/>
            <w:noProof/>
          </w:rPr>
          <w:t>Red Knot (</w:t>
        </w:r>
        <w:r w:rsidRPr="00511B32">
          <w:rPr>
            <w:rStyle w:val="Hyperlink"/>
            <w:i/>
            <w:iCs/>
            <w:noProof/>
          </w:rPr>
          <w:t>Calidris canutus</w:t>
        </w:r>
        <w:r w:rsidRPr="00511B32">
          <w:rPr>
            <w:rStyle w:val="Hyperlink"/>
            <w:noProof/>
          </w:rPr>
          <w:t>)</w:t>
        </w:r>
        <w:r>
          <w:rPr>
            <w:noProof/>
            <w:webHidden/>
          </w:rPr>
          <w:tab/>
        </w:r>
        <w:r>
          <w:rPr>
            <w:noProof/>
            <w:webHidden/>
          </w:rPr>
          <w:fldChar w:fldCharType="begin"/>
        </w:r>
        <w:r>
          <w:rPr>
            <w:noProof/>
            <w:webHidden/>
          </w:rPr>
          <w:instrText xml:space="preserve"> PAGEREF _Toc131154398 \h </w:instrText>
        </w:r>
        <w:r>
          <w:rPr>
            <w:noProof/>
            <w:webHidden/>
          </w:rPr>
        </w:r>
        <w:r>
          <w:rPr>
            <w:noProof/>
            <w:webHidden/>
          </w:rPr>
          <w:fldChar w:fldCharType="separate"/>
        </w:r>
        <w:r>
          <w:rPr>
            <w:noProof/>
            <w:webHidden/>
          </w:rPr>
          <w:t>B-42</w:t>
        </w:r>
        <w:r>
          <w:rPr>
            <w:noProof/>
            <w:webHidden/>
          </w:rPr>
          <w:fldChar w:fldCharType="end"/>
        </w:r>
      </w:hyperlink>
    </w:p>
    <w:p w14:paraId="181A82EE"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399" w:history="1">
        <w:r w:rsidRPr="00511B32">
          <w:rPr>
            <w:rStyle w:val="Hyperlink"/>
            <w:noProof/>
          </w:rPr>
          <w:t xml:space="preserve">Western Alaskan Bar-tailed Godwit </w:t>
        </w:r>
        <w:r w:rsidRPr="00511B32">
          <w:rPr>
            <w:rStyle w:val="Hyperlink"/>
            <w:i/>
            <w:iCs/>
            <w:noProof/>
          </w:rPr>
          <w:t>(Limosa lapponica baueri)</w:t>
        </w:r>
        <w:r>
          <w:rPr>
            <w:noProof/>
            <w:webHidden/>
          </w:rPr>
          <w:tab/>
        </w:r>
        <w:r>
          <w:rPr>
            <w:noProof/>
            <w:webHidden/>
          </w:rPr>
          <w:fldChar w:fldCharType="begin"/>
        </w:r>
        <w:r>
          <w:rPr>
            <w:noProof/>
            <w:webHidden/>
          </w:rPr>
          <w:instrText xml:space="preserve"> PAGEREF _Toc131154399 \h </w:instrText>
        </w:r>
        <w:r>
          <w:rPr>
            <w:noProof/>
            <w:webHidden/>
          </w:rPr>
        </w:r>
        <w:r>
          <w:rPr>
            <w:noProof/>
            <w:webHidden/>
          </w:rPr>
          <w:fldChar w:fldCharType="separate"/>
        </w:r>
        <w:r>
          <w:rPr>
            <w:noProof/>
            <w:webHidden/>
          </w:rPr>
          <w:t>B-46</w:t>
        </w:r>
        <w:r>
          <w:rPr>
            <w:noProof/>
            <w:webHidden/>
          </w:rPr>
          <w:fldChar w:fldCharType="end"/>
        </w:r>
      </w:hyperlink>
    </w:p>
    <w:p w14:paraId="4C1DB442" w14:textId="77777777" w:rsidR="000B173B" w:rsidRDefault="000B173B" w:rsidP="000B173B">
      <w:pPr>
        <w:pStyle w:val="TOC1"/>
        <w:rPr>
          <w:rFonts w:asciiTheme="minorHAnsi" w:eastAsiaTheme="minorEastAsia" w:hAnsiTheme="minorHAnsi" w:cstheme="minorBidi"/>
          <w:b w:val="0"/>
          <w:bCs w:val="0"/>
          <w:caps w:val="0"/>
          <w:noProof/>
          <w:sz w:val="24"/>
          <w:szCs w:val="24"/>
          <w:lang w:eastAsia="en-GB"/>
        </w:rPr>
      </w:pPr>
      <w:hyperlink w:anchor="_Toc131154400" w:history="1">
        <w:r w:rsidRPr="00511B32">
          <w:rPr>
            <w:rStyle w:val="Hyperlink"/>
            <w:noProof/>
          </w:rPr>
          <w:t>C.</w:t>
        </w:r>
        <w:r>
          <w:rPr>
            <w:rFonts w:asciiTheme="minorHAnsi" w:eastAsiaTheme="minorEastAsia" w:hAnsiTheme="minorHAnsi" w:cstheme="minorBidi"/>
            <w:b w:val="0"/>
            <w:bCs w:val="0"/>
            <w:caps w:val="0"/>
            <w:noProof/>
            <w:sz w:val="24"/>
            <w:szCs w:val="24"/>
            <w:lang w:eastAsia="en-GB"/>
          </w:rPr>
          <w:tab/>
        </w:r>
        <w:r w:rsidRPr="00511B32">
          <w:rPr>
            <w:rStyle w:val="Hyperlink"/>
            <w:noProof/>
          </w:rPr>
          <w:t>Background information for the combined fauna assessment: fish</w:t>
        </w:r>
        <w:r>
          <w:rPr>
            <w:noProof/>
            <w:webHidden/>
          </w:rPr>
          <w:tab/>
        </w:r>
        <w:r>
          <w:rPr>
            <w:noProof/>
            <w:webHidden/>
          </w:rPr>
          <w:fldChar w:fldCharType="begin"/>
        </w:r>
        <w:r>
          <w:rPr>
            <w:noProof/>
            <w:webHidden/>
          </w:rPr>
          <w:instrText xml:space="preserve"> PAGEREF _Toc131154400 \h </w:instrText>
        </w:r>
        <w:r>
          <w:rPr>
            <w:noProof/>
            <w:webHidden/>
          </w:rPr>
        </w:r>
        <w:r>
          <w:rPr>
            <w:noProof/>
            <w:webHidden/>
          </w:rPr>
          <w:fldChar w:fldCharType="separate"/>
        </w:r>
        <w:r>
          <w:rPr>
            <w:noProof/>
            <w:webHidden/>
          </w:rPr>
          <w:t>C-1</w:t>
        </w:r>
        <w:r>
          <w:rPr>
            <w:noProof/>
            <w:webHidden/>
          </w:rPr>
          <w:fldChar w:fldCharType="end"/>
        </w:r>
      </w:hyperlink>
    </w:p>
    <w:p w14:paraId="2A9932FA"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401" w:history="1">
        <w:r w:rsidRPr="00511B32">
          <w:rPr>
            <w:rStyle w:val="Hyperlink"/>
            <w:noProof/>
          </w:rPr>
          <w:t xml:space="preserve">Australian Grayling </w:t>
        </w:r>
        <w:r w:rsidRPr="00511B32">
          <w:rPr>
            <w:rStyle w:val="Hyperlink"/>
            <w:i/>
            <w:iCs/>
            <w:noProof/>
          </w:rPr>
          <w:t>(Prototroctes maraena)</w:t>
        </w:r>
        <w:r>
          <w:rPr>
            <w:noProof/>
            <w:webHidden/>
          </w:rPr>
          <w:tab/>
        </w:r>
        <w:r>
          <w:rPr>
            <w:noProof/>
            <w:webHidden/>
          </w:rPr>
          <w:fldChar w:fldCharType="begin"/>
        </w:r>
        <w:r>
          <w:rPr>
            <w:noProof/>
            <w:webHidden/>
          </w:rPr>
          <w:instrText xml:space="preserve"> PAGEREF _Toc131154401 \h </w:instrText>
        </w:r>
        <w:r>
          <w:rPr>
            <w:noProof/>
            <w:webHidden/>
          </w:rPr>
        </w:r>
        <w:r>
          <w:rPr>
            <w:noProof/>
            <w:webHidden/>
          </w:rPr>
          <w:fldChar w:fldCharType="separate"/>
        </w:r>
        <w:r>
          <w:rPr>
            <w:noProof/>
            <w:webHidden/>
          </w:rPr>
          <w:t>C-2</w:t>
        </w:r>
        <w:r>
          <w:rPr>
            <w:noProof/>
            <w:webHidden/>
          </w:rPr>
          <w:fldChar w:fldCharType="end"/>
        </w:r>
      </w:hyperlink>
    </w:p>
    <w:p w14:paraId="524562FB"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402" w:history="1">
        <w:r w:rsidRPr="00511B32">
          <w:rPr>
            <w:rStyle w:val="Hyperlink"/>
            <w:noProof/>
          </w:rPr>
          <w:t xml:space="preserve">Eastern Dwarf Galaxias </w:t>
        </w:r>
        <w:r w:rsidRPr="00511B32">
          <w:rPr>
            <w:rStyle w:val="Hyperlink"/>
            <w:i/>
            <w:iCs/>
            <w:noProof/>
          </w:rPr>
          <w:t>(Galaxiella pusilla)</w:t>
        </w:r>
        <w:r>
          <w:rPr>
            <w:noProof/>
            <w:webHidden/>
          </w:rPr>
          <w:tab/>
        </w:r>
        <w:r>
          <w:rPr>
            <w:noProof/>
            <w:webHidden/>
          </w:rPr>
          <w:fldChar w:fldCharType="begin"/>
        </w:r>
        <w:r>
          <w:rPr>
            <w:noProof/>
            <w:webHidden/>
          </w:rPr>
          <w:instrText xml:space="preserve"> PAGEREF _Toc131154402 \h </w:instrText>
        </w:r>
        <w:r>
          <w:rPr>
            <w:noProof/>
            <w:webHidden/>
          </w:rPr>
        </w:r>
        <w:r>
          <w:rPr>
            <w:noProof/>
            <w:webHidden/>
          </w:rPr>
          <w:fldChar w:fldCharType="separate"/>
        </w:r>
        <w:r>
          <w:rPr>
            <w:noProof/>
            <w:webHidden/>
          </w:rPr>
          <w:t>C-7</w:t>
        </w:r>
        <w:r>
          <w:rPr>
            <w:noProof/>
            <w:webHidden/>
          </w:rPr>
          <w:fldChar w:fldCharType="end"/>
        </w:r>
      </w:hyperlink>
    </w:p>
    <w:p w14:paraId="4AF31FEF" w14:textId="77777777" w:rsidR="000B173B" w:rsidRDefault="000B173B" w:rsidP="000B173B">
      <w:pPr>
        <w:pStyle w:val="TOC2"/>
        <w:rPr>
          <w:rFonts w:asciiTheme="minorHAnsi" w:eastAsiaTheme="minorEastAsia" w:hAnsiTheme="minorHAnsi" w:cstheme="minorBidi"/>
          <w:noProof/>
          <w:sz w:val="24"/>
          <w:szCs w:val="24"/>
          <w:lang w:eastAsia="en-GB"/>
        </w:rPr>
      </w:pPr>
      <w:hyperlink w:anchor="_Toc131154403" w:history="1">
        <w:r w:rsidRPr="00511B32">
          <w:rPr>
            <w:rStyle w:val="Hyperlink"/>
            <w:noProof/>
          </w:rPr>
          <w:t xml:space="preserve">Yarra Pygmy Perch </w:t>
        </w:r>
        <w:r w:rsidRPr="00511B32">
          <w:rPr>
            <w:rStyle w:val="Hyperlink"/>
            <w:i/>
            <w:iCs/>
            <w:noProof/>
          </w:rPr>
          <w:t>(Nannoperca obscura)</w:t>
        </w:r>
        <w:r>
          <w:rPr>
            <w:noProof/>
            <w:webHidden/>
          </w:rPr>
          <w:tab/>
        </w:r>
        <w:r>
          <w:rPr>
            <w:noProof/>
            <w:webHidden/>
          </w:rPr>
          <w:fldChar w:fldCharType="begin"/>
        </w:r>
        <w:r>
          <w:rPr>
            <w:noProof/>
            <w:webHidden/>
          </w:rPr>
          <w:instrText xml:space="preserve"> PAGEREF _Toc131154403 \h </w:instrText>
        </w:r>
        <w:r>
          <w:rPr>
            <w:noProof/>
            <w:webHidden/>
          </w:rPr>
        </w:r>
        <w:r>
          <w:rPr>
            <w:noProof/>
            <w:webHidden/>
          </w:rPr>
          <w:fldChar w:fldCharType="separate"/>
        </w:r>
        <w:r>
          <w:rPr>
            <w:noProof/>
            <w:webHidden/>
          </w:rPr>
          <w:t>C-12</w:t>
        </w:r>
        <w:r>
          <w:rPr>
            <w:noProof/>
            <w:webHidden/>
          </w:rPr>
          <w:fldChar w:fldCharType="end"/>
        </w:r>
      </w:hyperlink>
    </w:p>
    <w:p w14:paraId="6C1CEB1D" w14:textId="77777777" w:rsidR="000B173B" w:rsidRDefault="000B173B" w:rsidP="000B173B">
      <w:pPr>
        <w:pStyle w:val="TOC1"/>
        <w:rPr>
          <w:rFonts w:asciiTheme="minorHAnsi" w:eastAsiaTheme="minorEastAsia" w:hAnsiTheme="minorHAnsi" w:cstheme="minorBidi"/>
          <w:b w:val="0"/>
          <w:bCs w:val="0"/>
          <w:caps w:val="0"/>
          <w:noProof/>
          <w:sz w:val="24"/>
          <w:szCs w:val="24"/>
          <w:lang w:eastAsia="en-GB"/>
        </w:rPr>
      </w:pPr>
      <w:hyperlink w:anchor="_Toc131154404" w:history="1">
        <w:r w:rsidRPr="00511B32">
          <w:rPr>
            <w:rStyle w:val="Hyperlink"/>
            <w:noProof/>
          </w:rPr>
          <w:t>References</w:t>
        </w:r>
        <w:r>
          <w:rPr>
            <w:noProof/>
            <w:webHidden/>
          </w:rPr>
          <w:tab/>
        </w:r>
        <w:r>
          <w:rPr>
            <w:noProof/>
            <w:webHidden/>
          </w:rPr>
          <w:fldChar w:fldCharType="begin"/>
        </w:r>
        <w:r>
          <w:rPr>
            <w:noProof/>
            <w:webHidden/>
          </w:rPr>
          <w:instrText xml:space="preserve"> PAGEREF _Toc131154404 \h </w:instrText>
        </w:r>
        <w:r>
          <w:rPr>
            <w:noProof/>
            <w:webHidden/>
          </w:rPr>
        </w:r>
        <w:r>
          <w:rPr>
            <w:noProof/>
            <w:webHidden/>
          </w:rPr>
          <w:fldChar w:fldCharType="separate"/>
        </w:r>
        <w:r>
          <w:rPr>
            <w:noProof/>
            <w:webHidden/>
          </w:rPr>
          <w:t>A</w:t>
        </w:r>
        <w:r>
          <w:rPr>
            <w:noProof/>
            <w:webHidden/>
          </w:rPr>
          <w:fldChar w:fldCharType="end"/>
        </w:r>
      </w:hyperlink>
    </w:p>
    <w:p w14:paraId="2C74A8D4" w14:textId="77777777" w:rsidR="000B173B" w:rsidRDefault="000B173B" w:rsidP="000B173B">
      <w:r>
        <w:fldChar w:fldCharType="end"/>
      </w:r>
    </w:p>
    <w:p w14:paraId="127D9912" w14:textId="77777777" w:rsidR="000B173B" w:rsidRDefault="000B173B" w:rsidP="000B173B">
      <w:pPr>
        <w:tabs>
          <w:tab w:val="clear" w:pos="4962"/>
        </w:tabs>
        <w:spacing w:before="0" w:after="0" w:line="240" w:lineRule="auto"/>
      </w:pPr>
      <w:r>
        <w:br w:type="page"/>
      </w:r>
    </w:p>
    <w:p w14:paraId="77660906" w14:textId="77777777" w:rsidR="000B173B" w:rsidRDefault="000B173B" w:rsidP="000B173B">
      <w:pPr>
        <w:pStyle w:val="Contentsacronymsreferences"/>
      </w:pPr>
      <w:bookmarkStart w:id="206" w:name="_Toc131154194"/>
      <w:bookmarkStart w:id="207" w:name="_Toc131154381"/>
      <w:r>
        <w:lastRenderedPageBreak/>
        <w:t>List of Tables</w:t>
      </w:r>
      <w:bookmarkEnd w:id="206"/>
      <w:bookmarkEnd w:id="207"/>
    </w:p>
    <w:p w14:paraId="207521F1"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\h \z \c "Table" </w:instrText>
      </w:r>
      <w:r>
        <w:fldChar w:fldCharType="separate"/>
      </w:r>
      <w:hyperlink w:anchor="_Toc134697911" w:history="1">
        <w:r w:rsidRPr="004D26F9">
          <w:rPr>
            <w:rStyle w:val="Hyperlink"/>
            <w:noProof/>
          </w:rPr>
          <w:t>Table A</w:t>
        </w:r>
        <w:r w:rsidRPr="004D26F9">
          <w:rPr>
            <w:rStyle w:val="Hyperlink"/>
            <w:noProof/>
          </w:rPr>
          <w:noBreakHyphen/>
          <w:t>1: Threatened species categorisation results</w:t>
        </w:r>
        <w:r>
          <w:rPr>
            <w:noProof/>
            <w:webHidden/>
          </w:rPr>
          <w:tab/>
        </w:r>
        <w:r>
          <w:rPr>
            <w:noProof/>
            <w:webHidden/>
          </w:rPr>
          <w:fldChar w:fldCharType="begin"/>
        </w:r>
        <w:r>
          <w:rPr>
            <w:noProof/>
            <w:webHidden/>
          </w:rPr>
          <w:instrText xml:space="preserve"> PAGEREF _Toc134697911 \h </w:instrText>
        </w:r>
        <w:r>
          <w:rPr>
            <w:noProof/>
            <w:webHidden/>
          </w:rPr>
        </w:r>
        <w:r>
          <w:rPr>
            <w:noProof/>
            <w:webHidden/>
          </w:rPr>
          <w:fldChar w:fldCharType="separate"/>
        </w:r>
        <w:r>
          <w:rPr>
            <w:noProof/>
            <w:webHidden/>
          </w:rPr>
          <w:t>A-2</w:t>
        </w:r>
        <w:r>
          <w:rPr>
            <w:noProof/>
            <w:webHidden/>
          </w:rPr>
          <w:fldChar w:fldCharType="end"/>
        </w:r>
      </w:hyperlink>
    </w:p>
    <w:p w14:paraId="48A3F0A5"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2" w:history="1">
        <w:r w:rsidRPr="004D26F9">
          <w:rPr>
            <w:rStyle w:val="Hyperlink"/>
            <w:noProof/>
          </w:rPr>
          <w:t>Table A</w:t>
        </w:r>
        <w:r w:rsidRPr="004D26F9">
          <w:rPr>
            <w:rStyle w:val="Hyperlink"/>
            <w:noProof/>
          </w:rPr>
          <w:noBreakHyphen/>
          <w:t>2: Preliminary assessment for threatened species</w:t>
        </w:r>
        <w:r>
          <w:rPr>
            <w:noProof/>
            <w:webHidden/>
          </w:rPr>
          <w:tab/>
        </w:r>
        <w:r>
          <w:rPr>
            <w:noProof/>
            <w:webHidden/>
          </w:rPr>
          <w:fldChar w:fldCharType="begin"/>
        </w:r>
        <w:r>
          <w:rPr>
            <w:noProof/>
            <w:webHidden/>
          </w:rPr>
          <w:instrText xml:space="preserve"> PAGEREF _Toc134697912 \h </w:instrText>
        </w:r>
        <w:r>
          <w:rPr>
            <w:noProof/>
            <w:webHidden/>
          </w:rPr>
        </w:r>
        <w:r>
          <w:rPr>
            <w:noProof/>
            <w:webHidden/>
          </w:rPr>
          <w:fldChar w:fldCharType="separate"/>
        </w:r>
        <w:r>
          <w:rPr>
            <w:noProof/>
            <w:webHidden/>
          </w:rPr>
          <w:t>A-7</w:t>
        </w:r>
        <w:r>
          <w:rPr>
            <w:noProof/>
            <w:webHidden/>
          </w:rPr>
          <w:fldChar w:fldCharType="end"/>
        </w:r>
      </w:hyperlink>
    </w:p>
    <w:p w14:paraId="5453B877"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3" w:history="1">
        <w:r w:rsidRPr="004D26F9">
          <w:rPr>
            <w:rStyle w:val="Hyperlink"/>
            <w:noProof/>
          </w:rPr>
          <w:t>Table A</w:t>
        </w:r>
        <w:r w:rsidRPr="004D26F9">
          <w:rPr>
            <w:rStyle w:val="Hyperlink"/>
            <w:noProof/>
          </w:rPr>
          <w:noBreakHyphen/>
          <w:t>3: Categorisation of Commonwealth-listed threatened ecological communities</w:t>
        </w:r>
        <w:r>
          <w:rPr>
            <w:noProof/>
            <w:webHidden/>
          </w:rPr>
          <w:tab/>
        </w:r>
        <w:r>
          <w:rPr>
            <w:noProof/>
            <w:webHidden/>
          </w:rPr>
          <w:fldChar w:fldCharType="begin"/>
        </w:r>
        <w:r>
          <w:rPr>
            <w:noProof/>
            <w:webHidden/>
          </w:rPr>
          <w:instrText xml:space="preserve"> PAGEREF _Toc134697913 \h </w:instrText>
        </w:r>
        <w:r>
          <w:rPr>
            <w:noProof/>
            <w:webHidden/>
          </w:rPr>
        </w:r>
        <w:r>
          <w:rPr>
            <w:noProof/>
            <w:webHidden/>
          </w:rPr>
          <w:fldChar w:fldCharType="separate"/>
        </w:r>
        <w:r>
          <w:rPr>
            <w:noProof/>
            <w:webHidden/>
          </w:rPr>
          <w:t>A-53</w:t>
        </w:r>
        <w:r>
          <w:rPr>
            <w:noProof/>
            <w:webHidden/>
          </w:rPr>
          <w:fldChar w:fldCharType="end"/>
        </w:r>
      </w:hyperlink>
    </w:p>
    <w:p w14:paraId="2AD894DC"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4" w:history="1">
        <w:r w:rsidRPr="004D26F9">
          <w:rPr>
            <w:rStyle w:val="Hyperlink"/>
            <w:noProof/>
          </w:rPr>
          <w:t>Table A</w:t>
        </w:r>
        <w:r w:rsidRPr="004D26F9">
          <w:rPr>
            <w:rStyle w:val="Hyperlink"/>
            <w:noProof/>
          </w:rPr>
          <w:noBreakHyphen/>
          <w:t>4: Categorisation of FPAL species</w:t>
        </w:r>
        <w:r>
          <w:rPr>
            <w:noProof/>
            <w:webHidden/>
          </w:rPr>
          <w:tab/>
        </w:r>
        <w:r>
          <w:rPr>
            <w:noProof/>
            <w:webHidden/>
          </w:rPr>
          <w:fldChar w:fldCharType="begin"/>
        </w:r>
        <w:r>
          <w:rPr>
            <w:noProof/>
            <w:webHidden/>
          </w:rPr>
          <w:instrText xml:space="preserve"> PAGEREF _Toc134697914 \h </w:instrText>
        </w:r>
        <w:r>
          <w:rPr>
            <w:noProof/>
            <w:webHidden/>
          </w:rPr>
        </w:r>
        <w:r>
          <w:rPr>
            <w:noProof/>
            <w:webHidden/>
          </w:rPr>
          <w:fldChar w:fldCharType="separate"/>
        </w:r>
        <w:r>
          <w:rPr>
            <w:noProof/>
            <w:webHidden/>
          </w:rPr>
          <w:t>A-58</w:t>
        </w:r>
        <w:r>
          <w:rPr>
            <w:noProof/>
            <w:webHidden/>
          </w:rPr>
          <w:fldChar w:fldCharType="end"/>
        </w:r>
      </w:hyperlink>
    </w:p>
    <w:p w14:paraId="51D3776A"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5" w:history="1">
        <w:r w:rsidRPr="004D26F9">
          <w:rPr>
            <w:rStyle w:val="Hyperlink"/>
            <w:noProof/>
          </w:rPr>
          <w:t>Table A</w:t>
        </w:r>
        <w:r w:rsidRPr="004D26F9">
          <w:rPr>
            <w:rStyle w:val="Hyperlink"/>
            <w:noProof/>
          </w:rPr>
          <w:noBreakHyphen/>
          <w:t>5: Categorisation of FPAL ecological communities</w:t>
        </w:r>
        <w:r>
          <w:rPr>
            <w:noProof/>
            <w:webHidden/>
          </w:rPr>
          <w:tab/>
        </w:r>
        <w:r>
          <w:rPr>
            <w:noProof/>
            <w:webHidden/>
          </w:rPr>
          <w:fldChar w:fldCharType="begin"/>
        </w:r>
        <w:r>
          <w:rPr>
            <w:noProof/>
            <w:webHidden/>
          </w:rPr>
          <w:instrText xml:space="preserve"> PAGEREF _Toc134697915 \h </w:instrText>
        </w:r>
        <w:r>
          <w:rPr>
            <w:noProof/>
            <w:webHidden/>
          </w:rPr>
        </w:r>
        <w:r>
          <w:rPr>
            <w:noProof/>
            <w:webHidden/>
          </w:rPr>
          <w:fldChar w:fldCharType="separate"/>
        </w:r>
        <w:r>
          <w:rPr>
            <w:noProof/>
            <w:webHidden/>
          </w:rPr>
          <w:t>A-64</w:t>
        </w:r>
        <w:r>
          <w:rPr>
            <w:noProof/>
            <w:webHidden/>
          </w:rPr>
          <w:fldChar w:fldCharType="end"/>
        </w:r>
      </w:hyperlink>
    </w:p>
    <w:p w14:paraId="3898FFE4"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6" w:history="1">
        <w:r w:rsidRPr="004D26F9">
          <w:rPr>
            <w:rStyle w:val="Hyperlink"/>
            <w:noProof/>
          </w:rPr>
          <w:t>Table A</w:t>
        </w:r>
        <w:r w:rsidRPr="004D26F9">
          <w:rPr>
            <w:rStyle w:val="Hyperlink"/>
            <w:noProof/>
          </w:rPr>
          <w:noBreakHyphen/>
          <w:t>6 Categorisation results for Commonwealth-listed migratory bird species</w:t>
        </w:r>
        <w:r>
          <w:rPr>
            <w:noProof/>
            <w:webHidden/>
          </w:rPr>
          <w:tab/>
        </w:r>
        <w:r>
          <w:rPr>
            <w:noProof/>
            <w:webHidden/>
          </w:rPr>
          <w:fldChar w:fldCharType="begin"/>
        </w:r>
        <w:r>
          <w:rPr>
            <w:noProof/>
            <w:webHidden/>
          </w:rPr>
          <w:instrText xml:space="preserve"> PAGEREF _Toc134697916 \h </w:instrText>
        </w:r>
        <w:r>
          <w:rPr>
            <w:noProof/>
            <w:webHidden/>
          </w:rPr>
        </w:r>
        <w:r>
          <w:rPr>
            <w:noProof/>
            <w:webHidden/>
          </w:rPr>
          <w:fldChar w:fldCharType="separate"/>
        </w:r>
        <w:r>
          <w:rPr>
            <w:noProof/>
            <w:webHidden/>
          </w:rPr>
          <w:t>A-65</w:t>
        </w:r>
        <w:r>
          <w:rPr>
            <w:noProof/>
            <w:webHidden/>
          </w:rPr>
          <w:fldChar w:fldCharType="end"/>
        </w:r>
      </w:hyperlink>
    </w:p>
    <w:p w14:paraId="609D9442"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7" w:history="1">
        <w:r w:rsidRPr="004D26F9">
          <w:rPr>
            <w:rStyle w:val="Hyperlink"/>
            <w:noProof/>
          </w:rPr>
          <w:t>Table A</w:t>
        </w:r>
        <w:r w:rsidRPr="004D26F9">
          <w:rPr>
            <w:rStyle w:val="Hyperlink"/>
            <w:noProof/>
          </w:rPr>
          <w:noBreakHyphen/>
          <w:t>7: Categorisation results for other Commonwealth-listed migratory species</w:t>
        </w:r>
        <w:r>
          <w:rPr>
            <w:noProof/>
            <w:webHidden/>
          </w:rPr>
          <w:tab/>
        </w:r>
        <w:r>
          <w:rPr>
            <w:noProof/>
            <w:webHidden/>
          </w:rPr>
          <w:fldChar w:fldCharType="begin"/>
        </w:r>
        <w:r>
          <w:rPr>
            <w:noProof/>
            <w:webHidden/>
          </w:rPr>
          <w:instrText xml:space="preserve"> PAGEREF _Toc134697917 \h </w:instrText>
        </w:r>
        <w:r>
          <w:rPr>
            <w:noProof/>
            <w:webHidden/>
          </w:rPr>
        </w:r>
        <w:r>
          <w:rPr>
            <w:noProof/>
            <w:webHidden/>
          </w:rPr>
          <w:fldChar w:fldCharType="separate"/>
        </w:r>
        <w:r>
          <w:rPr>
            <w:noProof/>
            <w:webHidden/>
          </w:rPr>
          <w:t>A-88</w:t>
        </w:r>
        <w:r>
          <w:rPr>
            <w:noProof/>
            <w:webHidden/>
          </w:rPr>
          <w:fldChar w:fldCharType="end"/>
        </w:r>
      </w:hyperlink>
    </w:p>
    <w:p w14:paraId="184D9E4B"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8" w:history="1">
        <w:r w:rsidRPr="004D26F9">
          <w:rPr>
            <w:rStyle w:val="Hyperlink"/>
            <w:noProof/>
          </w:rPr>
          <w:t>Table B</w:t>
        </w:r>
        <w:r w:rsidRPr="004D26F9">
          <w:rPr>
            <w:rStyle w:val="Hyperlink"/>
            <w:noProof/>
          </w:rPr>
          <w:noBreakHyphen/>
          <w:t>1: Relevant Key Threatening Processes and associated Threat Abatement Plans for the Australasian Bittern</w:t>
        </w:r>
        <w:r>
          <w:rPr>
            <w:noProof/>
            <w:webHidden/>
          </w:rPr>
          <w:tab/>
        </w:r>
        <w:r>
          <w:rPr>
            <w:noProof/>
            <w:webHidden/>
          </w:rPr>
          <w:fldChar w:fldCharType="begin"/>
        </w:r>
        <w:r>
          <w:rPr>
            <w:noProof/>
            <w:webHidden/>
          </w:rPr>
          <w:instrText xml:space="preserve"> PAGEREF _Toc134697918 \h </w:instrText>
        </w:r>
        <w:r>
          <w:rPr>
            <w:noProof/>
            <w:webHidden/>
          </w:rPr>
        </w:r>
        <w:r>
          <w:rPr>
            <w:noProof/>
            <w:webHidden/>
          </w:rPr>
          <w:fldChar w:fldCharType="separate"/>
        </w:r>
        <w:r>
          <w:rPr>
            <w:noProof/>
            <w:webHidden/>
          </w:rPr>
          <w:t>B-5</w:t>
        </w:r>
        <w:r>
          <w:rPr>
            <w:noProof/>
            <w:webHidden/>
          </w:rPr>
          <w:fldChar w:fldCharType="end"/>
        </w:r>
      </w:hyperlink>
    </w:p>
    <w:p w14:paraId="74BE4F73"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19" w:history="1">
        <w:r w:rsidRPr="004D26F9">
          <w:rPr>
            <w:rStyle w:val="Hyperlink"/>
            <w:noProof/>
          </w:rPr>
          <w:t>Table B</w:t>
        </w:r>
        <w:r w:rsidRPr="004D26F9">
          <w:rPr>
            <w:rStyle w:val="Hyperlink"/>
            <w:noProof/>
          </w:rPr>
          <w:noBreakHyphen/>
          <w:t>2: Relevant Key Threatening Processes and associated Threat Abatement Plans for the Fairy Tern</w:t>
        </w:r>
        <w:r>
          <w:rPr>
            <w:noProof/>
            <w:webHidden/>
          </w:rPr>
          <w:tab/>
        </w:r>
        <w:r>
          <w:rPr>
            <w:noProof/>
            <w:webHidden/>
          </w:rPr>
          <w:fldChar w:fldCharType="begin"/>
        </w:r>
        <w:r>
          <w:rPr>
            <w:noProof/>
            <w:webHidden/>
          </w:rPr>
          <w:instrText xml:space="preserve"> PAGEREF _Toc134697919 \h </w:instrText>
        </w:r>
        <w:r>
          <w:rPr>
            <w:noProof/>
            <w:webHidden/>
          </w:rPr>
        </w:r>
        <w:r>
          <w:rPr>
            <w:noProof/>
            <w:webHidden/>
          </w:rPr>
          <w:fldChar w:fldCharType="separate"/>
        </w:r>
        <w:r>
          <w:rPr>
            <w:noProof/>
            <w:webHidden/>
          </w:rPr>
          <w:t>B-10</w:t>
        </w:r>
        <w:r>
          <w:rPr>
            <w:noProof/>
            <w:webHidden/>
          </w:rPr>
          <w:fldChar w:fldCharType="end"/>
        </w:r>
      </w:hyperlink>
    </w:p>
    <w:p w14:paraId="43FAF56C"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0" w:history="1">
        <w:r w:rsidRPr="004D26F9">
          <w:rPr>
            <w:rStyle w:val="Hyperlink"/>
            <w:noProof/>
          </w:rPr>
          <w:t>Table B</w:t>
        </w:r>
        <w:r w:rsidRPr="004D26F9">
          <w:rPr>
            <w:rStyle w:val="Hyperlink"/>
            <w:noProof/>
          </w:rPr>
          <w:noBreakHyphen/>
          <w:t>3: Relevant Key Threatening Processes and associated Threat Abatement Plans for the Australian Painted Snipe</w:t>
        </w:r>
        <w:r>
          <w:rPr>
            <w:noProof/>
            <w:webHidden/>
          </w:rPr>
          <w:tab/>
        </w:r>
        <w:r>
          <w:rPr>
            <w:noProof/>
            <w:webHidden/>
          </w:rPr>
          <w:fldChar w:fldCharType="begin"/>
        </w:r>
        <w:r>
          <w:rPr>
            <w:noProof/>
            <w:webHidden/>
          </w:rPr>
          <w:instrText xml:space="preserve"> PAGEREF _Toc134697920 \h </w:instrText>
        </w:r>
        <w:r>
          <w:rPr>
            <w:noProof/>
            <w:webHidden/>
          </w:rPr>
        </w:r>
        <w:r>
          <w:rPr>
            <w:noProof/>
            <w:webHidden/>
          </w:rPr>
          <w:fldChar w:fldCharType="separate"/>
        </w:r>
        <w:r>
          <w:rPr>
            <w:noProof/>
            <w:webHidden/>
          </w:rPr>
          <w:t>B-14</w:t>
        </w:r>
        <w:r>
          <w:rPr>
            <w:noProof/>
            <w:webHidden/>
          </w:rPr>
          <w:fldChar w:fldCharType="end"/>
        </w:r>
      </w:hyperlink>
    </w:p>
    <w:p w14:paraId="0DA619D0"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1" w:history="1">
        <w:r w:rsidRPr="004D26F9">
          <w:rPr>
            <w:rStyle w:val="Hyperlink"/>
            <w:noProof/>
          </w:rPr>
          <w:t>Table B</w:t>
        </w:r>
        <w:r w:rsidRPr="004D26F9">
          <w:rPr>
            <w:rStyle w:val="Hyperlink"/>
            <w:noProof/>
          </w:rPr>
          <w:noBreakHyphen/>
          <w:t>4: Relevant Key Threatening Processes and associated Threat Abatement Plans for the Curlew Sandpiper</w:t>
        </w:r>
        <w:r>
          <w:rPr>
            <w:noProof/>
            <w:webHidden/>
          </w:rPr>
          <w:tab/>
        </w:r>
        <w:r>
          <w:rPr>
            <w:noProof/>
            <w:webHidden/>
          </w:rPr>
          <w:fldChar w:fldCharType="begin"/>
        </w:r>
        <w:r>
          <w:rPr>
            <w:noProof/>
            <w:webHidden/>
          </w:rPr>
          <w:instrText xml:space="preserve"> PAGEREF _Toc134697921 \h </w:instrText>
        </w:r>
        <w:r>
          <w:rPr>
            <w:noProof/>
            <w:webHidden/>
          </w:rPr>
        </w:r>
        <w:r>
          <w:rPr>
            <w:noProof/>
            <w:webHidden/>
          </w:rPr>
          <w:fldChar w:fldCharType="separate"/>
        </w:r>
        <w:r>
          <w:rPr>
            <w:noProof/>
            <w:webHidden/>
          </w:rPr>
          <w:t>B-19</w:t>
        </w:r>
        <w:r>
          <w:rPr>
            <w:noProof/>
            <w:webHidden/>
          </w:rPr>
          <w:fldChar w:fldCharType="end"/>
        </w:r>
      </w:hyperlink>
    </w:p>
    <w:p w14:paraId="3838F16B"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2" w:history="1">
        <w:r w:rsidRPr="004D26F9">
          <w:rPr>
            <w:rStyle w:val="Hyperlink"/>
            <w:noProof/>
          </w:rPr>
          <w:t>Table B</w:t>
        </w:r>
        <w:r w:rsidRPr="004D26F9">
          <w:rPr>
            <w:rStyle w:val="Hyperlink"/>
            <w:noProof/>
          </w:rPr>
          <w:noBreakHyphen/>
          <w:t>5: Relevant Key Threatening Processes and associated Threat Abatement Plans for the Eastern Curlew</w:t>
        </w:r>
        <w:r>
          <w:rPr>
            <w:noProof/>
            <w:webHidden/>
          </w:rPr>
          <w:tab/>
        </w:r>
        <w:r>
          <w:rPr>
            <w:noProof/>
            <w:webHidden/>
          </w:rPr>
          <w:fldChar w:fldCharType="begin"/>
        </w:r>
        <w:r>
          <w:rPr>
            <w:noProof/>
            <w:webHidden/>
          </w:rPr>
          <w:instrText xml:space="preserve"> PAGEREF _Toc134697922 \h </w:instrText>
        </w:r>
        <w:r>
          <w:rPr>
            <w:noProof/>
            <w:webHidden/>
          </w:rPr>
        </w:r>
        <w:r>
          <w:rPr>
            <w:noProof/>
            <w:webHidden/>
          </w:rPr>
          <w:fldChar w:fldCharType="separate"/>
        </w:r>
        <w:r>
          <w:rPr>
            <w:noProof/>
            <w:webHidden/>
          </w:rPr>
          <w:t>B-23</w:t>
        </w:r>
        <w:r>
          <w:rPr>
            <w:noProof/>
            <w:webHidden/>
          </w:rPr>
          <w:fldChar w:fldCharType="end"/>
        </w:r>
      </w:hyperlink>
    </w:p>
    <w:p w14:paraId="7B9259D4"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3" w:history="1">
        <w:r w:rsidRPr="004D26F9">
          <w:rPr>
            <w:rStyle w:val="Hyperlink"/>
            <w:noProof/>
          </w:rPr>
          <w:t>Table B</w:t>
        </w:r>
        <w:r w:rsidRPr="004D26F9">
          <w:rPr>
            <w:rStyle w:val="Hyperlink"/>
            <w:noProof/>
          </w:rPr>
          <w:noBreakHyphen/>
          <w:t>6: Relevant Key Threatening Processes and associated Threat Abatement Plans for the Great Knot</w:t>
        </w:r>
        <w:r>
          <w:rPr>
            <w:noProof/>
            <w:webHidden/>
          </w:rPr>
          <w:tab/>
        </w:r>
        <w:r>
          <w:rPr>
            <w:noProof/>
            <w:webHidden/>
          </w:rPr>
          <w:fldChar w:fldCharType="begin"/>
        </w:r>
        <w:r>
          <w:rPr>
            <w:noProof/>
            <w:webHidden/>
          </w:rPr>
          <w:instrText xml:space="preserve"> PAGEREF _Toc134697923 \h </w:instrText>
        </w:r>
        <w:r>
          <w:rPr>
            <w:noProof/>
            <w:webHidden/>
          </w:rPr>
        </w:r>
        <w:r>
          <w:rPr>
            <w:noProof/>
            <w:webHidden/>
          </w:rPr>
          <w:fldChar w:fldCharType="separate"/>
        </w:r>
        <w:r>
          <w:rPr>
            <w:noProof/>
            <w:webHidden/>
          </w:rPr>
          <w:t>B-27</w:t>
        </w:r>
        <w:r>
          <w:rPr>
            <w:noProof/>
            <w:webHidden/>
          </w:rPr>
          <w:fldChar w:fldCharType="end"/>
        </w:r>
      </w:hyperlink>
    </w:p>
    <w:p w14:paraId="388D108E"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4" w:history="1">
        <w:r w:rsidRPr="004D26F9">
          <w:rPr>
            <w:rStyle w:val="Hyperlink"/>
            <w:noProof/>
          </w:rPr>
          <w:t>Table B</w:t>
        </w:r>
        <w:r w:rsidRPr="004D26F9">
          <w:rPr>
            <w:rStyle w:val="Hyperlink"/>
            <w:noProof/>
          </w:rPr>
          <w:noBreakHyphen/>
          <w:t>7: Relevant Key Threatening Processes and associated Threat Abatement Plans for the Greater Sand Plover</w:t>
        </w:r>
        <w:r>
          <w:rPr>
            <w:noProof/>
            <w:webHidden/>
          </w:rPr>
          <w:tab/>
        </w:r>
        <w:r>
          <w:rPr>
            <w:noProof/>
            <w:webHidden/>
          </w:rPr>
          <w:fldChar w:fldCharType="begin"/>
        </w:r>
        <w:r>
          <w:rPr>
            <w:noProof/>
            <w:webHidden/>
          </w:rPr>
          <w:instrText xml:space="preserve"> PAGEREF _Toc134697924 \h </w:instrText>
        </w:r>
        <w:r>
          <w:rPr>
            <w:noProof/>
            <w:webHidden/>
          </w:rPr>
        </w:r>
        <w:r>
          <w:rPr>
            <w:noProof/>
            <w:webHidden/>
          </w:rPr>
          <w:fldChar w:fldCharType="separate"/>
        </w:r>
        <w:r>
          <w:rPr>
            <w:noProof/>
            <w:webHidden/>
          </w:rPr>
          <w:t>B-31</w:t>
        </w:r>
        <w:r>
          <w:rPr>
            <w:noProof/>
            <w:webHidden/>
          </w:rPr>
          <w:fldChar w:fldCharType="end"/>
        </w:r>
      </w:hyperlink>
    </w:p>
    <w:p w14:paraId="16C0D8B4"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5" w:history="1">
        <w:r w:rsidRPr="004D26F9">
          <w:rPr>
            <w:rStyle w:val="Hyperlink"/>
            <w:noProof/>
          </w:rPr>
          <w:t>Table B</w:t>
        </w:r>
        <w:r w:rsidRPr="004D26F9">
          <w:rPr>
            <w:rStyle w:val="Hyperlink"/>
            <w:noProof/>
          </w:rPr>
          <w:noBreakHyphen/>
          <w:t>8: Relevant Key Threatening Processes and associated Threat Abatement Plans for the Lesser Sand Plover</w:t>
        </w:r>
        <w:r>
          <w:rPr>
            <w:noProof/>
            <w:webHidden/>
          </w:rPr>
          <w:tab/>
        </w:r>
        <w:r>
          <w:rPr>
            <w:noProof/>
            <w:webHidden/>
          </w:rPr>
          <w:fldChar w:fldCharType="begin"/>
        </w:r>
        <w:r>
          <w:rPr>
            <w:noProof/>
            <w:webHidden/>
          </w:rPr>
          <w:instrText xml:space="preserve"> PAGEREF _Toc134697925 \h </w:instrText>
        </w:r>
        <w:r>
          <w:rPr>
            <w:noProof/>
            <w:webHidden/>
          </w:rPr>
        </w:r>
        <w:r>
          <w:rPr>
            <w:noProof/>
            <w:webHidden/>
          </w:rPr>
          <w:fldChar w:fldCharType="separate"/>
        </w:r>
        <w:r>
          <w:rPr>
            <w:noProof/>
            <w:webHidden/>
          </w:rPr>
          <w:t>B-35</w:t>
        </w:r>
        <w:r>
          <w:rPr>
            <w:noProof/>
            <w:webHidden/>
          </w:rPr>
          <w:fldChar w:fldCharType="end"/>
        </w:r>
      </w:hyperlink>
    </w:p>
    <w:p w14:paraId="7F461EF2"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6" w:history="1">
        <w:r w:rsidRPr="004D26F9">
          <w:rPr>
            <w:rStyle w:val="Hyperlink"/>
            <w:noProof/>
          </w:rPr>
          <w:t>Table B</w:t>
        </w:r>
        <w:r w:rsidRPr="004D26F9">
          <w:rPr>
            <w:rStyle w:val="Hyperlink"/>
            <w:noProof/>
          </w:rPr>
          <w:noBreakHyphen/>
          <w:t>9: Relevant Key Threatening Processes and associated Threat Abatement Plans for the Orange-bellied Parrot</w:t>
        </w:r>
        <w:r>
          <w:rPr>
            <w:noProof/>
            <w:webHidden/>
          </w:rPr>
          <w:tab/>
        </w:r>
        <w:r>
          <w:rPr>
            <w:noProof/>
            <w:webHidden/>
          </w:rPr>
          <w:fldChar w:fldCharType="begin"/>
        </w:r>
        <w:r>
          <w:rPr>
            <w:noProof/>
            <w:webHidden/>
          </w:rPr>
          <w:instrText xml:space="preserve"> PAGEREF _Toc134697926 \h </w:instrText>
        </w:r>
        <w:r>
          <w:rPr>
            <w:noProof/>
            <w:webHidden/>
          </w:rPr>
        </w:r>
        <w:r>
          <w:rPr>
            <w:noProof/>
            <w:webHidden/>
          </w:rPr>
          <w:fldChar w:fldCharType="separate"/>
        </w:r>
        <w:r>
          <w:rPr>
            <w:noProof/>
            <w:webHidden/>
          </w:rPr>
          <w:t>B-41</w:t>
        </w:r>
        <w:r>
          <w:rPr>
            <w:noProof/>
            <w:webHidden/>
          </w:rPr>
          <w:fldChar w:fldCharType="end"/>
        </w:r>
      </w:hyperlink>
    </w:p>
    <w:p w14:paraId="401E148A"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7" w:history="1">
        <w:r w:rsidRPr="004D26F9">
          <w:rPr>
            <w:rStyle w:val="Hyperlink"/>
            <w:noProof/>
          </w:rPr>
          <w:t>Table B</w:t>
        </w:r>
        <w:r w:rsidRPr="004D26F9">
          <w:rPr>
            <w:rStyle w:val="Hyperlink"/>
            <w:noProof/>
          </w:rPr>
          <w:noBreakHyphen/>
          <w:t>10: Relevant Key Threatening Processes and associated Threat Abatement Plans for the Red Knot</w:t>
        </w:r>
        <w:r>
          <w:rPr>
            <w:noProof/>
            <w:webHidden/>
          </w:rPr>
          <w:tab/>
        </w:r>
        <w:r>
          <w:rPr>
            <w:noProof/>
            <w:webHidden/>
          </w:rPr>
          <w:fldChar w:fldCharType="begin"/>
        </w:r>
        <w:r>
          <w:rPr>
            <w:noProof/>
            <w:webHidden/>
          </w:rPr>
          <w:instrText xml:space="preserve"> PAGEREF _Toc134697927 \h </w:instrText>
        </w:r>
        <w:r>
          <w:rPr>
            <w:noProof/>
            <w:webHidden/>
          </w:rPr>
        </w:r>
        <w:r>
          <w:rPr>
            <w:noProof/>
            <w:webHidden/>
          </w:rPr>
          <w:fldChar w:fldCharType="separate"/>
        </w:r>
        <w:r>
          <w:rPr>
            <w:noProof/>
            <w:webHidden/>
          </w:rPr>
          <w:t>B-45</w:t>
        </w:r>
        <w:r>
          <w:rPr>
            <w:noProof/>
            <w:webHidden/>
          </w:rPr>
          <w:fldChar w:fldCharType="end"/>
        </w:r>
      </w:hyperlink>
    </w:p>
    <w:p w14:paraId="5D06B7E4"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8" w:history="1">
        <w:r w:rsidRPr="004D26F9">
          <w:rPr>
            <w:rStyle w:val="Hyperlink"/>
            <w:noProof/>
          </w:rPr>
          <w:t>Table B</w:t>
        </w:r>
        <w:r w:rsidRPr="004D26F9">
          <w:rPr>
            <w:rStyle w:val="Hyperlink"/>
            <w:noProof/>
          </w:rPr>
          <w:noBreakHyphen/>
          <w:t>11: Relevant Key Threatening Processes and associated Threat Abatement Plans for the Western Alaskan Bar-tailed Godwit</w:t>
        </w:r>
        <w:r>
          <w:rPr>
            <w:noProof/>
            <w:webHidden/>
          </w:rPr>
          <w:tab/>
        </w:r>
        <w:r>
          <w:rPr>
            <w:noProof/>
            <w:webHidden/>
          </w:rPr>
          <w:fldChar w:fldCharType="begin"/>
        </w:r>
        <w:r>
          <w:rPr>
            <w:noProof/>
            <w:webHidden/>
          </w:rPr>
          <w:instrText xml:space="preserve"> PAGEREF _Toc134697928 \h </w:instrText>
        </w:r>
        <w:r>
          <w:rPr>
            <w:noProof/>
            <w:webHidden/>
          </w:rPr>
        </w:r>
        <w:r>
          <w:rPr>
            <w:noProof/>
            <w:webHidden/>
          </w:rPr>
          <w:fldChar w:fldCharType="separate"/>
        </w:r>
        <w:r>
          <w:rPr>
            <w:noProof/>
            <w:webHidden/>
          </w:rPr>
          <w:t>B-49</w:t>
        </w:r>
        <w:r>
          <w:rPr>
            <w:noProof/>
            <w:webHidden/>
          </w:rPr>
          <w:fldChar w:fldCharType="end"/>
        </w:r>
      </w:hyperlink>
    </w:p>
    <w:p w14:paraId="65C983C9"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29" w:history="1">
        <w:r w:rsidRPr="004D26F9">
          <w:rPr>
            <w:rStyle w:val="Hyperlink"/>
            <w:noProof/>
          </w:rPr>
          <w:t>Table C</w:t>
        </w:r>
        <w:r w:rsidRPr="004D26F9">
          <w:rPr>
            <w:rStyle w:val="Hyperlink"/>
            <w:noProof/>
          </w:rPr>
          <w:noBreakHyphen/>
          <w:t>1: Relevant Key Threatening Processes and associated Threat Abatement Plans for the Australian Grayling</w:t>
        </w:r>
        <w:r>
          <w:rPr>
            <w:noProof/>
            <w:webHidden/>
          </w:rPr>
          <w:tab/>
        </w:r>
        <w:r>
          <w:rPr>
            <w:noProof/>
            <w:webHidden/>
          </w:rPr>
          <w:fldChar w:fldCharType="begin"/>
        </w:r>
        <w:r>
          <w:rPr>
            <w:noProof/>
            <w:webHidden/>
          </w:rPr>
          <w:instrText xml:space="preserve"> PAGEREF _Toc134697929 \h </w:instrText>
        </w:r>
        <w:r>
          <w:rPr>
            <w:noProof/>
            <w:webHidden/>
          </w:rPr>
        </w:r>
        <w:r>
          <w:rPr>
            <w:noProof/>
            <w:webHidden/>
          </w:rPr>
          <w:fldChar w:fldCharType="separate"/>
        </w:r>
        <w:r>
          <w:rPr>
            <w:noProof/>
            <w:webHidden/>
          </w:rPr>
          <w:t>C-6</w:t>
        </w:r>
        <w:r>
          <w:rPr>
            <w:noProof/>
            <w:webHidden/>
          </w:rPr>
          <w:fldChar w:fldCharType="end"/>
        </w:r>
      </w:hyperlink>
    </w:p>
    <w:p w14:paraId="7ED1ADAD"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30" w:history="1">
        <w:r w:rsidRPr="004D26F9">
          <w:rPr>
            <w:rStyle w:val="Hyperlink"/>
            <w:noProof/>
          </w:rPr>
          <w:t>Table C</w:t>
        </w:r>
        <w:r w:rsidRPr="004D26F9">
          <w:rPr>
            <w:rStyle w:val="Hyperlink"/>
            <w:noProof/>
          </w:rPr>
          <w:noBreakHyphen/>
          <w:t>2: Relevant Key Threatening Processes and associated Threat Abatement Plans for the Eastern Dwarf Galaxias</w:t>
        </w:r>
        <w:r>
          <w:rPr>
            <w:noProof/>
            <w:webHidden/>
          </w:rPr>
          <w:tab/>
        </w:r>
        <w:r>
          <w:rPr>
            <w:noProof/>
            <w:webHidden/>
          </w:rPr>
          <w:fldChar w:fldCharType="begin"/>
        </w:r>
        <w:r>
          <w:rPr>
            <w:noProof/>
            <w:webHidden/>
          </w:rPr>
          <w:instrText xml:space="preserve"> PAGEREF _Toc134697930 \h </w:instrText>
        </w:r>
        <w:r>
          <w:rPr>
            <w:noProof/>
            <w:webHidden/>
          </w:rPr>
        </w:r>
        <w:r>
          <w:rPr>
            <w:noProof/>
            <w:webHidden/>
          </w:rPr>
          <w:fldChar w:fldCharType="separate"/>
        </w:r>
        <w:r>
          <w:rPr>
            <w:noProof/>
            <w:webHidden/>
          </w:rPr>
          <w:t>C-11</w:t>
        </w:r>
        <w:r>
          <w:rPr>
            <w:noProof/>
            <w:webHidden/>
          </w:rPr>
          <w:fldChar w:fldCharType="end"/>
        </w:r>
      </w:hyperlink>
    </w:p>
    <w:p w14:paraId="4D00C91F" w14:textId="77777777" w:rsidR="000B173B" w:rsidRDefault="000B173B" w:rsidP="000B173B">
      <w:pPr>
        <w:pStyle w:val="TableofFigures"/>
        <w:tabs>
          <w:tab w:val="right" w:leader="dot" w:pos="9622"/>
        </w:tabs>
        <w:rPr>
          <w:rFonts w:asciiTheme="minorHAnsi" w:eastAsiaTheme="minorEastAsia" w:hAnsiTheme="minorHAnsi" w:cstheme="minorBidi"/>
          <w:noProof/>
          <w:kern w:val="2"/>
          <w:sz w:val="24"/>
          <w:szCs w:val="24"/>
          <w:lang w:eastAsia="en-GB"/>
          <w14:ligatures w14:val="standardContextual"/>
        </w:rPr>
      </w:pPr>
      <w:hyperlink w:anchor="_Toc134697931" w:history="1">
        <w:r w:rsidRPr="004D26F9">
          <w:rPr>
            <w:rStyle w:val="Hyperlink"/>
            <w:noProof/>
          </w:rPr>
          <w:t>Table C</w:t>
        </w:r>
        <w:r w:rsidRPr="004D26F9">
          <w:rPr>
            <w:rStyle w:val="Hyperlink"/>
            <w:noProof/>
          </w:rPr>
          <w:noBreakHyphen/>
          <w:t>3: Relevant Key Threatening Processes and associated Threat Abatement Plans for the Yarra Pygmy Perch</w:t>
        </w:r>
        <w:r>
          <w:rPr>
            <w:noProof/>
            <w:webHidden/>
          </w:rPr>
          <w:tab/>
        </w:r>
        <w:r>
          <w:rPr>
            <w:noProof/>
            <w:webHidden/>
          </w:rPr>
          <w:fldChar w:fldCharType="begin"/>
        </w:r>
        <w:r>
          <w:rPr>
            <w:noProof/>
            <w:webHidden/>
          </w:rPr>
          <w:instrText xml:space="preserve"> PAGEREF _Toc134697931 \h </w:instrText>
        </w:r>
        <w:r>
          <w:rPr>
            <w:noProof/>
            <w:webHidden/>
          </w:rPr>
        </w:r>
        <w:r>
          <w:rPr>
            <w:noProof/>
            <w:webHidden/>
          </w:rPr>
          <w:fldChar w:fldCharType="separate"/>
        </w:r>
        <w:r>
          <w:rPr>
            <w:noProof/>
            <w:webHidden/>
          </w:rPr>
          <w:t>C-16</w:t>
        </w:r>
        <w:r>
          <w:rPr>
            <w:noProof/>
            <w:webHidden/>
          </w:rPr>
          <w:fldChar w:fldCharType="end"/>
        </w:r>
      </w:hyperlink>
    </w:p>
    <w:p w14:paraId="32308D18" w14:textId="77777777" w:rsidR="000B173B" w:rsidRDefault="000B173B" w:rsidP="000B173B">
      <w:pPr>
        <w:sectPr w:rsidR="000B173B" w:rsidSect="00BB3B0C">
          <w:headerReference w:type="even" r:id="rId114"/>
          <w:headerReference w:type="default" r:id="rId115"/>
          <w:footerReference w:type="default" r:id="rId116"/>
          <w:headerReference w:type="first" r:id="rId117"/>
          <w:pgSz w:w="11900" w:h="16840"/>
          <w:pgMar w:top="1247" w:right="1134" w:bottom="1247" w:left="1134" w:header="708" w:footer="708" w:gutter="0"/>
          <w:pgNumType w:fmt="lowerRoman" w:start="1"/>
          <w:cols w:space="708"/>
          <w:docGrid w:linePitch="360"/>
        </w:sectPr>
      </w:pPr>
      <w:r>
        <w:fldChar w:fldCharType="end"/>
      </w:r>
    </w:p>
    <w:p w14:paraId="0BA19B9A" w14:textId="77777777" w:rsidR="000B173B" w:rsidRPr="00037DE0" w:rsidRDefault="000B173B" w:rsidP="000B173B">
      <w:pPr>
        <w:rPr>
          <w:sz w:val="16"/>
          <w:szCs w:val="16"/>
        </w:rPr>
      </w:pPr>
    </w:p>
    <w:p w14:paraId="51DB1A2B" w14:textId="77777777" w:rsidR="000B173B" w:rsidRPr="002D7BF5" w:rsidRDefault="000B173B" w:rsidP="000B173B">
      <w:pPr>
        <w:pStyle w:val="Heading1"/>
      </w:pPr>
      <w:bookmarkStart w:id="208" w:name="_Toc116639687"/>
      <w:bookmarkStart w:id="209" w:name="_Toc131154195"/>
      <w:bookmarkStart w:id="210" w:name="_Toc131154382"/>
      <w:r>
        <w:t xml:space="preserve">Detailed categorisation and preliminary </w:t>
      </w:r>
      <w:r w:rsidRPr="002D7BF5">
        <w:t>assessment for protected matters</w:t>
      </w:r>
      <w:bookmarkEnd w:id="208"/>
      <w:bookmarkEnd w:id="209"/>
      <w:bookmarkEnd w:id="210"/>
    </w:p>
    <w:p w14:paraId="5D87B870" w14:textId="77777777" w:rsidR="000B173B" w:rsidRDefault="000B173B" w:rsidP="000B173B">
      <w:r>
        <w:t xml:space="preserve">This attachment contains the detailed results of the categorisation processes described in </w:t>
      </w:r>
      <w:r w:rsidRPr="006900FB">
        <w:t>Section 18.2 of Chapter 18</w:t>
      </w:r>
      <w:r w:rsidRPr="00B66438">
        <w:t>.</w:t>
      </w:r>
    </w:p>
    <w:p w14:paraId="3ABB9234" w14:textId="77777777" w:rsidR="000B173B" w:rsidRPr="002D7BF5" w:rsidRDefault="000B173B" w:rsidP="000B173B">
      <w:r>
        <w:t>Specifically, t</w:t>
      </w:r>
      <w:r w:rsidRPr="002D7BF5">
        <w:t xml:space="preserve">his </w:t>
      </w:r>
      <w:r>
        <w:t>attachment</w:t>
      </w:r>
      <w:r w:rsidRPr="002D7BF5">
        <w:t xml:space="preserve"> outlines:</w:t>
      </w:r>
    </w:p>
    <w:p w14:paraId="48E4B5D9" w14:textId="77777777" w:rsidR="000B173B" w:rsidRPr="002D7BF5" w:rsidRDefault="000B173B" w:rsidP="000B173B">
      <w:pPr>
        <w:pStyle w:val="Bullet1"/>
      </w:pPr>
      <w:r w:rsidRPr="002D7BF5">
        <w:t>The categorisation and assessment of threatened species, including:</w:t>
      </w:r>
    </w:p>
    <w:p w14:paraId="09212153" w14:textId="77777777" w:rsidR="000B173B" w:rsidRPr="002D7BF5" w:rsidRDefault="000B173B" w:rsidP="000B173B">
      <w:pPr>
        <w:pStyle w:val="Bullet2"/>
      </w:pPr>
      <w:r w:rsidRPr="002D7BF5">
        <w:t>The results of Step 2 of the categorisation methodology</w:t>
      </w:r>
      <w:r>
        <w:t xml:space="preserve"> </w:t>
      </w:r>
      <w:r w:rsidRPr="002D7BF5">
        <w:t xml:space="preserve">in which criteria are applied to remove species which will clearly not be impacted from the full list of identified potentially relevant </w:t>
      </w:r>
      <w:r>
        <w:t xml:space="preserve">species (see </w:t>
      </w:r>
      <w:r>
        <w:fldChar w:fldCharType="begin"/>
      </w:r>
      <w:r>
        <w:instrText xml:space="preserve"> REF _Ref116652951 \h </w:instrText>
      </w:r>
      <w:r>
        <w:fldChar w:fldCharType="separate"/>
      </w:r>
      <w:r>
        <w:t xml:space="preserve">Table </w:t>
      </w:r>
      <w:r>
        <w:rPr>
          <w:noProof/>
        </w:rPr>
        <w:t>A</w:t>
      </w:r>
      <w:r>
        <w:noBreakHyphen/>
      </w:r>
      <w:r>
        <w:rPr>
          <w:noProof/>
        </w:rPr>
        <w:t>1</w:t>
      </w:r>
      <w:r>
        <w:fldChar w:fldCharType="end"/>
      </w:r>
      <w:r>
        <w:t>)</w:t>
      </w:r>
      <w:r w:rsidRPr="002D7BF5">
        <w:t>,</w:t>
      </w:r>
    </w:p>
    <w:p w14:paraId="5708184F" w14:textId="77777777" w:rsidR="000B173B" w:rsidRPr="002D7BF5" w:rsidRDefault="000B173B" w:rsidP="000B173B">
      <w:pPr>
        <w:pStyle w:val="Bullet2"/>
      </w:pPr>
      <w:r w:rsidRPr="002D7BF5">
        <w:t>The results of Step 3 of the categorisation methodology, which outlines the preliminary assessment of each threatened species which remained after the application of Step 2</w:t>
      </w:r>
      <w:r>
        <w:t xml:space="preserve"> (see </w:t>
      </w:r>
      <w:r>
        <w:fldChar w:fldCharType="begin"/>
      </w:r>
      <w:r>
        <w:instrText xml:space="preserve"> REF _Ref116652975 \h </w:instrText>
      </w:r>
      <w:r>
        <w:fldChar w:fldCharType="separate"/>
      </w:r>
      <w:r>
        <w:t xml:space="preserve">Table </w:t>
      </w:r>
      <w:r>
        <w:rPr>
          <w:noProof/>
        </w:rPr>
        <w:t>A</w:t>
      </w:r>
      <w:r>
        <w:noBreakHyphen/>
      </w:r>
      <w:r>
        <w:rPr>
          <w:noProof/>
        </w:rPr>
        <w:t>2</w:t>
      </w:r>
      <w:r>
        <w:fldChar w:fldCharType="end"/>
      </w:r>
      <w:r>
        <w:t>)</w:t>
      </w:r>
    </w:p>
    <w:p w14:paraId="6C998083" w14:textId="77777777" w:rsidR="000B173B" w:rsidRDefault="000B173B" w:rsidP="000B173B">
      <w:pPr>
        <w:pStyle w:val="Bullet1"/>
      </w:pPr>
      <w:r>
        <w:t xml:space="preserve">The categorisation and preliminary assessment of threatened ecological communities (see </w:t>
      </w:r>
      <w:r>
        <w:fldChar w:fldCharType="begin"/>
      </w:r>
      <w:r>
        <w:instrText xml:space="preserve"> REF _Ref116653124 \h </w:instrText>
      </w:r>
      <w:r>
        <w:fldChar w:fldCharType="separate"/>
      </w:r>
      <w:r>
        <w:t xml:space="preserve">Table </w:t>
      </w:r>
      <w:r>
        <w:rPr>
          <w:noProof/>
        </w:rPr>
        <w:t>A</w:t>
      </w:r>
      <w:r>
        <w:noBreakHyphen/>
      </w:r>
      <w:r>
        <w:rPr>
          <w:noProof/>
        </w:rPr>
        <w:t>3</w:t>
      </w:r>
      <w:r>
        <w:fldChar w:fldCharType="end"/>
      </w:r>
      <w:r>
        <w:t>)</w:t>
      </w:r>
    </w:p>
    <w:p w14:paraId="57E41E6B" w14:textId="77777777" w:rsidR="000B173B" w:rsidRDefault="000B173B" w:rsidP="000B173B">
      <w:pPr>
        <w:pStyle w:val="Bullet1"/>
      </w:pPr>
      <w:r w:rsidRPr="002D7BF5">
        <w:t>The categorisation and preliminary assessment of FPAL species and communities</w:t>
      </w:r>
      <w:r>
        <w:t xml:space="preserve"> (see </w:t>
      </w:r>
      <w:r>
        <w:fldChar w:fldCharType="begin"/>
      </w:r>
      <w:r>
        <w:instrText xml:space="preserve"> REF _Ref116653188 \h </w:instrText>
      </w:r>
      <w:r>
        <w:fldChar w:fldCharType="separate"/>
      </w:r>
      <w:r>
        <w:t xml:space="preserve">Table </w:t>
      </w:r>
      <w:r>
        <w:rPr>
          <w:noProof/>
        </w:rPr>
        <w:t>A</w:t>
      </w:r>
      <w:r>
        <w:noBreakHyphen/>
      </w:r>
      <w:r>
        <w:rPr>
          <w:noProof/>
        </w:rPr>
        <w:t>4</w:t>
      </w:r>
      <w:r>
        <w:fldChar w:fldCharType="end"/>
      </w:r>
      <w:r>
        <w:t xml:space="preserve"> and </w:t>
      </w:r>
      <w:r>
        <w:fldChar w:fldCharType="begin"/>
      </w:r>
      <w:r>
        <w:instrText xml:space="preserve"> REF _Ref116653193 \h </w:instrText>
      </w:r>
      <w:r>
        <w:fldChar w:fldCharType="separate"/>
      </w:r>
      <w:r>
        <w:t xml:space="preserve">Table </w:t>
      </w:r>
      <w:r>
        <w:rPr>
          <w:noProof/>
        </w:rPr>
        <w:t>A</w:t>
      </w:r>
      <w:r>
        <w:noBreakHyphen/>
      </w:r>
      <w:r>
        <w:rPr>
          <w:noProof/>
        </w:rPr>
        <w:t>5</w:t>
      </w:r>
      <w:r>
        <w:fldChar w:fldCharType="end"/>
      </w:r>
      <w:r>
        <w:t>)</w:t>
      </w:r>
    </w:p>
    <w:p w14:paraId="656FE03C" w14:textId="77777777" w:rsidR="000B173B" w:rsidRPr="002D7BF5" w:rsidRDefault="000B173B" w:rsidP="000B173B">
      <w:pPr>
        <w:pStyle w:val="Bullet1"/>
      </w:pPr>
      <w:r w:rsidRPr="002D7BF5">
        <w:t>The categorisation and preliminary assessment of migratory species</w:t>
      </w:r>
      <w:r>
        <w:t xml:space="preserve"> (see </w:t>
      </w:r>
      <w:r>
        <w:fldChar w:fldCharType="begin"/>
      </w:r>
      <w:r>
        <w:instrText xml:space="preserve"> REF _Ref116653222 \h </w:instrText>
      </w:r>
      <w:r>
        <w:fldChar w:fldCharType="separate"/>
      </w:r>
      <w:r>
        <w:t xml:space="preserve">Table </w:t>
      </w:r>
      <w:r>
        <w:rPr>
          <w:noProof/>
        </w:rPr>
        <w:t>A</w:t>
      </w:r>
      <w:r>
        <w:noBreakHyphen/>
      </w:r>
      <w:r>
        <w:rPr>
          <w:noProof/>
        </w:rPr>
        <w:t>6</w:t>
      </w:r>
      <w:r>
        <w:fldChar w:fldCharType="end"/>
      </w:r>
      <w:r>
        <w:t xml:space="preserve"> and </w:t>
      </w:r>
      <w:r>
        <w:fldChar w:fldCharType="begin"/>
      </w:r>
      <w:r>
        <w:instrText xml:space="preserve"> REF _Ref116653227 \h </w:instrText>
      </w:r>
      <w:r>
        <w:fldChar w:fldCharType="separate"/>
      </w:r>
      <w:r>
        <w:t xml:space="preserve">Table </w:t>
      </w:r>
      <w:r>
        <w:rPr>
          <w:noProof/>
        </w:rPr>
        <w:t>A</w:t>
      </w:r>
      <w:r>
        <w:noBreakHyphen/>
      </w:r>
      <w:r>
        <w:rPr>
          <w:noProof/>
        </w:rPr>
        <w:t>7</w:t>
      </w:r>
      <w:r>
        <w:fldChar w:fldCharType="end"/>
      </w:r>
      <w:r>
        <w:t>)</w:t>
      </w:r>
    </w:p>
    <w:p w14:paraId="0FFA572F" w14:textId="77777777" w:rsidR="000B173B" w:rsidRDefault="000B173B" w:rsidP="000B173B">
      <w:pPr>
        <w:rPr>
          <w:highlight w:val="yellow"/>
        </w:rPr>
      </w:pPr>
    </w:p>
    <w:p w14:paraId="11EF6372" w14:textId="77777777" w:rsidR="000B173B" w:rsidRDefault="000B173B" w:rsidP="000B173B">
      <w:pPr>
        <w:tabs>
          <w:tab w:val="clear" w:pos="4962"/>
        </w:tabs>
        <w:spacing w:before="0" w:after="0" w:line="240" w:lineRule="auto"/>
        <w:rPr>
          <w:rFonts w:ascii="Helvetica" w:eastAsia="MS Gothic" w:hAnsi="Helvetica"/>
          <w:b/>
          <w:bCs/>
          <w:caps/>
          <w:spacing w:val="18"/>
          <w:sz w:val="20"/>
        </w:rPr>
        <w:sectPr w:rsidR="000B173B" w:rsidSect="007F3C87">
          <w:headerReference w:type="even" r:id="rId118"/>
          <w:footerReference w:type="default" r:id="rId119"/>
          <w:headerReference w:type="first" r:id="rId120"/>
          <w:pgSz w:w="11900" w:h="16840"/>
          <w:pgMar w:top="1247" w:right="1134" w:bottom="1247" w:left="1134" w:header="708" w:footer="708" w:gutter="0"/>
          <w:pgNumType w:start="1" w:chapStyle="1"/>
          <w:cols w:space="708"/>
          <w:docGrid w:linePitch="360"/>
        </w:sectPr>
      </w:pPr>
    </w:p>
    <w:p w14:paraId="27C6B6D3" w14:textId="77777777" w:rsidR="000B173B" w:rsidRDefault="000B173B" w:rsidP="000B173B">
      <w:pPr>
        <w:pStyle w:val="Heading2"/>
        <w:numPr>
          <w:ilvl w:val="0"/>
          <w:numId w:val="0"/>
        </w:numPr>
        <w:ind w:left="576" w:hanging="576"/>
      </w:pPr>
      <w:bookmarkStart w:id="211" w:name="_Toc116639688"/>
      <w:bookmarkStart w:id="212" w:name="_Toc131154196"/>
      <w:bookmarkStart w:id="213" w:name="_Toc131154383"/>
      <w:r w:rsidRPr="00E31CA8">
        <w:lastRenderedPageBreak/>
        <w:t>Threatened</w:t>
      </w:r>
      <w:r>
        <w:t xml:space="preserve"> species categorisation</w:t>
      </w:r>
      <w:bookmarkEnd w:id="211"/>
      <w:bookmarkEnd w:id="212"/>
      <w:bookmarkEnd w:id="213"/>
    </w:p>
    <w:p w14:paraId="0D608F27" w14:textId="77777777" w:rsidR="000B173B" w:rsidRPr="00E31CA8" w:rsidRDefault="000B173B" w:rsidP="000B173B">
      <w:pPr>
        <w:pStyle w:val="Caption"/>
      </w:pPr>
      <w:bookmarkStart w:id="214" w:name="_Ref116652951"/>
      <w:bookmarkStart w:id="215" w:name="_Toc134697911"/>
      <w:r>
        <w:t xml:space="preserve">Table </w:t>
      </w:r>
      <w:r>
        <w:fldChar w:fldCharType="begin"/>
      </w:r>
      <w:r>
        <w:instrText xml:space="preserve"> STYLEREF 1 \s </w:instrText>
      </w:r>
      <w:r>
        <w:fldChar w:fldCharType="separate"/>
      </w:r>
      <w:r>
        <w:rPr>
          <w:noProof/>
        </w:rPr>
        <w:t>A</w:t>
      </w:r>
      <w:r>
        <w:fldChar w:fldCharType="end"/>
      </w:r>
      <w:r>
        <w:noBreakHyphen/>
      </w:r>
      <w:r>
        <w:fldChar w:fldCharType="begin"/>
      </w:r>
      <w:r>
        <w:instrText xml:space="preserve"> SEQ Table \* ARABIC \s 1 </w:instrText>
      </w:r>
      <w:r>
        <w:fldChar w:fldCharType="separate"/>
      </w:r>
      <w:r>
        <w:rPr>
          <w:noProof/>
        </w:rPr>
        <w:t>1</w:t>
      </w:r>
      <w:r>
        <w:fldChar w:fldCharType="end"/>
      </w:r>
      <w:bookmarkEnd w:id="214"/>
      <w:r>
        <w:t>: Threatened species categorisation results</w:t>
      </w:r>
      <w:bookmarkEnd w:id="215"/>
    </w:p>
    <w:tbl>
      <w:tblPr>
        <w:tblStyle w:val="TableGrid"/>
        <w:tblW w:w="14336" w:type="dxa"/>
        <w:tblLook w:val="04A0" w:firstRow="1" w:lastRow="0" w:firstColumn="1" w:lastColumn="0" w:noHBand="0" w:noVBand="1"/>
      </w:tblPr>
      <w:tblGrid>
        <w:gridCol w:w="3114"/>
        <w:gridCol w:w="3118"/>
        <w:gridCol w:w="2835"/>
        <w:gridCol w:w="851"/>
        <w:gridCol w:w="850"/>
        <w:gridCol w:w="1134"/>
        <w:gridCol w:w="1134"/>
        <w:gridCol w:w="1300"/>
      </w:tblGrid>
      <w:tr w:rsidR="000B173B" w14:paraId="1701C17B" w14:textId="77777777" w:rsidTr="00A15226">
        <w:trPr>
          <w:tblHeader/>
        </w:trPr>
        <w:tc>
          <w:tcPr>
            <w:tcW w:w="3114" w:type="dxa"/>
            <w:vMerge w:val="restart"/>
            <w:shd w:val="clear" w:color="auto" w:fill="C9C9C9" w:themeFill="accent3" w:themeFillTint="99"/>
            <w:vAlign w:val="center"/>
          </w:tcPr>
          <w:p w14:paraId="4C607E1E" w14:textId="77777777" w:rsidR="000B173B" w:rsidRPr="0087369D" w:rsidRDefault="000B173B" w:rsidP="00A15226">
            <w:pPr>
              <w:pStyle w:val="Tabletext"/>
              <w:rPr>
                <w:b/>
                <w:bCs/>
              </w:rPr>
            </w:pPr>
            <w:r w:rsidRPr="0087369D">
              <w:rPr>
                <w:b/>
                <w:bCs/>
              </w:rPr>
              <w:t>Scientific</w:t>
            </w:r>
          </w:p>
        </w:tc>
        <w:tc>
          <w:tcPr>
            <w:tcW w:w="3118" w:type="dxa"/>
            <w:vMerge w:val="restart"/>
            <w:shd w:val="clear" w:color="auto" w:fill="C9C9C9" w:themeFill="accent3" w:themeFillTint="99"/>
            <w:vAlign w:val="center"/>
          </w:tcPr>
          <w:p w14:paraId="2CD33285" w14:textId="77777777" w:rsidR="000B173B" w:rsidRPr="0087369D" w:rsidRDefault="000B173B" w:rsidP="00A15226">
            <w:pPr>
              <w:pStyle w:val="Tabletext"/>
              <w:rPr>
                <w:b/>
                <w:bCs/>
              </w:rPr>
            </w:pPr>
            <w:r w:rsidRPr="0087369D">
              <w:rPr>
                <w:b/>
                <w:bCs/>
              </w:rPr>
              <w:t>Common</w:t>
            </w:r>
          </w:p>
        </w:tc>
        <w:tc>
          <w:tcPr>
            <w:tcW w:w="2835" w:type="dxa"/>
            <w:vMerge w:val="restart"/>
            <w:shd w:val="clear" w:color="auto" w:fill="C9C9C9" w:themeFill="accent3" w:themeFillTint="99"/>
            <w:vAlign w:val="center"/>
          </w:tcPr>
          <w:p w14:paraId="3D45E831" w14:textId="77777777" w:rsidR="000B173B" w:rsidRDefault="000B173B" w:rsidP="00A15226">
            <w:pPr>
              <w:pStyle w:val="Tabletext"/>
              <w:rPr>
                <w:b/>
                <w:bCs/>
              </w:rPr>
            </w:pPr>
            <w:r>
              <w:rPr>
                <w:b/>
                <w:bCs/>
              </w:rPr>
              <w:t xml:space="preserve">EPBC Act </w:t>
            </w:r>
            <w:r w:rsidRPr="0087369D">
              <w:rPr>
                <w:b/>
                <w:bCs/>
              </w:rPr>
              <w:t>Listing</w:t>
            </w:r>
          </w:p>
        </w:tc>
        <w:tc>
          <w:tcPr>
            <w:tcW w:w="1701" w:type="dxa"/>
            <w:gridSpan w:val="2"/>
            <w:shd w:val="clear" w:color="auto" w:fill="C9C9C9" w:themeFill="accent3" w:themeFillTint="99"/>
            <w:vAlign w:val="center"/>
          </w:tcPr>
          <w:p w14:paraId="3DE96B67" w14:textId="77777777" w:rsidR="000B173B" w:rsidRPr="0087369D" w:rsidRDefault="000B173B" w:rsidP="00A15226">
            <w:pPr>
              <w:pStyle w:val="Tabletext"/>
              <w:jc w:val="center"/>
              <w:rPr>
                <w:b/>
                <w:bCs/>
              </w:rPr>
            </w:pPr>
            <w:r>
              <w:rPr>
                <w:b/>
                <w:bCs/>
              </w:rPr>
              <w:t>Records</w:t>
            </w:r>
          </w:p>
        </w:tc>
        <w:tc>
          <w:tcPr>
            <w:tcW w:w="2268" w:type="dxa"/>
            <w:gridSpan w:val="2"/>
            <w:shd w:val="clear" w:color="auto" w:fill="C9C9C9" w:themeFill="accent3" w:themeFillTint="99"/>
            <w:vAlign w:val="center"/>
          </w:tcPr>
          <w:p w14:paraId="3ECA32D3" w14:textId="77777777" w:rsidR="000B173B" w:rsidRPr="0087369D" w:rsidRDefault="000B173B" w:rsidP="00A15226">
            <w:pPr>
              <w:pStyle w:val="Tabletext"/>
              <w:jc w:val="center"/>
              <w:rPr>
                <w:b/>
                <w:bCs/>
              </w:rPr>
            </w:pPr>
            <w:r>
              <w:rPr>
                <w:b/>
                <w:bCs/>
              </w:rPr>
              <w:t>Likelihood</w:t>
            </w:r>
          </w:p>
        </w:tc>
        <w:tc>
          <w:tcPr>
            <w:tcW w:w="1300" w:type="dxa"/>
            <w:vMerge w:val="restart"/>
            <w:shd w:val="clear" w:color="auto" w:fill="C9C9C9" w:themeFill="accent3" w:themeFillTint="99"/>
            <w:vAlign w:val="center"/>
          </w:tcPr>
          <w:p w14:paraId="6E0C8B69" w14:textId="77777777" w:rsidR="000B173B" w:rsidRDefault="000B173B" w:rsidP="00A15226">
            <w:pPr>
              <w:pStyle w:val="Tabletext"/>
              <w:jc w:val="center"/>
              <w:rPr>
                <w:b/>
                <w:bCs/>
              </w:rPr>
            </w:pPr>
            <w:r>
              <w:rPr>
                <w:b/>
                <w:bCs/>
              </w:rPr>
              <w:t>Potentially</w:t>
            </w:r>
          </w:p>
          <w:p w14:paraId="724D3546" w14:textId="77777777" w:rsidR="000B173B" w:rsidRDefault="000B173B" w:rsidP="00A15226">
            <w:pPr>
              <w:pStyle w:val="Tabletext"/>
              <w:jc w:val="center"/>
              <w:rPr>
                <w:b/>
                <w:bCs/>
              </w:rPr>
            </w:pPr>
            <w:r>
              <w:rPr>
                <w:b/>
                <w:bCs/>
              </w:rPr>
              <w:t>relevant</w:t>
            </w:r>
          </w:p>
        </w:tc>
      </w:tr>
      <w:tr w:rsidR="000B173B" w14:paraId="514B664F" w14:textId="77777777" w:rsidTr="00A15226">
        <w:tc>
          <w:tcPr>
            <w:tcW w:w="3114" w:type="dxa"/>
            <w:vMerge/>
            <w:tcBorders>
              <w:bottom w:val="single" w:sz="4" w:space="0" w:color="auto"/>
            </w:tcBorders>
            <w:shd w:val="clear" w:color="auto" w:fill="C9C9C9" w:themeFill="accent3" w:themeFillTint="99"/>
            <w:vAlign w:val="center"/>
          </w:tcPr>
          <w:p w14:paraId="396859AF" w14:textId="77777777" w:rsidR="000B173B" w:rsidRPr="0087369D" w:rsidRDefault="000B173B" w:rsidP="00A15226">
            <w:pPr>
              <w:pStyle w:val="Tabletext"/>
              <w:rPr>
                <w:b/>
                <w:bCs/>
              </w:rPr>
            </w:pPr>
          </w:p>
        </w:tc>
        <w:tc>
          <w:tcPr>
            <w:tcW w:w="3118" w:type="dxa"/>
            <w:vMerge/>
            <w:tcBorders>
              <w:bottom w:val="single" w:sz="4" w:space="0" w:color="auto"/>
            </w:tcBorders>
            <w:shd w:val="clear" w:color="auto" w:fill="C9C9C9" w:themeFill="accent3" w:themeFillTint="99"/>
            <w:vAlign w:val="center"/>
          </w:tcPr>
          <w:p w14:paraId="73456BC8" w14:textId="77777777" w:rsidR="000B173B" w:rsidRPr="0087369D" w:rsidRDefault="000B173B" w:rsidP="00A15226">
            <w:pPr>
              <w:pStyle w:val="Tabletext"/>
              <w:rPr>
                <w:b/>
                <w:bCs/>
              </w:rPr>
            </w:pPr>
          </w:p>
        </w:tc>
        <w:tc>
          <w:tcPr>
            <w:tcW w:w="2835" w:type="dxa"/>
            <w:vMerge/>
            <w:tcBorders>
              <w:bottom w:val="single" w:sz="4" w:space="0" w:color="auto"/>
            </w:tcBorders>
            <w:shd w:val="clear" w:color="auto" w:fill="C9C9C9" w:themeFill="accent3" w:themeFillTint="99"/>
            <w:vAlign w:val="center"/>
          </w:tcPr>
          <w:p w14:paraId="4944D65C" w14:textId="77777777" w:rsidR="000B173B" w:rsidRPr="0087369D" w:rsidRDefault="000B173B" w:rsidP="00A15226">
            <w:pPr>
              <w:pStyle w:val="Tabletext"/>
              <w:rPr>
                <w:b/>
                <w:bCs/>
              </w:rPr>
            </w:pPr>
          </w:p>
        </w:tc>
        <w:tc>
          <w:tcPr>
            <w:tcW w:w="851" w:type="dxa"/>
            <w:tcBorders>
              <w:bottom w:val="single" w:sz="4" w:space="0" w:color="auto"/>
            </w:tcBorders>
            <w:shd w:val="clear" w:color="auto" w:fill="C9C9C9" w:themeFill="accent3" w:themeFillTint="99"/>
            <w:vAlign w:val="center"/>
          </w:tcPr>
          <w:p w14:paraId="70E06741" w14:textId="77777777" w:rsidR="000B173B" w:rsidRPr="0087369D" w:rsidRDefault="000B173B" w:rsidP="00A15226">
            <w:pPr>
              <w:pStyle w:val="Tabletext"/>
              <w:jc w:val="center"/>
              <w:rPr>
                <w:b/>
                <w:bCs/>
              </w:rPr>
            </w:pPr>
            <w:r>
              <w:rPr>
                <w:b/>
                <w:bCs/>
              </w:rPr>
              <w:t>VBA</w:t>
            </w:r>
          </w:p>
        </w:tc>
        <w:tc>
          <w:tcPr>
            <w:tcW w:w="850" w:type="dxa"/>
            <w:tcBorders>
              <w:bottom w:val="single" w:sz="4" w:space="0" w:color="auto"/>
            </w:tcBorders>
            <w:shd w:val="clear" w:color="auto" w:fill="C9C9C9" w:themeFill="accent3" w:themeFillTint="99"/>
            <w:vAlign w:val="center"/>
          </w:tcPr>
          <w:p w14:paraId="6BE60EAA" w14:textId="77777777" w:rsidR="000B173B" w:rsidRPr="0087369D" w:rsidRDefault="000B173B" w:rsidP="00A15226">
            <w:pPr>
              <w:pStyle w:val="Tabletext"/>
              <w:jc w:val="center"/>
              <w:rPr>
                <w:b/>
                <w:bCs/>
              </w:rPr>
            </w:pPr>
            <w:r>
              <w:rPr>
                <w:b/>
                <w:bCs/>
              </w:rPr>
              <w:t>EHP</w:t>
            </w:r>
          </w:p>
        </w:tc>
        <w:tc>
          <w:tcPr>
            <w:tcW w:w="1134" w:type="dxa"/>
            <w:tcBorders>
              <w:bottom w:val="single" w:sz="4" w:space="0" w:color="auto"/>
            </w:tcBorders>
            <w:shd w:val="clear" w:color="auto" w:fill="C9C9C9" w:themeFill="accent3" w:themeFillTint="99"/>
            <w:vAlign w:val="center"/>
          </w:tcPr>
          <w:p w14:paraId="73CD78BB" w14:textId="77777777" w:rsidR="000B173B" w:rsidRPr="0087369D" w:rsidRDefault="000B173B" w:rsidP="00A15226">
            <w:pPr>
              <w:pStyle w:val="Tabletext"/>
              <w:jc w:val="center"/>
              <w:rPr>
                <w:b/>
                <w:bCs/>
              </w:rPr>
            </w:pPr>
            <w:r>
              <w:rPr>
                <w:b/>
                <w:bCs/>
              </w:rPr>
              <w:t>EHP</w:t>
            </w:r>
          </w:p>
        </w:tc>
        <w:tc>
          <w:tcPr>
            <w:tcW w:w="1134" w:type="dxa"/>
            <w:tcBorders>
              <w:bottom w:val="single" w:sz="4" w:space="0" w:color="auto"/>
            </w:tcBorders>
            <w:shd w:val="clear" w:color="auto" w:fill="C9C9C9" w:themeFill="accent3" w:themeFillTint="99"/>
            <w:vAlign w:val="center"/>
          </w:tcPr>
          <w:p w14:paraId="2C9D8A35" w14:textId="77777777" w:rsidR="000B173B" w:rsidRPr="0087369D" w:rsidRDefault="000B173B" w:rsidP="00A15226">
            <w:pPr>
              <w:pStyle w:val="Tabletext"/>
              <w:jc w:val="center"/>
              <w:rPr>
                <w:b/>
                <w:bCs/>
              </w:rPr>
            </w:pPr>
            <w:r>
              <w:rPr>
                <w:b/>
                <w:bCs/>
              </w:rPr>
              <w:t>PMST</w:t>
            </w:r>
          </w:p>
        </w:tc>
        <w:tc>
          <w:tcPr>
            <w:tcW w:w="1300" w:type="dxa"/>
            <w:vMerge/>
            <w:tcBorders>
              <w:bottom w:val="single" w:sz="4" w:space="0" w:color="auto"/>
            </w:tcBorders>
            <w:shd w:val="clear" w:color="auto" w:fill="C9C9C9" w:themeFill="accent3" w:themeFillTint="99"/>
            <w:vAlign w:val="center"/>
          </w:tcPr>
          <w:p w14:paraId="32CBD8DD" w14:textId="77777777" w:rsidR="000B173B" w:rsidRDefault="000B173B" w:rsidP="00A15226">
            <w:pPr>
              <w:pStyle w:val="Tabletext"/>
              <w:jc w:val="center"/>
              <w:rPr>
                <w:b/>
                <w:bCs/>
              </w:rPr>
            </w:pPr>
          </w:p>
        </w:tc>
      </w:tr>
      <w:tr w:rsidR="000B173B" w14:paraId="5A6D7205" w14:textId="77777777" w:rsidTr="00A15226">
        <w:tc>
          <w:tcPr>
            <w:tcW w:w="3114" w:type="dxa"/>
            <w:tcBorders>
              <w:right w:val="nil"/>
            </w:tcBorders>
            <w:shd w:val="clear" w:color="auto" w:fill="B4C6E7" w:themeFill="accent1" w:themeFillTint="66"/>
            <w:vAlign w:val="center"/>
          </w:tcPr>
          <w:p w14:paraId="54A0BE3D" w14:textId="77777777" w:rsidR="000B173B" w:rsidRPr="004C4741" w:rsidRDefault="000B173B" w:rsidP="00A15226">
            <w:pPr>
              <w:pStyle w:val="Tabletext"/>
              <w:rPr>
                <w:b/>
                <w:bCs/>
              </w:rPr>
            </w:pPr>
            <w:r w:rsidRPr="004C4741">
              <w:rPr>
                <w:b/>
                <w:bCs/>
              </w:rPr>
              <w:t>Flora</w:t>
            </w:r>
          </w:p>
        </w:tc>
        <w:tc>
          <w:tcPr>
            <w:tcW w:w="3118" w:type="dxa"/>
            <w:tcBorders>
              <w:left w:val="nil"/>
              <w:right w:val="nil"/>
            </w:tcBorders>
            <w:shd w:val="clear" w:color="auto" w:fill="B4C6E7" w:themeFill="accent1" w:themeFillTint="66"/>
            <w:vAlign w:val="center"/>
          </w:tcPr>
          <w:p w14:paraId="35AF0653" w14:textId="77777777" w:rsidR="000B173B" w:rsidRPr="0087369D" w:rsidRDefault="000B173B" w:rsidP="00A15226">
            <w:pPr>
              <w:pStyle w:val="Tabletext"/>
            </w:pPr>
          </w:p>
        </w:tc>
        <w:tc>
          <w:tcPr>
            <w:tcW w:w="2835" w:type="dxa"/>
            <w:tcBorders>
              <w:left w:val="nil"/>
              <w:right w:val="nil"/>
            </w:tcBorders>
            <w:shd w:val="clear" w:color="auto" w:fill="B4C6E7" w:themeFill="accent1" w:themeFillTint="66"/>
            <w:vAlign w:val="center"/>
          </w:tcPr>
          <w:p w14:paraId="169261AA" w14:textId="77777777" w:rsidR="000B173B" w:rsidRPr="0087369D" w:rsidRDefault="000B173B" w:rsidP="00A15226">
            <w:pPr>
              <w:pStyle w:val="Tabletext"/>
            </w:pPr>
          </w:p>
        </w:tc>
        <w:tc>
          <w:tcPr>
            <w:tcW w:w="851" w:type="dxa"/>
            <w:tcBorders>
              <w:left w:val="nil"/>
              <w:right w:val="nil"/>
            </w:tcBorders>
            <w:shd w:val="clear" w:color="auto" w:fill="B4C6E7" w:themeFill="accent1" w:themeFillTint="66"/>
            <w:vAlign w:val="center"/>
          </w:tcPr>
          <w:p w14:paraId="08B9837D" w14:textId="77777777" w:rsidR="000B173B" w:rsidRPr="0087369D" w:rsidRDefault="000B173B" w:rsidP="00A15226">
            <w:pPr>
              <w:pStyle w:val="Tabletext"/>
              <w:jc w:val="center"/>
            </w:pPr>
          </w:p>
        </w:tc>
        <w:tc>
          <w:tcPr>
            <w:tcW w:w="850" w:type="dxa"/>
            <w:tcBorders>
              <w:left w:val="nil"/>
              <w:right w:val="nil"/>
            </w:tcBorders>
            <w:shd w:val="clear" w:color="auto" w:fill="B4C6E7" w:themeFill="accent1" w:themeFillTint="66"/>
            <w:vAlign w:val="center"/>
          </w:tcPr>
          <w:p w14:paraId="4FF605E3" w14:textId="77777777" w:rsidR="000B173B" w:rsidRPr="0087369D" w:rsidRDefault="000B173B" w:rsidP="00A15226">
            <w:pPr>
              <w:pStyle w:val="Tabletext"/>
              <w:jc w:val="center"/>
            </w:pPr>
          </w:p>
        </w:tc>
        <w:tc>
          <w:tcPr>
            <w:tcW w:w="1134" w:type="dxa"/>
            <w:tcBorders>
              <w:left w:val="nil"/>
              <w:right w:val="nil"/>
            </w:tcBorders>
            <w:shd w:val="clear" w:color="auto" w:fill="B4C6E7" w:themeFill="accent1" w:themeFillTint="66"/>
            <w:vAlign w:val="center"/>
          </w:tcPr>
          <w:p w14:paraId="2C4CA723" w14:textId="77777777" w:rsidR="000B173B" w:rsidRPr="0087369D" w:rsidRDefault="000B173B" w:rsidP="00A15226">
            <w:pPr>
              <w:pStyle w:val="Tabletext"/>
              <w:jc w:val="center"/>
            </w:pPr>
          </w:p>
        </w:tc>
        <w:tc>
          <w:tcPr>
            <w:tcW w:w="1134" w:type="dxa"/>
            <w:tcBorders>
              <w:left w:val="nil"/>
              <w:right w:val="nil"/>
            </w:tcBorders>
            <w:shd w:val="clear" w:color="auto" w:fill="B4C6E7" w:themeFill="accent1" w:themeFillTint="66"/>
            <w:vAlign w:val="center"/>
          </w:tcPr>
          <w:p w14:paraId="13B4C31B" w14:textId="77777777" w:rsidR="000B173B" w:rsidRPr="0087369D" w:rsidRDefault="000B173B" w:rsidP="00A15226">
            <w:pPr>
              <w:pStyle w:val="Tabletext"/>
              <w:jc w:val="center"/>
            </w:pPr>
          </w:p>
        </w:tc>
        <w:tc>
          <w:tcPr>
            <w:tcW w:w="1300" w:type="dxa"/>
            <w:tcBorders>
              <w:left w:val="nil"/>
            </w:tcBorders>
            <w:shd w:val="clear" w:color="auto" w:fill="B4C6E7" w:themeFill="accent1" w:themeFillTint="66"/>
            <w:vAlign w:val="center"/>
          </w:tcPr>
          <w:p w14:paraId="18ADB109" w14:textId="77777777" w:rsidR="000B173B" w:rsidRPr="0087369D" w:rsidRDefault="000B173B" w:rsidP="00A15226">
            <w:pPr>
              <w:pStyle w:val="Tabletext"/>
              <w:jc w:val="center"/>
            </w:pPr>
          </w:p>
        </w:tc>
      </w:tr>
      <w:tr w:rsidR="000B173B" w14:paraId="59DFF178" w14:textId="77777777" w:rsidTr="00A15226">
        <w:tc>
          <w:tcPr>
            <w:tcW w:w="3114" w:type="dxa"/>
            <w:shd w:val="clear" w:color="auto" w:fill="FFFFFF" w:themeFill="background1"/>
            <w:vAlign w:val="center"/>
          </w:tcPr>
          <w:p w14:paraId="33BC1C28" w14:textId="77777777" w:rsidR="000B173B" w:rsidRPr="003C348E" w:rsidRDefault="000B173B" w:rsidP="00A15226">
            <w:pPr>
              <w:pStyle w:val="Tabletext"/>
              <w:rPr>
                <w:i/>
                <w:iCs/>
              </w:rPr>
            </w:pPr>
            <w:r w:rsidRPr="003C348E">
              <w:rPr>
                <w:i/>
                <w:iCs/>
              </w:rPr>
              <w:t>Amphibromus fluitans</w:t>
            </w:r>
          </w:p>
        </w:tc>
        <w:tc>
          <w:tcPr>
            <w:tcW w:w="3118" w:type="dxa"/>
            <w:shd w:val="clear" w:color="auto" w:fill="FFFFFF" w:themeFill="background1"/>
            <w:vAlign w:val="center"/>
          </w:tcPr>
          <w:p w14:paraId="52910B6A" w14:textId="77777777" w:rsidR="000B173B" w:rsidRPr="0087369D" w:rsidRDefault="000B173B" w:rsidP="00A15226">
            <w:pPr>
              <w:pStyle w:val="Tabletext"/>
            </w:pPr>
            <w:r w:rsidRPr="00D7193E">
              <w:t>Floating Swamp Wallaby-grass</w:t>
            </w:r>
          </w:p>
        </w:tc>
        <w:tc>
          <w:tcPr>
            <w:tcW w:w="2835" w:type="dxa"/>
            <w:shd w:val="clear" w:color="auto" w:fill="FFFFFF" w:themeFill="background1"/>
            <w:vAlign w:val="center"/>
          </w:tcPr>
          <w:p w14:paraId="216FB607" w14:textId="77777777" w:rsidR="000B173B" w:rsidRPr="0087369D" w:rsidRDefault="000B173B" w:rsidP="00A15226">
            <w:pPr>
              <w:pStyle w:val="Tabletext"/>
            </w:pPr>
            <w:r w:rsidRPr="00D7193E">
              <w:t>Vulnerable</w:t>
            </w:r>
          </w:p>
        </w:tc>
        <w:tc>
          <w:tcPr>
            <w:tcW w:w="851" w:type="dxa"/>
            <w:shd w:val="clear" w:color="auto" w:fill="FFFFFF" w:themeFill="background1"/>
            <w:vAlign w:val="center"/>
          </w:tcPr>
          <w:p w14:paraId="55A7002F"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02BEFC85"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73EA2DF0" w14:textId="77777777" w:rsidR="000B173B" w:rsidRPr="0087369D" w:rsidRDefault="000B173B" w:rsidP="00A15226">
            <w:pPr>
              <w:pStyle w:val="Tabletext"/>
              <w:jc w:val="center"/>
            </w:pPr>
            <w:r w:rsidRPr="006B0B80">
              <w:t>Unlikely</w:t>
            </w:r>
          </w:p>
        </w:tc>
        <w:tc>
          <w:tcPr>
            <w:tcW w:w="1134" w:type="dxa"/>
            <w:shd w:val="clear" w:color="auto" w:fill="FFFFFF" w:themeFill="background1"/>
            <w:vAlign w:val="center"/>
          </w:tcPr>
          <w:p w14:paraId="79F15629"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3A834AF8" w14:textId="77777777" w:rsidR="000B173B" w:rsidRPr="006B0B80" w:rsidRDefault="000B173B" w:rsidP="00A15226">
            <w:pPr>
              <w:pStyle w:val="Tabletext"/>
              <w:jc w:val="center"/>
            </w:pPr>
            <w:r w:rsidRPr="003F3F44">
              <w:t>Yes</w:t>
            </w:r>
          </w:p>
        </w:tc>
      </w:tr>
      <w:tr w:rsidR="000B173B" w14:paraId="19CA43BF" w14:textId="77777777" w:rsidTr="00A15226">
        <w:tc>
          <w:tcPr>
            <w:tcW w:w="3114" w:type="dxa"/>
            <w:shd w:val="clear" w:color="auto" w:fill="FFFFFF" w:themeFill="background1"/>
            <w:vAlign w:val="center"/>
          </w:tcPr>
          <w:p w14:paraId="7F3F7F94" w14:textId="77777777" w:rsidR="000B173B" w:rsidRPr="003C348E" w:rsidRDefault="000B173B" w:rsidP="00A15226">
            <w:pPr>
              <w:pStyle w:val="Tabletext"/>
              <w:rPr>
                <w:i/>
                <w:iCs/>
              </w:rPr>
            </w:pPr>
            <w:r w:rsidRPr="003C348E">
              <w:rPr>
                <w:i/>
                <w:iCs/>
              </w:rPr>
              <w:t>Caladenia ornata</w:t>
            </w:r>
          </w:p>
        </w:tc>
        <w:tc>
          <w:tcPr>
            <w:tcW w:w="3118" w:type="dxa"/>
            <w:shd w:val="clear" w:color="auto" w:fill="FFFFFF" w:themeFill="background1"/>
            <w:vAlign w:val="center"/>
          </w:tcPr>
          <w:p w14:paraId="420E3BB0" w14:textId="77777777" w:rsidR="000B173B" w:rsidRPr="0087369D" w:rsidRDefault="000B173B" w:rsidP="00A15226">
            <w:pPr>
              <w:pStyle w:val="Tabletext"/>
            </w:pPr>
            <w:r w:rsidRPr="00D7193E">
              <w:t>Ornate Pink Fingers</w:t>
            </w:r>
          </w:p>
        </w:tc>
        <w:tc>
          <w:tcPr>
            <w:tcW w:w="2835" w:type="dxa"/>
            <w:shd w:val="clear" w:color="auto" w:fill="FFFFFF" w:themeFill="background1"/>
            <w:vAlign w:val="center"/>
          </w:tcPr>
          <w:p w14:paraId="3714B092" w14:textId="77777777" w:rsidR="000B173B" w:rsidRPr="0087369D" w:rsidRDefault="000B173B" w:rsidP="00A15226">
            <w:pPr>
              <w:pStyle w:val="Tabletext"/>
            </w:pPr>
            <w:r w:rsidRPr="00D7193E">
              <w:t>Vulnerable</w:t>
            </w:r>
          </w:p>
        </w:tc>
        <w:tc>
          <w:tcPr>
            <w:tcW w:w="851" w:type="dxa"/>
            <w:shd w:val="clear" w:color="auto" w:fill="FFFFFF" w:themeFill="background1"/>
            <w:vAlign w:val="center"/>
          </w:tcPr>
          <w:p w14:paraId="2FC69E84"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71BC00BF"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54759493" w14:textId="77777777" w:rsidR="000B173B" w:rsidRPr="0087369D" w:rsidRDefault="000B173B" w:rsidP="00A15226">
            <w:pPr>
              <w:pStyle w:val="Tabletext"/>
              <w:jc w:val="center"/>
            </w:pPr>
            <w:r w:rsidRPr="006B0B80">
              <w:t>N/A</w:t>
            </w:r>
          </w:p>
        </w:tc>
        <w:tc>
          <w:tcPr>
            <w:tcW w:w="1134" w:type="dxa"/>
            <w:shd w:val="clear" w:color="auto" w:fill="FFFFFF" w:themeFill="background1"/>
            <w:vAlign w:val="center"/>
          </w:tcPr>
          <w:p w14:paraId="3DD1A88A"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2F3B8782" w14:textId="77777777" w:rsidR="000B173B" w:rsidRPr="006B0B80" w:rsidRDefault="000B173B" w:rsidP="00A15226">
            <w:pPr>
              <w:pStyle w:val="Tabletext"/>
              <w:jc w:val="center"/>
            </w:pPr>
            <w:r w:rsidRPr="003F3F44">
              <w:t>Yes</w:t>
            </w:r>
          </w:p>
        </w:tc>
      </w:tr>
      <w:tr w:rsidR="000B173B" w14:paraId="7354A217" w14:textId="77777777" w:rsidTr="00A15226">
        <w:tc>
          <w:tcPr>
            <w:tcW w:w="3114" w:type="dxa"/>
            <w:shd w:val="clear" w:color="auto" w:fill="FFFFFF" w:themeFill="background1"/>
            <w:vAlign w:val="center"/>
          </w:tcPr>
          <w:p w14:paraId="7F95AEBB" w14:textId="77777777" w:rsidR="000B173B" w:rsidRPr="003C348E" w:rsidRDefault="000B173B" w:rsidP="00A15226">
            <w:pPr>
              <w:pStyle w:val="Tabletext"/>
              <w:rPr>
                <w:i/>
                <w:iCs/>
              </w:rPr>
            </w:pPr>
            <w:r w:rsidRPr="003C348E">
              <w:rPr>
                <w:i/>
                <w:iCs/>
              </w:rPr>
              <w:t>Caladenia pumila</w:t>
            </w:r>
          </w:p>
        </w:tc>
        <w:tc>
          <w:tcPr>
            <w:tcW w:w="3118" w:type="dxa"/>
            <w:shd w:val="clear" w:color="auto" w:fill="FFFFFF" w:themeFill="background1"/>
            <w:vAlign w:val="center"/>
          </w:tcPr>
          <w:p w14:paraId="2C5D2C8D" w14:textId="77777777" w:rsidR="000B173B" w:rsidRPr="0087369D" w:rsidRDefault="000B173B" w:rsidP="00A15226">
            <w:pPr>
              <w:pStyle w:val="Tabletext"/>
            </w:pPr>
            <w:r w:rsidRPr="00D7193E">
              <w:t>Dwarf Spider-orchid</w:t>
            </w:r>
          </w:p>
        </w:tc>
        <w:tc>
          <w:tcPr>
            <w:tcW w:w="2835" w:type="dxa"/>
            <w:shd w:val="clear" w:color="auto" w:fill="FFFFFF" w:themeFill="background1"/>
            <w:vAlign w:val="center"/>
          </w:tcPr>
          <w:p w14:paraId="0D82F75D" w14:textId="77777777" w:rsidR="000B173B" w:rsidRPr="0087369D" w:rsidRDefault="000B173B" w:rsidP="00A15226">
            <w:pPr>
              <w:pStyle w:val="Tabletext"/>
            </w:pPr>
            <w:r w:rsidRPr="00D7193E">
              <w:t>Critically Endangered</w:t>
            </w:r>
          </w:p>
        </w:tc>
        <w:tc>
          <w:tcPr>
            <w:tcW w:w="851" w:type="dxa"/>
            <w:shd w:val="clear" w:color="auto" w:fill="FFFFFF" w:themeFill="background1"/>
            <w:vAlign w:val="center"/>
          </w:tcPr>
          <w:p w14:paraId="745871F7"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00190001"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5A21CFCC" w14:textId="77777777" w:rsidR="000B173B" w:rsidRPr="0087369D" w:rsidRDefault="000B173B" w:rsidP="00A15226">
            <w:pPr>
              <w:pStyle w:val="Tabletext"/>
              <w:jc w:val="center"/>
            </w:pPr>
            <w:r w:rsidRPr="006B0B80">
              <w:t>Unlikely</w:t>
            </w:r>
          </w:p>
        </w:tc>
        <w:tc>
          <w:tcPr>
            <w:tcW w:w="1134" w:type="dxa"/>
            <w:shd w:val="clear" w:color="auto" w:fill="FFFFFF" w:themeFill="background1"/>
            <w:vAlign w:val="center"/>
          </w:tcPr>
          <w:p w14:paraId="5E2DB01B"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19C9F1F9" w14:textId="77777777" w:rsidR="000B173B" w:rsidRPr="006B0B80" w:rsidRDefault="000B173B" w:rsidP="00A15226">
            <w:pPr>
              <w:pStyle w:val="Tabletext"/>
              <w:jc w:val="center"/>
            </w:pPr>
            <w:r w:rsidRPr="003F3F44">
              <w:t>Yes</w:t>
            </w:r>
          </w:p>
        </w:tc>
      </w:tr>
      <w:tr w:rsidR="000B173B" w14:paraId="37A9972B" w14:textId="77777777" w:rsidTr="00A15226">
        <w:tc>
          <w:tcPr>
            <w:tcW w:w="3114" w:type="dxa"/>
            <w:shd w:val="clear" w:color="auto" w:fill="FFFFFF" w:themeFill="background1"/>
            <w:vAlign w:val="center"/>
          </w:tcPr>
          <w:p w14:paraId="10DB34E2" w14:textId="77777777" w:rsidR="000B173B" w:rsidRPr="003C348E" w:rsidRDefault="000B173B" w:rsidP="00A15226">
            <w:pPr>
              <w:pStyle w:val="Tabletext"/>
              <w:rPr>
                <w:i/>
                <w:iCs/>
              </w:rPr>
            </w:pPr>
            <w:r w:rsidRPr="003C348E">
              <w:rPr>
                <w:i/>
                <w:iCs/>
              </w:rPr>
              <w:t>Dianella amoena</w:t>
            </w:r>
          </w:p>
        </w:tc>
        <w:tc>
          <w:tcPr>
            <w:tcW w:w="3118" w:type="dxa"/>
            <w:shd w:val="clear" w:color="auto" w:fill="FFFFFF" w:themeFill="background1"/>
            <w:vAlign w:val="center"/>
          </w:tcPr>
          <w:p w14:paraId="44888490" w14:textId="77777777" w:rsidR="000B173B" w:rsidRPr="0087369D" w:rsidRDefault="000B173B" w:rsidP="00A15226">
            <w:pPr>
              <w:pStyle w:val="Tabletext"/>
            </w:pPr>
            <w:r w:rsidRPr="00D7193E">
              <w:t>Matted Flax-lily</w:t>
            </w:r>
          </w:p>
        </w:tc>
        <w:tc>
          <w:tcPr>
            <w:tcW w:w="2835" w:type="dxa"/>
            <w:shd w:val="clear" w:color="auto" w:fill="FFFFFF" w:themeFill="background1"/>
            <w:vAlign w:val="center"/>
          </w:tcPr>
          <w:p w14:paraId="44526693" w14:textId="77777777" w:rsidR="000B173B" w:rsidRPr="0087369D" w:rsidRDefault="000B173B" w:rsidP="00A15226">
            <w:pPr>
              <w:pStyle w:val="Tabletext"/>
            </w:pPr>
            <w:r w:rsidRPr="00D7193E">
              <w:t>Endangered</w:t>
            </w:r>
          </w:p>
        </w:tc>
        <w:tc>
          <w:tcPr>
            <w:tcW w:w="851" w:type="dxa"/>
            <w:shd w:val="clear" w:color="auto" w:fill="FFFFFF" w:themeFill="background1"/>
            <w:vAlign w:val="center"/>
          </w:tcPr>
          <w:p w14:paraId="2835DC36"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354DD00C"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05331A54" w14:textId="77777777" w:rsidR="000B173B" w:rsidRPr="0087369D" w:rsidRDefault="000B173B" w:rsidP="00A15226">
            <w:pPr>
              <w:pStyle w:val="Tabletext"/>
              <w:jc w:val="center"/>
            </w:pPr>
            <w:r w:rsidRPr="006B0B80">
              <w:t>Low</w:t>
            </w:r>
          </w:p>
        </w:tc>
        <w:tc>
          <w:tcPr>
            <w:tcW w:w="1134" w:type="dxa"/>
            <w:shd w:val="clear" w:color="auto" w:fill="FFFFFF" w:themeFill="background1"/>
            <w:vAlign w:val="center"/>
          </w:tcPr>
          <w:p w14:paraId="1485C450"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6AC8E296" w14:textId="77777777" w:rsidR="000B173B" w:rsidRPr="006B0B80" w:rsidRDefault="000B173B" w:rsidP="00A15226">
            <w:pPr>
              <w:pStyle w:val="Tabletext"/>
              <w:jc w:val="center"/>
            </w:pPr>
            <w:r w:rsidRPr="003F3F44">
              <w:t>Yes</w:t>
            </w:r>
          </w:p>
        </w:tc>
      </w:tr>
      <w:tr w:rsidR="000B173B" w14:paraId="2F648C41" w14:textId="77777777" w:rsidTr="00A15226">
        <w:tc>
          <w:tcPr>
            <w:tcW w:w="3114" w:type="dxa"/>
            <w:shd w:val="clear" w:color="auto" w:fill="FFFFFF" w:themeFill="background1"/>
            <w:vAlign w:val="center"/>
          </w:tcPr>
          <w:p w14:paraId="00191E13" w14:textId="77777777" w:rsidR="000B173B" w:rsidRPr="003C348E" w:rsidRDefault="000B173B" w:rsidP="00A15226">
            <w:pPr>
              <w:pStyle w:val="Tabletext"/>
              <w:rPr>
                <w:i/>
                <w:iCs/>
              </w:rPr>
            </w:pPr>
            <w:r w:rsidRPr="003C348E">
              <w:rPr>
                <w:i/>
                <w:iCs/>
              </w:rPr>
              <w:t>Diuris basaltica</w:t>
            </w:r>
          </w:p>
        </w:tc>
        <w:tc>
          <w:tcPr>
            <w:tcW w:w="3118" w:type="dxa"/>
            <w:shd w:val="clear" w:color="auto" w:fill="FFFFFF" w:themeFill="background1"/>
            <w:vAlign w:val="center"/>
          </w:tcPr>
          <w:p w14:paraId="5EA35D06" w14:textId="77777777" w:rsidR="000B173B" w:rsidRPr="0087369D" w:rsidRDefault="000B173B" w:rsidP="00A15226">
            <w:pPr>
              <w:pStyle w:val="Tabletext"/>
            </w:pPr>
            <w:r w:rsidRPr="00D7193E">
              <w:t>Small Golden Moths Orchid</w:t>
            </w:r>
          </w:p>
        </w:tc>
        <w:tc>
          <w:tcPr>
            <w:tcW w:w="2835" w:type="dxa"/>
            <w:shd w:val="clear" w:color="auto" w:fill="FFFFFF" w:themeFill="background1"/>
            <w:vAlign w:val="center"/>
          </w:tcPr>
          <w:p w14:paraId="3C3489C5" w14:textId="77777777" w:rsidR="000B173B" w:rsidRPr="0087369D" w:rsidRDefault="000B173B" w:rsidP="00A15226">
            <w:pPr>
              <w:pStyle w:val="Tabletext"/>
            </w:pPr>
            <w:r w:rsidRPr="00D7193E">
              <w:t>Endangered</w:t>
            </w:r>
          </w:p>
        </w:tc>
        <w:tc>
          <w:tcPr>
            <w:tcW w:w="851" w:type="dxa"/>
            <w:shd w:val="clear" w:color="auto" w:fill="FFFFFF" w:themeFill="background1"/>
            <w:vAlign w:val="center"/>
          </w:tcPr>
          <w:p w14:paraId="469622D5"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08C31E2C"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40693AD4" w14:textId="77777777" w:rsidR="000B173B" w:rsidRPr="0087369D" w:rsidRDefault="000B173B" w:rsidP="00A15226">
            <w:pPr>
              <w:pStyle w:val="Tabletext"/>
              <w:jc w:val="center"/>
            </w:pPr>
            <w:r w:rsidRPr="006B0B80">
              <w:t>Unlikely</w:t>
            </w:r>
          </w:p>
        </w:tc>
        <w:tc>
          <w:tcPr>
            <w:tcW w:w="1134" w:type="dxa"/>
            <w:shd w:val="clear" w:color="auto" w:fill="FFFFFF" w:themeFill="background1"/>
            <w:vAlign w:val="center"/>
          </w:tcPr>
          <w:p w14:paraId="20029D60" w14:textId="77777777" w:rsidR="000B173B" w:rsidRPr="0087369D" w:rsidRDefault="000B173B" w:rsidP="00A15226">
            <w:pPr>
              <w:pStyle w:val="Tabletext"/>
              <w:jc w:val="center"/>
            </w:pPr>
            <w:r w:rsidRPr="006B0B80">
              <w:t>May</w:t>
            </w:r>
          </w:p>
        </w:tc>
        <w:tc>
          <w:tcPr>
            <w:tcW w:w="1300" w:type="dxa"/>
            <w:shd w:val="clear" w:color="auto" w:fill="FFFFFF" w:themeFill="background1"/>
            <w:vAlign w:val="center"/>
          </w:tcPr>
          <w:p w14:paraId="1F5C34DC" w14:textId="77777777" w:rsidR="000B173B" w:rsidRPr="006B0B80" w:rsidRDefault="000B173B" w:rsidP="00A15226">
            <w:pPr>
              <w:pStyle w:val="Tabletext"/>
              <w:jc w:val="center"/>
            </w:pPr>
            <w:r w:rsidRPr="003F3F44">
              <w:t>Yes</w:t>
            </w:r>
          </w:p>
        </w:tc>
      </w:tr>
      <w:tr w:rsidR="000B173B" w14:paraId="112F5D97" w14:textId="77777777" w:rsidTr="00A15226">
        <w:tc>
          <w:tcPr>
            <w:tcW w:w="3114" w:type="dxa"/>
            <w:shd w:val="clear" w:color="auto" w:fill="FFFFFF" w:themeFill="background1"/>
            <w:vAlign w:val="center"/>
          </w:tcPr>
          <w:p w14:paraId="3F655329" w14:textId="77777777" w:rsidR="000B173B" w:rsidRPr="003C348E" w:rsidRDefault="000B173B" w:rsidP="00A15226">
            <w:pPr>
              <w:pStyle w:val="Tabletext"/>
              <w:rPr>
                <w:i/>
                <w:iCs/>
              </w:rPr>
            </w:pPr>
            <w:r w:rsidRPr="003C348E">
              <w:rPr>
                <w:i/>
                <w:iCs/>
              </w:rPr>
              <w:t>Diuris fragrantissima</w:t>
            </w:r>
          </w:p>
        </w:tc>
        <w:tc>
          <w:tcPr>
            <w:tcW w:w="3118" w:type="dxa"/>
            <w:shd w:val="clear" w:color="auto" w:fill="FFFFFF" w:themeFill="background1"/>
            <w:vAlign w:val="center"/>
          </w:tcPr>
          <w:p w14:paraId="2D34128E" w14:textId="77777777" w:rsidR="000B173B" w:rsidRPr="00D7193E" w:rsidRDefault="000B173B" w:rsidP="00A15226">
            <w:pPr>
              <w:pStyle w:val="Tabletext"/>
            </w:pPr>
            <w:r w:rsidRPr="00AC3A87">
              <w:t>Sunshine Diuris</w:t>
            </w:r>
          </w:p>
        </w:tc>
        <w:tc>
          <w:tcPr>
            <w:tcW w:w="2835" w:type="dxa"/>
            <w:shd w:val="clear" w:color="auto" w:fill="FFFFFF" w:themeFill="background1"/>
            <w:vAlign w:val="center"/>
          </w:tcPr>
          <w:p w14:paraId="41B89014" w14:textId="77777777" w:rsidR="000B173B" w:rsidRPr="00D7193E" w:rsidRDefault="000B173B" w:rsidP="00A15226">
            <w:pPr>
              <w:pStyle w:val="Tabletext"/>
            </w:pPr>
            <w:r w:rsidRPr="00AC3A87">
              <w:t>Endangered</w:t>
            </w:r>
          </w:p>
        </w:tc>
        <w:tc>
          <w:tcPr>
            <w:tcW w:w="851" w:type="dxa"/>
            <w:shd w:val="clear" w:color="auto" w:fill="FFFFFF" w:themeFill="background1"/>
            <w:vAlign w:val="center"/>
          </w:tcPr>
          <w:p w14:paraId="607C1579" w14:textId="77777777" w:rsidR="000B173B" w:rsidRPr="006B0B80" w:rsidRDefault="000B173B" w:rsidP="00A15226">
            <w:pPr>
              <w:pStyle w:val="Tabletext"/>
              <w:jc w:val="center"/>
            </w:pPr>
            <w:r w:rsidRPr="000668D5">
              <w:t>No</w:t>
            </w:r>
          </w:p>
        </w:tc>
        <w:tc>
          <w:tcPr>
            <w:tcW w:w="850" w:type="dxa"/>
            <w:shd w:val="clear" w:color="auto" w:fill="FFFFFF" w:themeFill="background1"/>
            <w:vAlign w:val="center"/>
          </w:tcPr>
          <w:p w14:paraId="1350A45E" w14:textId="77777777" w:rsidR="000B173B" w:rsidRPr="006B0B80" w:rsidRDefault="000B173B" w:rsidP="00A15226">
            <w:pPr>
              <w:pStyle w:val="Tabletext"/>
              <w:jc w:val="center"/>
            </w:pPr>
            <w:r w:rsidRPr="000668D5">
              <w:t>No</w:t>
            </w:r>
          </w:p>
        </w:tc>
        <w:tc>
          <w:tcPr>
            <w:tcW w:w="1134" w:type="dxa"/>
            <w:shd w:val="clear" w:color="auto" w:fill="FFFFFF" w:themeFill="background1"/>
            <w:vAlign w:val="center"/>
          </w:tcPr>
          <w:p w14:paraId="17BE62B9" w14:textId="77777777" w:rsidR="000B173B" w:rsidRPr="006B0B80" w:rsidRDefault="000B173B" w:rsidP="00A15226">
            <w:pPr>
              <w:pStyle w:val="Tabletext"/>
              <w:jc w:val="center"/>
            </w:pPr>
            <w:r w:rsidRPr="000668D5">
              <w:t>N/A</w:t>
            </w:r>
          </w:p>
        </w:tc>
        <w:tc>
          <w:tcPr>
            <w:tcW w:w="1134" w:type="dxa"/>
            <w:shd w:val="clear" w:color="auto" w:fill="FFFFFF" w:themeFill="background1"/>
            <w:vAlign w:val="center"/>
          </w:tcPr>
          <w:p w14:paraId="7DDE0C00" w14:textId="77777777" w:rsidR="000B173B" w:rsidRPr="006B0B80" w:rsidRDefault="000B173B" w:rsidP="00A15226">
            <w:pPr>
              <w:pStyle w:val="Tabletext"/>
              <w:jc w:val="center"/>
            </w:pPr>
            <w:r>
              <w:t>May</w:t>
            </w:r>
          </w:p>
        </w:tc>
        <w:tc>
          <w:tcPr>
            <w:tcW w:w="1300" w:type="dxa"/>
            <w:shd w:val="clear" w:color="auto" w:fill="FFFFFF" w:themeFill="background1"/>
            <w:vAlign w:val="center"/>
          </w:tcPr>
          <w:p w14:paraId="4A7F5010" w14:textId="77777777" w:rsidR="000B173B" w:rsidRPr="006B0B80" w:rsidRDefault="000B173B" w:rsidP="00A15226">
            <w:pPr>
              <w:pStyle w:val="Tabletext"/>
              <w:jc w:val="center"/>
            </w:pPr>
            <w:r w:rsidRPr="003F3F44">
              <w:t>No</w:t>
            </w:r>
          </w:p>
        </w:tc>
      </w:tr>
      <w:tr w:rsidR="000B173B" w14:paraId="00DACFC5" w14:textId="77777777" w:rsidTr="00A15226">
        <w:tc>
          <w:tcPr>
            <w:tcW w:w="3114" w:type="dxa"/>
            <w:shd w:val="clear" w:color="auto" w:fill="FFFFFF" w:themeFill="background1"/>
            <w:vAlign w:val="center"/>
          </w:tcPr>
          <w:p w14:paraId="61263349" w14:textId="77777777" w:rsidR="000B173B" w:rsidRPr="003C348E" w:rsidRDefault="000B173B" w:rsidP="00A15226">
            <w:pPr>
              <w:pStyle w:val="Tabletext"/>
              <w:rPr>
                <w:i/>
                <w:iCs/>
              </w:rPr>
            </w:pPr>
            <w:r w:rsidRPr="003C348E">
              <w:rPr>
                <w:i/>
                <w:iCs/>
              </w:rPr>
              <w:t>Dodonaea procumbens</w:t>
            </w:r>
          </w:p>
        </w:tc>
        <w:tc>
          <w:tcPr>
            <w:tcW w:w="3118" w:type="dxa"/>
            <w:shd w:val="clear" w:color="auto" w:fill="FFFFFF" w:themeFill="background1"/>
            <w:vAlign w:val="center"/>
          </w:tcPr>
          <w:p w14:paraId="118A51A9" w14:textId="77777777" w:rsidR="000B173B" w:rsidRPr="004D0588" w:rsidRDefault="000B173B" w:rsidP="00A15226">
            <w:pPr>
              <w:pStyle w:val="Tabletext"/>
            </w:pPr>
            <w:r w:rsidRPr="00D7193E">
              <w:t>Trailing Hop-bush</w:t>
            </w:r>
          </w:p>
        </w:tc>
        <w:tc>
          <w:tcPr>
            <w:tcW w:w="2835" w:type="dxa"/>
            <w:shd w:val="clear" w:color="auto" w:fill="FFFFFF" w:themeFill="background1"/>
            <w:vAlign w:val="center"/>
          </w:tcPr>
          <w:p w14:paraId="026B8795" w14:textId="77777777" w:rsidR="000B173B" w:rsidRPr="004D0588" w:rsidRDefault="000B173B" w:rsidP="00A15226">
            <w:pPr>
              <w:pStyle w:val="Tabletext"/>
            </w:pPr>
            <w:r w:rsidRPr="00D7193E">
              <w:t>Vulnerable</w:t>
            </w:r>
          </w:p>
        </w:tc>
        <w:tc>
          <w:tcPr>
            <w:tcW w:w="851" w:type="dxa"/>
            <w:shd w:val="clear" w:color="auto" w:fill="FFFFFF" w:themeFill="background1"/>
            <w:vAlign w:val="center"/>
          </w:tcPr>
          <w:p w14:paraId="723D01AB" w14:textId="77777777" w:rsidR="000B173B" w:rsidRPr="0087369D" w:rsidRDefault="000B173B" w:rsidP="00A15226">
            <w:pPr>
              <w:pStyle w:val="Tabletext"/>
              <w:jc w:val="center"/>
            </w:pPr>
            <w:r w:rsidRPr="006B0B80">
              <w:t>No</w:t>
            </w:r>
          </w:p>
        </w:tc>
        <w:tc>
          <w:tcPr>
            <w:tcW w:w="850" w:type="dxa"/>
            <w:shd w:val="clear" w:color="auto" w:fill="FFFFFF" w:themeFill="background1"/>
            <w:vAlign w:val="center"/>
          </w:tcPr>
          <w:p w14:paraId="2975F336"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2D003336" w14:textId="77777777" w:rsidR="000B173B" w:rsidRPr="0087369D" w:rsidRDefault="000B173B" w:rsidP="00A15226">
            <w:pPr>
              <w:pStyle w:val="Tabletext"/>
              <w:jc w:val="center"/>
            </w:pPr>
            <w:r w:rsidRPr="006B0B80">
              <w:t>Unlikely</w:t>
            </w:r>
          </w:p>
        </w:tc>
        <w:tc>
          <w:tcPr>
            <w:tcW w:w="1134" w:type="dxa"/>
            <w:shd w:val="clear" w:color="auto" w:fill="FFFFFF" w:themeFill="background1"/>
            <w:vAlign w:val="center"/>
          </w:tcPr>
          <w:p w14:paraId="7BB97B3A" w14:textId="77777777" w:rsidR="000B173B" w:rsidRPr="0087369D" w:rsidRDefault="000B173B" w:rsidP="00A15226">
            <w:pPr>
              <w:pStyle w:val="Tabletext"/>
              <w:jc w:val="center"/>
            </w:pPr>
            <w:r w:rsidRPr="006B0B80">
              <w:t>Likely</w:t>
            </w:r>
          </w:p>
        </w:tc>
        <w:tc>
          <w:tcPr>
            <w:tcW w:w="1300" w:type="dxa"/>
            <w:shd w:val="clear" w:color="auto" w:fill="FFFFFF" w:themeFill="background1"/>
            <w:vAlign w:val="center"/>
          </w:tcPr>
          <w:p w14:paraId="15B94D65" w14:textId="77777777" w:rsidR="000B173B" w:rsidRPr="006B0B80" w:rsidRDefault="000B173B" w:rsidP="00A15226">
            <w:pPr>
              <w:pStyle w:val="Tabletext"/>
              <w:jc w:val="center"/>
            </w:pPr>
            <w:r w:rsidRPr="003F3F44">
              <w:t>Yes</w:t>
            </w:r>
          </w:p>
        </w:tc>
      </w:tr>
      <w:tr w:rsidR="000B173B" w14:paraId="0C55401C" w14:textId="77777777" w:rsidTr="00A15226">
        <w:tc>
          <w:tcPr>
            <w:tcW w:w="3114" w:type="dxa"/>
            <w:shd w:val="clear" w:color="auto" w:fill="FFFFFF" w:themeFill="background1"/>
            <w:vAlign w:val="center"/>
          </w:tcPr>
          <w:p w14:paraId="65617542" w14:textId="77777777" w:rsidR="000B173B" w:rsidRPr="003C348E" w:rsidRDefault="000B173B" w:rsidP="00A15226">
            <w:pPr>
              <w:pStyle w:val="Tabletext"/>
              <w:rPr>
                <w:i/>
                <w:iCs/>
              </w:rPr>
            </w:pPr>
            <w:r w:rsidRPr="003C348E">
              <w:rPr>
                <w:i/>
                <w:iCs/>
              </w:rPr>
              <w:t>Eucalyptus crenulata</w:t>
            </w:r>
          </w:p>
        </w:tc>
        <w:tc>
          <w:tcPr>
            <w:tcW w:w="3118" w:type="dxa"/>
            <w:shd w:val="clear" w:color="auto" w:fill="FFFFFF" w:themeFill="background1"/>
            <w:vAlign w:val="center"/>
          </w:tcPr>
          <w:p w14:paraId="66DC43C3" w14:textId="77777777" w:rsidR="000B173B" w:rsidRPr="004D0588" w:rsidRDefault="000B173B" w:rsidP="00A15226">
            <w:pPr>
              <w:pStyle w:val="Tabletext"/>
            </w:pPr>
            <w:r w:rsidRPr="00D7193E">
              <w:t>Buxton Gum</w:t>
            </w:r>
          </w:p>
        </w:tc>
        <w:tc>
          <w:tcPr>
            <w:tcW w:w="2835" w:type="dxa"/>
            <w:shd w:val="clear" w:color="auto" w:fill="FFFFFF" w:themeFill="background1"/>
            <w:vAlign w:val="center"/>
          </w:tcPr>
          <w:p w14:paraId="2B206C87" w14:textId="77777777" w:rsidR="000B173B" w:rsidRPr="004D0588" w:rsidRDefault="000B173B" w:rsidP="00A15226">
            <w:pPr>
              <w:pStyle w:val="Tabletext"/>
            </w:pPr>
            <w:r w:rsidRPr="00D7193E">
              <w:t>Endangered</w:t>
            </w:r>
          </w:p>
        </w:tc>
        <w:tc>
          <w:tcPr>
            <w:tcW w:w="851" w:type="dxa"/>
            <w:shd w:val="clear" w:color="auto" w:fill="FFFFFF" w:themeFill="background1"/>
            <w:vAlign w:val="center"/>
          </w:tcPr>
          <w:p w14:paraId="15F044F9"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3D92B456"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401D23B4" w14:textId="77777777" w:rsidR="000B173B" w:rsidRPr="0087369D" w:rsidRDefault="000B173B" w:rsidP="00A15226">
            <w:pPr>
              <w:pStyle w:val="Tabletext"/>
              <w:jc w:val="center"/>
            </w:pPr>
            <w:r w:rsidRPr="006B0B80">
              <w:t>N/A</w:t>
            </w:r>
          </w:p>
        </w:tc>
        <w:tc>
          <w:tcPr>
            <w:tcW w:w="1134" w:type="dxa"/>
            <w:shd w:val="clear" w:color="auto" w:fill="FFFFFF" w:themeFill="background1"/>
            <w:vAlign w:val="center"/>
          </w:tcPr>
          <w:p w14:paraId="38EF8FC6" w14:textId="77777777" w:rsidR="000B173B" w:rsidRPr="0087369D" w:rsidRDefault="000B173B" w:rsidP="00A15226">
            <w:pPr>
              <w:pStyle w:val="Tabletext"/>
              <w:jc w:val="center"/>
            </w:pPr>
            <w:r w:rsidRPr="006B0B80">
              <w:t>N/A</w:t>
            </w:r>
          </w:p>
        </w:tc>
        <w:tc>
          <w:tcPr>
            <w:tcW w:w="1300" w:type="dxa"/>
            <w:shd w:val="clear" w:color="auto" w:fill="FFFFFF" w:themeFill="background1"/>
            <w:vAlign w:val="center"/>
          </w:tcPr>
          <w:p w14:paraId="596B8189" w14:textId="77777777" w:rsidR="000B173B" w:rsidRPr="006B0B80" w:rsidRDefault="000B173B" w:rsidP="00A15226">
            <w:pPr>
              <w:pStyle w:val="Tabletext"/>
              <w:jc w:val="center"/>
            </w:pPr>
            <w:r w:rsidRPr="003F3F44">
              <w:t>Yes</w:t>
            </w:r>
          </w:p>
        </w:tc>
      </w:tr>
      <w:tr w:rsidR="000B173B" w14:paraId="7FCA805A" w14:textId="77777777" w:rsidTr="00A15226">
        <w:tc>
          <w:tcPr>
            <w:tcW w:w="3114" w:type="dxa"/>
            <w:shd w:val="clear" w:color="auto" w:fill="FFFFFF" w:themeFill="background1"/>
            <w:vAlign w:val="center"/>
          </w:tcPr>
          <w:p w14:paraId="3D8935C2" w14:textId="77777777" w:rsidR="000B173B" w:rsidRPr="003C348E" w:rsidRDefault="000B173B" w:rsidP="00A15226">
            <w:pPr>
              <w:pStyle w:val="Tabletext"/>
              <w:rPr>
                <w:i/>
                <w:iCs/>
              </w:rPr>
            </w:pPr>
            <w:r w:rsidRPr="003C348E">
              <w:rPr>
                <w:i/>
                <w:iCs/>
              </w:rPr>
              <w:t>Euphrasia collina subsp. muelleri</w:t>
            </w:r>
          </w:p>
        </w:tc>
        <w:tc>
          <w:tcPr>
            <w:tcW w:w="3118" w:type="dxa"/>
            <w:shd w:val="clear" w:color="auto" w:fill="FFFFFF" w:themeFill="background1"/>
            <w:vAlign w:val="center"/>
          </w:tcPr>
          <w:p w14:paraId="53E0272C" w14:textId="77777777" w:rsidR="000B173B" w:rsidRPr="0087369D" w:rsidRDefault="000B173B" w:rsidP="00A15226">
            <w:pPr>
              <w:pStyle w:val="Tabletext"/>
            </w:pPr>
            <w:r w:rsidRPr="00D7193E">
              <w:t>Purple Eyebright</w:t>
            </w:r>
          </w:p>
        </w:tc>
        <w:tc>
          <w:tcPr>
            <w:tcW w:w="2835" w:type="dxa"/>
            <w:shd w:val="clear" w:color="auto" w:fill="FFFFFF" w:themeFill="background1"/>
            <w:vAlign w:val="center"/>
          </w:tcPr>
          <w:p w14:paraId="594B98B3" w14:textId="77777777" w:rsidR="000B173B" w:rsidRPr="0087369D" w:rsidRDefault="000B173B" w:rsidP="00A15226">
            <w:pPr>
              <w:pStyle w:val="Tabletext"/>
            </w:pPr>
            <w:r w:rsidRPr="00D7193E">
              <w:t>Endangered</w:t>
            </w:r>
          </w:p>
        </w:tc>
        <w:tc>
          <w:tcPr>
            <w:tcW w:w="851" w:type="dxa"/>
            <w:shd w:val="clear" w:color="auto" w:fill="FFFFFF" w:themeFill="background1"/>
            <w:vAlign w:val="center"/>
          </w:tcPr>
          <w:p w14:paraId="442E0370"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3446B58E"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17AFE892" w14:textId="77777777" w:rsidR="000B173B" w:rsidRPr="0087369D" w:rsidRDefault="000B173B" w:rsidP="00A15226">
            <w:pPr>
              <w:pStyle w:val="Tabletext"/>
              <w:jc w:val="center"/>
            </w:pPr>
            <w:r w:rsidRPr="006B0B80">
              <w:t>Unlikely</w:t>
            </w:r>
          </w:p>
        </w:tc>
        <w:tc>
          <w:tcPr>
            <w:tcW w:w="1134" w:type="dxa"/>
            <w:shd w:val="clear" w:color="auto" w:fill="FFFFFF" w:themeFill="background1"/>
            <w:vAlign w:val="center"/>
          </w:tcPr>
          <w:p w14:paraId="5279F6AA" w14:textId="77777777" w:rsidR="000B173B" w:rsidRPr="0087369D" w:rsidRDefault="000B173B" w:rsidP="00A15226">
            <w:pPr>
              <w:pStyle w:val="Tabletext"/>
              <w:jc w:val="center"/>
            </w:pPr>
            <w:r w:rsidRPr="006B0B80">
              <w:t>N/A</w:t>
            </w:r>
          </w:p>
        </w:tc>
        <w:tc>
          <w:tcPr>
            <w:tcW w:w="1300" w:type="dxa"/>
            <w:shd w:val="clear" w:color="auto" w:fill="FFFFFF" w:themeFill="background1"/>
            <w:vAlign w:val="center"/>
          </w:tcPr>
          <w:p w14:paraId="2BF8B87E" w14:textId="77777777" w:rsidR="000B173B" w:rsidRPr="006B0B80" w:rsidRDefault="000B173B" w:rsidP="00A15226">
            <w:pPr>
              <w:pStyle w:val="Tabletext"/>
              <w:jc w:val="center"/>
            </w:pPr>
            <w:r w:rsidRPr="003F3F44">
              <w:t>Yes</w:t>
            </w:r>
          </w:p>
        </w:tc>
      </w:tr>
      <w:tr w:rsidR="000B173B" w14:paraId="17DA87FA" w14:textId="77777777" w:rsidTr="00A15226">
        <w:tc>
          <w:tcPr>
            <w:tcW w:w="3114" w:type="dxa"/>
            <w:shd w:val="clear" w:color="auto" w:fill="FFFFFF" w:themeFill="background1"/>
            <w:vAlign w:val="center"/>
          </w:tcPr>
          <w:p w14:paraId="16AB00F2" w14:textId="77777777" w:rsidR="000B173B" w:rsidRPr="003C348E" w:rsidRDefault="000B173B" w:rsidP="00A15226">
            <w:pPr>
              <w:pStyle w:val="Tabletext"/>
              <w:rPr>
                <w:i/>
                <w:iCs/>
              </w:rPr>
            </w:pPr>
            <w:r w:rsidRPr="003C348E">
              <w:rPr>
                <w:i/>
                <w:iCs/>
              </w:rPr>
              <w:t>Glycine latrobeana</w:t>
            </w:r>
          </w:p>
        </w:tc>
        <w:tc>
          <w:tcPr>
            <w:tcW w:w="3118" w:type="dxa"/>
            <w:shd w:val="clear" w:color="auto" w:fill="FFFFFF" w:themeFill="background1"/>
            <w:vAlign w:val="center"/>
          </w:tcPr>
          <w:p w14:paraId="39500E52" w14:textId="77777777" w:rsidR="000B173B" w:rsidRPr="00F42715" w:rsidRDefault="000B173B" w:rsidP="00A15226">
            <w:pPr>
              <w:pStyle w:val="Tabletext"/>
            </w:pPr>
            <w:r w:rsidRPr="00D7193E">
              <w:t>Clover Glycine</w:t>
            </w:r>
          </w:p>
        </w:tc>
        <w:tc>
          <w:tcPr>
            <w:tcW w:w="2835" w:type="dxa"/>
            <w:shd w:val="clear" w:color="auto" w:fill="FFFFFF" w:themeFill="background1"/>
            <w:vAlign w:val="center"/>
          </w:tcPr>
          <w:p w14:paraId="4F42216D" w14:textId="77777777" w:rsidR="000B173B" w:rsidRPr="00F42715" w:rsidRDefault="000B173B" w:rsidP="00A15226">
            <w:pPr>
              <w:pStyle w:val="Tabletext"/>
            </w:pPr>
            <w:r w:rsidRPr="00D7193E">
              <w:t>Vulnerable</w:t>
            </w:r>
          </w:p>
        </w:tc>
        <w:tc>
          <w:tcPr>
            <w:tcW w:w="851" w:type="dxa"/>
            <w:shd w:val="clear" w:color="auto" w:fill="FFFFFF" w:themeFill="background1"/>
            <w:vAlign w:val="center"/>
          </w:tcPr>
          <w:p w14:paraId="370930EF"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76A70E99"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01E7F241" w14:textId="77777777" w:rsidR="000B173B" w:rsidRPr="0087369D" w:rsidRDefault="000B173B" w:rsidP="00A15226">
            <w:pPr>
              <w:pStyle w:val="Tabletext"/>
              <w:jc w:val="center"/>
            </w:pPr>
            <w:r w:rsidRPr="006B0B80">
              <w:t>Moderate</w:t>
            </w:r>
          </w:p>
        </w:tc>
        <w:tc>
          <w:tcPr>
            <w:tcW w:w="1134" w:type="dxa"/>
            <w:shd w:val="clear" w:color="auto" w:fill="FFFFFF" w:themeFill="background1"/>
            <w:vAlign w:val="center"/>
          </w:tcPr>
          <w:p w14:paraId="3A456607"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13680027" w14:textId="77777777" w:rsidR="000B173B" w:rsidRPr="006B0B80" w:rsidRDefault="000B173B" w:rsidP="00A15226">
            <w:pPr>
              <w:pStyle w:val="Tabletext"/>
              <w:jc w:val="center"/>
            </w:pPr>
            <w:r w:rsidRPr="003F3F44">
              <w:t>Yes</w:t>
            </w:r>
          </w:p>
        </w:tc>
      </w:tr>
      <w:tr w:rsidR="000B173B" w14:paraId="70F45561" w14:textId="77777777" w:rsidTr="00A15226">
        <w:tc>
          <w:tcPr>
            <w:tcW w:w="3114" w:type="dxa"/>
            <w:shd w:val="clear" w:color="auto" w:fill="FFFFFF" w:themeFill="background1"/>
            <w:vAlign w:val="center"/>
          </w:tcPr>
          <w:p w14:paraId="359F30F4" w14:textId="77777777" w:rsidR="000B173B" w:rsidRPr="003C348E" w:rsidRDefault="000B173B" w:rsidP="00A15226">
            <w:pPr>
              <w:pStyle w:val="Tabletext"/>
              <w:rPr>
                <w:i/>
                <w:iCs/>
              </w:rPr>
            </w:pPr>
            <w:r w:rsidRPr="003C348E">
              <w:rPr>
                <w:i/>
                <w:iCs/>
              </w:rPr>
              <w:t>Ixodia achillaeoides subsp. arenicola</w:t>
            </w:r>
          </w:p>
        </w:tc>
        <w:tc>
          <w:tcPr>
            <w:tcW w:w="3118" w:type="dxa"/>
            <w:shd w:val="clear" w:color="auto" w:fill="FFFFFF" w:themeFill="background1"/>
            <w:vAlign w:val="center"/>
          </w:tcPr>
          <w:p w14:paraId="3725BDC8" w14:textId="77777777" w:rsidR="000B173B" w:rsidRPr="00D7193E" w:rsidRDefault="000B173B" w:rsidP="00A15226">
            <w:pPr>
              <w:pStyle w:val="Tabletext"/>
            </w:pPr>
            <w:r w:rsidRPr="00906A84">
              <w:t>Sand Ixodia</w:t>
            </w:r>
          </w:p>
        </w:tc>
        <w:tc>
          <w:tcPr>
            <w:tcW w:w="2835" w:type="dxa"/>
            <w:shd w:val="clear" w:color="auto" w:fill="FFFFFF" w:themeFill="background1"/>
            <w:vAlign w:val="center"/>
          </w:tcPr>
          <w:p w14:paraId="3DEE83E3" w14:textId="77777777" w:rsidR="000B173B" w:rsidRPr="00D7193E" w:rsidRDefault="000B173B" w:rsidP="00A15226">
            <w:pPr>
              <w:pStyle w:val="Tabletext"/>
            </w:pPr>
            <w:r w:rsidRPr="00906A84">
              <w:t xml:space="preserve">Vulnerable </w:t>
            </w:r>
          </w:p>
        </w:tc>
        <w:tc>
          <w:tcPr>
            <w:tcW w:w="851" w:type="dxa"/>
            <w:shd w:val="clear" w:color="auto" w:fill="FFFFFF" w:themeFill="background1"/>
            <w:vAlign w:val="center"/>
          </w:tcPr>
          <w:p w14:paraId="02467A54" w14:textId="77777777" w:rsidR="000B173B" w:rsidRPr="006B0B80" w:rsidRDefault="000B173B" w:rsidP="00A15226">
            <w:pPr>
              <w:pStyle w:val="Tabletext"/>
              <w:jc w:val="center"/>
            </w:pPr>
            <w:r w:rsidRPr="00906A84">
              <w:t>No</w:t>
            </w:r>
          </w:p>
        </w:tc>
        <w:tc>
          <w:tcPr>
            <w:tcW w:w="850" w:type="dxa"/>
            <w:shd w:val="clear" w:color="auto" w:fill="FFFFFF" w:themeFill="background1"/>
            <w:vAlign w:val="center"/>
          </w:tcPr>
          <w:p w14:paraId="64CF9A57" w14:textId="77777777" w:rsidR="000B173B" w:rsidRPr="006B0B80" w:rsidRDefault="000B173B" w:rsidP="00A15226">
            <w:pPr>
              <w:pStyle w:val="Tabletext"/>
              <w:jc w:val="center"/>
            </w:pPr>
            <w:r w:rsidRPr="00906A84">
              <w:t>No</w:t>
            </w:r>
          </w:p>
        </w:tc>
        <w:tc>
          <w:tcPr>
            <w:tcW w:w="1134" w:type="dxa"/>
            <w:shd w:val="clear" w:color="auto" w:fill="FFFFFF" w:themeFill="background1"/>
            <w:vAlign w:val="center"/>
          </w:tcPr>
          <w:p w14:paraId="0B60F3CC" w14:textId="77777777" w:rsidR="000B173B" w:rsidRPr="006B0B80" w:rsidRDefault="000B173B" w:rsidP="00A15226">
            <w:pPr>
              <w:pStyle w:val="Tabletext"/>
              <w:jc w:val="center"/>
            </w:pPr>
            <w:r w:rsidRPr="00906A84">
              <w:t>N/A</w:t>
            </w:r>
          </w:p>
        </w:tc>
        <w:tc>
          <w:tcPr>
            <w:tcW w:w="1134" w:type="dxa"/>
            <w:shd w:val="clear" w:color="auto" w:fill="FFFFFF" w:themeFill="background1"/>
            <w:vAlign w:val="center"/>
          </w:tcPr>
          <w:p w14:paraId="21758AB7" w14:textId="77777777" w:rsidR="000B173B" w:rsidRPr="006B0B80" w:rsidRDefault="000B173B" w:rsidP="00A15226">
            <w:pPr>
              <w:pStyle w:val="Tabletext"/>
              <w:jc w:val="center"/>
            </w:pPr>
            <w:r w:rsidRPr="00906A84">
              <w:t>May</w:t>
            </w:r>
          </w:p>
        </w:tc>
        <w:tc>
          <w:tcPr>
            <w:tcW w:w="1300" w:type="dxa"/>
            <w:shd w:val="clear" w:color="auto" w:fill="FFFFFF" w:themeFill="background1"/>
            <w:vAlign w:val="center"/>
          </w:tcPr>
          <w:p w14:paraId="35574B66" w14:textId="77777777" w:rsidR="000B173B" w:rsidRPr="006B0B80" w:rsidRDefault="000B173B" w:rsidP="00A15226">
            <w:pPr>
              <w:pStyle w:val="Tabletext"/>
              <w:jc w:val="center"/>
            </w:pPr>
            <w:r w:rsidRPr="003F3F44">
              <w:t>No</w:t>
            </w:r>
          </w:p>
        </w:tc>
      </w:tr>
      <w:tr w:rsidR="000B173B" w14:paraId="73D66318" w14:textId="77777777" w:rsidTr="00A15226">
        <w:tc>
          <w:tcPr>
            <w:tcW w:w="3114" w:type="dxa"/>
            <w:shd w:val="clear" w:color="auto" w:fill="FFFFFF" w:themeFill="background1"/>
            <w:vAlign w:val="center"/>
          </w:tcPr>
          <w:p w14:paraId="687C5575" w14:textId="77777777" w:rsidR="000B173B" w:rsidRPr="003C348E" w:rsidRDefault="000B173B" w:rsidP="00A15226">
            <w:pPr>
              <w:pStyle w:val="Tabletext"/>
              <w:rPr>
                <w:i/>
                <w:iCs/>
              </w:rPr>
            </w:pPr>
            <w:r w:rsidRPr="003C348E">
              <w:rPr>
                <w:i/>
                <w:iCs/>
              </w:rPr>
              <w:t>Lachnagrostis adamsonii</w:t>
            </w:r>
          </w:p>
        </w:tc>
        <w:tc>
          <w:tcPr>
            <w:tcW w:w="3118" w:type="dxa"/>
            <w:shd w:val="clear" w:color="auto" w:fill="FFFFFF" w:themeFill="background1"/>
            <w:vAlign w:val="center"/>
          </w:tcPr>
          <w:p w14:paraId="04E76703" w14:textId="77777777" w:rsidR="000B173B" w:rsidRPr="00F42715" w:rsidRDefault="000B173B" w:rsidP="00A15226">
            <w:pPr>
              <w:pStyle w:val="Tabletext"/>
            </w:pPr>
            <w:r w:rsidRPr="00D7193E">
              <w:t>Adamson's Blown-grass</w:t>
            </w:r>
          </w:p>
        </w:tc>
        <w:tc>
          <w:tcPr>
            <w:tcW w:w="2835" w:type="dxa"/>
            <w:shd w:val="clear" w:color="auto" w:fill="FFFFFF" w:themeFill="background1"/>
            <w:vAlign w:val="center"/>
          </w:tcPr>
          <w:p w14:paraId="3C679B15" w14:textId="77777777" w:rsidR="000B173B" w:rsidRPr="00F42715" w:rsidRDefault="000B173B" w:rsidP="00A15226">
            <w:pPr>
              <w:pStyle w:val="Tabletext"/>
            </w:pPr>
            <w:r w:rsidRPr="00D7193E">
              <w:t>Endangered</w:t>
            </w:r>
          </w:p>
        </w:tc>
        <w:tc>
          <w:tcPr>
            <w:tcW w:w="851" w:type="dxa"/>
            <w:shd w:val="clear" w:color="auto" w:fill="FFFFFF" w:themeFill="background1"/>
            <w:vAlign w:val="center"/>
          </w:tcPr>
          <w:p w14:paraId="6DB548EC"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5EBB6CD6"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574B252F" w14:textId="77777777" w:rsidR="000B173B" w:rsidRPr="0087369D" w:rsidRDefault="000B173B" w:rsidP="00A15226">
            <w:pPr>
              <w:pStyle w:val="Tabletext"/>
              <w:jc w:val="center"/>
            </w:pPr>
            <w:r w:rsidRPr="006B0B80">
              <w:t>Moderate</w:t>
            </w:r>
          </w:p>
        </w:tc>
        <w:tc>
          <w:tcPr>
            <w:tcW w:w="1134" w:type="dxa"/>
            <w:shd w:val="clear" w:color="auto" w:fill="FFFFFF" w:themeFill="background1"/>
            <w:vAlign w:val="center"/>
          </w:tcPr>
          <w:p w14:paraId="78DE54F0"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046D655D" w14:textId="77777777" w:rsidR="000B173B" w:rsidRPr="006B0B80" w:rsidRDefault="000B173B" w:rsidP="00A15226">
            <w:pPr>
              <w:pStyle w:val="Tabletext"/>
              <w:jc w:val="center"/>
            </w:pPr>
            <w:r w:rsidRPr="003F3F44">
              <w:t>Yes</w:t>
            </w:r>
          </w:p>
        </w:tc>
      </w:tr>
      <w:tr w:rsidR="000B173B" w14:paraId="6A3FAA29" w14:textId="77777777" w:rsidTr="00A15226">
        <w:tc>
          <w:tcPr>
            <w:tcW w:w="3114" w:type="dxa"/>
            <w:shd w:val="clear" w:color="auto" w:fill="FFFFFF" w:themeFill="background1"/>
            <w:vAlign w:val="center"/>
          </w:tcPr>
          <w:p w14:paraId="02A48669" w14:textId="77777777" w:rsidR="000B173B" w:rsidRPr="003C348E" w:rsidRDefault="000B173B" w:rsidP="00A15226">
            <w:pPr>
              <w:pStyle w:val="Tabletext"/>
              <w:rPr>
                <w:i/>
                <w:iCs/>
              </w:rPr>
            </w:pPr>
            <w:r w:rsidRPr="003C348E">
              <w:rPr>
                <w:i/>
                <w:iCs/>
              </w:rPr>
              <w:t>Lepidium aschersonii</w:t>
            </w:r>
          </w:p>
        </w:tc>
        <w:tc>
          <w:tcPr>
            <w:tcW w:w="3118" w:type="dxa"/>
            <w:shd w:val="clear" w:color="auto" w:fill="FFFFFF" w:themeFill="background1"/>
            <w:vAlign w:val="center"/>
          </w:tcPr>
          <w:p w14:paraId="7CC512D4" w14:textId="77777777" w:rsidR="000B173B" w:rsidRPr="00F42715" w:rsidRDefault="000B173B" w:rsidP="00A15226">
            <w:pPr>
              <w:pStyle w:val="Tabletext"/>
            </w:pPr>
            <w:r w:rsidRPr="00D7193E">
              <w:t>Spiny Pepper-cress</w:t>
            </w:r>
          </w:p>
        </w:tc>
        <w:tc>
          <w:tcPr>
            <w:tcW w:w="2835" w:type="dxa"/>
            <w:shd w:val="clear" w:color="auto" w:fill="FFFFFF" w:themeFill="background1"/>
            <w:vAlign w:val="center"/>
          </w:tcPr>
          <w:p w14:paraId="2F70410F" w14:textId="77777777" w:rsidR="000B173B" w:rsidRPr="00F42715" w:rsidRDefault="000B173B" w:rsidP="00A15226">
            <w:pPr>
              <w:pStyle w:val="Tabletext"/>
            </w:pPr>
            <w:r w:rsidRPr="00D7193E">
              <w:t>Vulnerable</w:t>
            </w:r>
          </w:p>
        </w:tc>
        <w:tc>
          <w:tcPr>
            <w:tcW w:w="851" w:type="dxa"/>
            <w:shd w:val="clear" w:color="auto" w:fill="FFFFFF" w:themeFill="background1"/>
            <w:vAlign w:val="center"/>
          </w:tcPr>
          <w:p w14:paraId="007CB864"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4BBA82EF"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4D3DE3EA" w14:textId="77777777" w:rsidR="000B173B" w:rsidRPr="0087369D" w:rsidRDefault="000B173B" w:rsidP="00A15226">
            <w:pPr>
              <w:pStyle w:val="Tabletext"/>
              <w:jc w:val="center"/>
            </w:pPr>
            <w:r w:rsidRPr="006B0B80">
              <w:t>N/A</w:t>
            </w:r>
          </w:p>
        </w:tc>
        <w:tc>
          <w:tcPr>
            <w:tcW w:w="1134" w:type="dxa"/>
            <w:shd w:val="clear" w:color="auto" w:fill="FFFFFF" w:themeFill="background1"/>
            <w:vAlign w:val="center"/>
          </w:tcPr>
          <w:p w14:paraId="5A5D6C30" w14:textId="77777777" w:rsidR="000B173B" w:rsidRPr="0087369D" w:rsidRDefault="000B173B" w:rsidP="00A15226">
            <w:pPr>
              <w:pStyle w:val="Tabletext"/>
              <w:jc w:val="center"/>
            </w:pPr>
            <w:r w:rsidRPr="006B0B80">
              <w:t>Likely</w:t>
            </w:r>
          </w:p>
        </w:tc>
        <w:tc>
          <w:tcPr>
            <w:tcW w:w="1300" w:type="dxa"/>
            <w:shd w:val="clear" w:color="auto" w:fill="FFFFFF" w:themeFill="background1"/>
            <w:vAlign w:val="center"/>
          </w:tcPr>
          <w:p w14:paraId="4D0C41A8" w14:textId="77777777" w:rsidR="000B173B" w:rsidRPr="006B0B80" w:rsidRDefault="000B173B" w:rsidP="00A15226">
            <w:pPr>
              <w:pStyle w:val="Tabletext"/>
              <w:jc w:val="center"/>
            </w:pPr>
            <w:r w:rsidRPr="003F3F44">
              <w:t>Yes</w:t>
            </w:r>
          </w:p>
        </w:tc>
      </w:tr>
      <w:tr w:rsidR="000B173B" w14:paraId="3571D893" w14:textId="77777777" w:rsidTr="00A15226">
        <w:tc>
          <w:tcPr>
            <w:tcW w:w="3114" w:type="dxa"/>
            <w:shd w:val="clear" w:color="auto" w:fill="FFFFFF" w:themeFill="background1"/>
            <w:vAlign w:val="center"/>
          </w:tcPr>
          <w:p w14:paraId="276FE8D2" w14:textId="77777777" w:rsidR="000B173B" w:rsidRPr="003C348E" w:rsidRDefault="000B173B" w:rsidP="00A15226">
            <w:pPr>
              <w:pStyle w:val="Tabletext"/>
              <w:rPr>
                <w:i/>
                <w:iCs/>
              </w:rPr>
            </w:pPr>
            <w:r w:rsidRPr="003C348E">
              <w:rPr>
                <w:i/>
                <w:iCs/>
              </w:rPr>
              <w:t>Lepidium hyssopifolium</w:t>
            </w:r>
          </w:p>
        </w:tc>
        <w:tc>
          <w:tcPr>
            <w:tcW w:w="3118" w:type="dxa"/>
            <w:shd w:val="clear" w:color="auto" w:fill="FFFFFF" w:themeFill="background1"/>
            <w:vAlign w:val="center"/>
          </w:tcPr>
          <w:p w14:paraId="0B4398C8" w14:textId="77777777" w:rsidR="000B173B" w:rsidRPr="00FC6788" w:rsidRDefault="000B173B" w:rsidP="00A15226">
            <w:pPr>
              <w:pStyle w:val="Tabletext"/>
            </w:pPr>
            <w:r w:rsidRPr="00D7193E">
              <w:t>Basalt Pepper-cress</w:t>
            </w:r>
          </w:p>
        </w:tc>
        <w:tc>
          <w:tcPr>
            <w:tcW w:w="2835" w:type="dxa"/>
            <w:shd w:val="clear" w:color="auto" w:fill="FFFFFF" w:themeFill="background1"/>
            <w:vAlign w:val="center"/>
          </w:tcPr>
          <w:p w14:paraId="3B48F7FD" w14:textId="77777777" w:rsidR="000B173B" w:rsidRPr="00FC6788" w:rsidRDefault="000B173B" w:rsidP="00A15226">
            <w:pPr>
              <w:pStyle w:val="Tabletext"/>
            </w:pPr>
            <w:r w:rsidRPr="00D7193E">
              <w:t>Endangered</w:t>
            </w:r>
          </w:p>
        </w:tc>
        <w:tc>
          <w:tcPr>
            <w:tcW w:w="851" w:type="dxa"/>
            <w:shd w:val="clear" w:color="auto" w:fill="FFFFFF" w:themeFill="background1"/>
            <w:vAlign w:val="center"/>
          </w:tcPr>
          <w:p w14:paraId="795E7BC0" w14:textId="77777777" w:rsidR="000B173B" w:rsidRPr="0087369D" w:rsidRDefault="000B173B" w:rsidP="00A15226">
            <w:pPr>
              <w:pStyle w:val="Tabletext"/>
              <w:jc w:val="center"/>
            </w:pPr>
            <w:r w:rsidRPr="006B0B80">
              <w:t>No</w:t>
            </w:r>
          </w:p>
        </w:tc>
        <w:tc>
          <w:tcPr>
            <w:tcW w:w="850" w:type="dxa"/>
            <w:shd w:val="clear" w:color="auto" w:fill="FFFFFF" w:themeFill="background1"/>
            <w:vAlign w:val="center"/>
          </w:tcPr>
          <w:p w14:paraId="38BE6298"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7AD945FE" w14:textId="77777777" w:rsidR="000B173B" w:rsidRPr="0087369D" w:rsidRDefault="000B173B" w:rsidP="00A15226">
            <w:pPr>
              <w:pStyle w:val="Tabletext"/>
              <w:jc w:val="center"/>
            </w:pPr>
            <w:r w:rsidRPr="006B0B80">
              <w:t>Low</w:t>
            </w:r>
          </w:p>
        </w:tc>
        <w:tc>
          <w:tcPr>
            <w:tcW w:w="1134" w:type="dxa"/>
            <w:shd w:val="clear" w:color="auto" w:fill="FFFFFF" w:themeFill="background1"/>
            <w:vAlign w:val="center"/>
          </w:tcPr>
          <w:p w14:paraId="7C5F2D3C" w14:textId="77777777" w:rsidR="000B173B" w:rsidRPr="0087369D" w:rsidRDefault="000B173B" w:rsidP="00A15226">
            <w:pPr>
              <w:pStyle w:val="Tabletext"/>
              <w:jc w:val="center"/>
            </w:pPr>
            <w:r w:rsidRPr="006B0B80">
              <w:t>Likely</w:t>
            </w:r>
          </w:p>
        </w:tc>
        <w:tc>
          <w:tcPr>
            <w:tcW w:w="1300" w:type="dxa"/>
            <w:shd w:val="clear" w:color="auto" w:fill="FFFFFF" w:themeFill="background1"/>
            <w:vAlign w:val="center"/>
          </w:tcPr>
          <w:p w14:paraId="6A5762B0" w14:textId="77777777" w:rsidR="000B173B" w:rsidRPr="006B0B80" w:rsidRDefault="000B173B" w:rsidP="00A15226">
            <w:pPr>
              <w:pStyle w:val="Tabletext"/>
              <w:jc w:val="center"/>
            </w:pPr>
            <w:r w:rsidRPr="003F3F44">
              <w:t>Yes</w:t>
            </w:r>
          </w:p>
        </w:tc>
      </w:tr>
      <w:tr w:rsidR="000B173B" w14:paraId="6F105B90" w14:textId="77777777" w:rsidTr="00A15226">
        <w:tc>
          <w:tcPr>
            <w:tcW w:w="3114" w:type="dxa"/>
            <w:shd w:val="clear" w:color="auto" w:fill="FFFFFF" w:themeFill="background1"/>
            <w:vAlign w:val="center"/>
          </w:tcPr>
          <w:p w14:paraId="6B8E42B0" w14:textId="77777777" w:rsidR="000B173B" w:rsidRPr="003C348E" w:rsidRDefault="000B173B" w:rsidP="00A15226">
            <w:pPr>
              <w:pStyle w:val="Tabletext"/>
              <w:rPr>
                <w:i/>
                <w:iCs/>
              </w:rPr>
            </w:pPr>
            <w:r w:rsidRPr="003C348E">
              <w:rPr>
                <w:i/>
                <w:iCs/>
              </w:rPr>
              <w:t>Leucochrysum albicans subsp. tricolor</w:t>
            </w:r>
          </w:p>
        </w:tc>
        <w:tc>
          <w:tcPr>
            <w:tcW w:w="3118" w:type="dxa"/>
            <w:shd w:val="clear" w:color="auto" w:fill="FFFFFF" w:themeFill="background1"/>
            <w:vAlign w:val="center"/>
          </w:tcPr>
          <w:p w14:paraId="4BA1381F" w14:textId="77777777" w:rsidR="000B173B" w:rsidRPr="00FC6788" w:rsidRDefault="000B173B" w:rsidP="00A15226">
            <w:pPr>
              <w:pStyle w:val="Tabletext"/>
            </w:pPr>
            <w:r w:rsidRPr="00D7193E">
              <w:t>Grassland Paper-daisy</w:t>
            </w:r>
          </w:p>
        </w:tc>
        <w:tc>
          <w:tcPr>
            <w:tcW w:w="2835" w:type="dxa"/>
            <w:shd w:val="clear" w:color="auto" w:fill="FFFFFF" w:themeFill="background1"/>
            <w:vAlign w:val="center"/>
          </w:tcPr>
          <w:p w14:paraId="02F2E38B" w14:textId="77777777" w:rsidR="000B173B" w:rsidRPr="00FC6788" w:rsidRDefault="000B173B" w:rsidP="00A15226">
            <w:pPr>
              <w:pStyle w:val="Tabletext"/>
            </w:pPr>
            <w:r w:rsidRPr="00D7193E">
              <w:t>Endangered</w:t>
            </w:r>
          </w:p>
        </w:tc>
        <w:tc>
          <w:tcPr>
            <w:tcW w:w="851" w:type="dxa"/>
            <w:shd w:val="clear" w:color="auto" w:fill="FFFFFF" w:themeFill="background1"/>
            <w:vAlign w:val="center"/>
          </w:tcPr>
          <w:p w14:paraId="3B0FFCA6"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6F5C4C23"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42E1D7C5" w14:textId="77777777" w:rsidR="000B173B" w:rsidRPr="0087369D" w:rsidRDefault="000B173B" w:rsidP="00A15226">
            <w:pPr>
              <w:pStyle w:val="Tabletext"/>
              <w:jc w:val="center"/>
            </w:pPr>
            <w:r w:rsidRPr="006B0B80">
              <w:t>Unlikely</w:t>
            </w:r>
          </w:p>
        </w:tc>
        <w:tc>
          <w:tcPr>
            <w:tcW w:w="1134" w:type="dxa"/>
            <w:shd w:val="clear" w:color="auto" w:fill="FFFFFF" w:themeFill="background1"/>
            <w:vAlign w:val="center"/>
          </w:tcPr>
          <w:p w14:paraId="6D1F808C"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6C936ED9" w14:textId="77777777" w:rsidR="000B173B" w:rsidRPr="006B0B80" w:rsidRDefault="000B173B" w:rsidP="00A15226">
            <w:pPr>
              <w:pStyle w:val="Tabletext"/>
              <w:jc w:val="center"/>
            </w:pPr>
            <w:r w:rsidRPr="003F3F44">
              <w:t>Yes</w:t>
            </w:r>
          </w:p>
        </w:tc>
      </w:tr>
      <w:tr w:rsidR="000B173B" w14:paraId="40724503" w14:textId="77777777" w:rsidTr="00A15226">
        <w:tc>
          <w:tcPr>
            <w:tcW w:w="3114" w:type="dxa"/>
            <w:shd w:val="clear" w:color="auto" w:fill="FFFFFF" w:themeFill="background1"/>
            <w:vAlign w:val="center"/>
          </w:tcPr>
          <w:p w14:paraId="61959055" w14:textId="77777777" w:rsidR="000B173B" w:rsidRPr="003C348E" w:rsidRDefault="000B173B" w:rsidP="00A15226">
            <w:pPr>
              <w:pStyle w:val="Tabletext"/>
              <w:rPr>
                <w:i/>
                <w:iCs/>
              </w:rPr>
            </w:pPr>
            <w:r w:rsidRPr="003C348E">
              <w:rPr>
                <w:i/>
                <w:iCs/>
              </w:rPr>
              <w:t>Pimelea spinescens subsp. spinescens</w:t>
            </w:r>
          </w:p>
        </w:tc>
        <w:tc>
          <w:tcPr>
            <w:tcW w:w="3118" w:type="dxa"/>
            <w:shd w:val="clear" w:color="auto" w:fill="FFFFFF" w:themeFill="background1"/>
            <w:vAlign w:val="center"/>
          </w:tcPr>
          <w:p w14:paraId="41CEF1CF" w14:textId="77777777" w:rsidR="000B173B" w:rsidRPr="00FC6788" w:rsidRDefault="000B173B" w:rsidP="00A15226">
            <w:pPr>
              <w:pStyle w:val="Tabletext"/>
            </w:pPr>
            <w:r w:rsidRPr="00D7193E">
              <w:t>Spiny Rice-flower</w:t>
            </w:r>
          </w:p>
        </w:tc>
        <w:tc>
          <w:tcPr>
            <w:tcW w:w="2835" w:type="dxa"/>
            <w:shd w:val="clear" w:color="auto" w:fill="FFFFFF" w:themeFill="background1"/>
            <w:vAlign w:val="center"/>
          </w:tcPr>
          <w:p w14:paraId="3B1F5F60" w14:textId="77777777" w:rsidR="000B173B" w:rsidRPr="00FC6788" w:rsidRDefault="000B173B" w:rsidP="00A15226">
            <w:pPr>
              <w:pStyle w:val="Tabletext"/>
            </w:pPr>
            <w:r w:rsidRPr="00D7193E">
              <w:t>Critically Endangered</w:t>
            </w:r>
          </w:p>
        </w:tc>
        <w:tc>
          <w:tcPr>
            <w:tcW w:w="851" w:type="dxa"/>
            <w:shd w:val="clear" w:color="auto" w:fill="FFFFFF" w:themeFill="background1"/>
            <w:vAlign w:val="center"/>
          </w:tcPr>
          <w:p w14:paraId="3D9AC329"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753DDB33"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610F3587" w14:textId="77777777" w:rsidR="000B173B" w:rsidRPr="0087369D" w:rsidRDefault="000B173B" w:rsidP="00A15226">
            <w:pPr>
              <w:pStyle w:val="Tabletext"/>
              <w:jc w:val="center"/>
            </w:pPr>
            <w:r w:rsidRPr="006B0B80">
              <w:t>Low</w:t>
            </w:r>
          </w:p>
        </w:tc>
        <w:tc>
          <w:tcPr>
            <w:tcW w:w="1134" w:type="dxa"/>
            <w:shd w:val="clear" w:color="auto" w:fill="FFFFFF" w:themeFill="background1"/>
            <w:vAlign w:val="center"/>
          </w:tcPr>
          <w:p w14:paraId="1F855B94" w14:textId="77777777" w:rsidR="000B173B" w:rsidRPr="0087369D" w:rsidRDefault="000B173B" w:rsidP="00A15226">
            <w:pPr>
              <w:pStyle w:val="Tabletext"/>
              <w:jc w:val="center"/>
            </w:pPr>
            <w:r w:rsidRPr="006B0B80">
              <w:t>Known</w:t>
            </w:r>
          </w:p>
        </w:tc>
        <w:tc>
          <w:tcPr>
            <w:tcW w:w="1300" w:type="dxa"/>
            <w:shd w:val="clear" w:color="auto" w:fill="FFFFFF" w:themeFill="background1"/>
            <w:vAlign w:val="center"/>
          </w:tcPr>
          <w:p w14:paraId="5A1706F2" w14:textId="77777777" w:rsidR="000B173B" w:rsidRPr="006B0B80" w:rsidRDefault="000B173B" w:rsidP="00A15226">
            <w:pPr>
              <w:pStyle w:val="Tabletext"/>
              <w:jc w:val="center"/>
            </w:pPr>
            <w:r w:rsidRPr="003F3F44">
              <w:t>Yes</w:t>
            </w:r>
          </w:p>
        </w:tc>
      </w:tr>
      <w:tr w:rsidR="000B173B" w14:paraId="6DC1C747" w14:textId="77777777" w:rsidTr="00A15226">
        <w:tc>
          <w:tcPr>
            <w:tcW w:w="3114" w:type="dxa"/>
            <w:shd w:val="clear" w:color="auto" w:fill="FFFFFF" w:themeFill="background1"/>
            <w:vAlign w:val="center"/>
          </w:tcPr>
          <w:p w14:paraId="7ACE486C" w14:textId="77777777" w:rsidR="000B173B" w:rsidRPr="003C348E" w:rsidRDefault="000B173B" w:rsidP="00A15226">
            <w:pPr>
              <w:pStyle w:val="Tabletext"/>
              <w:rPr>
                <w:i/>
                <w:iCs/>
              </w:rPr>
            </w:pPr>
            <w:r w:rsidRPr="003C348E">
              <w:rPr>
                <w:i/>
                <w:iCs/>
              </w:rPr>
              <w:t>Prasophyllum spicatum</w:t>
            </w:r>
          </w:p>
        </w:tc>
        <w:tc>
          <w:tcPr>
            <w:tcW w:w="3118" w:type="dxa"/>
            <w:shd w:val="clear" w:color="auto" w:fill="FFFFFF" w:themeFill="background1"/>
            <w:vAlign w:val="center"/>
          </w:tcPr>
          <w:p w14:paraId="56BD4A40" w14:textId="77777777" w:rsidR="000B173B" w:rsidRPr="00FC6788" w:rsidRDefault="000B173B" w:rsidP="00A15226">
            <w:pPr>
              <w:pStyle w:val="Tabletext"/>
            </w:pPr>
            <w:r w:rsidRPr="00D7193E">
              <w:t>Dense Leek-orchid</w:t>
            </w:r>
          </w:p>
        </w:tc>
        <w:tc>
          <w:tcPr>
            <w:tcW w:w="2835" w:type="dxa"/>
            <w:shd w:val="clear" w:color="auto" w:fill="FFFFFF" w:themeFill="background1"/>
            <w:vAlign w:val="center"/>
          </w:tcPr>
          <w:p w14:paraId="36D64C32" w14:textId="77777777" w:rsidR="000B173B" w:rsidRPr="00FC6788" w:rsidRDefault="000B173B" w:rsidP="00A15226">
            <w:pPr>
              <w:pStyle w:val="Tabletext"/>
            </w:pPr>
            <w:r w:rsidRPr="00D7193E">
              <w:t>Vulnerable</w:t>
            </w:r>
          </w:p>
        </w:tc>
        <w:tc>
          <w:tcPr>
            <w:tcW w:w="851" w:type="dxa"/>
            <w:shd w:val="clear" w:color="auto" w:fill="FFFFFF" w:themeFill="background1"/>
            <w:vAlign w:val="center"/>
          </w:tcPr>
          <w:p w14:paraId="5635F6ED" w14:textId="77777777" w:rsidR="000B173B" w:rsidRPr="0087369D" w:rsidRDefault="000B173B" w:rsidP="00A15226">
            <w:pPr>
              <w:pStyle w:val="Tabletext"/>
              <w:jc w:val="center"/>
            </w:pPr>
            <w:r w:rsidRPr="006B0B80">
              <w:t>Yes</w:t>
            </w:r>
          </w:p>
        </w:tc>
        <w:tc>
          <w:tcPr>
            <w:tcW w:w="850" w:type="dxa"/>
            <w:shd w:val="clear" w:color="auto" w:fill="FFFFFF" w:themeFill="background1"/>
            <w:vAlign w:val="center"/>
          </w:tcPr>
          <w:p w14:paraId="6F4EB6FD" w14:textId="77777777" w:rsidR="000B173B" w:rsidRPr="0087369D" w:rsidRDefault="000B173B" w:rsidP="00A15226">
            <w:pPr>
              <w:pStyle w:val="Tabletext"/>
              <w:jc w:val="center"/>
            </w:pPr>
            <w:r w:rsidRPr="006B0B80">
              <w:t>No</w:t>
            </w:r>
          </w:p>
        </w:tc>
        <w:tc>
          <w:tcPr>
            <w:tcW w:w="1134" w:type="dxa"/>
            <w:shd w:val="clear" w:color="auto" w:fill="FFFFFF" w:themeFill="background1"/>
            <w:vAlign w:val="center"/>
          </w:tcPr>
          <w:p w14:paraId="39CF0065" w14:textId="77777777" w:rsidR="000B173B" w:rsidRPr="0087369D" w:rsidRDefault="000B173B" w:rsidP="00A15226">
            <w:pPr>
              <w:pStyle w:val="Tabletext"/>
              <w:jc w:val="center"/>
            </w:pPr>
            <w:r w:rsidRPr="006B0B80">
              <w:t>Unlikely</w:t>
            </w:r>
          </w:p>
        </w:tc>
        <w:tc>
          <w:tcPr>
            <w:tcW w:w="1134" w:type="dxa"/>
            <w:shd w:val="clear" w:color="auto" w:fill="FFFFFF" w:themeFill="background1"/>
            <w:vAlign w:val="center"/>
          </w:tcPr>
          <w:p w14:paraId="554EFF87" w14:textId="77777777" w:rsidR="000B173B" w:rsidRPr="0087369D" w:rsidRDefault="000B173B" w:rsidP="00A15226">
            <w:pPr>
              <w:pStyle w:val="Tabletext"/>
              <w:jc w:val="center"/>
            </w:pPr>
            <w:r w:rsidRPr="006B0B80">
              <w:t>Likely</w:t>
            </w:r>
          </w:p>
        </w:tc>
        <w:tc>
          <w:tcPr>
            <w:tcW w:w="1300" w:type="dxa"/>
            <w:shd w:val="clear" w:color="auto" w:fill="FFFFFF" w:themeFill="background1"/>
            <w:vAlign w:val="center"/>
          </w:tcPr>
          <w:p w14:paraId="52ADB9E7" w14:textId="77777777" w:rsidR="000B173B" w:rsidRPr="006B0B80" w:rsidRDefault="000B173B" w:rsidP="00A15226">
            <w:pPr>
              <w:pStyle w:val="Tabletext"/>
              <w:jc w:val="center"/>
            </w:pPr>
            <w:r w:rsidRPr="003F3F44">
              <w:t>Yes</w:t>
            </w:r>
          </w:p>
        </w:tc>
      </w:tr>
      <w:tr w:rsidR="000B173B" w14:paraId="78500996" w14:textId="77777777" w:rsidTr="00A15226">
        <w:tc>
          <w:tcPr>
            <w:tcW w:w="3114" w:type="dxa"/>
            <w:shd w:val="clear" w:color="auto" w:fill="FFFFFF" w:themeFill="background1"/>
            <w:vAlign w:val="center"/>
          </w:tcPr>
          <w:p w14:paraId="3E06F25E" w14:textId="77777777" w:rsidR="000B173B" w:rsidRPr="003C348E" w:rsidRDefault="000B173B" w:rsidP="00A15226">
            <w:pPr>
              <w:pStyle w:val="Tabletext"/>
              <w:rPr>
                <w:i/>
                <w:iCs/>
                <w:highlight w:val="yellow"/>
              </w:rPr>
            </w:pPr>
            <w:r w:rsidRPr="003C348E">
              <w:rPr>
                <w:i/>
                <w:iCs/>
              </w:rPr>
              <w:t>Prasophyllum suaveolens</w:t>
            </w:r>
          </w:p>
        </w:tc>
        <w:tc>
          <w:tcPr>
            <w:tcW w:w="3118" w:type="dxa"/>
            <w:shd w:val="clear" w:color="auto" w:fill="FFFFFF" w:themeFill="background1"/>
            <w:vAlign w:val="center"/>
          </w:tcPr>
          <w:p w14:paraId="2B8CD87E" w14:textId="77777777" w:rsidR="000B173B" w:rsidRPr="002C27E1" w:rsidRDefault="000B173B" w:rsidP="00A15226">
            <w:pPr>
              <w:pStyle w:val="Tabletext"/>
              <w:rPr>
                <w:highlight w:val="yellow"/>
              </w:rPr>
            </w:pPr>
            <w:r w:rsidRPr="00D7193E">
              <w:t>Fragrant Leek-orchid</w:t>
            </w:r>
          </w:p>
        </w:tc>
        <w:tc>
          <w:tcPr>
            <w:tcW w:w="2835" w:type="dxa"/>
            <w:shd w:val="clear" w:color="auto" w:fill="FFFFFF" w:themeFill="background1"/>
            <w:vAlign w:val="center"/>
          </w:tcPr>
          <w:p w14:paraId="555A132B" w14:textId="77777777" w:rsidR="000B173B" w:rsidRPr="002C27E1" w:rsidRDefault="000B173B" w:rsidP="00A15226">
            <w:pPr>
              <w:pStyle w:val="Tabletext"/>
              <w:rPr>
                <w:highlight w:val="yellow"/>
              </w:rPr>
            </w:pPr>
            <w:r w:rsidRPr="00D7193E">
              <w:t>Critically Endangered</w:t>
            </w:r>
          </w:p>
        </w:tc>
        <w:tc>
          <w:tcPr>
            <w:tcW w:w="851" w:type="dxa"/>
            <w:shd w:val="clear" w:color="auto" w:fill="FFFFFF" w:themeFill="background1"/>
            <w:vAlign w:val="center"/>
          </w:tcPr>
          <w:p w14:paraId="7B9E37B4" w14:textId="77777777" w:rsidR="000B173B" w:rsidRPr="002C27E1" w:rsidRDefault="000B173B" w:rsidP="00A15226">
            <w:pPr>
              <w:pStyle w:val="Tabletext"/>
              <w:jc w:val="center"/>
              <w:rPr>
                <w:highlight w:val="yellow"/>
              </w:rPr>
            </w:pPr>
            <w:r w:rsidRPr="006B0B80">
              <w:t>Yes</w:t>
            </w:r>
          </w:p>
        </w:tc>
        <w:tc>
          <w:tcPr>
            <w:tcW w:w="850" w:type="dxa"/>
            <w:shd w:val="clear" w:color="auto" w:fill="FFFFFF" w:themeFill="background1"/>
            <w:vAlign w:val="center"/>
          </w:tcPr>
          <w:p w14:paraId="7FCBE17C" w14:textId="77777777" w:rsidR="000B173B" w:rsidRPr="002C27E1" w:rsidRDefault="000B173B" w:rsidP="00A15226">
            <w:pPr>
              <w:pStyle w:val="Tabletext"/>
              <w:jc w:val="center"/>
              <w:rPr>
                <w:highlight w:val="yellow"/>
              </w:rPr>
            </w:pPr>
            <w:r w:rsidRPr="006B0B80">
              <w:t>No</w:t>
            </w:r>
          </w:p>
        </w:tc>
        <w:tc>
          <w:tcPr>
            <w:tcW w:w="1134" w:type="dxa"/>
            <w:shd w:val="clear" w:color="auto" w:fill="FFFFFF" w:themeFill="background1"/>
            <w:vAlign w:val="center"/>
          </w:tcPr>
          <w:p w14:paraId="4B963DDE" w14:textId="77777777" w:rsidR="000B173B" w:rsidRPr="002C27E1" w:rsidRDefault="000B173B" w:rsidP="00A15226">
            <w:pPr>
              <w:pStyle w:val="Tabletext"/>
              <w:jc w:val="center"/>
              <w:rPr>
                <w:highlight w:val="yellow"/>
              </w:rPr>
            </w:pPr>
            <w:r w:rsidRPr="006B0B80">
              <w:t>Unlikely</w:t>
            </w:r>
          </w:p>
        </w:tc>
        <w:tc>
          <w:tcPr>
            <w:tcW w:w="1134" w:type="dxa"/>
            <w:shd w:val="clear" w:color="auto" w:fill="FFFFFF" w:themeFill="background1"/>
            <w:vAlign w:val="center"/>
          </w:tcPr>
          <w:p w14:paraId="5DD0562C" w14:textId="77777777" w:rsidR="000B173B" w:rsidRPr="002C27E1" w:rsidRDefault="000B173B" w:rsidP="00A15226">
            <w:pPr>
              <w:pStyle w:val="Tabletext"/>
              <w:jc w:val="center"/>
              <w:rPr>
                <w:highlight w:val="yellow"/>
              </w:rPr>
            </w:pPr>
            <w:r w:rsidRPr="006B0B80">
              <w:t>N/A</w:t>
            </w:r>
          </w:p>
        </w:tc>
        <w:tc>
          <w:tcPr>
            <w:tcW w:w="1300" w:type="dxa"/>
            <w:shd w:val="clear" w:color="auto" w:fill="FFFFFF" w:themeFill="background1"/>
            <w:vAlign w:val="center"/>
          </w:tcPr>
          <w:p w14:paraId="1C86BEBD" w14:textId="77777777" w:rsidR="000B173B" w:rsidRPr="006B0B80" w:rsidRDefault="000B173B" w:rsidP="00A15226">
            <w:pPr>
              <w:pStyle w:val="Tabletext"/>
              <w:jc w:val="center"/>
            </w:pPr>
            <w:r w:rsidRPr="003F3F44">
              <w:t>Yes</w:t>
            </w:r>
          </w:p>
        </w:tc>
      </w:tr>
      <w:tr w:rsidR="000B173B" w14:paraId="2299B8F9" w14:textId="77777777" w:rsidTr="00A15226">
        <w:tc>
          <w:tcPr>
            <w:tcW w:w="3114" w:type="dxa"/>
            <w:shd w:val="clear" w:color="auto" w:fill="FFFFFF" w:themeFill="background1"/>
            <w:vAlign w:val="center"/>
          </w:tcPr>
          <w:p w14:paraId="318CB0C9" w14:textId="77777777" w:rsidR="000B173B" w:rsidRPr="003C348E" w:rsidRDefault="000B173B" w:rsidP="00A15226">
            <w:pPr>
              <w:pStyle w:val="Tabletext"/>
              <w:rPr>
                <w:i/>
                <w:iCs/>
              </w:rPr>
            </w:pPr>
            <w:r w:rsidRPr="003C348E">
              <w:rPr>
                <w:i/>
                <w:iCs/>
              </w:rPr>
              <w:t>Prasophyllum validum</w:t>
            </w:r>
          </w:p>
        </w:tc>
        <w:tc>
          <w:tcPr>
            <w:tcW w:w="3118" w:type="dxa"/>
            <w:shd w:val="clear" w:color="auto" w:fill="FFFFFF" w:themeFill="background1"/>
            <w:vAlign w:val="center"/>
          </w:tcPr>
          <w:p w14:paraId="7D66DB11" w14:textId="77777777" w:rsidR="000B173B" w:rsidRPr="00D7193E" w:rsidRDefault="000B173B" w:rsidP="00A15226">
            <w:pPr>
              <w:pStyle w:val="Tabletext"/>
            </w:pPr>
            <w:r w:rsidRPr="00F12F9C">
              <w:t>Sturdy Leek-orchid</w:t>
            </w:r>
          </w:p>
        </w:tc>
        <w:tc>
          <w:tcPr>
            <w:tcW w:w="2835" w:type="dxa"/>
            <w:shd w:val="clear" w:color="auto" w:fill="FFFFFF" w:themeFill="background1"/>
            <w:vAlign w:val="center"/>
          </w:tcPr>
          <w:p w14:paraId="6DEF2963" w14:textId="77777777" w:rsidR="000B173B" w:rsidRPr="00D7193E" w:rsidRDefault="000B173B" w:rsidP="00A15226">
            <w:pPr>
              <w:pStyle w:val="Tabletext"/>
            </w:pPr>
            <w:r w:rsidRPr="00F12F9C">
              <w:t xml:space="preserve">Vulnerable </w:t>
            </w:r>
          </w:p>
        </w:tc>
        <w:tc>
          <w:tcPr>
            <w:tcW w:w="851" w:type="dxa"/>
            <w:shd w:val="clear" w:color="auto" w:fill="FFFFFF" w:themeFill="background1"/>
            <w:vAlign w:val="center"/>
          </w:tcPr>
          <w:p w14:paraId="0B13B1BB" w14:textId="77777777" w:rsidR="000B173B" w:rsidRPr="006B0B80" w:rsidRDefault="000B173B" w:rsidP="00A15226">
            <w:pPr>
              <w:pStyle w:val="Tabletext"/>
              <w:jc w:val="center"/>
            </w:pPr>
            <w:r w:rsidRPr="00F12F9C">
              <w:t>No</w:t>
            </w:r>
          </w:p>
        </w:tc>
        <w:tc>
          <w:tcPr>
            <w:tcW w:w="850" w:type="dxa"/>
            <w:shd w:val="clear" w:color="auto" w:fill="FFFFFF" w:themeFill="background1"/>
            <w:vAlign w:val="center"/>
          </w:tcPr>
          <w:p w14:paraId="0D9602AB" w14:textId="77777777" w:rsidR="000B173B" w:rsidRPr="006B0B80" w:rsidRDefault="000B173B" w:rsidP="00A15226">
            <w:pPr>
              <w:pStyle w:val="Tabletext"/>
              <w:jc w:val="center"/>
            </w:pPr>
            <w:r w:rsidRPr="00F12F9C">
              <w:t>No</w:t>
            </w:r>
          </w:p>
        </w:tc>
        <w:tc>
          <w:tcPr>
            <w:tcW w:w="1134" w:type="dxa"/>
            <w:shd w:val="clear" w:color="auto" w:fill="FFFFFF" w:themeFill="background1"/>
            <w:vAlign w:val="center"/>
          </w:tcPr>
          <w:p w14:paraId="4EF10248" w14:textId="77777777" w:rsidR="000B173B" w:rsidRPr="006B0B80" w:rsidRDefault="000B173B" w:rsidP="00A15226">
            <w:pPr>
              <w:pStyle w:val="Tabletext"/>
              <w:jc w:val="center"/>
            </w:pPr>
            <w:r w:rsidRPr="00F12F9C">
              <w:t>N/A</w:t>
            </w:r>
          </w:p>
        </w:tc>
        <w:tc>
          <w:tcPr>
            <w:tcW w:w="1134" w:type="dxa"/>
            <w:shd w:val="clear" w:color="auto" w:fill="FFFFFF" w:themeFill="background1"/>
            <w:vAlign w:val="center"/>
          </w:tcPr>
          <w:p w14:paraId="0EF16BC9" w14:textId="77777777" w:rsidR="000B173B" w:rsidRPr="006B0B80" w:rsidRDefault="000B173B" w:rsidP="00A15226">
            <w:pPr>
              <w:pStyle w:val="Tabletext"/>
              <w:jc w:val="center"/>
            </w:pPr>
            <w:r w:rsidRPr="00F12F9C">
              <w:t>May</w:t>
            </w:r>
          </w:p>
        </w:tc>
        <w:tc>
          <w:tcPr>
            <w:tcW w:w="1300" w:type="dxa"/>
            <w:shd w:val="clear" w:color="auto" w:fill="FFFFFF" w:themeFill="background1"/>
            <w:vAlign w:val="center"/>
          </w:tcPr>
          <w:p w14:paraId="5EC0B983" w14:textId="77777777" w:rsidR="000B173B" w:rsidRPr="006B0B80" w:rsidRDefault="000B173B" w:rsidP="00A15226">
            <w:pPr>
              <w:pStyle w:val="Tabletext"/>
              <w:jc w:val="center"/>
            </w:pPr>
            <w:r w:rsidRPr="003F3F44">
              <w:t>No</w:t>
            </w:r>
          </w:p>
        </w:tc>
      </w:tr>
      <w:tr w:rsidR="000B173B" w14:paraId="2C1A98BD" w14:textId="77777777" w:rsidTr="00A15226">
        <w:tc>
          <w:tcPr>
            <w:tcW w:w="3114" w:type="dxa"/>
            <w:shd w:val="clear" w:color="auto" w:fill="FFFFFF" w:themeFill="background1"/>
            <w:vAlign w:val="center"/>
          </w:tcPr>
          <w:p w14:paraId="7E59EEE3" w14:textId="77777777" w:rsidR="000B173B" w:rsidRPr="003C348E" w:rsidRDefault="000B173B" w:rsidP="00A15226">
            <w:pPr>
              <w:pStyle w:val="Tabletext"/>
              <w:rPr>
                <w:i/>
                <w:iCs/>
                <w:highlight w:val="yellow"/>
              </w:rPr>
            </w:pPr>
            <w:r w:rsidRPr="003C348E">
              <w:rPr>
                <w:i/>
                <w:iCs/>
              </w:rPr>
              <w:lastRenderedPageBreak/>
              <w:t>Pterostylis chlorogramma</w:t>
            </w:r>
          </w:p>
        </w:tc>
        <w:tc>
          <w:tcPr>
            <w:tcW w:w="3118" w:type="dxa"/>
            <w:shd w:val="clear" w:color="auto" w:fill="FFFFFF" w:themeFill="background1"/>
            <w:vAlign w:val="center"/>
          </w:tcPr>
          <w:p w14:paraId="5B2E70C6" w14:textId="77777777" w:rsidR="000B173B" w:rsidRPr="002C27E1" w:rsidRDefault="000B173B" w:rsidP="00A15226">
            <w:pPr>
              <w:pStyle w:val="Tabletext"/>
              <w:rPr>
                <w:highlight w:val="yellow"/>
              </w:rPr>
            </w:pPr>
            <w:r w:rsidRPr="00D7193E">
              <w:t>Green-striped Greenhood</w:t>
            </w:r>
          </w:p>
        </w:tc>
        <w:tc>
          <w:tcPr>
            <w:tcW w:w="2835" w:type="dxa"/>
            <w:shd w:val="clear" w:color="auto" w:fill="FFFFFF" w:themeFill="background1"/>
            <w:vAlign w:val="center"/>
          </w:tcPr>
          <w:p w14:paraId="1FA954F1" w14:textId="77777777" w:rsidR="000B173B" w:rsidRPr="002C27E1" w:rsidRDefault="000B173B" w:rsidP="00A15226">
            <w:pPr>
              <w:pStyle w:val="Tabletext"/>
              <w:rPr>
                <w:highlight w:val="yellow"/>
              </w:rPr>
            </w:pPr>
            <w:r w:rsidRPr="00D7193E">
              <w:t>Vulnerable</w:t>
            </w:r>
          </w:p>
        </w:tc>
        <w:tc>
          <w:tcPr>
            <w:tcW w:w="851" w:type="dxa"/>
            <w:shd w:val="clear" w:color="auto" w:fill="FFFFFF" w:themeFill="background1"/>
            <w:vAlign w:val="center"/>
          </w:tcPr>
          <w:p w14:paraId="3E2C6270" w14:textId="77777777" w:rsidR="000B173B" w:rsidRPr="002C27E1" w:rsidRDefault="000B173B" w:rsidP="00A15226">
            <w:pPr>
              <w:pStyle w:val="Tabletext"/>
              <w:jc w:val="center"/>
              <w:rPr>
                <w:highlight w:val="yellow"/>
              </w:rPr>
            </w:pPr>
            <w:r w:rsidRPr="006B0B80">
              <w:t>Yes</w:t>
            </w:r>
          </w:p>
        </w:tc>
        <w:tc>
          <w:tcPr>
            <w:tcW w:w="850" w:type="dxa"/>
            <w:shd w:val="clear" w:color="auto" w:fill="FFFFFF" w:themeFill="background1"/>
            <w:vAlign w:val="center"/>
          </w:tcPr>
          <w:p w14:paraId="47C94811" w14:textId="77777777" w:rsidR="000B173B" w:rsidRPr="002C27E1" w:rsidRDefault="000B173B" w:rsidP="00A15226">
            <w:pPr>
              <w:pStyle w:val="Tabletext"/>
              <w:jc w:val="center"/>
              <w:rPr>
                <w:highlight w:val="yellow"/>
              </w:rPr>
            </w:pPr>
            <w:r w:rsidRPr="006B0B80">
              <w:t>No</w:t>
            </w:r>
          </w:p>
        </w:tc>
        <w:tc>
          <w:tcPr>
            <w:tcW w:w="1134" w:type="dxa"/>
            <w:shd w:val="clear" w:color="auto" w:fill="FFFFFF" w:themeFill="background1"/>
            <w:vAlign w:val="center"/>
          </w:tcPr>
          <w:p w14:paraId="0FDE84CD" w14:textId="77777777" w:rsidR="000B173B" w:rsidRPr="002C27E1" w:rsidRDefault="000B173B" w:rsidP="00A15226">
            <w:pPr>
              <w:pStyle w:val="Tabletext"/>
              <w:jc w:val="center"/>
              <w:rPr>
                <w:highlight w:val="yellow"/>
              </w:rPr>
            </w:pPr>
            <w:r w:rsidRPr="006B0B80">
              <w:t>Unlikely</w:t>
            </w:r>
          </w:p>
        </w:tc>
        <w:tc>
          <w:tcPr>
            <w:tcW w:w="1134" w:type="dxa"/>
            <w:shd w:val="clear" w:color="auto" w:fill="FFFFFF" w:themeFill="background1"/>
            <w:vAlign w:val="center"/>
          </w:tcPr>
          <w:p w14:paraId="66997108" w14:textId="77777777" w:rsidR="000B173B" w:rsidRPr="002C27E1" w:rsidRDefault="000B173B" w:rsidP="00A15226">
            <w:pPr>
              <w:pStyle w:val="Tabletext"/>
              <w:jc w:val="center"/>
              <w:rPr>
                <w:highlight w:val="yellow"/>
              </w:rPr>
            </w:pPr>
            <w:r w:rsidRPr="006B0B80">
              <w:t>Known</w:t>
            </w:r>
          </w:p>
        </w:tc>
        <w:tc>
          <w:tcPr>
            <w:tcW w:w="1300" w:type="dxa"/>
            <w:shd w:val="clear" w:color="auto" w:fill="FFFFFF" w:themeFill="background1"/>
            <w:vAlign w:val="center"/>
          </w:tcPr>
          <w:p w14:paraId="27922177" w14:textId="77777777" w:rsidR="000B173B" w:rsidRPr="006B0B80" w:rsidRDefault="000B173B" w:rsidP="00A15226">
            <w:pPr>
              <w:pStyle w:val="Tabletext"/>
              <w:jc w:val="center"/>
            </w:pPr>
            <w:r w:rsidRPr="003F3F44">
              <w:t>Yes</w:t>
            </w:r>
          </w:p>
        </w:tc>
      </w:tr>
      <w:tr w:rsidR="000B173B" w14:paraId="5E10F6E2" w14:textId="77777777" w:rsidTr="00A15226">
        <w:tc>
          <w:tcPr>
            <w:tcW w:w="3114" w:type="dxa"/>
            <w:shd w:val="clear" w:color="auto" w:fill="FFFFFF" w:themeFill="background1"/>
            <w:vAlign w:val="center"/>
          </w:tcPr>
          <w:p w14:paraId="13626194" w14:textId="77777777" w:rsidR="000B173B" w:rsidRPr="003C348E" w:rsidRDefault="000B173B" w:rsidP="00A15226">
            <w:pPr>
              <w:pStyle w:val="Tabletext"/>
              <w:rPr>
                <w:i/>
                <w:iCs/>
                <w:highlight w:val="yellow"/>
              </w:rPr>
            </w:pPr>
            <w:r w:rsidRPr="003C348E">
              <w:rPr>
                <w:i/>
                <w:iCs/>
              </w:rPr>
              <w:t>Pterostylis cucullata</w:t>
            </w:r>
          </w:p>
        </w:tc>
        <w:tc>
          <w:tcPr>
            <w:tcW w:w="3118" w:type="dxa"/>
            <w:shd w:val="clear" w:color="auto" w:fill="FFFFFF" w:themeFill="background1"/>
            <w:vAlign w:val="center"/>
          </w:tcPr>
          <w:p w14:paraId="40463937" w14:textId="77777777" w:rsidR="000B173B" w:rsidRPr="002C27E1" w:rsidRDefault="000B173B" w:rsidP="00A15226">
            <w:pPr>
              <w:pStyle w:val="Tabletext"/>
              <w:rPr>
                <w:highlight w:val="yellow"/>
              </w:rPr>
            </w:pPr>
            <w:r w:rsidRPr="00D7193E">
              <w:t>Leafy Greenhood</w:t>
            </w:r>
          </w:p>
        </w:tc>
        <w:tc>
          <w:tcPr>
            <w:tcW w:w="2835" w:type="dxa"/>
            <w:shd w:val="clear" w:color="auto" w:fill="FFFFFF" w:themeFill="background1"/>
            <w:vAlign w:val="center"/>
          </w:tcPr>
          <w:p w14:paraId="610DD3A3" w14:textId="77777777" w:rsidR="000B173B" w:rsidRPr="002C27E1" w:rsidRDefault="000B173B" w:rsidP="00A15226">
            <w:pPr>
              <w:pStyle w:val="Tabletext"/>
              <w:rPr>
                <w:highlight w:val="yellow"/>
              </w:rPr>
            </w:pPr>
            <w:r w:rsidRPr="00D7193E">
              <w:t>Vulnerable</w:t>
            </w:r>
          </w:p>
        </w:tc>
        <w:tc>
          <w:tcPr>
            <w:tcW w:w="851" w:type="dxa"/>
            <w:shd w:val="clear" w:color="auto" w:fill="FFFFFF" w:themeFill="background1"/>
            <w:vAlign w:val="center"/>
          </w:tcPr>
          <w:p w14:paraId="6A7CFA31" w14:textId="77777777" w:rsidR="000B173B" w:rsidRPr="002C27E1" w:rsidRDefault="000B173B" w:rsidP="00A15226">
            <w:pPr>
              <w:pStyle w:val="Tabletext"/>
              <w:jc w:val="center"/>
              <w:rPr>
                <w:highlight w:val="yellow"/>
              </w:rPr>
            </w:pPr>
            <w:r w:rsidRPr="006B0B80">
              <w:t>No</w:t>
            </w:r>
          </w:p>
        </w:tc>
        <w:tc>
          <w:tcPr>
            <w:tcW w:w="850" w:type="dxa"/>
            <w:shd w:val="clear" w:color="auto" w:fill="FFFFFF" w:themeFill="background1"/>
            <w:vAlign w:val="center"/>
          </w:tcPr>
          <w:p w14:paraId="57970BCE" w14:textId="77777777" w:rsidR="000B173B" w:rsidRPr="002C27E1" w:rsidRDefault="000B173B" w:rsidP="00A15226">
            <w:pPr>
              <w:pStyle w:val="Tabletext"/>
              <w:jc w:val="center"/>
              <w:rPr>
                <w:highlight w:val="yellow"/>
              </w:rPr>
            </w:pPr>
            <w:r w:rsidRPr="006B0B80">
              <w:t>No</w:t>
            </w:r>
          </w:p>
        </w:tc>
        <w:tc>
          <w:tcPr>
            <w:tcW w:w="1134" w:type="dxa"/>
            <w:shd w:val="clear" w:color="auto" w:fill="FFFFFF" w:themeFill="background1"/>
            <w:vAlign w:val="center"/>
          </w:tcPr>
          <w:p w14:paraId="58ACCE27" w14:textId="77777777" w:rsidR="000B173B" w:rsidRPr="002C27E1" w:rsidRDefault="000B173B" w:rsidP="00A15226">
            <w:pPr>
              <w:pStyle w:val="Tabletext"/>
              <w:jc w:val="center"/>
              <w:rPr>
                <w:highlight w:val="yellow"/>
              </w:rPr>
            </w:pPr>
            <w:r w:rsidRPr="006B0B80">
              <w:t>Unlikely</w:t>
            </w:r>
          </w:p>
        </w:tc>
        <w:tc>
          <w:tcPr>
            <w:tcW w:w="1134" w:type="dxa"/>
            <w:shd w:val="clear" w:color="auto" w:fill="FFFFFF" w:themeFill="background1"/>
            <w:vAlign w:val="center"/>
          </w:tcPr>
          <w:p w14:paraId="786D92B8" w14:textId="77777777" w:rsidR="000B173B" w:rsidRPr="002C27E1" w:rsidRDefault="000B173B" w:rsidP="00A15226">
            <w:pPr>
              <w:pStyle w:val="Tabletext"/>
              <w:jc w:val="center"/>
              <w:rPr>
                <w:highlight w:val="yellow"/>
              </w:rPr>
            </w:pPr>
            <w:r w:rsidRPr="006B0B80">
              <w:t>Likely</w:t>
            </w:r>
          </w:p>
        </w:tc>
        <w:tc>
          <w:tcPr>
            <w:tcW w:w="1300" w:type="dxa"/>
            <w:shd w:val="clear" w:color="auto" w:fill="FFFFFF" w:themeFill="background1"/>
            <w:vAlign w:val="center"/>
          </w:tcPr>
          <w:p w14:paraId="1EA293E8" w14:textId="77777777" w:rsidR="000B173B" w:rsidRPr="006B0B80" w:rsidRDefault="000B173B" w:rsidP="00A15226">
            <w:pPr>
              <w:pStyle w:val="Tabletext"/>
              <w:jc w:val="center"/>
            </w:pPr>
            <w:r w:rsidRPr="003F3F44">
              <w:t>Yes</w:t>
            </w:r>
          </w:p>
        </w:tc>
      </w:tr>
      <w:tr w:rsidR="000B173B" w14:paraId="10EB7A7D" w14:textId="77777777" w:rsidTr="00A15226">
        <w:tc>
          <w:tcPr>
            <w:tcW w:w="3114" w:type="dxa"/>
            <w:shd w:val="clear" w:color="auto" w:fill="FFFFFF" w:themeFill="background1"/>
            <w:vAlign w:val="center"/>
          </w:tcPr>
          <w:p w14:paraId="4BDC2081" w14:textId="77777777" w:rsidR="000B173B" w:rsidRPr="003C348E" w:rsidRDefault="000B173B" w:rsidP="00A15226">
            <w:pPr>
              <w:pStyle w:val="Tabletext"/>
              <w:rPr>
                <w:i/>
                <w:iCs/>
                <w:highlight w:val="yellow"/>
              </w:rPr>
            </w:pPr>
            <w:r w:rsidRPr="003C348E">
              <w:rPr>
                <w:i/>
                <w:iCs/>
              </w:rPr>
              <w:t>Rutidosis leptorhynchoides</w:t>
            </w:r>
          </w:p>
        </w:tc>
        <w:tc>
          <w:tcPr>
            <w:tcW w:w="3118" w:type="dxa"/>
            <w:shd w:val="clear" w:color="auto" w:fill="FFFFFF" w:themeFill="background1"/>
            <w:vAlign w:val="center"/>
          </w:tcPr>
          <w:p w14:paraId="56D7DDFD" w14:textId="77777777" w:rsidR="000B173B" w:rsidRPr="002C27E1" w:rsidRDefault="000B173B" w:rsidP="00A15226">
            <w:pPr>
              <w:pStyle w:val="Tabletext"/>
              <w:rPr>
                <w:highlight w:val="yellow"/>
              </w:rPr>
            </w:pPr>
            <w:r w:rsidRPr="00D7193E">
              <w:t>Button Wrinklewort</w:t>
            </w:r>
          </w:p>
        </w:tc>
        <w:tc>
          <w:tcPr>
            <w:tcW w:w="2835" w:type="dxa"/>
            <w:shd w:val="clear" w:color="auto" w:fill="FFFFFF" w:themeFill="background1"/>
            <w:vAlign w:val="center"/>
          </w:tcPr>
          <w:p w14:paraId="326C06AE" w14:textId="77777777" w:rsidR="000B173B" w:rsidRPr="002C27E1" w:rsidRDefault="000B173B" w:rsidP="00A15226">
            <w:pPr>
              <w:pStyle w:val="Tabletext"/>
              <w:rPr>
                <w:highlight w:val="yellow"/>
              </w:rPr>
            </w:pPr>
            <w:r w:rsidRPr="00D7193E">
              <w:t>Endangered</w:t>
            </w:r>
          </w:p>
        </w:tc>
        <w:tc>
          <w:tcPr>
            <w:tcW w:w="851" w:type="dxa"/>
            <w:shd w:val="clear" w:color="auto" w:fill="FFFFFF" w:themeFill="background1"/>
            <w:vAlign w:val="center"/>
          </w:tcPr>
          <w:p w14:paraId="75491DE5" w14:textId="77777777" w:rsidR="000B173B" w:rsidRPr="002C27E1" w:rsidRDefault="000B173B" w:rsidP="00A15226">
            <w:pPr>
              <w:pStyle w:val="Tabletext"/>
              <w:jc w:val="center"/>
              <w:rPr>
                <w:highlight w:val="yellow"/>
              </w:rPr>
            </w:pPr>
            <w:r w:rsidRPr="006B0B80">
              <w:t>Yes</w:t>
            </w:r>
          </w:p>
        </w:tc>
        <w:tc>
          <w:tcPr>
            <w:tcW w:w="850" w:type="dxa"/>
            <w:shd w:val="clear" w:color="auto" w:fill="FFFFFF" w:themeFill="background1"/>
            <w:vAlign w:val="center"/>
          </w:tcPr>
          <w:p w14:paraId="110CCE7C" w14:textId="77777777" w:rsidR="000B173B" w:rsidRPr="002C27E1" w:rsidRDefault="000B173B" w:rsidP="00A15226">
            <w:pPr>
              <w:pStyle w:val="Tabletext"/>
              <w:jc w:val="center"/>
              <w:rPr>
                <w:highlight w:val="yellow"/>
              </w:rPr>
            </w:pPr>
            <w:r w:rsidRPr="006B0B80">
              <w:t>No</w:t>
            </w:r>
          </w:p>
        </w:tc>
        <w:tc>
          <w:tcPr>
            <w:tcW w:w="1134" w:type="dxa"/>
            <w:shd w:val="clear" w:color="auto" w:fill="FFFFFF" w:themeFill="background1"/>
            <w:vAlign w:val="center"/>
          </w:tcPr>
          <w:p w14:paraId="335A1AED" w14:textId="77777777" w:rsidR="000B173B" w:rsidRPr="002C27E1" w:rsidRDefault="000B173B" w:rsidP="00A15226">
            <w:pPr>
              <w:pStyle w:val="Tabletext"/>
              <w:jc w:val="center"/>
              <w:rPr>
                <w:highlight w:val="yellow"/>
              </w:rPr>
            </w:pPr>
            <w:r w:rsidRPr="006B0B80">
              <w:t>Low</w:t>
            </w:r>
          </w:p>
        </w:tc>
        <w:tc>
          <w:tcPr>
            <w:tcW w:w="1134" w:type="dxa"/>
            <w:shd w:val="clear" w:color="auto" w:fill="FFFFFF" w:themeFill="background1"/>
            <w:vAlign w:val="center"/>
          </w:tcPr>
          <w:p w14:paraId="22C7D290" w14:textId="77777777" w:rsidR="000B173B" w:rsidRPr="002C27E1" w:rsidRDefault="000B173B" w:rsidP="00A15226">
            <w:pPr>
              <w:pStyle w:val="Tabletext"/>
              <w:jc w:val="center"/>
              <w:rPr>
                <w:highlight w:val="yellow"/>
              </w:rPr>
            </w:pPr>
            <w:r w:rsidRPr="006B0B80">
              <w:t>Known</w:t>
            </w:r>
          </w:p>
        </w:tc>
        <w:tc>
          <w:tcPr>
            <w:tcW w:w="1300" w:type="dxa"/>
            <w:shd w:val="clear" w:color="auto" w:fill="FFFFFF" w:themeFill="background1"/>
            <w:vAlign w:val="center"/>
          </w:tcPr>
          <w:p w14:paraId="66E59755" w14:textId="77777777" w:rsidR="000B173B" w:rsidRPr="006B0B80" w:rsidRDefault="000B173B" w:rsidP="00A15226">
            <w:pPr>
              <w:pStyle w:val="Tabletext"/>
              <w:jc w:val="center"/>
            </w:pPr>
            <w:r w:rsidRPr="003F3F44">
              <w:t>Yes</w:t>
            </w:r>
          </w:p>
        </w:tc>
      </w:tr>
      <w:tr w:rsidR="000B173B" w14:paraId="44F68F25" w14:textId="77777777" w:rsidTr="00A15226">
        <w:tc>
          <w:tcPr>
            <w:tcW w:w="3114" w:type="dxa"/>
            <w:shd w:val="clear" w:color="auto" w:fill="FFFFFF" w:themeFill="background1"/>
            <w:vAlign w:val="center"/>
          </w:tcPr>
          <w:p w14:paraId="34C6C263" w14:textId="77777777" w:rsidR="000B173B" w:rsidRPr="003C348E" w:rsidRDefault="000B173B" w:rsidP="00A15226">
            <w:pPr>
              <w:pStyle w:val="Tabletext"/>
              <w:rPr>
                <w:i/>
                <w:iCs/>
                <w:highlight w:val="yellow"/>
              </w:rPr>
            </w:pPr>
            <w:r w:rsidRPr="003C348E">
              <w:rPr>
                <w:i/>
                <w:iCs/>
              </w:rPr>
              <w:t>Senecio macrocarpus</w:t>
            </w:r>
          </w:p>
        </w:tc>
        <w:tc>
          <w:tcPr>
            <w:tcW w:w="3118" w:type="dxa"/>
            <w:shd w:val="clear" w:color="auto" w:fill="FFFFFF" w:themeFill="background1"/>
            <w:vAlign w:val="center"/>
          </w:tcPr>
          <w:p w14:paraId="481C138D" w14:textId="77777777" w:rsidR="000B173B" w:rsidRPr="002C27E1" w:rsidRDefault="000B173B" w:rsidP="00A15226">
            <w:pPr>
              <w:pStyle w:val="Tabletext"/>
              <w:rPr>
                <w:highlight w:val="yellow"/>
              </w:rPr>
            </w:pPr>
            <w:r w:rsidRPr="00D7193E">
              <w:t>Large-fruit Fireweed</w:t>
            </w:r>
          </w:p>
        </w:tc>
        <w:tc>
          <w:tcPr>
            <w:tcW w:w="2835" w:type="dxa"/>
            <w:shd w:val="clear" w:color="auto" w:fill="FFFFFF" w:themeFill="background1"/>
            <w:vAlign w:val="center"/>
          </w:tcPr>
          <w:p w14:paraId="7826DBEA" w14:textId="77777777" w:rsidR="000B173B" w:rsidRPr="002C27E1" w:rsidRDefault="000B173B" w:rsidP="00A15226">
            <w:pPr>
              <w:pStyle w:val="Tabletext"/>
              <w:rPr>
                <w:highlight w:val="yellow"/>
              </w:rPr>
            </w:pPr>
            <w:r w:rsidRPr="00D7193E">
              <w:t>Vulnerable</w:t>
            </w:r>
          </w:p>
        </w:tc>
        <w:tc>
          <w:tcPr>
            <w:tcW w:w="851" w:type="dxa"/>
            <w:shd w:val="clear" w:color="auto" w:fill="FFFFFF" w:themeFill="background1"/>
            <w:vAlign w:val="center"/>
          </w:tcPr>
          <w:p w14:paraId="05CF9C18" w14:textId="77777777" w:rsidR="000B173B" w:rsidRPr="002C27E1" w:rsidRDefault="000B173B" w:rsidP="00A15226">
            <w:pPr>
              <w:pStyle w:val="Tabletext"/>
              <w:jc w:val="center"/>
              <w:rPr>
                <w:highlight w:val="yellow"/>
              </w:rPr>
            </w:pPr>
            <w:r w:rsidRPr="006B0B80">
              <w:t>Yes</w:t>
            </w:r>
          </w:p>
        </w:tc>
        <w:tc>
          <w:tcPr>
            <w:tcW w:w="850" w:type="dxa"/>
            <w:shd w:val="clear" w:color="auto" w:fill="FFFFFF" w:themeFill="background1"/>
            <w:vAlign w:val="center"/>
          </w:tcPr>
          <w:p w14:paraId="08A3F068" w14:textId="77777777" w:rsidR="000B173B" w:rsidRPr="002C27E1" w:rsidRDefault="000B173B" w:rsidP="00A15226">
            <w:pPr>
              <w:pStyle w:val="Tabletext"/>
              <w:jc w:val="center"/>
              <w:rPr>
                <w:highlight w:val="yellow"/>
              </w:rPr>
            </w:pPr>
            <w:r w:rsidRPr="006B0B80">
              <w:t>No</w:t>
            </w:r>
          </w:p>
        </w:tc>
        <w:tc>
          <w:tcPr>
            <w:tcW w:w="1134" w:type="dxa"/>
            <w:shd w:val="clear" w:color="auto" w:fill="FFFFFF" w:themeFill="background1"/>
            <w:vAlign w:val="center"/>
          </w:tcPr>
          <w:p w14:paraId="144A754A" w14:textId="77777777" w:rsidR="000B173B" w:rsidRPr="002C27E1" w:rsidRDefault="000B173B" w:rsidP="00A15226">
            <w:pPr>
              <w:pStyle w:val="Tabletext"/>
              <w:jc w:val="center"/>
              <w:rPr>
                <w:highlight w:val="yellow"/>
              </w:rPr>
            </w:pPr>
            <w:r w:rsidRPr="006B0B80">
              <w:t>Low</w:t>
            </w:r>
          </w:p>
        </w:tc>
        <w:tc>
          <w:tcPr>
            <w:tcW w:w="1134" w:type="dxa"/>
            <w:shd w:val="clear" w:color="auto" w:fill="FFFFFF" w:themeFill="background1"/>
            <w:vAlign w:val="center"/>
          </w:tcPr>
          <w:p w14:paraId="07825182" w14:textId="77777777" w:rsidR="000B173B" w:rsidRPr="002C27E1" w:rsidRDefault="000B173B" w:rsidP="00A15226">
            <w:pPr>
              <w:pStyle w:val="Tabletext"/>
              <w:jc w:val="center"/>
              <w:rPr>
                <w:highlight w:val="yellow"/>
              </w:rPr>
            </w:pPr>
            <w:r w:rsidRPr="006B0B80">
              <w:t>Known</w:t>
            </w:r>
          </w:p>
        </w:tc>
        <w:tc>
          <w:tcPr>
            <w:tcW w:w="1300" w:type="dxa"/>
            <w:shd w:val="clear" w:color="auto" w:fill="FFFFFF" w:themeFill="background1"/>
            <w:vAlign w:val="center"/>
          </w:tcPr>
          <w:p w14:paraId="2D7D8F7E" w14:textId="77777777" w:rsidR="000B173B" w:rsidRPr="006B0B80" w:rsidRDefault="000B173B" w:rsidP="00A15226">
            <w:pPr>
              <w:pStyle w:val="Tabletext"/>
              <w:jc w:val="center"/>
            </w:pPr>
            <w:r w:rsidRPr="003F3F44">
              <w:t>Yes</w:t>
            </w:r>
          </w:p>
        </w:tc>
      </w:tr>
      <w:tr w:rsidR="000B173B" w14:paraId="692257BC" w14:textId="77777777" w:rsidTr="00A15226">
        <w:tc>
          <w:tcPr>
            <w:tcW w:w="3114" w:type="dxa"/>
            <w:shd w:val="clear" w:color="auto" w:fill="FFFFFF" w:themeFill="background1"/>
            <w:vAlign w:val="center"/>
          </w:tcPr>
          <w:p w14:paraId="41DE4506" w14:textId="77777777" w:rsidR="000B173B" w:rsidRPr="003C348E" w:rsidRDefault="000B173B" w:rsidP="00A15226">
            <w:pPr>
              <w:pStyle w:val="Tabletext"/>
              <w:rPr>
                <w:i/>
                <w:iCs/>
                <w:highlight w:val="yellow"/>
              </w:rPr>
            </w:pPr>
            <w:r w:rsidRPr="003C348E">
              <w:rPr>
                <w:i/>
                <w:iCs/>
              </w:rPr>
              <w:t>Senecio psilocarpus</w:t>
            </w:r>
          </w:p>
        </w:tc>
        <w:tc>
          <w:tcPr>
            <w:tcW w:w="3118" w:type="dxa"/>
            <w:shd w:val="clear" w:color="auto" w:fill="FFFFFF" w:themeFill="background1"/>
            <w:vAlign w:val="center"/>
          </w:tcPr>
          <w:p w14:paraId="070AD512" w14:textId="77777777" w:rsidR="000B173B" w:rsidRPr="002C27E1" w:rsidRDefault="000B173B" w:rsidP="00A15226">
            <w:pPr>
              <w:pStyle w:val="Tabletext"/>
              <w:rPr>
                <w:highlight w:val="yellow"/>
              </w:rPr>
            </w:pPr>
            <w:r w:rsidRPr="00D7193E">
              <w:t>Swamp Fireweed</w:t>
            </w:r>
          </w:p>
        </w:tc>
        <w:tc>
          <w:tcPr>
            <w:tcW w:w="2835" w:type="dxa"/>
            <w:shd w:val="clear" w:color="auto" w:fill="FFFFFF" w:themeFill="background1"/>
            <w:vAlign w:val="center"/>
          </w:tcPr>
          <w:p w14:paraId="459CB781" w14:textId="77777777" w:rsidR="000B173B" w:rsidRPr="002C27E1" w:rsidRDefault="000B173B" w:rsidP="00A15226">
            <w:pPr>
              <w:pStyle w:val="Tabletext"/>
              <w:rPr>
                <w:highlight w:val="yellow"/>
              </w:rPr>
            </w:pPr>
            <w:r w:rsidRPr="00D7193E">
              <w:t>Vulnerable</w:t>
            </w:r>
          </w:p>
        </w:tc>
        <w:tc>
          <w:tcPr>
            <w:tcW w:w="851" w:type="dxa"/>
            <w:shd w:val="clear" w:color="auto" w:fill="FFFFFF" w:themeFill="background1"/>
            <w:vAlign w:val="center"/>
          </w:tcPr>
          <w:p w14:paraId="2838B0E6" w14:textId="77777777" w:rsidR="000B173B" w:rsidRPr="002C27E1" w:rsidRDefault="000B173B" w:rsidP="00A15226">
            <w:pPr>
              <w:pStyle w:val="Tabletext"/>
              <w:jc w:val="center"/>
              <w:rPr>
                <w:highlight w:val="yellow"/>
              </w:rPr>
            </w:pPr>
            <w:r w:rsidRPr="006B0B80">
              <w:t>No</w:t>
            </w:r>
          </w:p>
        </w:tc>
        <w:tc>
          <w:tcPr>
            <w:tcW w:w="850" w:type="dxa"/>
            <w:shd w:val="clear" w:color="auto" w:fill="FFFFFF" w:themeFill="background1"/>
            <w:vAlign w:val="center"/>
          </w:tcPr>
          <w:p w14:paraId="21E723A6" w14:textId="77777777" w:rsidR="000B173B" w:rsidRPr="002C27E1" w:rsidRDefault="000B173B" w:rsidP="00A15226">
            <w:pPr>
              <w:pStyle w:val="Tabletext"/>
              <w:jc w:val="center"/>
              <w:rPr>
                <w:highlight w:val="yellow"/>
              </w:rPr>
            </w:pPr>
            <w:r w:rsidRPr="006B0B80">
              <w:t>No</w:t>
            </w:r>
          </w:p>
        </w:tc>
        <w:tc>
          <w:tcPr>
            <w:tcW w:w="1134" w:type="dxa"/>
            <w:shd w:val="clear" w:color="auto" w:fill="FFFFFF" w:themeFill="background1"/>
            <w:vAlign w:val="center"/>
          </w:tcPr>
          <w:p w14:paraId="3B4F64B5" w14:textId="77777777" w:rsidR="000B173B" w:rsidRPr="002C27E1" w:rsidRDefault="000B173B" w:rsidP="00A15226">
            <w:pPr>
              <w:pStyle w:val="Tabletext"/>
              <w:jc w:val="center"/>
              <w:rPr>
                <w:highlight w:val="yellow"/>
              </w:rPr>
            </w:pPr>
            <w:r w:rsidRPr="006B0B80">
              <w:t>Unlikely</w:t>
            </w:r>
          </w:p>
        </w:tc>
        <w:tc>
          <w:tcPr>
            <w:tcW w:w="1134" w:type="dxa"/>
            <w:shd w:val="clear" w:color="auto" w:fill="FFFFFF" w:themeFill="background1"/>
            <w:vAlign w:val="center"/>
          </w:tcPr>
          <w:p w14:paraId="6FD73F94" w14:textId="77777777" w:rsidR="000B173B" w:rsidRPr="002C27E1" w:rsidRDefault="000B173B" w:rsidP="00A15226">
            <w:pPr>
              <w:pStyle w:val="Tabletext"/>
              <w:jc w:val="center"/>
              <w:rPr>
                <w:highlight w:val="yellow"/>
              </w:rPr>
            </w:pPr>
            <w:r w:rsidRPr="006B0B80">
              <w:t>Likely</w:t>
            </w:r>
          </w:p>
        </w:tc>
        <w:tc>
          <w:tcPr>
            <w:tcW w:w="1300" w:type="dxa"/>
            <w:shd w:val="clear" w:color="auto" w:fill="FFFFFF" w:themeFill="background1"/>
            <w:vAlign w:val="center"/>
          </w:tcPr>
          <w:p w14:paraId="2FAF0A13" w14:textId="77777777" w:rsidR="000B173B" w:rsidRPr="006B0B80" w:rsidRDefault="000B173B" w:rsidP="00A15226">
            <w:pPr>
              <w:pStyle w:val="Tabletext"/>
              <w:jc w:val="center"/>
            </w:pPr>
            <w:r w:rsidRPr="003F3F44">
              <w:t>Yes</w:t>
            </w:r>
          </w:p>
        </w:tc>
      </w:tr>
      <w:tr w:rsidR="000B173B" w14:paraId="07D82FB6" w14:textId="77777777" w:rsidTr="00A15226">
        <w:tc>
          <w:tcPr>
            <w:tcW w:w="3114" w:type="dxa"/>
            <w:shd w:val="clear" w:color="auto" w:fill="FFFFFF" w:themeFill="background1"/>
            <w:vAlign w:val="center"/>
          </w:tcPr>
          <w:p w14:paraId="658CC985" w14:textId="77777777" w:rsidR="000B173B" w:rsidRPr="003C348E" w:rsidRDefault="000B173B" w:rsidP="00A15226">
            <w:pPr>
              <w:pStyle w:val="Tabletext"/>
              <w:rPr>
                <w:i/>
                <w:iCs/>
              </w:rPr>
            </w:pPr>
            <w:r w:rsidRPr="003C348E">
              <w:rPr>
                <w:i/>
                <w:iCs/>
              </w:rPr>
              <w:t>Thelymitra epipactoides</w:t>
            </w:r>
          </w:p>
        </w:tc>
        <w:tc>
          <w:tcPr>
            <w:tcW w:w="3118" w:type="dxa"/>
            <w:shd w:val="clear" w:color="auto" w:fill="FFFFFF" w:themeFill="background1"/>
            <w:vAlign w:val="center"/>
          </w:tcPr>
          <w:p w14:paraId="651BE7AE" w14:textId="77777777" w:rsidR="000B173B" w:rsidRPr="00D7193E" w:rsidRDefault="000B173B" w:rsidP="00A15226">
            <w:pPr>
              <w:pStyle w:val="Tabletext"/>
            </w:pPr>
            <w:r w:rsidRPr="00BD04D4">
              <w:t>Metallic Sun-orchid</w:t>
            </w:r>
          </w:p>
        </w:tc>
        <w:tc>
          <w:tcPr>
            <w:tcW w:w="2835" w:type="dxa"/>
            <w:shd w:val="clear" w:color="auto" w:fill="FFFFFF" w:themeFill="background1"/>
            <w:vAlign w:val="center"/>
          </w:tcPr>
          <w:p w14:paraId="7A93DB6B" w14:textId="77777777" w:rsidR="000B173B" w:rsidRPr="00D7193E" w:rsidRDefault="000B173B" w:rsidP="00A15226">
            <w:pPr>
              <w:pStyle w:val="Tabletext"/>
            </w:pPr>
            <w:r w:rsidRPr="00BD04D4">
              <w:t xml:space="preserve">Endangered </w:t>
            </w:r>
          </w:p>
        </w:tc>
        <w:tc>
          <w:tcPr>
            <w:tcW w:w="851" w:type="dxa"/>
            <w:shd w:val="clear" w:color="auto" w:fill="FFFFFF" w:themeFill="background1"/>
            <w:vAlign w:val="center"/>
          </w:tcPr>
          <w:p w14:paraId="15559694" w14:textId="77777777" w:rsidR="000B173B" w:rsidRPr="006B0B80" w:rsidRDefault="000B173B" w:rsidP="00A15226">
            <w:pPr>
              <w:pStyle w:val="Tabletext"/>
              <w:jc w:val="center"/>
            </w:pPr>
            <w:r w:rsidRPr="00BD04D4">
              <w:t>No</w:t>
            </w:r>
          </w:p>
        </w:tc>
        <w:tc>
          <w:tcPr>
            <w:tcW w:w="850" w:type="dxa"/>
            <w:shd w:val="clear" w:color="auto" w:fill="FFFFFF" w:themeFill="background1"/>
            <w:vAlign w:val="center"/>
          </w:tcPr>
          <w:p w14:paraId="0F7E653D" w14:textId="77777777" w:rsidR="000B173B" w:rsidRPr="006B0B80" w:rsidRDefault="000B173B" w:rsidP="00A15226">
            <w:pPr>
              <w:pStyle w:val="Tabletext"/>
              <w:jc w:val="center"/>
            </w:pPr>
            <w:r w:rsidRPr="00BD04D4">
              <w:t>No</w:t>
            </w:r>
          </w:p>
        </w:tc>
        <w:tc>
          <w:tcPr>
            <w:tcW w:w="1134" w:type="dxa"/>
            <w:shd w:val="clear" w:color="auto" w:fill="FFFFFF" w:themeFill="background1"/>
            <w:vAlign w:val="center"/>
          </w:tcPr>
          <w:p w14:paraId="7EFE94D8" w14:textId="77777777" w:rsidR="000B173B" w:rsidRPr="006B0B80" w:rsidRDefault="000B173B" w:rsidP="00A15226">
            <w:pPr>
              <w:pStyle w:val="Tabletext"/>
              <w:jc w:val="center"/>
            </w:pPr>
            <w:r w:rsidRPr="00BD04D4">
              <w:t>Unlikely</w:t>
            </w:r>
          </w:p>
        </w:tc>
        <w:tc>
          <w:tcPr>
            <w:tcW w:w="1134" w:type="dxa"/>
            <w:shd w:val="clear" w:color="auto" w:fill="FFFFFF" w:themeFill="background1"/>
            <w:vAlign w:val="center"/>
          </w:tcPr>
          <w:p w14:paraId="07A131CF" w14:textId="77777777" w:rsidR="000B173B" w:rsidRPr="006B0B80" w:rsidRDefault="000B173B" w:rsidP="00A15226">
            <w:pPr>
              <w:pStyle w:val="Tabletext"/>
              <w:jc w:val="center"/>
            </w:pPr>
            <w:r w:rsidRPr="00BD04D4">
              <w:t>May</w:t>
            </w:r>
          </w:p>
        </w:tc>
        <w:tc>
          <w:tcPr>
            <w:tcW w:w="1300" w:type="dxa"/>
            <w:shd w:val="clear" w:color="auto" w:fill="FFFFFF" w:themeFill="background1"/>
            <w:vAlign w:val="center"/>
          </w:tcPr>
          <w:p w14:paraId="4E00981B" w14:textId="77777777" w:rsidR="000B173B" w:rsidRPr="006B0B80" w:rsidRDefault="000B173B" w:rsidP="00A15226">
            <w:pPr>
              <w:pStyle w:val="Tabletext"/>
              <w:jc w:val="center"/>
            </w:pPr>
            <w:r w:rsidRPr="003F3F44">
              <w:t>No</w:t>
            </w:r>
          </w:p>
        </w:tc>
      </w:tr>
      <w:tr w:rsidR="000B173B" w14:paraId="0ECCDD4F" w14:textId="77777777" w:rsidTr="00A15226">
        <w:tc>
          <w:tcPr>
            <w:tcW w:w="3114" w:type="dxa"/>
            <w:shd w:val="clear" w:color="auto" w:fill="FFFFFF" w:themeFill="background1"/>
            <w:vAlign w:val="center"/>
          </w:tcPr>
          <w:p w14:paraId="0BAAFBD0" w14:textId="77777777" w:rsidR="000B173B" w:rsidRPr="003C348E" w:rsidRDefault="000B173B" w:rsidP="00A15226">
            <w:pPr>
              <w:pStyle w:val="Tabletext"/>
              <w:rPr>
                <w:i/>
                <w:iCs/>
              </w:rPr>
            </w:pPr>
            <w:r w:rsidRPr="003C348E">
              <w:rPr>
                <w:i/>
                <w:iCs/>
              </w:rPr>
              <w:t>Thelymitra matthewsii</w:t>
            </w:r>
          </w:p>
        </w:tc>
        <w:tc>
          <w:tcPr>
            <w:tcW w:w="3118" w:type="dxa"/>
            <w:shd w:val="clear" w:color="auto" w:fill="FFFFFF" w:themeFill="background1"/>
            <w:vAlign w:val="center"/>
          </w:tcPr>
          <w:p w14:paraId="398B11DC" w14:textId="77777777" w:rsidR="000B173B" w:rsidRPr="00D7193E" w:rsidRDefault="000B173B" w:rsidP="00A15226">
            <w:pPr>
              <w:pStyle w:val="Tabletext"/>
            </w:pPr>
            <w:r w:rsidRPr="00BD04D4">
              <w:t>Spiral Sun-orchid</w:t>
            </w:r>
          </w:p>
        </w:tc>
        <w:tc>
          <w:tcPr>
            <w:tcW w:w="2835" w:type="dxa"/>
            <w:shd w:val="clear" w:color="auto" w:fill="FFFFFF" w:themeFill="background1"/>
            <w:vAlign w:val="center"/>
          </w:tcPr>
          <w:p w14:paraId="273900B6" w14:textId="77777777" w:rsidR="000B173B" w:rsidRPr="00D7193E" w:rsidRDefault="000B173B" w:rsidP="00A15226">
            <w:pPr>
              <w:pStyle w:val="Tabletext"/>
            </w:pPr>
            <w:r w:rsidRPr="00BD04D4">
              <w:t xml:space="preserve">Vulnerable </w:t>
            </w:r>
          </w:p>
        </w:tc>
        <w:tc>
          <w:tcPr>
            <w:tcW w:w="851" w:type="dxa"/>
            <w:shd w:val="clear" w:color="auto" w:fill="FFFFFF" w:themeFill="background1"/>
            <w:vAlign w:val="center"/>
          </w:tcPr>
          <w:p w14:paraId="50DD0D26" w14:textId="77777777" w:rsidR="000B173B" w:rsidRPr="006B0B80" w:rsidRDefault="000B173B" w:rsidP="00A15226">
            <w:pPr>
              <w:pStyle w:val="Tabletext"/>
              <w:jc w:val="center"/>
            </w:pPr>
            <w:r w:rsidRPr="00BD04D4">
              <w:t>No</w:t>
            </w:r>
          </w:p>
        </w:tc>
        <w:tc>
          <w:tcPr>
            <w:tcW w:w="850" w:type="dxa"/>
            <w:shd w:val="clear" w:color="auto" w:fill="FFFFFF" w:themeFill="background1"/>
            <w:vAlign w:val="center"/>
          </w:tcPr>
          <w:p w14:paraId="4B4E4C23" w14:textId="77777777" w:rsidR="000B173B" w:rsidRPr="006B0B80" w:rsidRDefault="000B173B" w:rsidP="00A15226">
            <w:pPr>
              <w:pStyle w:val="Tabletext"/>
              <w:jc w:val="center"/>
            </w:pPr>
            <w:r w:rsidRPr="00BD04D4">
              <w:t>No</w:t>
            </w:r>
          </w:p>
        </w:tc>
        <w:tc>
          <w:tcPr>
            <w:tcW w:w="1134" w:type="dxa"/>
            <w:shd w:val="clear" w:color="auto" w:fill="FFFFFF" w:themeFill="background1"/>
            <w:vAlign w:val="center"/>
          </w:tcPr>
          <w:p w14:paraId="15CBB2AF" w14:textId="77777777" w:rsidR="000B173B" w:rsidRPr="006B0B80" w:rsidRDefault="000B173B" w:rsidP="00A15226">
            <w:pPr>
              <w:pStyle w:val="Tabletext"/>
              <w:jc w:val="center"/>
            </w:pPr>
            <w:r w:rsidRPr="00BD04D4">
              <w:t>Unlikely</w:t>
            </w:r>
          </w:p>
        </w:tc>
        <w:tc>
          <w:tcPr>
            <w:tcW w:w="1134" w:type="dxa"/>
            <w:shd w:val="clear" w:color="auto" w:fill="FFFFFF" w:themeFill="background1"/>
            <w:vAlign w:val="center"/>
          </w:tcPr>
          <w:p w14:paraId="4292A07E" w14:textId="77777777" w:rsidR="000B173B" w:rsidRPr="006B0B80" w:rsidRDefault="000B173B" w:rsidP="00A15226">
            <w:pPr>
              <w:pStyle w:val="Tabletext"/>
              <w:jc w:val="center"/>
            </w:pPr>
            <w:r w:rsidRPr="00BD04D4">
              <w:t>May</w:t>
            </w:r>
          </w:p>
        </w:tc>
        <w:tc>
          <w:tcPr>
            <w:tcW w:w="1300" w:type="dxa"/>
            <w:shd w:val="clear" w:color="auto" w:fill="FFFFFF" w:themeFill="background1"/>
            <w:vAlign w:val="center"/>
          </w:tcPr>
          <w:p w14:paraId="0E23CF1A" w14:textId="77777777" w:rsidR="000B173B" w:rsidRPr="006B0B80" w:rsidRDefault="000B173B" w:rsidP="00A15226">
            <w:pPr>
              <w:pStyle w:val="Tabletext"/>
              <w:jc w:val="center"/>
            </w:pPr>
            <w:r w:rsidRPr="003F3F44">
              <w:t>No</w:t>
            </w:r>
          </w:p>
        </w:tc>
      </w:tr>
      <w:tr w:rsidR="000B173B" w14:paraId="40875535" w14:textId="77777777" w:rsidTr="00A15226">
        <w:tc>
          <w:tcPr>
            <w:tcW w:w="3114" w:type="dxa"/>
            <w:tcBorders>
              <w:bottom w:val="single" w:sz="4" w:space="0" w:color="auto"/>
            </w:tcBorders>
            <w:shd w:val="clear" w:color="auto" w:fill="FFFFFF" w:themeFill="background1"/>
            <w:vAlign w:val="center"/>
          </w:tcPr>
          <w:p w14:paraId="6452D067" w14:textId="77777777" w:rsidR="000B173B" w:rsidRPr="003C348E" w:rsidRDefault="000B173B" w:rsidP="00A15226">
            <w:pPr>
              <w:pStyle w:val="Tabletext"/>
              <w:rPr>
                <w:i/>
                <w:iCs/>
                <w:highlight w:val="yellow"/>
              </w:rPr>
            </w:pPr>
            <w:r w:rsidRPr="003C348E">
              <w:rPr>
                <w:i/>
                <w:iCs/>
              </w:rPr>
              <w:t>Xerochrysum palustre</w:t>
            </w:r>
          </w:p>
        </w:tc>
        <w:tc>
          <w:tcPr>
            <w:tcW w:w="3118" w:type="dxa"/>
            <w:tcBorders>
              <w:bottom w:val="single" w:sz="4" w:space="0" w:color="auto"/>
            </w:tcBorders>
            <w:shd w:val="clear" w:color="auto" w:fill="FFFFFF" w:themeFill="background1"/>
            <w:vAlign w:val="center"/>
          </w:tcPr>
          <w:p w14:paraId="5811DBCE" w14:textId="77777777" w:rsidR="000B173B" w:rsidRPr="002C27E1" w:rsidRDefault="000B173B" w:rsidP="00A15226">
            <w:pPr>
              <w:pStyle w:val="Tabletext"/>
              <w:rPr>
                <w:highlight w:val="yellow"/>
              </w:rPr>
            </w:pPr>
            <w:r w:rsidRPr="00D7193E">
              <w:t>Swamp Paper Daisy</w:t>
            </w:r>
          </w:p>
        </w:tc>
        <w:tc>
          <w:tcPr>
            <w:tcW w:w="2835" w:type="dxa"/>
            <w:tcBorders>
              <w:bottom w:val="single" w:sz="4" w:space="0" w:color="auto"/>
            </w:tcBorders>
            <w:shd w:val="clear" w:color="auto" w:fill="FFFFFF" w:themeFill="background1"/>
            <w:vAlign w:val="center"/>
          </w:tcPr>
          <w:p w14:paraId="402A4640" w14:textId="77777777" w:rsidR="000B173B" w:rsidRPr="002C27E1" w:rsidRDefault="000B173B" w:rsidP="00A15226">
            <w:pPr>
              <w:pStyle w:val="Tabletext"/>
              <w:rPr>
                <w:highlight w:val="yellow"/>
              </w:rPr>
            </w:pPr>
            <w:r w:rsidRPr="00D7193E">
              <w:t>Vulnerable</w:t>
            </w:r>
          </w:p>
        </w:tc>
        <w:tc>
          <w:tcPr>
            <w:tcW w:w="851" w:type="dxa"/>
            <w:tcBorders>
              <w:bottom w:val="single" w:sz="4" w:space="0" w:color="auto"/>
            </w:tcBorders>
            <w:shd w:val="clear" w:color="auto" w:fill="FFFFFF" w:themeFill="background1"/>
            <w:vAlign w:val="center"/>
          </w:tcPr>
          <w:p w14:paraId="30D5EBFA" w14:textId="77777777" w:rsidR="000B173B" w:rsidRPr="002C27E1" w:rsidRDefault="000B173B" w:rsidP="00A15226">
            <w:pPr>
              <w:pStyle w:val="Tabletext"/>
              <w:jc w:val="center"/>
              <w:rPr>
                <w:highlight w:val="yellow"/>
              </w:rPr>
            </w:pPr>
            <w:r w:rsidRPr="006B0B80">
              <w:t>Yes</w:t>
            </w:r>
          </w:p>
        </w:tc>
        <w:tc>
          <w:tcPr>
            <w:tcW w:w="850" w:type="dxa"/>
            <w:tcBorders>
              <w:bottom w:val="single" w:sz="4" w:space="0" w:color="auto"/>
            </w:tcBorders>
            <w:shd w:val="clear" w:color="auto" w:fill="FFFFFF" w:themeFill="background1"/>
            <w:vAlign w:val="center"/>
          </w:tcPr>
          <w:p w14:paraId="19CAB0C9" w14:textId="77777777" w:rsidR="000B173B" w:rsidRPr="002C27E1" w:rsidRDefault="000B173B" w:rsidP="00A15226">
            <w:pPr>
              <w:pStyle w:val="Tabletext"/>
              <w:jc w:val="center"/>
              <w:rPr>
                <w:highlight w:val="yellow"/>
              </w:rPr>
            </w:pPr>
            <w:r w:rsidRPr="006B0B80">
              <w:t>No</w:t>
            </w:r>
          </w:p>
        </w:tc>
        <w:tc>
          <w:tcPr>
            <w:tcW w:w="1134" w:type="dxa"/>
            <w:tcBorders>
              <w:bottom w:val="single" w:sz="4" w:space="0" w:color="auto"/>
            </w:tcBorders>
            <w:shd w:val="clear" w:color="auto" w:fill="FFFFFF" w:themeFill="background1"/>
            <w:vAlign w:val="center"/>
          </w:tcPr>
          <w:p w14:paraId="0FECD621" w14:textId="77777777" w:rsidR="000B173B" w:rsidRPr="002C27E1" w:rsidRDefault="000B173B" w:rsidP="00A15226">
            <w:pPr>
              <w:pStyle w:val="Tabletext"/>
              <w:jc w:val="center"/>
              <w:rPr>
                <w:highlight w:val="yellow"/>
              </w:rPr>
            </w:pPr>
            <w:r w:rsidRPr="006B0B80">
              <w:t>Unlikely</w:t>
            </w:r>
          </w:p>
        </w:tc>
        <w:tc>
          <w:tcPr>
            <w:tcW w:w="1134" w:type="dxa"/>
            <w:tcBorders>
              <w:bottom w:val="single" w:sz="4" w:space="0" w:color="auto"/>
            </w:tcBorders>
            <w:shd w:val="clear" w:color="auto" w:fill="FFFFFF" w:themeFill="background1"/>
            <w:vAlign w:val="center"/>
          </w:tcPr>
          <w:p w14:paraId="0BDF71EE" w14:textId="77777777" w:rsidR="000B173B" w:rsidRPr="002C27E1" w:rsidRDefault="000B173B" w:rsidP="00A15226">
            <w:pPr>
              <w:pStyle w:val="Tabletext"/>
              <w:jc w:val="center"/>
              <w:rPr>
                <w:highlight w:val="yellow"/>
              </w:rPr>
            </w:pPr>
            <w:r w:rsidRPr="006B0B80">
              <w:t>Known</w:t>
            </w:r>
          </w:p>
        </w:tc>
        <w:tc>
          <w:tcPr>
            <w:tcW w:w="1300" w:type="dxa"/>
            <w:tcBorders>
              <w:bottom w:val="single" w:sz="4" w:space="0" w:color="auto"/>
            </w:tcBorders>
            <w:shd w:val="clear" w:color="auto" w:fill="FFFFFF" w:themeFill="background1"/>
            <w:vAlign w:val="center"/>
          </w:tcPr>
          <w:p w14:paraId="162264F2" w14:textId="77777777" w:rsidR="000B173B" w:rsidRPr="006B0B80" w:rsidRDefault="000B173B" w:rsidP="00A15226">
            <w:pPr>
              <w:pStyle w:val="Tabletext"/>
              <w:jc w:val="center"/>
            </w:pPr>
            <w:r w:rsidRPr="003F3F44">
              <w:t>Yes</w:t>
            </w:r>
          </w:p>
        </w:tc>
      </w:tr>
      <w:tr w:rsidR="000B173B" w14:paraId="6AB726C8" w14:textId="77777777" w:rsidTr="00A15226">
        <w:tc>
          <w:tcPr>
            <w:tcW w:w="3114" w:type="dxa"/>
            <w:tcBorders>
              <w:right w:val="nil"/>
            </w:tcBorders>
            <w:shd w:val="clear" w:color="auto" w:fill="B4C6E7" w:themeFill="accent1" w:themeFillTint="66"/>
            <w:vAlign w:val="center"/>
          </w:tcPr>
          <w:p w14:paraId="22DC9C0F" w14:textId="77777777" w:rsidR="000B173B" w:rsidRPr="00B260FD" w:rsidRDefault="000B173B" w:rsidP="00A15226">
            <w:pPr>
              <w:pStyle w:val="Tabletext"/>
              <w:rPr>
                <w:b/>
                <w:bCs/>
              </w:rPr>
            </w:pPr>
            <w:r w:rsidRPr="00B260FD">
              <w:rPr>
                <w:b/>
                <w:bCs/>
              </w:rPr>
              <w:t>Mammals</w:t>
            </w:r>
          </w:p>
        </w:tc>
        <w:tc>
          <w:tcPr>
            <w:tcW w:w="3118" w:type="dxa"/>
            <w:tcBorders>
              <w:left w:val="nil"/>
              <w:right w:val="nil"/>
            </w:tcBorders>
            <w:shd w:val="clear" w:color="auto" w:fill="B4C6E7" w:themeFill="accent1" w:themeFillTint="66"/>
            <w:vAlign w:val="center"/>
          </w:tcPr>
          <w:p w14:paraId="045BC212" w14:textId="77777777" w:rsidR="000B173B" w:rsidRPr="00B260FD" w:rsidRDefault="000B173B" w:rsidP="00A15226">
            <w:pPr>
              <w:pStyle w:val="Tabletext"/>
              <w:rPr>
                <w:b/>
                <w:bCs/>
              </w:rPr>
            </w:pPr>
          </w:p>
        </w:tc>
        <w:tc>
          <w:tcPr>
            <w:tcW w:w="2835" w:type="dxa"/>
            <w:tcBorders>
              <w:left w:val="nil"/>
              <w:right w:val="nil"/>
            </w:tcBorders>
            <w:shd w:val="clear" w:color="auto" w:fill="B4C6E7" w:themeFill="accent1" w:themeFillTint="66"/>
            <w:vAlign w:val="center"/>
          </w:tcPr>
          <w:p w14:paraId="4F30DF1D" w14:textId="77777777" w:rsidR="000B173B" w:rsidRPr="00B260FD" w:rsidRDefault="000B173B" w:rsidP="00A15226">
            <w:pPr>
              <w:pStyle w:val="Tabletext"/>
              <w:rPr>
                <w:b/>
                <w:bCs/>
              </w:rPr>
            </w:pPr>
          </w:p>
        </w:tc>
        <w:tc>
          <w:tcPr>
            <w:tcW w:w="851" w:type="dxa"/>
            <w:tcBorders>
              <w:left w:val="nil"/>
              <w:right w:val="nil"/>
            </w:tcBorders>
            <w:shd w:val="clear" w:color="auto" w:fill="B4C6E7" w:themeFill="accent1" w:themeFillTint="66"/>
            <w:vAlign w:val="center"/>
          </w:tcPr>
          <w:p w14:paraId="20EC4CAE" w14:textId="77777777" w:rsidR="000B173B" w:rsidRPr="00B260FD" w:rsidRDefault="000B173B" w:rsidP="00A15226">
            <w:pPr>
              <w:pStyle w:val="Tabletext"/>
              <w:jc w:val="center"/>
              <w:rPr>
                <w:b/>
                <w:bCs/>
              </w:rPr>
            </w:pPr>
          </w:p>
        </w:tc>
        <w:tc>
          <w:tcPr>
            <w:tcW w:w="850" w:type="dxa"/>
            <w:tcBorders>
              <w:left w:val="nil"/>
              <w:right w:val="nil"/>
            </w:tcBorders>
            <w:shd w:val="clear" w:color="auto" w:fill="B4C6E7" w:themeFill="accent1" w:themeFillTint="66"/>
            <w:vAlign w:val="center"/>
          </w:tcPr>
          <w:p w14:paraId="24466D54" w14:textId="77777777" w:rsidR="000B173B" w:rsidRPr="00B260FD" w:rsidRDefault="000B173B" w:rsidP="00A15226">
            <w:pPr>
              <w:pStyle w:val="Tabletext"/>
              <w:jc w:val="center"/>
              <w:rPr>
                <w:b/>
                <w:bCs/>
              </w:rPr>
            </w:pPr>
          </w:p>
        </w:tc>
        <w:tc>
          <w:tcPr>
            <w:tcW w:w="1134" w:type="dxa"/>
            <w:tcBorders>
              <w:left w:val="nil"/>
              <w:right w:val="nil"/>
            </w:tcBorders>
            <w:shd w:val="clear" w:color="auto" w:fill="B4C6E7" w:themeFill="accent1" w:themeFillTint="66"/>
            <w:vAlign w:val="center"/>
          </w:tcPr>
          <w:p w14:paraId="3CDCF93F" w14:textId="77777777" w:rsidR="000B173B" w:rsidRPr="00B260FD" w:rsidRDefault="000B173B" w:rsidP="00A15226">
            <w:pPr>
              <w:pStyle w:val="Tabletext"/>
              <w:jc w:val="center"/>
              <w:rPr>
                <w:b/>
                <w:bCs/>
              </w:rPr>
            </w:pPr>
          </w:p>
        </w:tc>
        <w:tc>
          <w:tcPr>
            <w:tcW w:w="1134" w:type="dxa"/>
            <w:tcBorders>
              <w:left w:val="nil"/>
              <w:right w:val="nil"/>
            </w:tcBorders>
            <w:shd w:val="clear" w:color="auto" w:fill="B4C6E7" w:themeFill="accent1" w:themeFillTint="66"/>
            <w:vAlign w:val="center"/>
          </w:tcPr>
          <w:p w14:paraId="0452B58A" w14:textId="77777777" w:rsidR="000B173B" w:rsidRPr="00B260FD" w:rsidRDefault="000B173B" w:rsidP="00A15226">
            <w:pPr>
              <w:pStyle w:val="Tabletext"/>
              <w:jc w:val="center"/>
              <w:rPr>
                <w:b/>
                <w:bCs/>
              </w:rPr>
            </w:pPr>
          </w:p>
        </w:tc>
        <w:tc>
          <w:tcPr>
            <w:tcW w:w="1300" w:type="dxa"/>
            <w:tcBorders>
              <w:left w:val="nil"/>
            </w:tcBorders>
            <w:shd w:val="clear" w:color="auto" w:fill="B4C6E7" w:themeFill="accent1" w:themeFillTint="66"/>
            <w:vAlign w:val="center"/>
          </w:tcPr>
          <w:p w14:paraId="740B25D4" w14:textId="77777777" w:rsidR="000B173B" w:rsidRPr="00B260FD" w:rsidRDefault="000B173B" w:rsidP="00A15226">
            <w:pPr>
              <w:pStyle w:val="Tabletext"/>
              <w:jc w:val="center"/>
              <w:rPr>
                <w:b/>
                <w:bCs/>
              </w:rPr>
            </w:pPr>
          </w:p>
        </w:tc>
      </w:tr>
      <w:tr w:rsidR="000B173B" w14:paraId="45AE49C1" w14:textId="77777777" w:rsidTr="00A15226">
        <w:tc>
          <w:tcPr>
            <w:tcW w:w="3114" w:type="dxa"/>
            <w:shd w:val="clear" w:color="auto" w:fill="FFFFFF" w:themeFill="background1"/>
            <w:vAlign w:val="center"/>
          </w:tcPr>
          <w:p w14:paraId="0F57AEBC" w14:textId="77777777" w:rsidR="000B173B" w:rsidRPr="003C348E" w:rsidRDefault="000B173B" w:rsidP="00A15226">
            <w:pPr>
              <w:pStyle w:val="Tabletext"/>
              <w:rPr>
                <w:i/>
                <w:iCs/>
                <w:highlight w:val="yellow"/>
              </w:rPr>
            </w:pPr>
            <w:r w:rsidRPr="003C348E">
              <w:rPr>
                <w:i/>
                <w:iCs/>
              </w:rPr>
              <w:t>Antechinus minimus maritimus</w:t>
            </w:r>
          </w:p>
        </w:tc>
        <w:tc>
          <w:tcPr>
            <w:tcW w:w="3118" w:type="dxa"/>
            <w:shd w:val="clear" w:color="auto" w:fill="FFFFFF" w:themeFill="background1"/>
            <w:vAlign w:val="center"/>
          </w:tcPr>
          <w:p w14:paraId="31D7213D" w14:textId="77777777" w:rsidR="000B173B" w:rsidRPr="002C27E1" w:rsidRDefault="000B173B" w:rsidP="00A15226">
            <w:pPr>
              <w:pStyle w:val="Tabletext"/>
              <w:rPr>
                <w:highlight w:val="yellow"/>
              </w:rPr>
            </w:pPr>
            <w:r w:rsidRPr="00393498">
              <w:t>Swamp Antechinus</w:t>
            </w:r>
          </w:p>
        </w:tc>
        <w:tc>
          <w:tcPr>
            <w:tcW w:w="2835" w:type="dxa"/>
            <w:shd w:val="clear" w:color="auto" w:fill="FFFFFF" w:themeFill="background1"/>
            <w:vAlign w:val="center"/>
          </w:tcPr>
          <w:p w14:paraId="2522EAD1" w14:textId="77777777" w:rsidR="000B173B" w:rsidRPr="002C27E1" w:rsidRDefault="000B173B" w:rsidP="00A15226">
            <w:pPr>
              <w:pStyle w:val="Tabletext"/>
              <w:rPr>
                <w:highlight w:val="yellow"/>
              </w:rPr>
            </w:pPr>
            <w:r w:rsidRPr="00393498">
              <w:t>Vulnerable</w:t>
            </w:r>
          </w:p>
        </w:tc>
        <w:tc>
          <w:tcPr>
            <w:tcW w:w="851" w:type="dxa"/>
            <w:shd w:val="clear" w:color="auto" w:fill="FFFFFF" w:themeFill="background1"/>
            <w:vAlign w:val="center"/>
          </w:tcPr>
          <w:p w14:paraId="47971C9B" w14:textId="77777777" w:rsidR="000B173B" w:rsidRPr="002C27E1" w:rsidRDefault="000B173B" w:rsidP="00A15226">
            <w:pPr>
              <w:pStyle w:val="Tabletext"/>
              <w:jc w:val="center"/>
              <w:rPr>
                <w:highlight w:val="yellow"/>
              </w:rPr>
            </w:pPr>
            <w:r w:rsidRPr="001D3813">
              <w:t>No</w:t>
            </w:r>
          </w:p>
        </w:tc>
        <w:tc>
          <w:tcPr>
            <w:tcW w:w="850" w:type="dxa"/>
            <w:shd w:val="clear" w:color="auto" w:fill="FFFFFF" w:themeFill="background1"/>
            <w:vAlign w:val="center"/>
          </w:tcPr>
          <w:p w14:paraId="0B31477E" w14:textId="77777777" w:rsidR="000B173B" w:rsidRPr="002C27E1" w:rsidRDefault="000B173B" w:rsidP="00A15226">
            <w:pPr>
              <w:pStyle w:val="Tabletext"/>
              <w:jc w:val="center"/>
              <w:rPr>
                <w:highlight w:val="yellow"/>
              </w:rPr>
            </w:pPr>
            <w:r w:rsidRPr="001D3813">
              <w:t>No</w:t>
            </w:r>
          </w:p>
        </w:tc>
        <w:tc>
          <w:tcPr>
            <w:tcW w:w="1134" w:type="dxa"/>
            <w:shd w:val="clear" w:color="auto" w:fill="FFFFFF" w:themeFill="background1"/>
            <w:vAlign w:val="center"/>
          </w:tcPr>
          <w:p w14:paraId="7C9076CD" w14:textId="77777777" w:rsidR="000B173B" w:rsidRPr="002C27E1" w:rsidRDefault="000B173B" w:rsidP="00A15226">
            <w:pPr>
              <w:pStyle w:val="Tabletext"/>
              <w:jc w:val="center"/>
              <w:rPr>
                <w:highlight w:val="yellow"/>
              </w:rPr>
            </w:pPr>
            <w:r w:rsidRPr="001D3813">
              <w:t>Unlikely</w:t>
            </w:r>
          </w:p>
        </w:tc>
        <w:tc>
          <w:tcPr>
            <w:tcW w:w="1134" w:type="dxa"/>
            <w:shd w:val="clear" w:color="auto" w:fill="FFFFFF" w:themeFill="background1"/>
            <w:vAlign w:val="center"/>
          </w:tcPr>
          <w:p w14:paraId="4D2A81FF" w14:textId="77777777" w:rsidR="000B173B" w:rsidRPr="002C27E1" w:rsidRDefault="000B173B" w:rsidP="00A15226">
            <w:pPr>
              <w:pStyle w:val="Tabletext"/>
              <w:jc w:val="center"/>
              <w:rPr>
                <w:highlight w:val="yellow"/>
              </w:rPr>
            </w:pPr>
            <w:r w:rsidRPr="001D3813">
              <w:t>Likely</w:t>
            </w:r>
          </w:p>
        </w:tc>
        <w:tc>
          <w:tcPr>
            <w:tcW w:w="1300" w:type="dxa"/>
            <w:shd w:val="clear" w:color="auto" w:fill="FFFFFF" w:themeFill="background1"/>
            <w:vAlign w:val="center"/>
          </w:tcPr>
          <w:p w14:paraId="72C9E049" w14:textId="77777777" w:rsidR="000B173B" w:rsidRPr="001D3813" w:rsidRDefault="000B173B" w:rsidP="00A15226">
            <w:pPr>
              <w:pStyle w:val="Tabletext"/>
              <w:jc w:val="center"/>
            </w:pPr>
            <w:r w:rsidRPr="007C1E6E">
              <w:t>Yes</w:t>
            </w:r>
          </w:p>
        </w:tc>
      </w:tr>
      <w:tr w:rsidR="000B173B" w14:paraId="61034ECB" w14:textId="77777777" w:rsidTr="00A15226">
        <w:tc>
          <w:tcPr>
            <w:tcW w:w="3114" w:type="dxa"/>
            <w:shd w:val="clear" w:color="auto" w:fill="FFFFFF" w:themeFill="background1"/>
            <w:vAlign w:val="center"/>
          </w:tcPr>
          <w:p w14:paraId="4A5046E8" w14:textId="77777777" w:rsidR="000B173B" w:rsidRPr="003C348E" w:rsidRDefault="000B173B" w:rsidP="00A15226">
            <w:pPr>
              <w:pStyle w:val="Tabletext"/>
              <w:rPr>
                <w:i/>
                <w:iCs/>
                <w:highlight w:val="yellow"/>
              </w:rPr>
            </w:pPr>
            <w:r w:rsidRPr="003C348E">
              <w:rPr>
                <w:i/>
                <w:iCs/>
              </w:rPr>
              <w:t>Balaenoptera musculus</w:t>
            </w:r>
          </w:p>
        </w:tc>
        <w:tc>
          <w:tcPr>
            <w:tcW w:w="3118" w:type="dxa"/>
            <w:shd w:val="clear" w:color="auto" w:fill="FFFFFF" w:themeFill="background1"/>
            <w:vAlign w:val="center"/>
          </w:tcPr>
          <w:p w14:paraId="04BD0B4D" w14:textId="77777777" w:rsidR="000B173B" w:rsidRPr="002C27E1" w:rsidRDefault="000B173B" w:rsidP="00A15226">
            <w:pPr>
              <w:pStyle w:val="Tabletext"/>
              <w:rPr>
                <w:highlight w:val="yellow"/>
              </w:rPr>
            </w:pPr>
            <w:r w:rsidRPr="00393498">
              <w:t xml:space="preserve">Blue Whale </w:t>
            </w:r>
          </w:p>
        </w:tc>
        <w:tc>
          <w:tcPr>
            <w:tcW w:w="2835" w:type="dxa"/>
            <w:shd w:val="clear" w:color="auto" w:fill="FFFFFF" w:themeFill="background1"/>
            <w:vAlign w:val="center"/>
          </w:tcPr>
          <w:p w14:paraId="6367345B" w14:textId="77777777" w:rsidR="000B173B" w:rsidRPr="002C27E1" w:rsidRDefault="000B173B" w:rsidP="00A15226">
            <w:pPr>
              <w:pStyle w:val="Tabletext"/>
              <w:rPr>
                <w:highlight w:val="yellow"/>
              </w:rPr>
            </w:pPr>
            <w:r w:rsidRPr="00393498">
              <w:t>Endangered, migratory</w:t>
            </w:r>
          </w:p>
        </w:tc>
        <w:tc>
          <w:tcPr>
            <w:tcW w:w="851" w:type="dxa"/>
            <w:shd w:val="clear" w:color="auto" w:fill="FFFFFF" w:themeFill="background1"/>
            <w:vAlign w:val="center"/>
          </w:tcPr>
          <w:p w14:paraId="0950676C" w14:textId="77777777" w:rsidR="000B173B" w:rsidRPr="002C27E1" w:rsidRDefault="000B173B" w:rsidP="00A15226">
            <w:pPr>
              <w:pStyle w:val="Tabletext"/>
              <w:jc w:val="center"/>
              <w:rPr>
                <w:highlight w:val="yellow"/>
              </w:rPr>
            </w:pPr>
            <w:r w:rsidRPr="001D3813">
              <w:t>No</w:t>
            </w:r>
          </w:p>
        </w:tc>
        <w:tc>
          <w:tcPr>
            <w:tcW w:w="850" w:type="dxa"/>
            <w:shd w:val="clear" w:color="auto" w:fill="FFFFFF" w:themeFill="background1"/>
            <w:vAlign w:val="center"/>
          </w:tcPr>
          <w:p w14:paraId="6C9C3DF9" w14:textId="77777777" w:rsidR="000B173B" w:rsidRPr="002C27E1" w:rsidRDefault="000B173B" w:rsidP="00A15226">
            <w:pPr>
              <w:pStyle w:val="Tabletext"/>
              <w:jc w:val="center"/>
              <w:rPr>
                <w:highlight w:val="yellow"/>
              </w:rPr>
            </w:pPr>
            <w:r w:rsidRPr="001D3813">
              <w:t>No</w:t>
            </w:r>
          </w:p>
        </w:tc>
        <w:tc>
          <w:tcPr>
            <w:tcW w:w="1134" w:type="dxa"/>
            <w:shd w:val="clear" w:color="auto" w:fill="FFFFFF" w:themeFill="background1"/>
            <w:vAlign w:val="center"/>
          </w:tcPr>
          <w:p w14:paraId="41026BF3" w14:textId="77777777" w:rsidR="000B173B" w:rsidRPr="002C27E1" w:rsidRDefault="000B173B" w:rsidP="00A15226">
            <w:pPr>
              <w:pStyle w:val="Tabletext"/>
              <w:jc w:val="center"/>
              <w:rPr>
                <w:highlight w:val="yellow"/>
              </w:rPr>
            </w:pPr>
            <w:r w:rsidRPr="001D3813">
              <w:t>N/A</w:t>
            </w:r>
          </w:p>
        </w:tc>
        <w:tc>
          <w:tcPr>
            <w:tcW w:w="1134" w:type="dxa"/>
            <w:shd w:val="clear" w:color="auto" w:fill="FFFFFF" w:themeFill="background1"/>
            <w:vAlign w:val="center"/>
          </w:tcPr>
          <w:p w14:paraId="14F411BC" w14:textId="77777777" w:rsidR="000B173B" w:rsidRPr="002C27E1" w:rsidRDefault="000B173B" w:rsidP="00A15226">
            <w:pPr>
              <w:pStyle w:val="Tabletext"/>
              <w:jc w:val="center"/>
              <w:rPr>
                <w:highlight w:val="yellow"/>
              </w:rPr>
            </w:pPr>
            <w:r w:rsidRPr="001D3813">
              <w:t>Likely</w:t>
            </w:r>
          </w:p>
        </w:tc>
        <w:tc>
          <w:tcPr>
            <w:tcW w:w="1300" w:type="dxa"/>
            <w:shd w:val="clear" w:color="auto" w:fill="FFFFFF" w:themeFill="background1"/>
            <w:vAlign w:val="center"/>
          </w:tcPr>
          <w:p w14:paraId="72592592" w14:textId="77777777" w:rsidR="000B173B" w:rsidRPr="001D3813" w:rsidRDefault="000B173B" w:rsidP="00A15226">
            <w:pPr>
              <w:pStyle w:val="Tabletext"/>
              <w:jc w:val="center"/>
            </w:pPr>
            <w:r w:rsidRPr="007C1E6E">
              <w:t>Yes</w:t>
            </w:r>
          </w:p>
        </w:tc>
      </w:tr>
      <w:tr w:rsidR="000B173B" w14:paraId="319A74E1" w14:textId="77777777" w:rsidTr="00A15226">
        <w:tc>
          <w:tcPr>
            <w:tcW w:w="3114" w:type="dxa"/>
            <w:shd w:val="clear" w:color="auto" w:fill="FFFFFF" w:themeFill="background1"/>
            <w:vAlign w:val="center"/>
          </w:tcPr>
          <w:p w14:paraId="56F2AC38" w14:textId="77777777" w:rsidR="000B173B" w:rsidRPr="003C348E" w:rsidRDefault="000B173B" w:rsidP="00A15226">
            <w:pPr>
              <w:pStyle w:val="Tabletext"/>
              <w:rPr>
                <w:i/>
                <w:iCs/>
              </w:rPr>
            </w:pPr>
            <w:r w:rsidRPr="003C348E">
              <w:rPr>
                <w:i/>
                <w:iCs/>
              </w:rPr>
              <w:t>Dasyurus maculatus maculatus</w:t>
            </w:r>
          </w:p>
        </w:tc>
        <w:tc>
          <w:tcPr>
            <w:tcW w:w="3118" w:type="dxa"/>
            <w:shd w:val="clear" w:color="auto" w:fill="FFFFFF" w:themeFill="background1"/>
            <w:vAlign w:val="center"/>
          </w:tcPr>
          <w:p w14:paraId="36C5BE74" w14:textId="77777777" w:rsidR="000B173B" w:rsidRPr="00393498" w:rsidRDefault="000B173B" w:rsidP="00A15226">
            <w:pPr>
              <w:pStyle w:val="Tabletext"/>
            </w:pPr>
            <w:r w:rsidRPr="000B5A02">
              <w:t>Spot-tailed Quoll</w:t>
            </w:r>
          </w:p>
        </w:tc>
        <w:tc>
          <w:tcPr>
            <w:tcW w:w="2835" w:type="dxa"/>
            <w:shd w:val="clear" w:color="auto" w:fill="FFFFFF" w:themeFill="background1"/>
            <w:vAlign w:val="center"/>
          </w:tcPr>
          <w:p w14:paraId="5B284760" w14:textId="77777777" w:rsidR="000B173B" w:rsidRPr="00393498" w:rsidRDefault="000B173B" w:rsidP="00A15226">
            <w:pPr>
              <w:pStyle w:val="Tabletext"/>
            </w:pPr>
            <w:r w:rsidRPr="000B5A02">
              <w:t xml:space="preserve">Endangered </w:t>
            </w:r>
          </w:p>
        </w:tc>
        <w:tc>
          <w:tcPr>
            <w:tcW w:w="851" w:type="dxa"/>
            <w:shd w:val="clear" w:color="auto" w:fill="FFFFFF" w:themeFill="background1"/>
            <w:vAlign w:val="center"/>
          </w:tcPr>
          <w:p w14:paraId="3347028C" w14:textId="77777777" w:rsidR="000B173B" w:rsidRPr="001D3813" w:rsidRDefault="000B173B" w:rsidP="00A15226">
            <w:pPr>
              <w:pStyle w:val="Tabletext"/>
              <w:jc w:val="center"/>
            </w:pPr>
            <w:r w:rsidRPr="000B5A02">
              <w:t>No</w:t>
            </w:r>
          </w:p>
        </w:tc>
        <w:tc>
          <w:tcPr>
            <w:tcW w:w="850" w:type="dxa"/>
            <w:shd w:val="clear" w:color="auto" w:fill="FFFFFF" w:themeFill="background1"/>
            <w:vAlign w:val="center"/>
          </w:tcPr>
          <w:p w14:paraId="46397213" w14:textId="77777777" w:rsidR="000B173B" w:rsidRPr="001D3813" w:rsidRDefault="000B173B" w:rsidP="00A15226">
            <w:pPr>
              <w:pStyle w:val="Tabletext"/>
              <w:jc w:val="center"/>
            </w:pPr>
            <w:r w:rsidRPr="000B5A02">
              <w:t>No</w:t>
            </w:r>
          </w:p>
        </w:tc>
        <w:tc>
          <w:tcPr>
            <w:tcW w:w="1134" w:type="dxa"/>
            <w:shd w:val="clear" w:color="auto" w:fill="FFFFFF" w:themeFill="background1"/>
            <w:vAlign w:val="center"/>
          </w:tcPr>
          <w:p w14:paraId="24DA2C1B" w14:textId="77777777" w:rsidR="000B173B" w:rsidRPr="001D3813" w:rsidRDefault="000B173B" w:rsidP="00A15226">
            <w:pPr>
              <w:pStyle w:val="Tabletext"/>
              <w:jc w:val="center"/>
            </w:pPr>
            <w:r w:rsidRPr="000B5A02">
              <w:t>Unlikely</w:t>
            </w:r>
          </w:p>
        </w:tc>
        <w:tc>
          <w:tcPr>
            <w:tcW w:w="1134" w:type="dxa"/>
            <w:shd w:val="clear" w:color="auto" w:fill="FFFFFF" w:themeFill="background1"/>
            <w:vAlign w:val="center"/>
          </w:tcPr>
          <w:p w14:paraId="60DABC2F" w14:textId="77777777" w:rsidR="000B173B" w:rsidRPr="001D3813" w:rsidRDefault="000B173B" w:rsidP="00A15226">
            <w:pPr>
              <w:pStyle w:val="Tabletext"/>
              <w:jc w:val="center"/>
            </w:pPr>
            <w:r w:rsidRPr="000B5A02">
              <w:t>May</w:t>
            </w:r>
          </w:p>
        </w:tc>
        <w:tc>
          <w:tcPr>
            <w:tcW w:w="1300" w:type="dxa"/>
            <w:shd w:val="clear" w:color="auto" w:fill="FFFFFF" w:themeFill="background1"/>
            <w:vAlign w:val="center"/>
          </w:tcPr>
          <w:p w14:paraId="42722FA4" w14:textId="77777777" w:rsidR="000B173B" w:rsidRPr="00DE43CE" w:rsidRDefault="000B173B" w:rsidP="00A15226">
            <w:pPr>
              <w:pStyle w:val="Tabletext"/>
              <w:jc w:val="center"/>
            </w:pPr>
            <w:r w:rsidRPr="007C1E6E">
              <w:t>No</w:t>
            </w:r>
          </w:p>
        </w:tc>
      </w:tr>
      <w:tr w:rsidR="000B173B" w14:paraId="386E8FB6" w14:textId="77777777" w:rsidTr="00A15226">
        <w:tc>
          <w:tcPr>
            <w:tcW w:w="3114" w:type="dxa"/>
            <w:shd w:val="clear" w:color="auto" w:fill="FFFFFF" w:themeFill="background1"/>
            <w:vAlign w:val="center"/>
          </w:tcPr>
          <w:p w14:paraId="0D82AE76" w14:textId="77777777" w:rsidR="000B173B" w:rsidRPr="003C348E" w:rsidRDefault="000B173B" w:rsidP="00A15226">
            <w:pPr>
              <w:pStyle w:val="Tabletext"/>
              <w:rPr>
                <w:i/>
                <w:iCs/>
                <w:highlight w:val="yellow"/>
              </w:rPr>
            </w:pPr>
            <w:r w:rsidRPr="003C348E">
              <w:rPr>
                <w:i/>
                <w:iCs/>
              </w:rPr>
              <w:t>Eubalaena australis</w:t>
            </w:r>
          </w:p>
        </w:tc>
        <w:tc>
          <w:tcPr>
            <w:tcW w:w="3118" w:type="dxa"/>
            <w:shd w:val="clear" w:color="auto" w:fill="FFFFFF" w:themeFill="background1"/>
            <w:vAlign w:val="center"/>
          </w:tcPr>
          <w:p w14:paraId="696BACB9" w14:textId="77777777" w:rsidR="000B173B" w:rsidRPr="002C27E1" w:rsidRDefault="000B173B" w:rsidP="00A15226">
            <w:pPr>
              <w:pStyle w:val="Tabletext"/>
              <w:rPr>
                <w:highlight w:val="yellow"/>
              </w:rPr>
            </w:pPr>
            <w:r w:rsidRPr="00393498">
              <w:t>Southern Right Whale</w:t>
            </w:r>
          </w:p>
        </w:tc>
        <w:tc>
          <w:tcPr>
            <w:tcW w:w="2835" w:type="dxa"/>
            <w:shd w:val="clear" w:color="auto" w:fill="FFFFFF" w:themeFill="background1"/>
            <w:vAlign w:val="center"/>
          </w:tcPr>
          <w:p w14:paraId="62CE1676" w14:textId="77777777" w:rsidR="000B173B" w:rsidRPr="002C27E1" w:rsidRDefault="000B173B" w:rsidP="00A15226">
            <w:pPr>
              <w:pStyle w:val="Tabletext"/>
              <w:rPr>
                <w:highlight w:val="yellow"/>
              </w:rPr>
            </w:pPr>
            <w:r w:rsidRPr="00393498">
              <w:t>Endangered, Cetacean, migratory</w:t>
            </w:r>
          </w:p>
        </w:tc>
        <w:tc>
          <w:tcPr>
            <w:tcW w:w="851" w:type="dxa"/>
            <w:shd w:val="clear" w:color="auto" w:fill="FFFFFF" w:themeFill="background1"/>
            <w:vAlign w:val="center"/>
          </w:tcPr>
          <w:p w14:paraId="1740A43B" w14:textId="77777777" w:rsidR="000B173B" w:rsidRPr="002C27E1" w:rsidRDefault="000B173B" w:rsidP="00A15226">
            <w:pPr>
              <w:pStyle w:val="Tabletext"/>
              <w:jc w:val="center"/>
              <w:rPr>
                <w:highlight w:val="yellow"/>
              </w:rPr>
            </w:pPr>
            <w:r w:rsidRPr="001D3813">
              <w:t>Yes</w:t>
            </w:r>
          </w:p>
        </w:tc>
        <w:tc>
          <w:tcPr>
            <w:tcW w:w="850" w:type="dxa"/>
            <w:shd w:val="clear" w:color="auto" w:fill="FFFFFF" w:themeFill="background1"/>
            <w:vAlign w:val="center"/>
          </w:tcPr>
          <w:p w14:paraId="25E92C79" w14:textId="77777777" w:rsidR="000B173B" w:rsidRPr="002C27E1" w:rsidRDefault="000B173B" w:rsidP="00A15226">
            <w:pPr>
              <w:pStyle w:val="Tabletext"/>
              <w:jc w:val="center"/>
              <w:rPr>
                <w:highlight w:val="yellow"/>
              </w:rPr>
            </w:pPr>
            <w:r w:rsidRPr="001D3813">
              <w:t>No</w:t>
            </w:r>
          </w:p>
        </w:tc>
        <w:tc>
          <w:tcPr>
            <w:tcW w:w="1134" w:type="dxa"/>
            <w:shd w:val="clear" w:color="auto" w:fill="FFFFFF" w:themeFill="background1"/>
            <w:vAlign w:val="center"/>
          </w:tcPr>
          <w:p w14:paraId="7D5BEAE8" w14:textId="77777777" w:rsidR="000B173B" w:rsidRPr="002C27E1" w:rsidRDefault="000B173B" w:rsidP="00A15226">
            <w:pPr>
              <w:pStyle w:val="Tabletext"/>
              <w:jc w:val="center"/>
              <w:rPr>
                <w:highlight w:val="yellow"/>
              </w:rPr>
            </w:pPr>
            <w:r w:rsidRPr="001D3813">
              <w:t>Unlikely</w:t>
            </w:r>
          </w:p>
        </w:tc>
        <w:tc>
          <w:tcPr>
            <w:tcW w:w="1134" w:type="dxa"/>
            <w:shd w:val="clear" w:color="auto" w:fill="FFFFFF" w:themeFill="background1"/>
            <w:vAlign w:val="center"/>
          </w:tcPr>
          <w:p w14:paraId="4A4FB506" w14:textId="77777777" w:rsidR="000B173B" w:rsidRPr="002C27E1" w:rsidRDefault="000B173B" w:rsidP="00A15226">
            <w:pPr>
              <w:pStyle w:val="Tabletext"/>
              <w:jc w:val="center"/>
              <w:rPr>
                <w:highlight w:val="yellow"/>
              </w:rPr>
            </w:pPr>
            <w:r w:rsidRPr="001D3813">
              <w:t>Known</w:t>
            </w:r>
          </w:p>
        </w:tc>
        <w:tc>
          <w:tcPr>
            <w:tcW w:w="1300" w:type="dxa"/>
            <w:shd w:val="clear" w:color="auto" w:fill="FFFFFF" w:themeFill="background1"/>
            <w:vAlign w:val="center"/>
          </w:tcPr>
          <w:p w14:paraId="6EE092D9" w14:textId="77777777" w:rsidR="000B173B" w:rsidRPr="001D3813" w:rsidRDefault="000B173B" w:rsidP="00A15226">
            <w:pPr>
              <w:pStyle w:val="Tabletext"/>
              <w:jc w:val="center"/>
            </w:pPr>
            <w:r w:rsidRPr="007C1E6E">
              <w:t>Yes</w:t>
            </w:r>
          </w:p>
        </w:tc>
      </w:tr>
      <w:tr w:rsidR="000B173B" w14:paraId="10E4B45A" w14:textId="77777777" w:rsidTr="00A15226">
        <w:tc>
          <w:tcPr>
            <w:tcW w:w="3114" w:type="dxa"/>
            <w:shd w:val="clear" w:color="auto" w:fill="FFFFFF" w:themeFill="background1"/>
            <w:vAlign w:val="center"/>
          </w:tcPr>
          <w:p w14:paraId="048BFCC8" w14:textId="77777777" w:rsidR="000B173B" w:rsidRPr="003C348E" w:rsidRDefault="000B173B" w:rsidP="00A15226">
            <w:pPr>
              <w:pStyle w:val="Tabletext"/>
              <w:rPr>
                <w:i/>
                <w:iCs/>
                <w:highlight w:val="yellow"/>
              </w:rPr>
            </w:pPr>
            <w:r w:rsidRPr="003C348E">
              <w:rPr>
                <w:i/>
                <w:iCs/>
              </w:rPr>
              <w:t>Isoodon obesulus obesulus</w:t>
            </w:r>
          </w:p>
        </w:tc>
        <w:tc>
          <w:tcPr>
            <w:tcW w:w="3118" w:type="dxa"/>
            <w:shd w:val="clear" w:color="auto" w:fill="FFFFFF" w:themeFill="background1"/>
            <w:vAlign w:val="center"/>
          </w:tcPr>
          <w:p w14:paraId="096D38F6" w14:textId="77777777" w:rsidR="000B173B" w:rsidRPr="002C27E1" w:rsidRDefault="000B173B" w:rsidP="00A15226">
            <w:pPr>
              <w:pStyle w:val="Tabletext"/>
              <w:rPr>
                <w:highlight w:val="yellow"/>
              </w:rPr>
            </w:pPr>
            <w:r w:rsidRPr="00393498">
              <w:t>Southern Brown Bandicoot</w:t>
            </w:r>
          </w:p>
        </w:tc>
        <w:tc>
          <w:tcPr>
            <w:tcW w:w="2835" w:type="dxa"/>
            <w:shd w:val="clear" w:color="auto" w:fill="FFFFFF" w:themeFill="background1"/>
            <w:vAlign w:val="center"/>
          </w:tcPr>
          <w:p w14:paraId="3E2EE09A" w14:textId="77777777" w:rsidR="000B173B" w:rsidRPr="002C27E1" w:rsidRDefault="000B173B" w:rsidP="00A15226">
            <w:pPr>
              <w:pStyle w:val="Tabletext"/>
              <w:rPr>
                <w:highlight w:val="yellow"/>
              </w:rPr>
            </w:pPr>
            <w:r w:rsidRPr="00393498">
              <w:t>Endangered</w:t>
            </w:r>
          </w:p>
        </w:tc>
        <w:tc>
          <w:tcPr>
            <w:tcW w:w="851" w:type="dxa"/>
            <w:shd w:val="clear" w:color="auto" w:fill="FFFFFF" w:themeFill="background1"/>
            <w:vAlign w:val="center"/>
          </w:tcPr>
          <w:p w14:paraId="276B465E" w14:textId="77777777" w:rsidR="000B173B" w:rsidRPr="002C27E1" w:rsidRDefault="000B173B" w:rsidP="00A15226">
            <w:pPr>
              <w:pStyle w:val="Tabletext"/>
              <w:jc w:val="center"/>
              <w:rPr>
                <w:highlight w:val="yellow"/>
              </w:rPr>
            </w:pPr>
            <w:r w:rsidRPr="001D3813">
              <w:t>Yes</w:t>
            </w:r>
          </w:p>
        </w:tc>
        <w:tc>
          <w:tcPr>
            <w:tcW w:w="850" w:type="dxa"/>
            <w:shd w:val="clear" w:color="auto" w:fill="FFFFFF" w:themeFill="background1"/>
            <w:vAlign w:val="center"/>
          </w:tcPr>
          <w:p w14:paraId="5977567E" w14:textId="77777777" w:rsidR="000B173B" w:rsidRPr="002C27E1" w:rsidRDefault="000B173B" w:rsidP="00A15226">
            <w:pPr>
              <w:pStyle w:val="Tabletext"/>
              <w:jc w:val="center"/>
              <w:rPr>
                <w:highlight w:val="yellow"/>
              </w:rPr>
            </w:pPr>
            <w:r w:rsidRPr="001D3813">
              <w:t>No</w:t>
            </w:r>
          </w:p>
        </w:tc>
        <w:tc>
          <w:tcPr>
            <w:tcW w:w="1134" w:type="dxa"/>
            <w:shd w:val="clear" w:color="auto" w:fill="FFFFFF" w:themeFill="background1"/>
            <w:vAlign w:val="center"/>
          </w:tcPr>
          <w:p w14:paraId="523E1184" w14:textId="77777777" w:rsidR="000B173B" w:rsidRPr="002C27E1" w:rsidRDefault="000B173B" w:rsidP="00A15226">
            <w:pPr>
              <w:pStyle w:val="Tabletext"/>
              <w:jc w:val="center"/>
              <w:rPr>
                <w:highlight w:val="yellow"/>
              </w:rPr>
            </w:pPr>
            <w:r w:rsidRPr="001D3813">
              <w:t>Unlikely</w:t>
            </w:r>
          </w:p>
        </w:tc>
        <w:tc>
          <w:tcPr>
            <w:tcW w:w="1134" w:type="dxa"/>
            <w:shd w:val="clear" w:color="auto" w:fill="FFFFFF" w:themeFill="background1"/>
            <w:vAlign w:val="center"/>
          </w:tcPr>
          <w:p w14:paraId="3232C474" w14:textId="77777777" w:rsidR="000B173B" w:rsidRPr="002C27E1" w:rsidRDefault="000B173B" w:rsidP="00A15226">
            <w:pPr>
              <w:pStyle w:val="Tabletext"/>
              <w:jc w:val="center"/>
              <w:rPr>
                <w:highlight w:val="yellow"/>
              </w:rPr>
            </w:pPr>
            <w:r w:rsidRPr="001D3813">
              <w:t>Likely</w:t>
            </w:r>
          </w:p>
        </w:tc>
        <w:tc>
          <w:tcPr>
            <w:tcW w:w="1300" w:type="dxa"/>
            <w:shd w:val="clear" w:color="auto" w:fill="FFFFFF" w:themeFill="background1"/>
            <w:vAlign w:val="center"/>
          </w:tcPr>
          <w:p w14:paraId="60A76543" w14:textId="77777777" w:rsidR="000B173B" w:rsidRPr="001D3813" w:rsidRDefault="000B173B" w:rsidP="00A15226">
            <w:pPr>
              <w:pStyle w:val="Tabletext"/>
              <w:jc w:val="center"/>
            </w:pPr>
            <w:r w:rsidRPr="007C1E6E">
              <w:t>Yes</w:t>
            </w:r>
          </w:p>
        </w:tc>
      </w:tr>
      <w:tr w:rsidR="000B173B" w14:paraId="74F4C1E8" w14:textId="77777777" w:rsidTr="00A15226">
        <w:tc>
          <w:tcPr>
            <w:tcW w:w="3114" w:type="dxa"/>
            <w:shd w:val="clear" w:color="auto" w:fill="FFFFFF" w:themeFill="background1"/>
            <w:vAlign w:val="center"/>
          </w:tcPr>
          <w:p w14:paraId="30E7A196" w14:textId="77777777" w:rsidR="000B173B" w:rsidRPr="003C348E" w:rsidRDefault="000B173B" w:rsidP="00A15226">
            <w:pPr>
              <w:pStyle w:val="Tabletext"/>
              <w:rPr>
                <w:i/>
                <w:iCs/>
                <w:highlight w:val="yellow"/>
              </w:rPr>
            </w:pPr>
            <w:r w:rsidRPr="003C348E">
              <w:rPr>
                <w:i/>
                <w:iCs/>
              </w:rPr>
              <w:t>Megaptera novaeangliae</w:t>
            </w:r>
          </w:p>
        </w:tc>
        <w:tc>
          <w:tcPr>
            <w:tcW w:w="3118" w:type="dxa"/>
            <w:shd w:val="clear" w:color="auto" w:fill="FFFFFF" w:themeFill="background1"/>
            <w:vAlign w:val="center"/>
          </w:tcPr>
          <w:p w14:paraId="412EB682" w14:textId="77777777" w:rsidR="000B173B" w:rsidRPr="002C27E1" w:rsidRDefault="000B173B" w:rsidP="00A15226">
            <w:pPr>
              <w:pStyle w:val="Tabletext"/>
              <w:rPr>
                <w:highlight w:val="yellow"/>
              </w:rPr>
            </w:pPr>
            <w:r w:rsidRPr="00393498">
              <w:t xml:space="preserve">Humpback Whale </w:t>
            </w:r>
          </w:p>
        </w:tc>
        <w:tc>
          <w:tcPr>
            <w:tcW w:w="2835" w:type="dxa"/>
            <w:shd w:val="clear" w:color="auto" w:fill="FFFFFF" w:themeFill="background1"/>
            <w:vAlign w:val="center"/>
          </w:tcPr>
          <w:p w14:paraId="381C69DA" w14:textId="77777777" w:rsidR="000B173B" w:rsidRPr="002C27E1" w:rsidRDefault="000B173B" w:rsidP="00A15226">
            <w:pPr>
              <w:pStyle w:val="Tabletext"/>
              <w:rPr>
                <w:highlight w:val="yellow"/>
              </w:rPr>
            </w:pPr>
            <w:r w:rsidRPr="00393498">
              <w:t>Vulnerable, Cetacean, migratory</w:t>
            </w:r>
          </w:p>
        </w:tc>
        <w:tc>
          <w:tcPr>
            <w:tcW w:w="851" w:type="dxa"/>
            <w:shd w:val="clear" w:color="auto" w:fill="FFFFFF" w:themeFill="background1"/>
            <w:vAlign w:val="center"/>
          </w:tcPr>
          <w:p w14:paraId="351594C1" w14:textId="77777777" w:rsidR="000B173B" w:rsidRPr="002C27E1" w:rsidRDefault="000B173B" w:rsidP="00A15226">
            <w:pPr>
              <w:pStyle w:val="Tabletext"/>
              <w:jc w:val="center"/>
              <w:rPr>
                <w:highlight w:val="yellow"/>
              </w:rPr>
            </w:pPr>
            <w:r w:rsidRPr="001D3813">
              <w:t>Yes</w:t>
            </w:r>
          </w:p>
        </w:tc>
        <w:tc>
          <w:tcPr>
            <w:tcW w:w="850" w:type="dxa"/>
            <w:shd w:val="clear" w:color="auto" w:fill="FFFFFF" w:themeFill="background1"/>
            <w:vAlign w:val="center"/>
          </w:tcPr>
          <w:p w14:paraId="17F891AC" w14:textId="77777777" w:rsidR="000B173B" w:rsidRPr="002C27E1" w:rsidRDefault="000B173B" w:rsidP="00A15226">
            <w:pPr>
              <w:pStyle w:val="Tabletext"/>
              <w:jc w:val="center"/>
              <w:rPr>
                <w:highlight w:val="yellow"/>
              </w:rPr>
            </w:pPr>
            <w:r w:rsidRPr="001D3813">
              <w:t>No</w:t>
            </w:r>
          </w:p>
        </w:tc>
        <w:tc>
          <w:tcPr>
            <w:tcW w:w="1134" w:type="dxa"/>
            <w:shd w:val="clear" w:color="auto" w:fill="FFFFFF" w:themeFill="background1"/>
            <w:vAlign w:val="center"/>
          </w:tcPr>
          <w:p w14:paraId="35F939FE" w14:textId="77777777" w:rsidR="000B173B" w:rsidRPr="002C27E1" w:rsidRDefault="000B173B" w:rsidP="00A15226">
            <w:pPr>
              <w:pStyle w:val="Tabletext"/>
              <w:jc w:val="center"/>
              <w:rPr>
                <w:highlight w:val="yellow"/>
              </w:rPr>
            </w:pPr>
            <w:r w:rsidRPr="001D3813">
              <w:t>Unlikely</w:t>
            </w:r>
          </w:p>
        </w:tc>
        <w:tc>
          <w:tcPr>
            <w:tcW w:w="1134" w:type="dxa"/>
            <w:shd w:val="clear" w:color="auto" w:fill="FFFFFF" w:themeFill="background1"/>
            <w:vAlign w:val="center"/>
          </w:tcPr>
          <w:p w14:paraId="35329C31" w14:textId="77777777" w:rsidR="000B173B" w:rsidRPr="002C27E1" w:rsidRDefault="000B173B" w:rsidP="00A15226">
            <w:pPr>
              <w:pStyle w:val="Tabletext"/>
              <w:jc w:val="center"/>
              <w:rPr>
                <w:highlight w:val="yellow"/>
              </w:rPr>
            </w:pPr>
            <w:r w:rsidRPr="001D3813">
              <w:t>Known</w:t>
            </w:r>
          </w:p>
        </w:tc>
        <w:tc>
          <w:tcPr>
            <w:tcW w:w="1300" w:type="dxa"/>
            <w:shd w:val="clear" w:color="auto" w:fill="FFFFFF" w:themeFill="background1"/>
            <w:vAlign w:val="center"/>
          </w:tcPr>
          <w:p w14:paraId="719ED23F" w14:textId="77777777" w:rsidR="000B173B" w:rsidRPr="001D3813" w:rsidRDefault="000B173B" w:rsidP="00A15226">
            <w:pPr>
              <w:pStyle w:val="Tabletext"/>
              <w:jc w:val="center"/>
            </w:pPr>
            <w:r w:rsidRPr="007C1E6E">
              <w:t>Yes</w:t>
            </w:r>
          </w:p>
        </w:tc>
      </w:tr>
      <w:tr w:rsidR="000B173B" w14:paraId="1B82C374" w14:textId="77777777" w:rsidTr="00A15226">
        <w:tc>
          <w:tcPr>
            <w:tcW w:w="3114" w:type="dxa"/>
            <w:shd w:val="clear" w:color="auto" w:fill="FFFFFF" w:themeFill="background1"/>
            <w:vAlign w:val="center"/>
          </w:tcPr>
          <w:p w14:paraId="6CBFC742" w14:textId="77777777" w:rsidR="000B173B" w:rsidRPr="003C348E" w:rsidRDefault="000B173B" w:rsidP="00A15226">
            <w:pPr>
              <w:pStyle w:val="Tabletext"/>
              <w:rPr>
                <w:i/>
                <w:iCs/>
                <w:highlight w:val="yellow"/>
              </w:rPr>
            </w:pPr>
            <w:r w:rsidRPr="003C348E">
              <w:rPr>
                <w:i/>
                <w:iCs/>
              </w:rPr>
              <w:t>Mirounga leonina</w:t>
            </w:r>
          </w:p>
        </w:tc>
        <w:tc>
          <w:tcPr>
            <w:tcW w:w="3118" w:type="dxa"/>
            <w:shd w:val="clear" w:color="auto" w:fill="FFFFFF" w:themeFill="background1"/>
            <w:vAlign w:val="center"/>
          </w:tcPr>
          <w:p w14:paraId="144C1110" w14:textId="77777777" w:rsidR="000B173B" w:rsidRPr="002C27E1" w:rsidRDefault="000B173B" w:rsidP="00A15226">
            <w:pPr>
              <w:pStyle w:val="Tabletext"/>
              <w:rPr>
                <w:highlight w:val="yellow"/>
              </w:rPr>
            </w:pPr>
            <w:r w:rsidRPr="00393498">
              <w:t>Southern Elephant Seal</w:t>
            </w:r>
          </w:p>
        </w:tc>
        <w:tc>
          <w:tcPr>
            <w:tcW w:w="2835" w:type="dxa"/>
            <w:shd w:val="clear" w:color="auto" w:fill="FFFFFF" w:themeFill="background1"/>
            <w:vAlign w:val="center"/>
          </w:tcPr>
          <w:p w14:paraId="45373D72" w14:textId="77777777" w:rsidR="000B173B" w:rsidRPr="002C27E1" w:rsidRDefault="000B173B" w:rsidP="00A15226">
            <w:pPr>
              <w:pStyle w:val="Tabletext"/>
              <w:rPr>
                <w:highlight w:val="yellow"/>
              </w:rPr>
            </w:pPr>
            <w:r w:rsidRPr="00393498">
              <w:t>Vulnerable</w:t>
            </w:r>
          </w:p>
        </w:tc>
        <w:tc>
          <w:tcPr>
            <w:tcW w:w="851" w:type="dxa"/>
            <w:shd w:val="clear" w:color="auto" w:fill="FFFFFF" w:themeFill="background1"/>
            <w:vAlign w:val="center"/>
          </w:tcPr>
          <w:p w14:paraId="733D25D0" w14:textId="77777777" w:rsidR="000B173B" w:rsidRPr="002C27E1" w:rsidRDefault="000B173B" w:rsidP="00A15226">
            <w:pPr>
              <w:pStyle w:val="Tabletext"/>
              <w:jc w:val="center"/>
              <w:rPr>
                <w:highlight w:val="yellow"/>
              </w:rPr>
            </w:pPr>
            <w:r w:rsidRPr="001D3813">
              <w:t>Yes</w:t>
            </w:r>
          </w:p>
        </w:tc>
        <w:tc>
          <w:tcPr>
            <w:tcW w:w="850" w:type="dxa"/>
            <w:shd w:val="clear" w:color="auto" w:fill="FFFFFF" w:themeFill="background1"/>
            <w:vAlign w:val="center"/>
          </w:tcPr>
          <w:p w14:paraId="0BE08FE1" w14:textId="77777777" w:rsidR="000B173B" w:rsidRPr="002C27E1" w:rsidRDefault="000B173B" w:rsidP="00A15226">
            <w:pPr>
              <w:pStyle w:val="Tabletext"/>
              <w:jc w:val="center"/>
              <w:rPr>
                <w:highlight w:val="yellow"/>
              </w:rPr>
            </w:pPr>
            <w:r w:rsidRPr="001D3813">
              <w:t>No</w:t>
            </w:r>
          </w:p>
        </w:tc>
        <w:tc>
          <w:tcPr>
            <w:tcW w:w="1134" w:type="dxa"/>
            <w:shd w:val="clear" w:color="auto" w:fill="FFFFFF" w:themeFill="background1"/>
            <w:vAlign w:val="center"/>
          </w:tcPr>
          <w:p w14:paraId="40FC7332" w14:textId="77777777" w:rsidR="000B173B" w:rsidRPr="002C27E1" w:rsidRDefault="000B173B" w:rsidP="00A15226">
            <w:pPr>
              <w:pStyle w:val="Tabletext"/>
              <w:jc w:val="center"/>
              <w:rPr>
                <w:highlight w:val="yellow"/>
              </w:rPr>
            </w:pPr>
            <w:r w:rsidRPr="001D3813">
              <w:t>Unlikely</w:t>
            </w:r>
          </w:p>
        </w:tc>
        <w:tc>
          <w:tcPr>
            <w:tcW w:w="1134" w:type="dxa"/>
            <w:shd w:val="clear" w:color="auto" w:fill="FFFFFF" w:themeFill="background1"/>
            <w:vAlign w:val="center"/>
          </w:tcPr>
          <w:p w14:paraId="2FDC1171" w14:textId="77777777" w:rsidR="000B173B" w:rsidRPr="002C27E1" w:rsidRDefault="000B173B" w:rsidP="00A15226">
            <w:pPr>
              <w:pStyle w:val="Tabletext"/>
              <w:jc w:val="center"/>
              <w:rPr>
                <w:highlight w:val="yellow"/>
              </w:rPr>
            </w:pPr>
            <w:r w:rsidRPr="001D3813">
              <w:t>N/A</w:t>
            </w:r>
          </w:p>
        </w:tc>
        <w:tc>
          <w:tcPr>
            <w:tcW w:w="1300" w:type="dxa"/>
            <w:shd w:val="clear" w:color="auto" w:fill="FFFFFF" w:themeFill="background1"/>
            <w:vAlign w:val="center"/>
          </w:tcPr>
          <w:p w14:paraId="2895F272" w14:textId="77777777" w:rsidR="000B173B" w:rsidRPr="001D3813" w:rsidRDefault="000B173B" w:rsidP="00A15226">
            <w:pPr>
              <w:pStyle w:val="Tabletext"/>
              <w:jc w:val="center"/>
            </w:pPr>
            <w:r w:rsidRPr="007C1E6E">
              <w:t>Yes</w:t>
            </w:r>
          </w:p>
        </w:tc>
      </w:tr>
      <w:tr w:rsidR="000B173B" w14:paraId="586C8D97" w14:textId="77777777" w:rsidTr="00A15226">
        <w:tc>
          <w:tcPr>
            <w:tcW w:w="3114" w:type="dxa"/>
            <w:shd w:val="clear" w:color="auto" w:fill="FFFFFF" w:themeFill="background1"/>
            <w:vAlign w:val="center"/>
          </w:tcPr>
          <w:p w14:paraId="0290E9EC" w14:textId="77777777" w:rsidR="000B173B" w:rsidRPr="003C348E" w:rsidRDefault="000B173B" w:rsidP="00A15226">
            <w:pPr>
              <w:pStyle w:val="Tabletext"/>
              <w:rPr>
                <w:i/>
                <w:iCs/>
                <w:highlight w:val="yellow"/>
              </w:rPr>
            </w:pPr>
            <w:r w:rsidRPr="003C348E">
              <w:rPr>
                <w:i/>
                <w:iCs/>
              </w:rPr>
              <w:t>Perameles gunnii</w:t>
            </w:r>
          </w:p>
        </w:tc>
        <w:tc>
          <w:tcPr>
            <w:tcW w:w="3118" w:type="dxa"/>
            <w:shd w:val="clear" w:color="auto" w:fill="FFFFFF" w:themeFill="background1"/>
            <w:vAlign w:val="center"/>
          </w:tcPr>
          <w:p w14:paraId="0C6ABFBB" w14:textId="77777777" w:rsidR="000B173B" w:rsidRPr="002C27E1" w:rsidRDefault="000B173B" w:rsidP="00A15226">
            <w:pPr>
              <w:pStyle w:val="Tabletext"/>
              <w:rPr>
                <w:highlight w:val="yellow"/>
              </w:rPr>
            </w:pPr>
            <w:r w:rsidRPr="006A759A">
              <w:t>Eastern Barred Bandicoot (Tasmania)</w:t>
            </w:r>
          </w:p>
        </w:tc>
        <w:tc>
          <w:tcPr>
            <w:tcW w:w="2835" w:type="dxa"/>
            <w:shd w:val="clear" w:color="auto" w:fill="FFFFFF" w:themeFill="background1"/>
            <w:vAlign w:val="center"/>
          </w:tcPr>
          <w:p w14:paraId="764A16DD" w14:textId="77777777" w:rsidR="000B173B" w:rsidRPr="002C27E1" w:rsidRDefault="000B173B" w:rsidP="00A15226">
            <w:pPr>
              <w:pStyle w:val="Tabletext"/>
              <w:rPr>
                <w:highlight w:val="yellow"/>
              </w:rPr>
            </w:pPr>
            <w:r w:rsidRPr="006A759A">
              <w:t>Vulnerable</w:t>
            </w:r>
          </w:p>
        </w:tc>
        <w:tc>
          <w:tcPr>
            <w:tcW w:w="851" w:type="dxa"/>
            <w:shd w:val="clear" w:color="auto" w:fill="FFFFFF" w:themeFill="background1"/>
            <w:vAlign w:val="center"/>
          </w:tcPr>
          <w:p w14:paraId="135C1A62" w14:textId="77777777" w:rsidR="000B173B" w:rsidRPr="002C27E1" w:rsidRDefault="000B173B" w:rsidP="00A15226">
            <w:pPr>
              <w:pStyle w:val="Tabletext"/>
              <w:jc w:val="center"/>
              <w:rPr>
                <w:highlight w:val="yellow"/>
              </w:rPr>
            </w:pPr>
            <w:r w:rsidRPr="001D3813">
              <w:t>Yes</w:t>
            </w:r>
          </w:p>
        </w:tc>
        <w:tc>
          <w:tcPr>
            <w:tcW w:w="850" w:type="dxa"/>
            <w:shd w:val="clear" w:color="auto" w:fill="FFFFFF" w:themeFill="background1"/>
            <w:vAlign w:val="center"/>
          </w:tcPr>
          <w:p w14:paraId="4F6CE0C4" w14:textId="77777777" w:rsidR="000B173B" w:rsidRPr="002C27E1" w:rsidRDefault="000B173B" w:rsidP="00A15226">
            <w:pPr>
              <w:pStyle w:val="Tabletext"/>
              <w:jc w:val="center"/>
              <w:rPr>
                <w:highlight w:val="yellow"/>
              </w:rPr>
            </w:pPr>
            <w:r w:rsidRPr="001D3813">
              <w:t>No</w:t>
            </w:r>
          </w:p>
        </w:tc>
        <w:tc>
          <w:tcPr>
            <w:tcW w:w="1134" w:type="dxa"/>
            <w:shd w:val="clear" w:color="auto" w:fill="FFFFFF" w:themeFill="background1"/>
            <w:vAlign w:val="center"/>
          </w:tcPr>
          <w:p w14:paraId="1EF79DC4" w14:textId="77777777" w:rsidR="000B173B" w:rsidRPr="002C27E1" w:rsidRDefault="000B173B" w:rsidP="00A15226">
            <w:pPr>
              <w:pStyle w:val="Tabletext"/>
              <w:jc w:val="center"/>
              <w:rPr>
                <w:highlight w:val="yellow"/>
              </w:rPr>
            </w:pPr>
            <w:r w:rsidRPr="001D3813">
              <w:t>Unlikely</w:t>
            </w:r>
          </w:p>
        </w:tc>
        <w:tc>
          <w:tcPr>
            <w:tcW w:w="1134" w:type="dxa"/>
            <w:shd w:val="clear" w:color="auto" w:fill="FFFFFF" w:themeFill="background1"/>
            <w:vAlign w:val="center"/>
          </w:tcPr>
          <w:p w14:paraId="1C6C2486" w14:textId="77777777" w:rsidR="000B173B" w:rsidRPr="002C27E1" w:rsidRDefault="000B173B" w:rsidP="00A15226">
            <w:pPr>
              <w:pStyle w:val="Tabletext"/>
              <w:jc w:val="center"/>
              <w:rPr>
                <w:highlight w:val="yellow"/>
              </w:rPr>
            </w:pPr>
            <w:r w:rsidRPr="001D3813">
              <w:t>Known</w:t>
            </w:r>
          </w:p>
        </w:tc>
        <w:tc>
          <w:tcPr>
            <w:tcW w:w="1300" w:type="dxa"/>
            <w:shd w:val="clear" w:color="auto" w:fill="FFFFFF" w:themeFill="background1"/>
            <w:vAlign w:val="center"/>
          </w:tcPr>
          <w:p w14:paraId="7BC1E49E" w14:textId="77777777" w:rsidR="000B173B" w:rsidRPr="001D3813" w:rsidRDefault="000B173B" w:rsidP="00A15226">
            <w:pPr>
              <w:pStyle w:val="Tabletext"/>
              <w:jc w:val="center"/>
            </w:pPr>
            <w:r w:rsidRPr="007C1E6E">
              <w:t>Yes</w:t>
            </w:r>
          </w:p>
        </w:tc>
      </w:tr>
      <w:tr w:rsidR="000B173B" w14:paraId="214E01B8" w14:textId="77777777" w:rsidTr="00A15226">
        <w:tc>
          <w:tcPr>
            <w:tcW w:w="3114" w:type="dxa"/>
            <w:shd w:val="clear" w:color="auto" w:fill="FFFFFF" w:themeFill="background1"/>
            <w:vAlign w:val="center"/>
          </w:tcPr>
          <w:p w14:paraId="5780AE00" w14:textId="77777777" w:rsidR="000B173B" w:rsidRPr="003C348E" w:rsidRDefault="000B173B" w:rsidP="00A15226">
            <w:pPr>
              <w:pStyle w:val="Tabletext"/>
              <w:rPr>
                <w:i/>
                <w:iCs/>
              </w:rPr>
            </w:pPr>
            <w:r w:rsidRPr="003C348E">
              <w:rPr>
                <w:i/>
                <w:iCs/>
              </w:rPr>
              <w:t>Petauroides volans</w:t>
            </w:r>
          </w:p>
        </w:tc>
        <w:tc>
          <w:tcPr>
            <w:tcW w:w="3118" w:type="dxa"/>
            <w:shd w:val="clear" w:color="auto" w:fill="FFFFFF" w:themeFill="background1"/>
            <w:vAlign w:val="center"/>
          </w:tcPr>
          <w:p w14:paraId="7EA00F29" w14:textId="77777777" w:rsidR="000B173B" w:rsidRPr="006A759A" w:rsidRDefault="000B173B" w:rsidP="00A15226">
            <w:pPr>
              <w:pStyle w:val="Tabletext"/>
            </w:pPr>
            <w:r w:rsidRPr="0016183A">
              <w:t>Greater Glider</w:t>
            </w:r>
          </w:p>
        </w:tc>
        <w:tc>
          <w:tcPr>
            <w:tcW w:w="2835" w:type="dxa"/>
            <w:shd w:val="clear" w:color="auto" w:fill="FFFFFF" w:themeFill="background1"/>
            <w:vAlign w:val="center"/>
          </w:tcPr>
          <w:p w14:paraId="5D729DF1" w14:textId="77777777" w:rsidR="000B173B" w:rsidRPr="006A759A" w:rsidRDefault="000B173B" w:rsidP="00A15226">
            <w:pPr>
              <w:pStyle w:val="Tabletext"/>
            </w:pPr>
            <w:r>
              <w:t>Endangered</w:t>
            </w:r>
          </w:p>
        </w:tc>
        <w:tc>
          <w:tcPr>
            <w:tcW w:w="851" w:type="dxa"/>
            <w:shd w:val="clear" w:color="auto" w:fill="FFFFFF" w:themeFill="background1"/>
            <w:vAlign w:val="center"/>
          </w:tcPr>
          <w:p w14:paraId="1121FEBF" w14:textId="77777777" w:rsidR="000B173B" w:rsidRPr="001D3813" w:rsidRDefault="000B173B" w:rsidP="00A15226">
            <w:pPr>
              <w:pStyle w:val="Tabletext"/>
              <w:jc w:val="center"/>
            </w:pPr>
            <w:r w:rsidRPr="0016183A">
              <w:t>No</w:t>
            </w:r>
          </w:p>
        </w:tc>
        <w:tc>
          <w:tcPr>
            <w:tcW w:w="850" w:type="dxa"/>
            <w:shd w:val="clear" w:color="auto" w:fill="FFFFFF" w:themeFill="background1"/>
            <w:vAlign w:val="center"/>
          </w:tcPr>
          <w:p w14:paraId="603690D8" w14:textId="77777777" w:rsidR="000B173B" w:rsidRPr="001D3813" w:rsidRDefault="000B173B" w:rsidP="00A15226">
            <w:pPr>
              <w:pStyle w:val="Tabletext"/>
              <w:jc w:val="center"/>
            </w:pPr>
            <w:r w:rsidRPr="0016183A">
              <w:t>No</w:t>
            </w:r>
          </w:p>
        </w:tc>
        <w:tc>
          <w:tcPr>
            <w:tcW w:w="1134" w:type="dxa"/>
            <w:shd w:val="clear" w:color="auto" w:fill="FFFFFF" w:themeFill="background1"/>
            <w:vAlign w:val="center"/>
          </w:tcPr>
          <w:p w14:paraId="285F95CC" w14:textId="77777777" w:rsidR="000B173B" w:rsidRPr="001D3813" w:rsidRDefault="000B173B" w:rsidP="00A15226">
            <w:pPr>
              <w:pStyle w:val="Tabletext"/>
              <w:jc w:val="center"/>
            </w:pPr>
            <w:r w:rsidRPr="0016183A">
              <w:t>N/A</w:t>
            </w:r>
          </w:p>
        </w:tc>
        <w:tc>
          <w:tcPr>
            <w:tcW w:w="1134" w:type="dxa"/>
            <w:shd w:val="clear" w:color="auto" w:fill="FFFFFF" w:themeFill="background1"/>
            <w:vAlign w:val="center"/>
          </w:tcPr>
          <w:p w14:paraId="76027917" w14:textId="77777777" w:rsidR="000B173B" w:rsidRPr="001D3813" w:rsidRDefault="000B173B" w:rsidP="00A15226">
            <w:pPr>
              <w:pStyle w:val="Tabletext"/>
              <w:jc w:val="center"/>
            </w:pPr>
            <w:r w:rsidRPr="0016183A">
              <w:t>May</w:t>
            </w:r>
          </w:p>
        </w:tc>
        <w:tc>
          <w:tcPr>
            <w:tcW w:w="1300" w:type="dxa"/>
            <w:shd w:val="clear" w:color="auto" w:fill="FFFFFF" w:themeFill="background1"/>
            <w:vAlign w:val="center"/>
          </w:tcPr>
          <w:p w14:paraId="57EC5A38" w14:textId="77777777" w:rsidR="000B173B" w:rsidRPr="001D3813" w:rsidRDefault="000B173B" w:rsidP="00A15226">
            <w:pPr>
              <w:pStyle w:val="Tabletext"/>
              <w:jc w:val="center"/>
            </w:pPr>
            <w:r w:rsidRPr="007C1E6E">
              <w:t>No</w:t>
            </w:r>
          </w:p>
        </w:tc>
      </w:tr>
      <w:tr w:rsidR="000B173B" w14:paraId="6AF66ADE" w14:textId="77777777" w:rsidTr="00A15226">
        <w:tc>
          <w:tcPr>
            <w:tcW w:w="3114" w:type="dxa"/>
            <w:shd w:val="clear" w:color="auto" w:fill="FFFFFF" w:themeFill="background1"/>
            <w:vAlign w:val="center"/>
          </w:tcPr>
          <w:p w14:paraId="48A4AE7C" w14:textId="77777777" w:rsidR="000B173B" w:rsidRPr="001640C4" w:rsidRDefault="000B173B" w:rsidP="00A15226">
            <w:pPr>
              <w:pStyle w:val="Tabletext"/>
              <w:rPr>
                <w:i/>
                <w:iCs/>
              </w:rPr>
            </w:pPr>
            <w:r w:rsidRPr="002A4173">
              <w:rPr>
                <w:i/>
                <w:iCs/>
              </w:rPr>
              <w:t>Petaurus australis australis</w:t>
            </w:r>
          </w:p>
        </w:tc>
        <w:tc>
          <w:tcPr>
            <w:tcW w:w="3118" w:type="dxa"/>
            <w:shd w:val="clear" w:color="auto" w:fill="FFFFFF" w:themeFill="background1"/>
            <w:vAlign w:val="center"/>
          </w:tcPr>
          <w:p w14:paraId="70C69F30" w14:textId="77777777" w:rsidR="000B173B" w:rsidRPr="0016183A" w:rsidRDefault="000B173B" w:rsidP="00A15226">
            <w:pPr>
              <w:pStyle w:val="Tabletext"/>
            </w:pPr>
            <w:r w:rsidRPr="008557D4">
              <w:t>Yellow-bellied glider</w:t>
            </w:r>
          </w:p>
        </w:tc>
        <w:tc>
          <w:tcPr>
            <w:tcW w:w="2835" w:type="dxa"/>
            <w:shd w:val="clear" w:color="auto" w:fill="FFFFFF" w:themeFill="background1"/>
            <w:vAlign w:val="center"/>
          </w:tcPr>
          <w:p w14:paraId="0ED5F3F8" w14:textId="77777777" w:rsidR="000B173B" w:rsidRPr="0016183A" w:rsidRDefault="000B173B" w:rsidP="00A15226">
            <w:pPr>
              <w:pStyle w:val="Tabletext"/>
            </w:pPr>
            <w:r>
              <w:t>Vulnerable</w:t>
            </w:r>
          </w:p>
        </w:tc>
        <w:tc>
          <w:tcPr>
            <w:tcW w:w="851" w:type="dxa"/>
            <w:shd w:val="clear" w:color="auto" w:fill="FFFFFF" w:themeFill="background1"/>
            <w:vAlign w:val="center"/>
          </w:tcPr>
          <w:p w14:paraId="40FD2A6A" w14:textId="77777777" w:rsidR="000B173B" w:rsidRPr="0016183A" w:rsidRDefault="000B173B" w:rsidP="00A15226">
            <w:pPr>
              <w:pStyle w:val="Tabletext"/>
              <w:jc w:val="center"/>
            </w:pPr>
            <w:r>
              <w:t>No</w:t>
            </w:r>
          </w:p>
        </w:tc>
        <w:tc>
          <w:tcPr>
            <w:tcW w:w="850" w:type="dxa"/>
            <w:shd w:val="clear" w:color="auto" w:fill="FFFFFF" w:themeFill="background1"/>
            <w:vAlign w:val="center"/>
          </w:tcPr>
          <w:p w14:paraId="4B50FCA0" w14:textId="77777777" w:rsidR="000B173B" w:rsidRPr="0016183A" w:rsidRDefault="000B173B" w:rsidP="00A15226">
            <w:pPr>
              <w:pStyle w:val="Tabletext"/>
              <w:jc w:val="center"/>
            </w:pPr>
            <w:r>
              <w:t>No</w:t>
            </w:r>
          </w:p>
        </w:tc>
        <w:tc>
          <w:tcPr>
            <w:tcW w:w="1134" w:type="dxa"/>
            <w:shd w:val="clear" w:color="auto" w:fill="FFFFFF" w:themeFill="background1"/>
            <w:vAlign w:val="center"/>
          </w:tcPr>
          <w:p w14:paraId="7CF850FA" w14:textId="77777777" w:rsidR="000B173B" w:rsidRPr="0016183A" w:rsidRDefault="000B173B" w:rsidP="00A15226">
            <w:pPr>
              <w:pStyle w:val="Tabletext"/>
              <w:jc w:val="center"/>
            </w:pPr>
            <w:r>
              <w:t>N/A</w:t>
            </w:r>
          </w:p>
        </w:tc>
        <w:tc>
          <w:tcPr>
            <w:tcW w:w="1134" w:type="dxa"/>
            <w:shd w:val="clear" w:color="auto" w:fill="FFFFFF" w:themeFill="background1"/>
            <w:vAlign w:val="center"/>
          </w:tcPr>
          <w:p w14:paraId="5D477244" w14:textId="77777777" w:rsidR="000B173B" w:rsidRPr="0016183A" w:rsidRDefault="000B173B" w:rsidP="00A15226">
            <w:pPr>
              <w:pStyle w:val="Tabletext"/>
              <w:jc w:val="center"/>
            </w:pPr>
            <w:r>
              <w:t>Likely</w:t>
            </w:r>
          </w:p>
        </w:tc>
        <w:tc>
          <w:tcPr>
            <w:tcW w:w="1300" w:type="dxa"/>
            <w:shd w:val="clear" w:color="auto" w:fill="FFFFFF" w:themeFill="background1"/>
            <w:vAlign w:val="center"/>
          </w:tcPr>
          <w:p w14:paraId="18F786AD" w14:textId="77777777" w:rsidR="000B173B" w:rsidRPr="007C1E6E" w:rsidRDefault="000B173B" w:rsidP="00A15226">
            <w:pPr>
              <w:pStyle w:val="Tabletext"/>
              <w:jc w:val="center"/>
            </w:pPr>
            <w:r>
              <w:t>Yes</w:t>
            </w:r>
          </w:p>
        </w:tc>
      </w:tr>
      <w:tr w:rsidR="000B173B" w14:paraId="66E3D941" w14:textId="77777777" w:rsidTr="00A15226">
        <w:tc>
          <w:tcPr>
            <w:tcW w:w="3114" w:type="dxa"/>
            <w:shd w:val="clear" w:color="auto" w:fill="FFFFFF" w:themeFill="background1"/>
            <w:vAlign w:val="center"/>
          </w:tcPr>
          <w:p w14:paraId="0A6EC68E" w14:textId="77777777" w:rsidR="000B173B" w:rsidRPr="003C348E" w:rsidRDefault="000B173B" w:rsidP="00A15226">
            <w:pPr>
              <w:pStyle w:val="Tabletext"/>
              <w:rPr>
                <w:i/>
                <w:iCs/>
              </w:rPr>
            </w:pPr>
            <w:r w:rsidRPr="003C348E">
              <w:rPr>
                <w:i/>
                <w:iCs/>
              </w:rPr>
              <w:t>Potorous tridactylus tridactylus</w:t>
            </w:r>
          </w:p>
        </w:tc>
        <w:tc>
          <w:tcPr>
            <w:tcW w:w="3118" w:type="dxa"/>
            <w:shd w:val="clear" w:color="auto" w:fill="FFFFFF" w:themeFill="background1"/>
            <w:vAlign w:val="center"/>
          </w:tcPr>
          <w:p w14:paraId="56C3EB75" w14:textId="77777777" w:rsidR="000B173B" w:rsidRPr="006A759A" w:rsidRDefault="000B173B" w:rsidP="00A15226">
            <w:pPr>
              <w:pStyle w:val="Tabletext"/>
            </w:pPr>
            <w:r w:rsidRPr="0016183A">
              <w:t>Long-nosed Potoroo (SE Mainland)</w:t>
            </w:r>
          </w:p>
        </w:tc>
        <w:tc>
          <w:tcPr>
            <w:tcW w:w="2835" w:type="dxa"/>
            <w:shd w:val="clear" w:color="auto" w:fill="FFFFFF" w:themeFill="background1"/>
            <w:vAlign w:val="center"/>
          </w:tcPr>
          <w:p w14:paraId="352CD859" w14:textId="77777777" w:rsidR="000B173B" w:rsidRPr="006A759A" w:rsidRDefault="000B173B" w:rsidP="00A15226">
            <w:pPr>
              <w:pStyle w:val="Tabletext"/>
            </w:pPr>
            <w:r w:rsidRPr="0016183A">
              <w:t xml:space="preserve">Vulnerable </w:t>
            </w:r>
          </w:p>
        </w:tc>
        <w:tc>
          <w:tcPr>
            <w:tcW w:w="851" w:type="dxa"/>
            <w:shd w:val="clear" w:color="auto" w:fill="FFFFFF" w:themeFill="background1"/>
            <w:vAlign w:val="center"/>
          </w:tcPr>
          <w:p w14:paraId="147496F1" w14:textId="77777777" w:rsidR="000B173B" w:rsidRPr="001D3813" w:rsidRDefault="000B173B" w:rsidP="00A15226">
            <w:pPr>
              <w:pStyle w:val="Tabletext"/>
              <w:jc w:val="center"/>
            </w:pPr>
            <w:r w:rsidRPr="0016183A">
              <w:t>No</w:t>
            </w:r>
          </w:p>
        </w:tc>
        <w:tc>
          <w:tcPr>
            <w:tcW w:w="850" w:type="dxa"/>
            <w:shd w:val="clear" w:color="auto" w:fill="FFFFFF" w:themeFill="background1"/>
            <w:vAlign w:val="center"/>
          </w:tcPr>
          <w:p w14:paraId="57CF4F66" w14:textId="77777777" w:rsidR="000B173B" w:rsidRPr="001D3813" w:rsidRDefault="000B173B" w:rsidP="00A15226">
            <w:pPr>
              <w:pStyle w:val="Tabletext"/>
              <w:jc w:val="center"/>
            </w:pPr>
            <w:r w:rsidRPr="0016183A">
              <w:t>No</w:t>
            </w:r>
          </w:p>
        </w:tc>
        <w:tc>
          <w:tcPr>
            <w:tcW w:w="1134" w:type="dxa"/>
            <w:shd w:val="clear" w:color="auto" w:fill="FFFFFF" w:themeFill="background1"/>
            <w:vAlign w:val="center"/>
          </w:tcPr>
          <w:p w14:paraId="4725F091" w14:textId="77777777" w:rsidR="000B173B" w:rsidRPr="001D3813" w:rsidRDefault="000B173B" w:rsidP="00A15226">
            <w:pPr>
              <w:pStyle w:val="Tabletext"/>
              <w:jc w:val="center"/>
            </w:pPr>
            <w:r w:rsidRPr="0016183A">
              <w:t>N/A</w:t>
            </w:r>
          </w:p>
        </w:tc>
        <w:tc>
          <w:tcPr>
            <w:tcW w:w="1134" w:type="dxa"/>
            <w:shd w:val="clear" w:color="auto" w:fill="FFFFFF" w:themeFill="background1"/>
            <w:vAlign w:val="center"/>
          </w:tcPr>
          <w:p w14:paraId="158AD5D3" w14:textId="77777777" w:rsidR="000B173B" w:rsidRPr="001D3813" w:rsidRDefault="000B173B" w:rsidP="00A15226">
            <w:pPr>
              <w:pStyle w:val="Tabletext"/>
              <w:jc w:val="center"/>
            </w:pPr>
            <w:r w:rsidRPr="0016183A">
              <w:t>May</w:t>
            </w:r>
          </w:p>
        </w:tc>
        <w:tc>
          <w:tcPr>
            <w:tcW w:w="1300" w:type="dxa"/>
            <w:shd w:val="clear" w:color="auto" w:fill="FFFFFF" w:themeFill="background1"/>
            <w:vAlign w:val="center"/>
          </w:tcPr>
          <w:p w14:paraId="0A39CFC1" w14:textId="77777777" w:rsidR="000B173B" w:rsidRPr="001D3813" w:rsidRDefault="000B173B" w:rsidP="00A15226">
            <w:pPr>
              <w:pStyle w:val="Tabletext"/>
              <w:jc w:val="center"/>
            </w:pPr>
            <w:r w:rsidRPr="007C1E6E">
              <w:t>No</w:t>
            </w:r>
          </w:p>
        </w:tc>
      </w:tr>
      <w:tr w:rsidR="000B173B" w14:paraId="448CE6B8" w14:textId="77777777" w:rsidTr="00A15226">
        <w:tc>
          <w:tcPr>
            <w:tcW w:w="3114" w:type="dxa"/>
            <w:shd w:val="clear" w:color="auto" w:fill="FFFFFF" w:themeFill="background1"/>
            <w:vAlign w:val="center"/>
          </w:tcPr>
          <w:p w14:paraId="4E129104" w14:textId="77777777" w:rsidR="000B173B" w:rsidRPr="003C348E" w:rsidRDefault="000B173B" w:rsidP="00A15226">
            <w:pPr>
              <w:pStyle w:val="Tabletext"/>
              <w:rPr>
                <w:i/>
                <w:iCs/>
              </w:rPr>
            </w:pPr>
            <w:r w:rsidRPr="003C348E">
              <w:rPr>
                <w:i/>
                <w:iCs/>
              </w:rPr>
              <w:t>Pseudomys novaehollandiae</w:t>
            </w:r>
          </w:p>
        </w:tc>
        <w:tc>
          <w:tcPr>
            <w:tcW w:w="3118" w:type="dxa"/>
            <w:shd w:val="clear" w:color="auto" w:fill="FFFFFF" w:themeFill="background1"/>
            <w:vAlign w:val="center"/>
          </w:tcPr>
          <w:p w14:paraId="395230B4" w14:textId="77777777" w:rsidR="000B173B" w:rsidRPr="006A759A" w:rsidRDefault="000B173B" w:rsidP="00A15226">
            <w:pPr>
              <w:pStyle w:val="Tabletext"/>
            </w:pPr>
            <w:r w:rsidRPr="0016183A">
              <w:t>New Holland Mouse</w:t>
            </w:r>
          </w:p>
        </w:tc>
        <w:tc>
          <w:tcPr>
            <w:tcW w:w="2835" w:type="dxa"/>
            <w:shd w:val="clear" w:color="auto" w:fill="FFFFFF" w:themeFill="background1"/>
            <w:vAlign w:val="center"/>
          </w:tcPr>
          <w:p w14:paraId="21233299" w14:textId="77777777" w:rsidR="000B173B" w:rsidRPr="006A759A" w:rsidRDefault="000B173B" w:rsidP="00A15226">
            <w:pPr>
              <w:pStyle w:val="Tabletext"/>
            </w:pPr>
            <w:r w:rsidRPr="0016183A">
              <w:t xml:space="preserve">Vulnerable </w:t>
            </w:r>
          </w:p>
        </w:tc>
        <w:tc>
          <w:tcPr>
            <w:tcW w:w="851" w:type="dxa"/>
            <w:shd w:val="clear" w:color="auto" w:fill="FFFFFF" w:themeFill="background1"/>
            <w:vAlign w:val="center"/>
          </w:tcPr>
          <w:p w14:paraId="5E58DCD0" w14:textId="77777777" w:rsidR="000B173B" w:rsidRPr="001D3813" w:rsidRDefault="000B173B" w:rsidP="00A15226">
            <w:pPr>
              <w:pStyle w:val="Tabletext"/>
              <w:jc w:val="center"/>
            </w:pPr>
            <w:r w:rsidRPr="0016183A">
              <w:t>No</w:t>
            </w:r>
          </w:p>
        </w:tc>
        <w:tc>
          <w:tcPr>
            <w:tcW w:w="850" w:type="dxa"/>
            <w:shd w:val="clear" w:color="auto" w:fill="FFFFFF" w:themeFill="background1"/>
            <w:vAlign w:val="center"/>
          </w:tcPr>
          <w:p w14:paraId="121C1179" w14:textId="77777777" w:rsidR="000B173B" w:rsidRPr="001D3813" w:rsidRDefault="000B173B" w:rsidP="00A15226">
            <w:pPr>
              <w:pStyle w:val="Tabletext"/>
              <w:jc w:val="center"/>
            </w:pPr>
            <w:r w:rsidRPr="0016183A">
              <w:t>No</w:t>
            </w:r>
          </w:p>
        </w:tc>
        <w:tc>
          <w:tcPr>
            <w:tcW w:w="1134" w:type="dxa"/>
            <w:shd w:val="clear" w:color="auto" w:fill="FFFFFF" w:themeFill="background1"/>
            <w:vAlign w:val="center"/>
          </w:tcPr>
          <w:p w14:paraId="59D716BD" w14:textId="77777777" w:rsidR="000B173B" w:rsidRPr="001D3813" w:rsidRDefault="000B173B" w:rsidP="00A15226">
            <w:pPr>
              <w:pStyle w:val="Tabletext"/>
              <w:jc w:val="center"/>
            </w:pPr>
            <w:r w:rsidRPr="0016183A">
              <w:t>N/A</w:t>
            </w:r>
          </w:p>
        </w:tc>
        <w:tc>
          <w:tcPr>
            <w:tcW w:w="1134" w:type="dxa"/>
            <w:shd w:val="clear" w:color="auto" w:fill="FFFFFF" w:themeFill="background1"/>
            <w:vAlign w:val="center"/>
          </w:tcPr>
          <w:p w14:paraId="2B902AF3" w14:textId="77777777" w:rsidR="000B173B" w:rsidRPr="001D3813" w:rsidRDefault="000B173B" w:rsidP="00A15226">
            <w:pPr>
              <w:pStyle w:val="Tabletext"/>
              <w:jc w:val="center"/>
            </w:pPr>
            <w:r w:rsidRPr="0016183A">
              <w:t>May</w:t>
            </w:r>
          </w:p>
        </w:tc>
        <w:tc>
          <w:tcPr>
            <w:tcW w:w="1300" w:type="dxa"/>
            <w:shd w:val="clear" w:color="auto" w:fill="FFFFFF" w:themeFill="background1"/>
            <w:vAlign w:val="center"/>
          </w:tcPr>
          <w:p w14:paraId="54CC8165" w14:textId="77777777" w:rsidR="000B173B" w:rsidRPr="001D3813" w:rsidRDefault="000B173B" w:rsidP="00A15226">
            <w:pPr>
              <w:pStyle w:val="Tabletext"/>
              <w:jc w:val="center"/>
            </w:pPr>
            <w:r w:rsidRPr="007C1E6E">
              <w:t>No</w:t>
            </w:r>
          </w:p>
        </w:tc>
      </w:tr>
      <w:tr w:rsidR="000B173B" w14:paraId="31169FE9" w14:textId="77777777" w:rsidTr="00A15226">
        <w:tc>
          <w:tcPr>
            <w:tcW w:w="3114" w:type="dxa"/>
            <w:tcBorders>
              <w:bottom w:val="single" w:sz="4" w:space="0" w:color="auto"/>
            </w:tcBorders>
            <w:shd w:val="clear" w:color="auto" w:fill="FFFFFF" w:themeFill="background1"/>
            <w:vAlign w:val="center"/>
          </w:tcPr>
          <w:p w14:paraId="6C7BF150" w14:textId="77777777" w:rsidR="000B173B" w:rsidRPr="003C348E" w:rsidRDefault="000B173B" w:rsidP="00A15226">
            <w:pPr>
              <w:pStyle w:val="Tabletext"/>
              <w:rPr>
                <w:i/>
                <w:iCs/>
                <w:highlight w:val="yellow"/>
              </w:rPr>
            </w:pPr>
            <w:r w:rsidRPr="003C348E">
              <w:rPr>
                <w:i/>
                <w:iCs/>
              </w:rPr>
              <w:t>Pteropus poliocephalus</w:t>
            </w:r>
          </w:p>
        </w:tc>
        <w:tc>
          <w:tcPr>
            <w:tcW w:w="3118" w:type="dxa"/>
            <w:tcBorders>
              <w:bottom w:val="single" w:sz="4" w:space="0" w:color="auto"/>
            </w:tcBorders>
            <w:shd w:val="clear" w:color="auto" w:fill="FFFFFF" w:themeFill="background1"/>
            <w:vAlign w:val="center"/>
          </w:tcPr>
          <w:p w14:paraId="69E58D69" w14:textId="77777777" w:rsidR="000B173B" w:rsidRPr="002C27E1" w:rsidRDefault="000B173B" w:rsidP="00A15226">
            <w:pPr>
              <w:pStyle w:val="Tabletext"/>
              <w:rPr>
                <w:highlight w:val="yellow"/>
              </w:rPr>
            </w:pPr>
            <w:r w:rsidRPr="006A759A">
              <w:t>Grey-headed Flying-fox</w:t>
            </w:r>
          </w:p>
        </w:tc>
        <w:tc>
          <w:tcPr>
            <w:tcW w:w="2835" w:type="dxa"/>
            <w:tcBorders>
              <w:bottom w:val="single" w:sz="4" w:space="0" w:color="auto"/>
            </w:tcBorders>
            <w:shd w:val="clear" w:color="auto" w:fill="FFFFFF" w:themeFill="background1"/>
            <w:vAlign w:val="center"/>
          </w:tcPr>
          <w:p w14:paraId="266EDF05" w14:textId="77777777" w:rsidR="000B173B" w:rsidRPr="002C27E1" w:rsidRDefault="000B173B" w:rsidP="00A15226">
            <w:pPr>
              <w:pStyle w:val="Tabletext"/>
              <w:rPr>
                <w:highlight w:val="yellow"/>
              </w:rPr>
            </w:pPr>
            <w:r w:rsidRPr="006A759A">
              <w:t>Vulnerable</w:t>
            </w:r>
          </w:p>
        </w:tc>
        <w:tc>
          <w:tcPr>
            <w:tcW w:w="851" w:type="dxa"/>
            <w:tcBorders>
              <w:bottom w:val="single" w:sz="4" w:space="0" w:color="auto"/>
            </w:tcBorders>
            <w:shd w:val="clear" w:color="auto" w:fill="FFFFFF" w:themeFill="background1"/>
            <w:vAlign w:val="center"/>
          </w:tcPr>
          <w:p w14:paraId="066E8F8C" w14:textId="77777777" w:rsidR="000B173B" w:rsidRPr="002C27E1" w:rsidRDefault="000B173B" w:rsidP="00A15226">
            <w:pPr>
              <w:pStyle w:val="Tabletext"/>
              <w:jc w:val="center"/>
              <w:rPr>
                <w:highlight w:val="yellow"/>
              </w:rPr>
            </w:pPr>
            <w:r w:rsidRPr="001D3813">
              <w:t>Yes</w:t>
            </w:r>
          </w:p>
        </w:tc>
        <w:tc>
          <w:tcPr>
            <w:tcW w:w="850" w:type="dxa"/>
            <w:tcBorders>
              <w:bottom w:val="single" w:sz="4" w:space="0" w:color="auto"/>
            </w:tcBorders>
            <w:shd w:val="clear" w:color="auto" w:fill="FFFFFF" w:themeFill="background1"/>
            <w:vAlign w:val="center"/>
          </w:tcPr>
          <w:p w14:paraId="5A85A155" w14:textId="77777777" w:rsidR="000B173B" w:rsidRPr="002C27E1" w:rsidRDefault="000B173B" w:rsidP="00A15226">
            <w:pPr>
              <w:pStyle w:val="Tabletext"/>
              <w:jc w:val="center"/>
              <w:rPr>
                <w:highlight w:val="yellow"/>
              </w:rPr>
            </w:pPr>
            <w:r w:rsidRPr="001D3813">
              <w:t>No</w:t>
            </w:r>
          </w:p>
        </w:tc>
        <w:tc>
          <w:tcPr>
            <w:tcW w:w="1134" w:type="dxa"/>
            <w:tcBorders>
              <w:bottom w:val="single" w:sz="4" w:space="0" w:color="auto"/>
            </w:tcBorders>
            <w:shd w:val="clear" w:color="auto" w:fill="FFFFFF" w:themeFill="background1"/>
            <w:vAlign w:val="center"/>
          </w:tcPr>
          <w:p w14:paraId="538B31EA" w14:textId="77777777" w:rsidR="000B173B" w:rsidRPr="002C27E1" w:rsidRDefault="000B173B" w:rsidP="00A15226">
            <w:pPr>
              <w:pStyle w:val="Tabletext"/>
              <w:jc w:val="center"/>
              <w:rPr>
                <w:highlight w:val="yellow"/>
              </w:rPr>
            </w:pPr>
            <w:r w:rsidRPr="001D3813">
              <w:t>Low</w:t>
            </w:r>
          </w:p>
        </w:tc>
        <w:tc>
          <w:tcPr>
            <w:tcW w:w="1134" w:type="dxa"/>
            <w:tcBorders>
              <w:bottom w:val="single" w:sz="4" w:space="0" w:color="auto"/>
            </w:tcBorders>
            <w:shd w:val="clear" w:color="auto" w:fill="FFFFFF" w:themeFill="background1"/>
            <w:vAlign w:val="center"/>
          </w:tcPr>
          <w:p w14:paraId="1E06B766" w14:textId="77777777" w:rsidR="000B173B" w:rsidRPr="002C27E1" w:rsidRDefault="000B173B" w:rsidP="00A15226">
            <w:pPr>
              <w:pStyle w:val="Tabletext"/>
              <w:jc w:val="center"/>
              <w:rPr>
                <w:highlight w:val="yellow"/>
              </w:rPr>
            </w:pPr>
            <w:r w:rsidRPr="001D3813">
              <w:t>Known</w:t>
            </w:r>
          </w:p>
        </w:tc>
        <w:tc>
          <w:tcPr>
            <w:tcW w:w="1300" w:type="dxa"/>
            <w:tcBorders>
              <w:bottom w:val="single" w:sz="4" w:space="0" w:color="auto"/>
            </w:tcBorders>
            <w:shd w:val="clear" w:color="auto" w:fill="FFFFFF" w:themeFill="background1"/>
            <w:vAlign w:val="center"/>
          </w:tcPr>
          <w:p w14:paraId="02B69249" w14:textId="77777777" w:rsidR="000B173B" w:rsidRPr="001D3813" w:rsidRDefault="000B173B" w:rsidP="00A15226">
            <w:pPr>
              <w:pStyle w:val="Tabletext"/>
              <w:jc w:val="center"/>
            </w:pPr>
            <w:r w:rsidRPr="007C1E6E">
              <w:t>Yes</w:t>
            </w:r>
          </w:p>
        </w:tc>
      </w:tr>
      <w:tr w:rsidR="000B173B" w14:paraId="5B21E259" w14:textId="77777777" w:rsidTr="00A15226">
        <w:tc>
          <w:tcPr>
            <w:tcW w:w="3114" w:type="dxa"/>
            <w:tcBorders>
              <w:right w:val="nil"/>
            </w:tcBorders>
            <w:shd w:val="clear" w:color="auto" w:fill="B4C6E7" w:themeFill="accent1" w:themeFillTint="66"/>
            <w:vAlign w:val="center"/>
          </w:tcPr>
          <w:p w14:paraId="4C0179A0" w14:textId="77777777" w:rsidR="000B173B" w:rsidRPr="00B260FD" w:rsidRDefault="000B173B" w:rsidP="00A15226">
            <w:pPr>
              <w:pStyle w:val="Tabletext"/>
              <w:rPr>
                <w:b/>
                <w:bCs/>
                <w:highlight w:val="yellow"/>
              </w:rPr>
            </w:pPr>
            <w:r w:rsidRPr="00B260FD">
              <w:rPr>
                <w:b/>
                <w:bCs/>
              </w:rPr>
              <w:lastRenderedPageBreak/>
              <w:t>Birds</w:t>
            </w:r>
          </w:p>
        </w:tc>
        <w:tc>
          <w:tcPr>
            <w:tcW w:w="3118" w:type="dxa"/>
            <w:tcBorders>
              <w:left w:val="nil"/>
              <w:right w:val="nil"/>
            </w:tcBorders>
            <w:shd w:val="clear" w:color="auto" w:fill="B4C6E7" w:themeFill="accent1" w:themeFillTint="66"/>
            <w:vAlign w:val="center"/>
          </w:tcPr>
          <w:p w14:paraId="6FA3C0A5" w14:textId="77777777" w:rsidR="000B173B" w:rsidRPr="002C27E1" w:rsidRDefault="000B173B" w:rsidP="00A15226">
            <w:pPr>
              <w:pStyle w:val="Tabletext"/>
              <w:rPr>
                <w:highlight w:val="yellow"/>
              </w:rPr>
            </w:pPr>
          </w:p>
        </w:tc>
        <w:tc>
          <w:tcPr>
            <w:tcW w:w="2835" w:type="dxa"/>
            <w:tcBorders>
              <w:left w:val="nil"/>
              <w:right w:val="nil"/>
            </w:tcBorders>
            <w:shd w:val="clear" w:color="auto" w:fill="B4C6E7" w:themeFill="accent1" w:themeFillTint="66"/>
            <w:vAlign w:val="center"/>
          </w:tcPr>
          <w:p w14:paraId="78226BC1" w14:textId="77777777" w:rsidR="000B173B" w:rsidRPr="002C27E1" w:rsidRDefault="000B173B" w:rsidP="00A15226">
            <w:pPr>
              <w:pStyle w:val="Tabletext"/>
              <w:rPr>
                <w:highlight w:val="yellow"/>
              </w:rPr>
            </w:pPr>
          </w:p>
        </w:tc>
        <w:tc>
          <w:tcPr>
            <w:tcW w:w="851" w:type="dxa"/>
            <w:tcBorders>
              <w:left w:val="nil"/>
              <w:right w:val="nil"/>
            </w:tcBorders>
            <w:shd w:val="clear" w:color="auto" w:fill="B4C6E7" w:themeFill="accent1" w:themeFillTint="66"/>
            <w:vAlign w:val="center"/>
          </w:tcPr>
          <w:p w14:paraId="5B8CC804" w14:textId="77777777" w:rsidR="000B173B" w:rsidRPr="002C27E1" w:rsidRDefault="000B173B" w:rsidP="00A15226">
            <w:pPr>
              <w:pStyle w:val="Tabletext"/>
              <w:jc w:val="center"/>
              <w:rPr>
                <w:highlight w:val="yellow"/>
              </w:rPr>
            </w:pPr>
          </w:p>
        </w:tc>
        <w:tc>
          <w:tcPr>
            <w:tcW w:w="850" w:type="dxa"/>
            <w:tcBorders>
              <w:left w:val="nil"/>
              <w:right w:val="nil"/>
            </w:tcBorders>
            <w:shd w:val="clear" w:color="auto" w:fill="B4C6E7" w:themeFill="accent1" w:themeFillTint="66"/>
            <w:vAlign w:val="center"/>
          </w:tcPr>
          <w:p w14:paraId="42E239DD"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7BD2A926"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5BB01D26" w14:textId="77777777" w:rsidR="000B173B" w:rsidRPr="002C27E1" w:rsidRDefault="000B173B" w:rsidP="00A15226">
            <w:pPr>
              <w:pStyle w:val="Tabletext"/>
              <w:jc w:val="center"/>
              <w:rPr>
                <w:highlight w:val="yellow"/>
              </w:rPr>
            </w:pPr>
          </w:p>
        </w:tc>
        <w:tc>
          <w:tcPr>
            <w:tcW w:w="1300" w:type="dxa"/>
            <w:tcBorders>
              <w:left w:val="nil"/>
            </w:tcBorders>
            <w:shd w:val="clear" w:color="auto" w:fill="B4C6E7" w:themeFill="accent1" w:themeFillTint="66"/>
            <w:vAlign w:val="center"/>
          </w:tcPr>
          <w:p w14:paraId="0E5B2EDF" w14:textId="77777777" w:rsidR="000B173B" w:rsidRPr="002C27E1" w:rsidRDefault="000B173B" w:rsidP="00A15226">
            <w:pPr>
              <w:pStyle w:val="Tabletext"/>
              <w:jc w:val="center"/>
              <w:rPr>
                <w:highlight w:val="yellow"/>
              </w:rPr>
            </w:pPr>
          </w:p>
        </w:tc>
      </w:tr>
      <w:tr w:rsidR="000B173B" w14:paraId="050F78DF" w14:textId="77777777" w:rsidTr="00A15226">
        <w:tc>
          <w:tcPr>
            <w:tcW w:w="3114" w:type="dxa"/>
            <w:shd w:val="clear" w:color="auto" w:fill="FFFFFF" w:themeFill="background1"/>
            <w:vAlign w:val="center"/>
          </w:tcPr>
          <w:p w14:paraId="3DF55928" w14:textId="77777777" w:rsidR="000B173B" w:rsidRPr="003C348E" w:rsidRDefault="000B173B" w:rsidP="00A15226">
            <w:pPr>
              <w:pStyle w:val="Tabletext"/>
              <w:rPr>
                <w:i/>
                <w:iCs/>
                <w:highlight w:val="yellow"/>
              </w:rPr>
            </w:pPr>
            <w:r w:rsidRPr="003C348E">
              <w:rPr>
                <w:i/>
                <w:iCs/>
              </w:rPr>
              <w:t>Anthochaera phrygia</w:t>
            </w:r>
          </w:p>
        </w:tc>
        <w:tc>
          <w:tcPr>
            <w:tcW w:w="3118" w:type="dxa"/>
            <w:shd w:val="clear" w:color="auto" w:fill="FFFFFF" w:themeFill="background1"/>
            <w:vAlign w:val="center"/>
          </w:tcPr>
          <w:p w14:paraId="086A31CB" w14:textId="77777777" w:rsidR="000B173B" w:rsidRPr="002C27E1" w:rsidRDefault="000B173B" w:rsidP="00A15226">
            <w:pPr>
              <w:pStyle w:val="Tabletext"/>
              <w:rPr>
                <w:highlight w:val="yellow"/>
              </w:rPr>
            </w:pPr>
            <w:r w:rsidRPr="00A42F3A">
              <w:t>Regent Honeyeater</w:t>
            </w:r>
          </w:p>
        </w:tc>
        <w:tc>
          <w:tcPr>
            <w:tcW w:w="2835" w:type="dxa"/>
            <w:shd w:val="clear" w:color="auto" w:fill="FFFFFF" w:themeFill="background1"/>
            <w:vAlign w:val="center"/>
          </w:tcPr>
          <w:p w14:paraId="6D04FF8D" w14:textId="77777777" w:rsidR="000B173B" w:rsidRPr="002C27E1" w:rsidRDefault="000B173B" w:rsidP="00A15226">
            <w:pPr>
              <w:pStyle w:val="Tabletext"/>
              <w:rPr>
                <w:highlight w:val="yellow"/>
              </w:rPr>
            </w:pPr>
            <w:r w:rsidRPr="00A42F3A">
              <w:t>Critically Endangered</w:t>
            </w:r>
          </w:p>
        </w:tc>
        <w:tc>
          <w:tcPr>
            <w:tcW w:w="851" w:type="dxa"/>
            <w:shd w:val="clear" w:color="auto" w:fill="FFFFFF" w:themeFill="background1"/>
            <w:vAlign w:val="center"/>
          </w:tcPr>
          <w:p w14:paraId="73CCB703"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0F95D26C"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01B6351B"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4620054E"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55785987" w14:textId="77777777" w:rsidR="000B173B" w:rsidRPr="001425AD" w:rsidRDefault="000B173B" w:rsidP="00A15226">
            <w:pPr>
              <w:pStyle w:val="Tabletext"/>
              <w:jc w:val="center"/>
            </w:pPr>
            <w:r w:rsidRPr="00BA5CA5">
              <w:t>Yes</w:t>
            </w:r>
          </w:p>
        </w:tc>
      </w:tr>
      <w:tr w:rsidR="000B173B" w14:paraId="082717C1" w14:textId="77777777" w:rsidTr="00A15226">
        <w:tc>
          <w:tcPr>
            <w:tcW w:w="3114" w:type="dxa"/>
            <w:shd w:val="clear" w:color="auto" w:fill="FFFFFF" w:themeFill="background1"/>
            <w:vAlign w:val="center"/>
          </w:tcPr>
          <w:p w14:paraId="3D9CBAE9" w14:textId="77777777" w:rsidR="000B173B" w:rsidRPr="003C348E" w:rsidRDefault="000B173B" w:rsidP="00A15226">
            <w:pPr>
              <w:pStyle w:val="Tabletext"/>
              <w:rPr>
                <w:i/>
                <w:iCs/>
                <w:highlight w:val="yellow"/>
              </w:rPr>
            </w:pPr>
            <w:r w:rsidRPr="003C348E">
              <w:rPr>
                <w:i/>
                <w:iCs/>
              </w:rPr>
              <w:t>Botaurus poiciloptilus</w:t>
            </w:r>
          </w:p>
        </w:tc>
        <w:tc>
          <w:tcPr>
            <w:tcW w:w="3118" w:type="dxa"/>
            <w:shd w:val="clear" w:color="auto" w:fill="FFFFFF" w:themeFill="background1"/>
            <w:vAlign w:val="center"/>
          </w:tcPr>
          <w:p w14:paraId="40BB4374" w14:textId="77777777" w:rsidR="000B173B" w:rsidRPr="002C27E1" w:rsidRDefault="000B173B" w:rsidP="00A15226">
            <w:pPr>
              <w:pStyle w:val="Tabletext"/>
              <w:rPr>
                <w:highlight w:val="yellow"/>
              </w:rPr>
            </w:pPr>
            <w:r w:rsidRPr="00A42F3A">
              <w:t>Australasian Bittern</w:t>
            </w:r>
          </w:p>
        </w:tc>
        <w:tc>
          <w:tcPr>
            <w:tcW w:w="2835" w:type="dxa"/>
            <w:shd w:val="clear" w:color="auto" w:fill="FFFFFF" w:themeFill="background1"/>
            <w:vAlign w:val="center"/>
          </w:tcPr>
          <w:p w14:paraId="6B178591" w14:textId="77777777" w:rsidR="000B173B" w:rsidRPr="002C27E1" w:rsidRDefault="000B173B" w:rsidP="00A15226">
            <w:pPr>
              <w:pStyle w:val="Tabletext"/>
              <w:rPr>
                <w:highlight w:val="yellow"/>
              </w:rPr>
            </w:pPr>
            <w:r w:rsidRPr="00A42F3A">
              <w:t>Endangered</w:t>
            </w:r>
          </w:p>
        </w:tc>
        <w:tc>
          <w:tcPr>
            <w:tcW w:w="851" w:type="dxa"/>
            <w:shd w:val="clear" w:color="auto" w:fill="FFFFFF" w:themeFill="background1"/>
            <w:vAlign w:val="center"/>
          </w:tcPr>
          <w:p w14:paraId="006BF002"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47E33898"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72FEFE14"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3B6628EC"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593CAF8A" w14:textId="77777777" w:rsidR="000B173B" w:rsidRPr="001425AD" w:rsidRDefault="000B173B" w:rsidP="00A15226">
            <w:pPr>
              <w:pStyle w:val="Tabletext"/>
              <w:jc w:val="center"/>
            </w:pPr>
            <w:r w:rsidRPr="00BA5CA5">
              <w:t>Yes</w:t>
            </w:r>
          </w:p>
        </w:tc>
      </w:tr>
      <w:tr w:rsidR="000B173B" w14:paraId="2FC20B48" w14:textId="77777777" w:rsidTr="00A15226">
        <w:tc>
          <w:tcPr>
            <w:tcW w:w="3114" w:type="dxa"/>
            <w:shd w:val="clear" w:color="auto" w:fill="FFFFFF" w:themeFill="background1"/>
            <w:vAlign w:val="center"/>
          </w:tcPr>
          <w:p w14:paraId="5EC6F9B0" w14:textId="77777777" w:rsidR="000B173B" w:rsidRPr="003C348E" w:rsidRDefault="000B173B" w:rsidP="00A15226">
            <w:pPr>
              <w:pStyle w:val="Tabletext"/>
              <w:rPr>
                <w:i/>
                <w:iCs/>
                <w:highlight w:val="yellow"/>
              </w:rPr>
            </w:pPr>
            <w:r w:rsidRPr="003C348E">
              <w:rPr>
                <w:i/>
                <w:iCs/>
              </w:rPr>
              <w:t>Calidris canutus</w:t>
            </w:r>
          </w:p>
        </w:tc>
        <w:tc>
          <w:tcPr>
            <w:tcW w:w="3118" w:type="dxa"/>
            <w:shd w:val="clear" w:color="auto" w:fill="FFFFFF" w:themeFill="background1"/>
            <w:vAlign w:val="center"/>
          </w:tcPr>
          <w:p w14:paraId="1265C615" w14:textId="77777777" w:rsidR="000B173B" w:rsidRPr="002C27E1" w:rsidRDefault="000B173B" w:rsidP="00A15226">
            <w:pPr>
              <w:pStyle w:val="Tabletext"/>
              <w:rPr>
                <w:highlight w:val="yellow"/>
              </w:rPr>
            </w:pPr>
            <w:r w:rsidRPr="00A42F3A">
              <w:t>Red Knot, Knot</w:t>
            </w:r>
          </w:p>
        </w:tc>
        <w:tc>
          <w:tcPr>
            <w:tcW w:w="2835" w:type="dxa"/>
            <w:shd w:val="clear" w:color="auto" w:fill="FFFFFF" w:themeFill="background1"/>
            <w:vAlign w:val="center"/>
          </w:tcPr>
          <w:p w14:paraId="656CD1BE" w14:textId="77777777" w:rsidR="000B173B" w:rsidRPr="002C27E1" w:rsidRDefault="000B173B" w:rsidP="00A15226">
            <w:pPr>
              <w:pStyle w:val="Tabletext"/>
              <w:rPr>
                <w:highlight w:val="yellow"/>
              </w:rPr>
            </w:pPr>
            <w:r w:rsidRPr="00A42F3A">
              <w:t>Endangered, marine, migratory</w:t>
            </w:r>
          </w:p>
        </w:tc>
        <w:tc>
          <w:tcPr>
            <w:tcW w:w="851" w:type="dxa"/>
            <w:shd w:val="clear" w:color="auto" w:fill="FFFFFF" w:themeFill="background1"/>
            <w:vAlign w:val="center"/>
          </w:tcPr>
          <w:p w14:paraId="1AB7561E"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066F8C8D"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006FB3ED" w14:textId="77777777" w:rsidR="000B173B" w:rsidRPr="002C27E1" w:rsidRDefault="000B173B" w:rsidP="00A15226">
            <w:pPr>
              <w:pStyle w:val="Tabletext"/>
              <w:jc w:val="center"/>
              <w:rPr>
                <w:highlight w:val="yellow"/>
              </w:rPr>
            </w:pPr>
            <w:r w:rsidRPr="001425AD">
              <w:t>Low</w:t>
            </w:r>
          </w:p>
        </w:tc>
        <w:tc>
          <w:tcPr>
            <w:tcW w:w="1134" w:type="dxa"/>
            <w:shd w:val="clear" w:color="auto" w:fill="FFFFFF" w:themeFill="background1"/>
            <w:vAlign w:val="center"/>
          </w:tcPr>
          <w:p w14:paraId="58562F23"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7D5B39B7" w14:textId="77777777" w:rsidR="000B173B" w:rsidRPr="001425AD" w:rsidRDefault="000B173B" w:rsidP="00A15226">
            <w:pPr>
              <w:pStyle w:val="Tabletext"/>
              <w:jc w:val="center"/>
            </w:pPr>
            <w:r w:rsidRPr="00BA5CA5">
              <w:t>Yes</w:t>
            </w:r>
          </w:p>
        </w:tc>
      </w:tr>
      <w:tr w:rsidR="000B173B" w14:paraId="12422D2F" w14:textId="77777777" w:rsidTr="00A15226">
        <w:tc>
          <w:tcPr>
            <w:tcW w:w="3114" w:type="dxa"/>
            <w:shd w:val="clear" w:color="auto" w:fill="FFFFFF" w:themeFill="background1"/>
            <w:vAlign w:val="center"/>
          </w:tcPr>
          <w:p w14:paraId="42378EEA" w14:textId="77777777" w:rsidR="000B173B" w:rsidRPr="003C348E" w:rsidRDefault="000B173B" w:rsidP="00A15226">
            <w:pPr>
              <w:pStyle w:val="Tabletext"/>
              <w:rPr>
                <w:i/>
                <w:iCs/>
                <w:highlight w:val="yellow"/>
              </w:rPr>
            </w:pPr>
            <w:r w:rsidRPr="003C348E">
              <w:rPr>
                <w:i/>
                <w:iCs/>
              </w:rPr>
              <w:t>Calidris ferruginea</w:t>
            </w:r>
          </w:p>
        </w:tc>
        <w:tc>
          <w:tcPr>
            <w:tcW w:w="3118" w:type="dxa"/>
            <w:shd w:val="clear" w:color="auto" w:fill="FFFFFF" w:themeFill="background1"/>
            <w:vAlign w:val="center"/>
          </w:tcPr>
          <w:p w14:paraId="687284F7" w14:textId="77777777" w:rsidR="000B173B" w:rsidRPr="002C27E1" w:rsidRDefault="000B173B" w:rsidP="00A15226">
            <w:pPr>
              <w:pStyle w:val="Tabletext"/>
              <w:rPr>
                <w:highlight w:val="yellow"/>
              </w:rPr>
            </w:pPr>
            <w:r w:rsidRPr="00A42F3A">
              <w:t>Curlew Sandpiper</w:t>
            </w:r>
          </w:p>
        </w:tc>
        <w:tc>
          <w:tcPr>
            <w:tcW w:w="2835" w:type="dxa"/>
            <w:shd w:val="clear" w:color="auto" w:fill="FFFFFF" w:themeFill="background1"/>
            <w:vAlign w:val="center"/>
          </w:tcPr>
          <w:p w14:paraId="0C63EF65" w14:textId="77777777" w:rsidR="000B173B" w:rsidRPr="002C27E1" w:rsidRDefault="000B173B" w:rsidP="00A15226">
            <w:pPr>
              <w:pStyle w:val="Tabletext"/>
              <w:rPr>
                <w:highlight w:val="yellow"/>
              </w:rPr>
            </w:pPr>
            <w:r w:rsidRPr="00A42F3A">
              <w:t>Critically Endangered, marine, migratory</w:t>
            </w:r>
          </w:p>
        </w:tc>
        <w:tc>
          <w:tcPr>
            <w:tcW w:w="851" w:type="dxa"/>
            <w:shd w:val="clear" w:color="auto" w:fill="FFFFFF" w:themeFill="background1"/>
            <w:vAlign w:val="center"/>
          </w:tcPr>
          <w:p w14:paraId="70E3AC3D"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695382FD"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43D5143A" w14:textId="77777777" w:rsidR="000B173B" w:rsidRPr="002C27E1" w:rsidRDefault="000B173B" w:rsidP="00A15226">
            <w:pPr>
              <w:pStyle w:val="Tabletext"/>
              <w:jc w:val="center"/>
              <w:rPr>
                <w:highlight w:val="yellow"/>
              </w:rPr>
            </w:pPr>
            <w:r w:rsidRPr="001425AD">
              <w:t>Low</w:t>
            </w:r>
          </w:p>
        </w:tc>
        <w:tc>
          <w:tcPr>
            <w:tcW w:w="1134" w:type="dxa"/>
            <w:shd w:val="clear" w:color="auto" w:fill="FFFFFF" w:themeFill="background1"/>
            <w:vAlign w:val="center"/>
          </w:tcPr>
          <w:p w14:paraId="6075D99F"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242A9FD3" w14:textId="77777777" w:rsidR="000B173B" w:rsidRPr="001425AD" w:rsidRDefault="000B173B" w:rsidP="00A15226">
            <w:pPr>
              <w:pStyle w:val="Tabletext"/>
              <w:jc w:val="center"/>
            </w:pPr>
            <w:r w:rsidRPr="00BA5CA5">
              <w:t>Yes</w:t>
            </w:r>
          </w:p>
        </w:tc>
      </w:tr>
      <w:tr w:rsidR="000B173B" w14:paraId="65B4A265" w14:textId="77777777" w:rsidTr="00A15226">
        <w:tc>
          <w:tcPr>
            <w:tcW w:w="3114" w:type="dxa"/>
            <w:shd w:val="clear" w:color="auto" w:fill="FFFFFF" w:themeFill="background1"/>
            <w:vAlign w:val="center"/>
          </w:tcPr>
          <w:p w14:paraId="0FCC1B26" w14:textId="77777777" w:rsidR="000B173B" w:rsidRPr="003C348E" w:rsidRDefault="000B173B" w:rsidP="00A15226">
            <w:pPr>
              <w:pStyle w:val="Tabletext"/>
              <w:rPr>
                <w:i/>
                <w:iCs/>
                <w:highlight w:val="yellow"/>
              </w:rPr>
            </w:pPr>
            <w:r w:rsidRPr="003C348E">
              <w:rPr>
                <w:i/>
                <w:iCs/>
              </w:rPr>
              <w:t>Calidris tenuirostris</w:t>
            </w:r>
          </w:p>
        </w:tc>
        <w:tc>
          <w:tcPr>
            <w:tcW w:w="3118" w:type="dxa"/>
            <w:shd w:val="clear" w:color="auto" w:fill="FFFFFF" w:themeFill="background1"/>
            <w:vAlign w:val="center"/>
          </w:tcPr>
          <w:p w14:paraId="243A47B0" w14:textId="77777777" w:rsidR="000B173B" w:rsidRPr="002C27E1" w:rsidRDefault="000B173B" w:rsidP="00A15226">
            <w:pPr>
              <w:pStyle w:val="Tabletext"/>
              <w:rPr>
                <w:highlight w:val="yellow"/>
              </w:rPr>
            </w:pPr>
            <w:r w:rsidRPr="00A42F3A">
              <w:t>Great Knot</w:t>
            </w:r>
          </w:p>
        </w:tc>
        <w:tc>
          <w:tcPr>
            <w:tcW w:w="2835" w:type="dxa"/>
            <w:shd w:val="clear" w:color="auto" w:fill="FFFFFF" w:themeFill="background1"/>
            <w:vAlign w:val="center"/>
          </w:tcPr>
          <w:p w14:paraId="6ADCFE55" w14:textId="77777777" w:rsidR="000B173B" w:rsidRPr="002C27E1" w:rsidRDefault="000B173B" w:rsidP="00A15226">
            <w:pPr>
              <w:pStyle w:val="Tabletext"/>
              <w:rPr>
                <w:highlight w:val="yellow"/>
              </w:rPr>
            </w:pPr>
            <w:r w:rsidRPr="00A42F3A">
              <w:t>Critically Endangered, marine, migratory</w:t>
            </w:r>
          </w:p>
        </w:tc>
        <w:tc>
          <w:tcPr>
            <w:tcW w:w="851" w:type="dxa"/>
            <w:shd w:val="clear" w:color="auto" w:fill="FFFFFF" w:themeFill="background1"/>
            <w:vAlign w:val="center"/>
          </w:tcPr>
          <w:p w14:paraId="3B15E316"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51B5A586"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409BDA0D"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3608EC6E"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0F630B49" w14:textId="77777777" w:rsidR="000B173B" w:rsidRPr="001425AD" w:rsidRDefault="000B173B" w:rsidP="00A15226">
            <w:pPr>
              <w:pStyle w:val="Tabletext"/>
              <w:jc w:val="center"/>
            </w:pPr>
            <w:r w:rsidRPr="00BA5CA5">
              <w:t>Yes</w:t>
            </w:r>
          </w:p>
        </w:tc>
      </w:tr>
      <w:tr w:rsidR="000B173B" w14:paraId="6EB65946" w14:textId="77777777" w:rsidTr="00A15226">
        <w:tc>
          <w:tcPr>
            <w:tcW w:w="3114" w:type="dxa"/>
            <w:shd w:val="clear" w:color="auto" w:fill="FFFFFF" w:themeFill="background1"/>
            <w:vAlign w:val="center"/>
          </w:tcPr>
          <w:p w14:paraId="5DC6E357" w14:textId="77777777" w:rsidR="000B173B" w:rsidRPr="00BC7DA1" w:rsidRDefault="000B173B" w:rsidP="00A15226">
            <w:pPr>
              <w:pStyle w:val="Tabletext"/>
              <w:rPr>
                <w:i/>
                <w:iCs/>
              </w:rPr>
            </w:pPr>
            <w:r w:rsidRPr="002A4173">
              <w:rPr>
                <w:i/>
                <w:iCs/>
              </w:rPr>
              <w:t>Callocephalon fimbriatum</w:t>
            </w:r>
          </w:p>
        </w:tc>
        <w:tc>
          <w:tcPr>
            <w:tcW w:w="3118" w:type="dxa"/>
            <w:shd w:val="clear" w:color="auto" w:fill="FFFFFF" w:themeFill="background1"/>
            <w:vAlign w:val="center"/>
          </w:tcPr>
          <w:p w14:paraId="320C7AF7" w14:textId="77777777" w:rsidR="000B173B" w:rsidRPr="00A42F3A" w:rsidRDefault="000B173B" w:rsidP="00A15226">
            <w:pPr>
              <w:pStyle w:val="Tabletext"/>
            </w:pPr>
            <w:r w:rsidRPr="00A777D1">
              <w:t>Gang-Gang Cockatoo</w:t>
            </w:r>
          </w:p>
        </w:tc>
        <w:tc>
          <w:tcPr>
            <w:tcW w:w="2835" w:type="dxa"/>
            <w:shd w:val="clear" w:color="auto" w:fill="FFFFFF" w:themeFill="background1"/>
            <w:vAlign w:val="center"/>
          </w:tcPr>
          <w:p w14:paraId="23D620F6" w14:textId="77777777" w:rsidR="000B173B" w:rsidRPr="00A42F3A" w:rsidRDefault="000B173B" w:rsidP="00A15226">
            <w:pPr>
              <w:pStyle w:val="Tabletext"/>
            </w:pPr>
            <w:r>
              <w:t>Endangered</w:t>
            </w:r>
          </w:p>
        </w:tc>
        <w:tc>
          <w:tcPr>
            <w:tcW w:w="851" w:type="dxa"/>
            <w:shd w:val="clear" w:color="auto" w:fill="FFFFFF" w:themeFill="background1"/>
            <w:vAlign w:val="center"/>
          </w:tcPr>
          <w:p w14:paraId="68BB3EED" w14:textId="77777777" w:rsidR="000B173B" w:rsidRPr="001425AD" w:rsidRDefault="000B173B" w:rsidP="00A15226">
            <w:pPr>
              <w:pStyle w:val="Tabletext"/>
              <w:jc w:val="center"/>
            </w:pPr>
            <w:r>
              <w:t>Yes</w:t>
            </w:r>
          </w:p>
        </w:tc>
        <w:tc>
          <w:tcPr>
            <w:tcW w:w="850" w:type="dxa"/>
            <w:shd w:val="clear" w:color="auto" w:fill="FFFFFF" w:themeFill="background1"/>
            <w:vAlign w:val="center"/>
          </w:tcPr>
          <w:p w14:paraId="726A07D3" w14:textId="77777777" w:rsidR="000B173B" w:rsidRPr="001425AD" w:rsidRDefault="000B173B" w:rsidP="00A15226">
            <w:pPr>
              <w:pStyle w:val="Tabletext"/>
              <w:jc w:val="center"/>
            </w:pPr>
            <w:r>
              <w:t>No</w:t>
            </w:r>
          </w:p>
        </w:tc>
        <w:tc>
          <w:tcPr>
            <w:tcW w:w="1134" w:type="dxa"/>
            <w:shd w:val="clear" w:color="auto" w:fill="FFFFFF" w:themeFill="background1"/>
            <w:vAlign w:val="center"/>
          </w:tcPr>
          <w:p w14:paraId="68BB21E9" w14:textId="77777777" w:rsidR="000B173B" w:rsidRPr="001425AD" w:rsidRDefault="000B173B" w:rsidP="00A15226">
            <w:pPr>
              <w:pStyle w:val="Tabletext"/>
              <w:jc w:val="center"/>
            </w:pPr>
            <w:r>
              <w:t>N/A</w:t>
            </w:r>
          </w:p>
        </w:tc>
        <w:tc>
          <w:tcPr>
            <w:tcW w:w="1134" w:type="dxa"/>
            <w:shd w:val="clear" w:color="auto" w:fill="FFFFFF" w:themeFill="background1"/>
            <w:vAlign w:val="center"/>
          </w:tcPr>
          <w:p w14:paraId="6E10D603" w14:textId="77777777" w:rsidR="000B173B" w:rsidRPr="001425AD" w:rsidRDefault="000B173B" w:rsidP="00A15226">
            <w:pPr>
              <w:pStyle w:val="Tabletext"/>
              <w:jc w:val="center"/>
            </w:pPr>
            <w:r>
              <w:t>Known</w:t>
            </w:r>
          </w:p>
        </w:tc>
        <w:tc>
          <w:tcPr>
            <w:tcW w:w="1300" w:type="dxa"/>
            <w:shd w:val="clear" w:color="auto" w:fill="FFFFFF" w:themeFill="background1"/>
            <w:vAlign w:val="center"/>
          </w:tcPr>
          <w:p w14:paraId="16EF2049" w14:textId="77777777" w:rsidR="000B173B" w:rsidRPr="00BA5CA5" w:rsidRDefault="000B173B" w:rsidP="00A15226">
            <w:pPr>
              <w:pStyle w:val="Tabletext"/>
              <w:jc w:val="center"/>
            </w:pPr>
            <w:r>
              <w:t>Yes</w:t>
            </w:r>
          </w:p>
        </w:tc>
      </w:tr>
      <w:tr w:rsidR="000B173B" w14:paraId="5DCF3118" w14:textId="77777777" w:rsidTr="00A15226">
        <w:tc>
          <w:tcPr>
            <w:tcW w:w="3114" w:type="dxa"/>
            <w:shd w:val="clear" w:color="auto" w:fill="FFFFFF" w:themeFill="background1"/>
            <w:vAlign w:val="center"/>
          </w:tcPr>
          <w:p w14:paraId="648BBA94" w14:textId="77777777" w:rsidR="000B173B" w:rsidRPr="003C348E" w:rsidRDefault="000B173B" w:rsidP="00A15226">
            <w:pPr>
              <w:pStyle w:val="Tabletext"/>
              <w:rPr>
                <w:i/>
                <w:iCs/>
                <w:highlight w:val="yellow"/>
              </w:rPr>
            </w:pPr>
            <w:r w:rsidRPr="003C348E">
              <w:rPr>
                <w:i/>
                <w:iCs/>
              </w:rPr>
              <w:t>Charadrius leschenaultii</w:t>
            </w:r>
          </w:p>
        </w:tc>
        <w:tc>
          <w:tcPr>
            <w:tcW w:w="3118" w:type="dxa"/>
            <w:shd w:val="clear" w:color="auto" w:fill="FFFFFF" w:themeFill="background1"/>
            <w:vAlign w:val="center"/>
          </w:tcPr>
          <w:p w14:paraId="5F81AC09" w14:textId="77777777" w:rsidR="000B173B" w:rsidRPr="002C27E1" w:rsidRDefault="000B173B" w:rsidP="00A15226">
            <w:pPr>
              <w:pStyle w:val="Tabletext"/>
              <w:rPr>
                <w:highlight w:val="yellow"/>
              </w:rPr>
            </w:pPr>
            <w:r w:rsidRPr="00A42F3A">
              <w:t>Greater Sand Plover</w:t>
            </w:r>
          </w:p>
        </w:tc>
        <w:tc>
          <w:tcPr>
            <w:tcW w:w="2835" w:type="dxa"/>
            <w:shd w:val="clear" w:color="auto" w:fill="FFFFFF" w:themeFill="background1"/>
            <w:vAlign w:val="center"/>
          </w:tcPr>
          <w:p w14:paraId="0CB1C12B"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1A4C57AE"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7DCC6581"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255F0804"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49C3488F"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63C37E3F" w14:textId="77777777" w:rsidR="000B173B" w:rsidRPr="001425AD" w:rsidRDefault="000B173B" w:rsidP="00A15226">
            <w:pPr>
              <w:pStyle w:val="Tabletext"/>
              <w:jc w:val="center"/>
            </w:pPr>
            <w:r w:rsidRPr="00BA5CA5">
              <w:t>Yes</w:t>
            </w:r>
          </w:p>
        </w:tc>
      </w:tr>
      <w:tr w:rsidR="000B173B" w14:paraId="7C6E552A" w14:textId="77777777" w:rsidTr="00A15226">
        <w:tc>
          <w:tcPr>
            <w:tcW w:w="3114" w:type="dxa"/>
            <w:shd w:val="clear" w:color="auto" w:fill="FFFFFF" w:themeFill="background1"/>
            <w:vAlign w:val="center"/>
          </w:tcPr>
          <w:p w14:paraId="709B495F" w14:textId="77777777" w:rsidR="000B173B" w:rsidRPr="003C348E" w:rsidRDefault="000B173B" w:rsidP="00A15226">
            <w:pPr>
              <w:pStyle w:val="Tabletext"/>
              <w:rPr>
                <w:i/>
                <w:iCs/>
                <w:highlight w:val="yellow"/>
              </w:rPr>
            </w:pPr>
            <w:r w:rsidRPr="003C348E">
              <w:rPr>
                <w:i/>
                <w:iCs/>
              </w:rPr>
              <w:t>Charadrius mongolus</w:t>
            </w:r>
          </w:p>
        </w:tc>
        <w:tc>
          <w:tcPr>
            <w:tcW w:w="3118" w:type="dxa"/>
            <w:shd w:val="clear" w:color="auto" w:fill="FFFFFF" w:themeFill="background1"/>
            <w:vAlign w:val="center"/>
          </w:tcPr>
          <w:p w14:paraId="105AB1AF" w14:textId="77777777" w:rsidR="000B173B" w:rsidRPr="002C27E1" w:rsidRDefault="000B173B" w:rsidP="00A15226">
            <w:pPr>
              <w:pStyle w:val="Tabletext"/>
              <w:rPr>
                <w:highlight w:val="yellow"/>
              </w:rPr>
            </w:pPr>
            <w:r w:rsidRPr="00A42F3A">
              <w:t>Lesser Sand Plover</w:t>
            </w:r>
          </w:p>
        </w:tc>
        <w:tc>
          <w:tcPr>
            <w:tcW w:w="2835" w:type="dxa"/>
            <w:shd w:val="clear" w:color="auto" w:fill="FFFFFF" w:themeFill="background1"/>
            <w:vAlign w:val="center"/>
          </w:tcPr>
          <w:p w14:paraId="025F36E8" w14:textId="77777777" w:rsidR="000B173B" w:rsidRPr="002C27E1" w:rsidRDefault="000B173B" w:rsidP="00A15226">
            <w:pPr>
              <w:pStyle w:val="Tabletext"/>
              <w:rPr>
                <w:highlight w:val="yellow"/>
              </w:rPr>
            </w:pPr>
            <w:r w:rsidRPr="00A42F3A">
              <w:t>Endangered, marine, migratory</w:t>
            </w:r>
          </w:p>
        </w:tc>
        <w:tc>
          <w:tcPr>
            <w:tcW w:w="851" w:type="dxa"/>
            <w:shd w:val="clear" w:color="auto" w:fill="FFFFFF" w:themeFill="background1"/>
            <w:vAlign w:val="center"/>
          </w:tcPr>
          <w:p w14:paraId="19CA1BD4"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799A5AAC"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31957458"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4D9D112F"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1DA92147" w14:textId="77777777" w:rsidR="000B173B" w:rsidRPr="001425AD" w:rsidRDefault="000B173B" w:rsidP="00A15226">
            <w:pPr>
              <w:pStyle w:val="Tabletext"/>
              <w:jc w:val="center"/>
            </w:pPr>
            <w:r w:rsidRPr="00BA5CA5">
              <w:t>Yes</w:t>
            </w:r>
          </w:p>
        </w:tc>
      </w:tr>
      <w:tr w:rsidR="000B173B" w14:paraId="500B0812" w14:textId="77777777" w:rsidTr="00A15226">
        <w:tc>
          <w:tcPr>
            <w:tcW w:w="3114" w:type="dxa"/>
            <w:shd w:val="clear" w:color="auto" w:fill="FFFFFF" w:themeFill="background1"/>
            <w:vAlign w:val="center"/>
          </w:tcPr>
          <w:p w14:paraId="2FC62B30" w14:textId="77777777" w:rsidR="000B173B" w:rsidRPr="003C348E" w:rsidRDefault="000B173B" w:rsidP="00A15226">
            <w:pPr>
              <w:pStyle w:val="Tabletext"/>
              <w:rPr>
                <w:i/>
                <w:iCs/>
                <w:highlight w:val="yellow"/>
              </w:rPr>
            </w:pPr>
            <w:r w:rsidRPr="003C348E">
              <w:rPr>
                <w:i/>
                <w:iCs/>
              </w:rPr>
              <w:t>Diomedea antipodensis</w:t>
            </w:r>
          </w:p>
        </w:tc>
        <w:tc>
          <w:tcPr>
            <w:tcW w:w="3118" w:type="dxa"/>
            <w:shd w:val="clear" w:color="auto" w:fill="FFFFFF" w:themeFill="background1"/>
            <w:vAlign w:val="center"/>
          </w:tcPr>
          <w:p w14:paraId="60739EBC" w14:textId="77777777" w:rsidR="000B173B" w:rsidRPr="002C27E1" w:rsidRDefault="000B173B" w:rsidP="00A15226">
            <w:pPr>
              <w:pStyle w:val="Tabletext"/>
              <w:rPr>
                <w:highlight w:val="yellow"/>
              </w:rPr>
            </w:pPr>
            <w:r w:rsidRPr="00A42F3A">
              <w:t>Antipodean Albatross</w:t>
            </w:r>
          </w:p>
        </w:tc>
        <w:tc>
          <w:tcPr>
            <w:tcW w:w="2835" w:type="dxa"/>
            <w:shd w:val="clear" w:color="auto" w:fill="FFFFFF" w:themeFill="background1"/>
            <w:vAlign w:val="center"/>
          </w:tcPr>
          <w:p w14:paraId="4E9D8B61"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0CF8F676"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4613C7C3"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7FE354D5" w14:textId="77777777" w:rsidR="000B173B" w:rsidRPr="002C27E1" w:rsidRDefault="000B173B" w:rsidP="00A15226">
            <w:pPr>
              <w:pStyle w:val="Tabletext"/>
              <w:jc w:val="center"/>
              <w:rPr>
                <w:highlight w:val="yellow"/>
              </w:rPr>
            </w:pPr>
            <w:r w:rsidRPr="001425AD">
              <w:t>N/A</w:t>
            </w:r>
          </w:p>
        </w:tc>
        <w:tc>
          <w:tcPr>
            <w:tcW w:w="1134" w:type="dxa"/>
            <w:shd w:val="clear" w:color="auto" w:fill="FFFFFF" w:themeFill="background1"/>
            <w:vAlign w:val="center"/>
          </w:tcPr>
          <w:p w14:paraId="4F3A7D25"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11DFC165" w14:textId="77777777" w:rsidR="000B173B" w:rsidRPr="001425AD" w:rsidRDefault="000B173B" w:rsidP="00A15226">
            <w:pPr>
              <w:pStyle w:val="Tabletext"/>
              <w:jc w:val="center"/>
            </w:pPr>
            <w:r w:rsidRPr="00BA5CA5">
              <w:t>Yes</w:t>
            </w:r>
          </w:p>
        </w:tc>
      </w:tr>
      <w:tr w:rsidR="000B173B" w14:paraId="3E7D7150" w14:textId="77777777" w:rsidTr="00A15226">
        <w:tc>
          <w:tcPr>
            <w:tcW w:w="3114" w:type="dxa"/>
            <w:shd w:val="clear" w:color="auto" w:fill="FFFFFF" w:themeFill="background1"/>
            <w:vAlign w:val="center"/>
          </w:tcPr>
          <w:p w14:paraId="52418636" w14:textId="77777777" w:rsidR="000B173B" w:rsidRPr="003C348E" w:rsidRDefault="000B173B" w:rsidP="00A15226">
            <w:pPr>
              <w:pStyle w:val="Tabletext"/>
              <w:rPr>
                <w:i/>
                <w:iCs/>
                <w:highlight w:val="yellow"/>
              </w:rPr>
            </w:pPr>
            <w:r w:rsidRPr="003C348E">
              <w:rPr>
                <w:i/>
                <w:iCs/>
              </w:rPr>
              <w:t>Diomedea epomophora</w:t>
            </w:r>
          </w:p>
        </w:tc>
        <w:tc>
          <w:tcPr>
            <w:tcW w:w="3118" w:type="dxa"/>
            <w:shd w:val="clear" w:color="auto" w:fill="FFFFFF" w:themeFill="background1"/>
            <w:vAlign w:val="center"/>
          </w:tcPr>
          <w:p w14:paraId="36C6A022" w14:textId="77777777" w:rsidR="000B173B" w:rsidRPr="002C27E1" w:rsidRDefault="000B173B" w:rsidP="00A15226">
            <w:pPr>
              <w:pStyle w:val="Tabletext"/>
              <w:rPr>
                <w:highlight w:val="yellow"/>
              </w:rPr>
            </w:pPr>
            <w:r w:rsidRPr="00A42F3A">
              <w:t>Southern Royal Albatross</w:t>
            </w:r>
          </w:p>
        </w:tc>
        <w:tc>
          <w:tcPr>
            <w:tcW w:w="2835" w:type="dxa"/>
            <w:shd w:val="clear" w:color="auto" w:fill="FFFFFF" w:themeFill="background1"/>
            <w:vAlign w:val="center"/>
          </w:tcPr>
          <w:p w14:paraId="7CF9FC02"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1D45D9C1"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1BBF92B6"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1F6C228A"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1275DA7B"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4E4B6C10" w14:textId="77777777" w:rsidR="000B173B" w:rsidRPr="001425AD" w:rsidRDefault="000B173B" w:rsidP="00A15226">
            <w:pPr>
              <w:pStyle w:val="Tabletext"/>
              <w:jc w:val="center"/>
            </w:pPr>
            <w:r w:rsidRPr="00BA5CA5">
              <w:t>Yes</w:t>
            </w:r>
          </w:p>
        </w:tc>
      </w:tr>
      <w:tr w:rsidR="000B173B" w14:paraId="1920B3F9" w14:textId="77777777" w:rsidTr="00A15226">
        <w:tc>
          <w:tcPr>
            <w:tcW w:w="3114" w:type="dxa"/>
            <w:shd w:val="clear" w:color="auto" w:fill="FFFFFF" w:themeFill="background1"/>
            <w:vAlign w:val="center"/>
          </w:tcPr>
          <w:p w14:paraId="6D70D92F" w14:textId="77777777" w:rsidR="000B173B" w:rsidRPr="003C348E" w:rsidRDefault="000B173B" w:rsidP="00A15226">
            <w:pPr>
              <w:pStyle w:val="Tabletext"/>
              <w:rPr>
                <w:i/>
                <w:iCs/>
                <w:highlight w:val="yellow"/>
              </w:rPr>
            </w:pPr>
            <w:r w:rsidRPr="003C348E">
              <w:rPr>
                <w:i/>
                <w:iCs/>
              </w:rPr>
              <w:t>Diomedea exulans</w:t>
            </w:r>
          </w:p>
        </w:tc>
        <w:tc>
          <w:tcPr>
            <w:tcW w:w="3118" w:type="dxa"/>
            <w:shd w:val="clear" w:color="auto" w:fill="FFFFFF" w:themeFill="background1"/>
            <w:vAlign w:val="center"/>
          </w:tcPr>
          <w:p w14:paraId="1D48D916" w14:textId="77777777" w:rsidR="000B173B" w:rsidRPr="002C27E1" w:rsidRDefault="000B173B" w:rsidP="00A15226">
            <w:pPr>
              <w:pStyle w:val="Tabletext"/>
              <w:rPr>
                <w:highlight w:val="yellow"/>
              </w:rPr>
            </w:pPr>
            <w:r w:rsidRPr="00A42F3A">
              <w:t>Wandering Albatross</w:t>
            </w:r>
          </w:p>
        </w:tc>
        <w:tc>
          <w:tcPr>
            <w:tcW w:w="2835" w:type="dxa"/>
            <w:shd w:val="clear" w:color="auto" w:fill="FFFFFF" w:themeFill="background1"/>
            <w:vAlign w:val="center"/>
          </w:tcPr>
          <w:p w14:paraId="0EBCE1F5"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7F3539FC"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37FE6B6A"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366B8685"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56145AF5"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65F23D25" w14:textId="77777777" w:rsidR="000B173B" w:rsidRPr="001425AD" w:rsidRDefault="000B173B" w:rsidP="00A15226">
            <w:pPr>
              <w:pStyle w:val="Tabletext"/>
              <w:jc w:val="center"/>
            </w:pPr>
            <w:r w:rsidRPr="00BA5CA5">
              <w:t>Yes</w:t>
            </w:r>
          </w:p>
        </w:tc>
      </w:tr>
      <w:tr w:rsidR="000B173B" w14:paraId="1AC1A12B" w14:textId="77777777" w:rsidTr="00A15226">
        <w:tc>
          <w:tcPr>
            <w:tcW w:w="3114" w:type="dxa"/>
            <w:shd w:val="clear" w:color="auto" w:fill="FFFFFF" w:themeFill="background1"/>
            <w:vAlign w:val="center"/>
          </w:tcPr>
          <w:p w14:paraId="16A510C8" w14:textId="77777777" w:rsidR="000B173B" w:rsidRPr="003C348E" w:rsidRDefault="000B173B" w:rsidP="00A15226">
            <w:pPr>
              <w:pStyle w:val="Tabletext"/>
              <w:rPr>
                <w:i/>
                <w:iCs/>
                <w:highlight w:val="yellow"/>
              </w:rPr>
            </w:pPr>
            <w:r w:rsidRPr="003C348E">
              <w:rPr>
                <w:i/>
                <w:iCs/>
              </w:rPr>
              <w:t>Diomedea sanfordi</w:t>
            </w:r>
          </w:p>
        </w:tc>
        <w:tc>
          <w:tcPr>
            <w:tcW w:w="3118" w:type="dxa"/>
            <w:shd w:val="clear" w:color="auto" w:fill="FFFFFF" w:themeFill="background1"/>
            <w:vAlign w:val="center"/>
          </w:tcPr>
          <w:p w14:paraId="55817A68" w14:textId="77777777" w:rsidR="000B173B" w:rsidRPr="002C27E1" w:rsidRDefault="000B173B" w:rsidP="00A15226">
            <w:pPr>
              <w:pStyle w:val="Tabletext"/>
              <w:rPr>
                <w:highlight w:val="yellow"/>
              </w:rPr>
            </w:pPr>
            <w:r w:rsidRPr="00A42F3A">
              <w:t>Northern Royal Albatross</w:t>
            </w:r>
          </w:p>
        </w:tc>
        <w:tc>
          <w:tcPr>
            <w:tcW w:w="2835" w:type="dxa"/>
            <w:shd w:val="clear" w:color="auto" w:fill="FFFFFF" w:themeFill="background1"/>
            <w:vAlign w:val="center"/>
          </w:tcPr>
          <w:p w14:paraId="6341D8FF" w14:textId="77777777" w:rsidR="000B173B" w:rsidRPr="002C27E1" w:rsidRDefault="000B173B" w:rsidP="00A15226">
            <w:pPr>
              <w:pStyle w:val="Tabletext"/>
              <w:rPr>
                <w:highlight w:val="yellow"/>
              </w:rPr>
            </w:pPr>
            <w:r w:rsidRPr="00A42F3A">
              <w:t>Endangered, marine, migratory</w:t>
            </w:r>
          </w:p>
        </w:tc>
        <w:tc>
          <w:tcPr>
            <w:tcW w:w="851" w:type="dxa"/>
            <w:shd w:val="clear" w:color="auto" w:fill="FFFFFF" w:themeFill="background1"/>
            <w:vAlign w:val="center"/>
          </w:tcPr>
          <w:p w14:paraId="702E9A15"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46DA039A"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34C8FB0B" w14:textId="77777777" w:rsidR="000B173B" w:rsidRPr="002C27E1" w:rsidRDefault="000B173B" w:rsidP="00A15226">
            <w:pPr>
              <w:pStyle w:val="Tabletext"/>
              <w:jc w:val="center"/>
              <w:rPr>
                <w:highlight w:val="yellow"/>
              </w:rPr>
            </w:pPr>
            <w:r w:rsidRPr="001425AD">
              <w:t>N/A</w:t>
            </w:r>
          </w:p>
        </w:tc>
        <w:tc>
          <w:tcPr>
            <w:tcW w:w="1134" w:type="dxa"/>
            <w:shd w:val="clear" w:color="auto" w:fill="FFFFFF" w:themeFill="background1"/>
            <w:vAlign w:val="center"/>
          </w:tcPr>
          <w:p w14:paraId="1D53B582"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2F66EDE8" w14:textId="77777777" w:rsidR="000B173B" w:rsidRPr="001425AD" w:rsidRDefault="000B173B" w:rsidP="00A15226">
            <w:pPr>
              <w:pStyle w:val="Tabletext"/>
              <w:jc w:val="center"/>
            </w:pPr>
            <w:r w:rsidRPr="00BA5CA5">
              <w:t>Yes</w:t>
            </w:r>
          </w:p>
        </w:tc>
      </w:tr>
      <w:tr w:rsidR="000B173B" w14:paraId="55731F84" w14:textId="77777777" w:rsidTr="00A15226">
        <w:tc>
          <w:tcPr>
            <w:tcW w:w="3114" w:type="dxa"/>
            <w:shd w:val="clear" w:color="auto" w:fill="FFFFFF" w:themeFill="background1"/>
            <w:vAlign w:val="center"/>
          </w:tcPr>
          <w:p w14:paraId="1150B7D4" w14:textId="77777777" w:rsidR="000B173B" w:rsidRPr="003C348E" w:rsidRDefault="000B173B" w:rsidP="00A15226">
            <w:pPr>
              <w:pStyle w:val="Tabletext"/>
              <w:rPr>
                <w:i/>
                <w:iCs/>
                <w:highlight w:val="yellow"/>
              </w:rPr>
            </w:pPr>
            <w:r w:rsidRPr="003C348E">
              <w:rPr>
                <w:i/>
                <w:iCs/>
              </w:rPr>
              <w:t>Falco hypoleucos</w:t>
            </w:r>
          </w:p>
        </w:tc>
        <w:tc>
          <w:tcPr>
            <w:tcW w:w="3118" w:type="dxa"/>
            <w:shd w:val="clear" w:color="auto" w:fill="FFFFFF" w:themeFill="background1"/>
            <w:vAlign w:val="center"/>
          </w:tcPr>
          <w:p w14:paraId="60A9053F" w14:textId="77777777" w:rsidR="000B173B" w:rsidRPr="002C27E1" w:rsidRDefault="000B173B" w:rsidP="00A15226">
            <w:pPr>
              <w:pStyle w:val="Tabletext"/>
              <w:rPr>
                <w:highlight w:val="yellow"/>
              </w:rPr>
            </w:pPr>
            <w:r w:rsidRPr="00A42F3A">
              <w:t>Grey Falcon</w:t>
            </w:r>
          </w:p>
        </w:tc>
        <w:tc>
          <w:tcPr>
            <w:tcW w:w="2835" w:type="dxa"/>
            <w:shd w:val="clear" w:color="auto" w:fill="FFFFFF" w:themeFill="background1"/>
            <w:vAlign w:val="center"/>
          </w:tcPr>
          <w:p w14:paraId="4F3B3BCB" w14:textId="77777777" w:rsidR="000B173B" w:rsidRPr="002C27E1" w:rsidRDefault="000B173B" w:rsidP="00A15226">
            <w:pPr>
              <w:pStyle w:val="Tabletext"/>
              <w:rPr>
                <w:highlight w:val="yellow"/>
              </w:rPr>
            </w:pPr>
            <w:r w:rsidRPr="00A42F3A">
              <w:t>Vulnerable</w:t>
            </w:r>
          </w:p>
        </w:tc>
        <w:tc>
          <w:tcPr>
            <w:tcW w:w="851" w:type="dxa"/>
            <w:shd w:val="clear" w:color="auto" w:fill="FFFFFF" w:themeFill="background1"/>
            <w:vAlign w:val="center"/>
          </w:tcPr>
          <w:p w14:paraId="2E71C8E4"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5E34AD1D"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25E22D05" w14:textId="77777777" w:rsidR="000B173B" w:rsidRPr="002C27E1" w:rsidRDefault="000B173B" w:rsidP="00A15226">
            <w:pPr>
              <w:pStyle w:val="Tabletext"/>
              <w:jc w:val="center"/>
              <w:rPr>
                <w:highlight w:val="yellow"/>
              </w:rPr>
            </w:pPr>
            <w:r w:rsidRPr="001425AD">
              <w:t>Low</w:t>
            </w:r>
          </w:p>
        </w:tc>
        <w:tc>
          <w:tcPr>
            <w:tcW w:w="1134" w:type="dxa"/>
            <w:shd w:val="clear" w:color="auto" w:fill="FFFFFF" w:themeFill="background1"/>
            <w:vAlign w:val="center"/>
          </w:tcPr>
          <w:p w14:paraId="70E5D97A"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3CD51428" w14:textId="77777777" w:rsidR="000B173B" w:rsidRPr="001425AD" w:rsidRDefault="000B173B" w:rsidP="00A15226">
            <w:pPr>
              <w:pStyle w:val="Tabletext"/>
              <w:jc w:val="center"/>
            </w:pPr>
            <w:r w:rsidRPr="00BA5CA5">
              <w:t>Yes</w:t>
            </w:r>
          </w:p>
        </w:tc>
      </w:tr>
      <w:tr w:rsidR="000B173B" w14:paraId="48902308" w14:textId="77777777" w:rsidTr="00A15226">
        <w:tc>
          <w:tcPr>
            <w:tcW w:w="3114" w:type="dxa"/>
            <w:shd w:val="clear" w:color="auto" w:fill="FFFFFF" w:themeFill="background1"/>
            <w:vAlign w:val="center"/>
          </w:tcPr>
          <w:p w14:paraId="3C8CF4C1" w14:textId="77777777" w:rsidR="000B173B" w:rsidRPr="003C348E" w:rsidRDefault="000B173B" w:rsidP="00A15226">
            <w:pPr>
              <w:pStyle w:val="Tabletext"/>
              <w:rPr>
                <w:i/>
                <w:iCs/>
                <w:highlight w:val="yellow"/>
              </w:rPr>
            </w:pPr>
            <w:r w:rsidRPr="003C348E">
              <w:rPr>
                <w:i/>
                <w:iCs/>
              </w:rPr>
              <w:t>Grantiella picta</w:t>
            </w:r>
          </w:p>
        </w:tc>
        <w:tc>
          <w:tcPr>
            <w:tcW w:w="3118" w:type="dxa"/>
            <w:shd w:val="clear" w:color="auto" w:fill="FFFFFF" w:themeFill="background1"/>
            <w:vAlign w:val="center"/>
          </w:tcPr>
          <w:p w14:paraId="069655E0" w14:textId="77777777" w:rsidR="000B173B" w:rsidRPr="002C27E1" w:rsidRDefault="000B173B" w:rsidP="00A15226">
            <w:pPr>
              <w:pStyle w:val="Tabletext"/>
              <w:rPr>
                <w:highlight w:val="yellow"/>
              </w:rPr>
            </w:pPr>
            <w:r w:rsidRPr="00A42F3A">
              <w:t>Painted Honeyeater</w:t>
            </w:r>
          </w:p>
        </w:tc>
        <w:tc>
          <w:tcPr>
            <w:tcW w:w="2835" w:type="dxa"/>
            <w:shd w:val="clear" w:color="auto" w:fill="FFFFFF" w:themeFill="background1"/>
            <w:vAlign w:val="center"/>
          </w:tcPr>
          <w:p w14:paraId="506929F9" w14:textId="77777777" w:rsidR="000B173B" w:rsidRPr="002C27E1" w:rsidRDefault="000B173B" w:rsidP="00A15226">
            <w:pPr>
              <w:pStyle w:val="Tabletext"/>
              <w:rPr>
                <w:highlight w:val="yellow"/>
              </w:rPr>
            </w:pPr>
            <w:r w:rsidRPr="00A42F3A">
              <w:t>Vulnerable</w:t>
            </w:r>
          </w:p>
        </w:tc>
        <w:tc>
          <w:tcPr>
            <w:tcW w:w="851" w:type="dxa"/>
            <w:shd w:val="clear" w:color="auto" w:fill="FFFFFF" w:themeFill="background1"/>
            <w:vAlign w:val="center"/>
          </w:tcPr>
          <w:p w14:paraId="6D7C06C0"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4A1BF706"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2DE08403"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193530F9"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28A477AE" w14:textId="77777777" w:rsidR="000B173B" w:rsidRPr="001425AD" w:rsidRDefault="000B173B" w:rsidP="00A15226">
            <w:pPr>
              <w:pStyle w:val="Tabletext"/>
              <w:jc w:val="center"/>
            </w:pPr>
            <w:r w:rsidRPr="00BA5CA5">
              <w:t>Yes</w:t>
            </w:r>
          </w:p>
        </w:tc>
      </w:tr>
      <w:tr w:rsidR="000B173B" w14:paraId="5A3AC758" w14:textId="77777777" w:rsidTr="00A15226">
        <w:tc>
          <w:tcPr>
            <w:tcW w:w="3114" w:type="dxa"/>
            <w:shd w:val="clear" w:color="auto" w:fill="FFFFFF" w:themeFill="background1"/>
            <w:vAlign w:val="center"/>
          </w:tcPr>
          <w:p w14:paraId="5C9CB50F" w14:textId="77777777" w:rsidR="000B173B" w:rsidRPr="003C348E" w:rsidRDefault="000B173B" w:rsidP="00A15226">
            <w:pPr>
              <w:pStyle w:val="Tabletext"/>
              <w:rPr>
                <w:i/>
                <w:iCs/>
                <w:highlight w:val="yellow"/>
              </w:rPr>
            </w:pPr>
            <w:r w:rsidRPr="003C348E">
              <w:rPr>
                <w:i/>
                <w:iCs/>
              </w:rPr>
              <w:t>Halobaena caerulea</w:t>
            </w:r>
          </w:p>
        </w:tc>
        <w:tc>
          <w:tcPr>
            <w:tcW w:w="3118" w:type="dxa"/>
            <w:shd w:val="clear" w:color="auto" w:fill="FFFFFF" w:themeFill="background1"/>
            <w:vAlign w:val="center"/>
          </w:tcPr>
          <w:p w14:paraId="02DAE169" w14:textId="77777777" w:rsidR="000B173B" w:rsidRPr="002C27E1" w:rsidRDefault="000B173B" w:rsidP="00A15226">
            <w:pPr>
              <w:pStyle w:val="Tabletext"/>
              <w:rPr>
                <w:highlight w:val="yellow"/>
              </w:rPr>
            </w:pPr>
            <w:r w:rsidRPr="00A42F3A">
              <w:t>Blue Petrel</w:t>
            </w:r>
          </w:p>
        </w:tc>
        <w:tc>
          <w:tcPr>
            <w:tcW w:w="2835" w:type="dxa"/>
            <w:shd w:val="clear" w:color="auto" w:fill="FFFFFF" w:themeFill="background1"/>
            <w:vAlign w:val="center"/>
          </w:tcPr>
          <w:p w14:paraId="22062E45" w14:textId="77777777" w:rsidR="000B173B" w:rsidRPr="002C27E1" w:rsidRDefault="000B173B" w:rsidP="00A15226">
            <w:pPr>
              <w:pStyle w:val="Tabletext"/>
              <w:rPr>
                <w:highlight w:val="yellow"/>
              </w:rPr>
            </w:pPr>
            <w:r w:rsidRPr="00A42F3A">
              <w:t>Vulnerable</w:t>
            </w:r>
          </w:p>
        </w:tc>
        <w:tc>
          <w:tcPr>
            <w:tcW w:w="851" w:type="dxa"/>
            <w:shd w:val="clear" w:color="auto" w:fill="FFFFFF" w:themeFill="background1"/>
            <w:vAlign w:val="center"/>
          </w:tcPr>
          <w:p w14:paraId="6229DE97"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7B4D294F"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5A36AF76" w14:textId="77777777" w:rsidR="000B173B" w:rsidRPr="002C27E1" w:rsidRDefault="000B173B" w:rsidP="00A15226">
            <w:pPr>
              <w:pStyle w:val="Tabletext"/>
              <w:jc w:val="center"/>
              <w:rPr>
                <w:highlight w:val="yellow"/>
              </w:rPr>
            </w:pPr>
            <w:r w:rsidRPr="001425AD">
              <w:t>N/A</w:t>
            </w:r>
          </w:p>
        </w:tc>
        <w:tc>
          <w:tcPr>
            <w:tcW w:w="1134" w:type="dxa"/>
            <w:shd w:val="clear" w:color="auto" w:fill="FFFFFF" w:themeFill="background1"/>
            <w:vAlign w:val="center"/>
          </w:tcPr>
          <w:p w14:paraId="7EF63421" w14:textId="77777777" w:rsidR="000B173B" w:rsidRPr="002C27E1" w:rsidRDefault="000B173B" w:rsidP="00A15226">
            <w:pPr>
              <w:pStyle w:val="Tabletext"/>
              <w:jc w:val="center"/>
              <w:rPr>
                <w:highlight w:val="yellow"/>
              </w:rPr>
            </w:pPr>
            <w:r>
              <w:t>May</w:t>
            </w:r>
          </w:p>
        </w:tc>
        <w:tc>
          <w:tcPr>
            <w:tcW w:w="1300" w:type="dxa"/>
            <w:shd w:val="clear" w:color="auto" w:fill="FFFFFF" w:themeFill="background1"/>
            <w:vAlign w:val="center"/>
          </w:tcPr>
          <w:p w14:paraId="463AD644" w14:textId="77777777" w:rsidR="000B173B" w:rsidRPr="001425AD" w:rsidRDefault="000B173B" w:rsidP="00A15226">
            <w:pPr>
              <w:pStyle w:val="Tabletext"/>
              <w:jc w:val="center"/>
            </w:pPr>
            <w:r w:rsidRPr="00BA5CA5">
              <w:t>Yes</w:t>
            </w:r>
          </w:p>
        </w:tc>
      </w:tr>
      <w:tr w:rsidR="000B173B" w14:paraId="5F610C67" w14:textId="77777777" w:rsidTr="00A15226">
        <w:tc>
          <w:tcPr>
            <w:tcW w:w="3114" w:type="dxa"/>
            <w:shd w:val="clear" w:color="auto" w:fill="FFFFFF" w:themeFill="background1"/>
            <w:vAlign w:val="center"/>
          </w:tcPr>
          <w:p w14:paraId="1BFE503D" w14:textId="77777777" w:rsidR="000B173B" w:rsidRPr="003C348E" w:rsidRDefault="000B173B" w:rsidP="00A15226">
            <w:pPr>
              <w:pStyle w:val="Tabletext"/>
              <w:rPr>
                <w:i/>
                <w:iCs/>
                <w:highlight w:val="yellow"/>
              </w:rPr>
            </w:pPr>
            <w:r w:rsidRPr="003C348E">
              <w:rPr>
                <w:i/>
                <w:iCs/>
              </w:rPr>
              <w:t>Hirundapus caudacutus</w:t>
            </w:r>
          </w:p>
        </w:tc>
        <w:tc>
          <w:tcPr>
            <w:tcW w:w="3118" w:type="dxa"/>
            <w:shd w:val="clear" w:color="auto" w:fill="FFFFFF" w:themeFill="background1"/>
            <w:vAlign w:val="center"/>
          </w:tcPr>
          <w:p w14:paraId="065902C4" w14:textId="77777777" w:rsidR="000B173B" w:rsidRPr="002C27E1" w:rsidRDefault="000B173B" w:rsidP="00A15226">
            <w:pPr>
              <w:pStyle w:val="Tabletext"/>
              <w:rPr>
                <w:highlight w:val="yellow"/>
              </w:rPr>
            </w:pPr>
            <w:r w:rsidRPr="00A42F3A">
              <w:t>White-throated Needletail</w:t>
            </w:r>
          </w:p>
        </w:tc>
        <w:tc>
          <w:tcPr>
            <w:tcW w:w="2835" w:type="dxa"/>
            <w:shd w:val="clear" w:color="auto" w:fill="FFFFFF" w:themeFill="background1"/>
            <w:vAlign w:val="center"/>
          </w:tcPr>
          <w:p w14:paraId="1FCBBB13"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65D47F46"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24238330"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016C8B5A" w14:textId="77777777" w:rsidR="000B173B" w:rsidRPr="002C27E1" w:rsidRDefault="000B173B" w:rsidP="00A15226">
            <w:pPr>
              <w:pStyle w:val="Tabletext"/>
              <w:jc w:val="center"/>
              <w:rPr>
                <w:highlight w:val="yellow"/>
              </w:rPr>
            </w:pPr>
            <w:r w:rsidRPr="001425AD">
              <w:t>Low</w:t>
            </w:r>
          </w:p>
        </w:tc>
        <w:tc>
          <w:tcPr>
            <w:tcW w:w="1134" w:type="dxa"/>
            <w:shd w:val="clear" w:color="auto" w:fill="FFFFFF" w:themeFill="background1"/>
            <w:vAlign w:val="center"/>
          </w:tcPr>
          <w:p w14:paraId="3C2AB70A"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4DBCCF14" w14:textId="77777777" w:rsidR="000B173B" w:rsidRPr="001425AD" w:rsidRDefault="000B173B" w:rsidP="00A15226">
            <w:pPr>
              <w:pStyle w:val="Tabletext"/>
              <w:jc w:val="center"/>
            </w:pPr>
            <w:r w:rsidRPr="00BA5CA5">
              <w:t>Yes</w:t>
            </w:r>
          </w:p>
        </w:tc>
      </w:tr>
      <w:tr w:rsidR="000B173B" w14:paraId="0B8977C4" w14:textId="77777777" w:rsidTr="00A15226">
        <w:tc>
          <w:tcPr>
            <w:tcW w:w="3114" w:type="dxa"/>
            <w:shd w:val="clear" w:color="auto" w:fill="FFFFFF" w:themeFill="background1"/>
            <w:vAlign w:val="center"/>
          </w:tcPr>
          <w:p w14:paraId="2925B8F7" w14:textId="77777777" w:rsidR="000B173B" w:rsidRPr="003C348E" w:rsidRDefault="000B173B" w:rsidP="00A15226">
            <w:pPr>
              <w:pStyle w:val="Tabletext"/>
              <w:rPr>
                <w:i/>
                <w:iCs/>
                <w:highlight w:val="yellow"/>
              </w:rPr>
            </w:pPr>
            <w:r w:rsidRPr="003C348E">
              <w:rPr>
                <w:i/>
                <w:iCs/>
              </w:rPr>
              <w:t>Lathamus discolor</w:t>
            </w:r>
          </w:p>
        </w:tc>
        <w:tc>
          <w:tcPr>
            <w:tcW w:w="3118" w:type="dxa"/>
            <w:shd w:val="clear" w:color="auto" w:fill="FFFFFF" w:themeFill="background1"/>
            <w:vAlign w:val="center"/>
          </w:tcPr>
          <w:p w14:paraId="2735A4A3" w14:textId="77777777" w:rsidR="000B173B" w:rsidRPr="002C27E1" w:rsidRDefault="000B173B" w:rsidP="00A15226">
            <w:pPr>
              <w:pStyle w:val="Tabletext"/>
              <w:rPr>
                <w:highlight w:val="yellow"/>
              </w:rPr>
            </w:pPr>
            <w:r w:rsidRPr="00A42F3A">
              <w:t xml:space="preserve">Swift Parrot </w:t>
            </w:r>
          </w:p>
        </w:tc>
        <w:tc>
          <w:tcPr>
            <w:tcW w:w="2835" w:type="dxa"/>
            <w:shd w:val="clear" w:color="auto" w:fill="FFFFFF" w:themeFill="background1"/>
            <w:vAlign w:val="center"/>
          </w:tcPr>
          <w:p w14:paraId="4FF9D0F0" w14:textId="77777777" w:rsidR="000B173B" w:rsidRPr="002C27E1" w:rsidRDefault="000B173B" w:rsidP="00A15226">
            <w:pPr>
              <w:pStyle w:val="Tabletext"/>
              <w:rPr>
                <w:highlight w:val="yellow"/>
              </w:rPr>
            </w:pPr>
            <w:r w:rsidRPr="00A42F3A">
              <w:t>Critically Endangered, marine</w:t>
            </w:r>
          </w:p>
        </w:tc>
        <w:tc>
          <w:tcPr>
            <w:tcW w:w="851" w:type="dxa"/>
            <w:shd w:val="clear" w:color="auto" w:fill="FFFFFF" w:themeFill="background1"/>
            <w:vAlign w:val="center"/>
          </w:tcPr>
          <w:p w14:paraId="3DD16B38"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260B09A1"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107D2781" w14:textId="77777777" w:rsidR="000B173B" w:rsidRPr="002C27E1" w:rsidRDefault="000B173B" w:rsidP="00A15226">
            <w:pPr>
              <w:pStyle w:val="Tabletext"/>
              <w:jc w:val="center"/>
              <w:rPr>
                <w:highlight w:val="yellow"/>
              </w:rPr>
            </w:pPr>
            <w:r w:rsidRPr="001425AD">
              <w:t>Low</w:t>
            </w:r>
          </w:p>
        </w:tc>
        <w:tc>
          <w:tcPr>
            <w:tcW w:w="1134" w:type="dxa"/>
            <w:shd w:val="clear" w:color="auto" w:fill="FFFFFF" w:themeFill="background1"/>
            <w:vAlign w:val="center"/>
          </w:tcPr>
          <w:p w14:paraId="2C613451"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2820C099" w14:textId="77777777" w:rsidR="000B173B" w:rsidRPr="001425AD" w:rsidRDefault="000B173B" w:rsidP="00A15226">
            <w:pPr>
              <w:pStyle w:val="Tabletext"/>
              <w:jc w:val="center"/>
            </w:pPr>
            <w:r w:rsidRPr="00BA5CA5">
              <w:t>Yes</w:t>
            </w:r>
          </w:p>
        </w:tc>
      </w:tr>
      <w:tr w:rsidR="000B173B" w14:paraId="20E284FF" w14:textId="77777777" w:rsidTr="00A15226">
        <w:tc>
          <w:tcPr>
            <w:tcW w:w="3114" w:type="dxa"/>
            <w:shd w:val="clear" w:color="auto" w:fill="FFFFFF" w:themeFill="background1"/>
            <w:vAlign w:val="center"/>
          </w:tcPr>
          <w:p w14:paraId="33C446F0" w14:textId="77777777" w:rsidR="000B173B" w:rsidRPr="003C348E" w:rsidRDefault="000B173B" w:rsidP="00A15226">
            <w:pPr>
              <w:pStyle w:val="Tabletext"/>
              <w:rPr>
                <w:i/>
                <w:iCs/>
                <w:highlight w:val="yellow"/>
              </w:rPr>
            </w:pPr>
            <w:r w:rsidRPr="003C348E">
              <w:rPr>
                <w:i/>
                <w:iCs/>
              </w:rPr>
              <w:t>Limosa lapponica baueri</w:t>
            </w:r>
          </w:p>
        </w:tc>
        <w:tc>
          <w:tcPr>
            <w:tcW w:w="3118" w:type="dxa"/>
            <w:shd w:val="clear" w:color="auto" w:fill="FFFFFF" w:themeFill="background1"/>
            <w:vAlign w:val="center"/>
          </w:tcPr>
          <w:p w14:paraId="0BE22987" w14:textId="77777777" w:rsidR="000B173B" w:rsidRPr="002C27E1" w:rsidRDefault="000B173B" w:rsidP="00A15226">
            <w:pPr>
              <w:pStyle w:val="Tabletext"/>
              <w:rPr>
                <w:highlight w:val="yellow"/>
              </w:rPr>
            </w:pPr>
            <w:r w:rsidRPr="00A42F3A">
              <w:t>Western Alaskan Bar-tailed Godwit</w:t>
            </w:r>
          </w:p>
        </w:tc>
        <w:tc>
          <w:tcPr>
            <w:tcW w:w="2835" w:type="dxa"/>
            <w:shd w:val="clear" w:color="auto" w:fill="FFFFFF" w:themeFill="background1"/>
            <w:vAlign w:val="center"/>
          </w:tcPr>
          <w:p w14:paraId="7E5FC654" w14:textId="77777777" w:rsidR="000B173B" w:rsidRPr="002C27E1" w:rsidRDefault="000B173B" w:rsidP="00A15226">
            <w:pPr>
              <w:pStyle w:val="Tabletext"/>
              <w:rPr>
                <w:highlight w:val="yellow"/>
              </w:rPr>
            </w:pPr>
            <w:r w:rsidRPr="00A42F3A">
              <w:t>Vulnerable</w:t>
            </w:r>
          </w:p>
        </w:tc>
        <w:tc>
          <w:tcPr>
            <w:tcW w:w="851" w:type="dxa"/>
            <w:shd w:val="clear" w:color="auto" w:fill="FFFFFF" w:themeFill="background1"/>
            <w:vAlign w:val="center"/>
          </w:tcPr>
          <w:p w14:paraId="3B487DC0"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670D048A"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79742182"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77367055"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7E8073AC" w14:textId="77777777" w:rsidR="000B173B" w:rsidRPr="001425AD" w:rsidRDefault="000B173B" w:rsidP="00A15226">
            <w:pPr>
              <w:pStyle w:val="Tabletext"/>
              <w:jc w:val="center"/>
            </w:pPr>
            <w:r w:rsidRPr="00BA5CA5">
              <w:t>Yes</w:t>
            </w:r>
          </w:p>
        </w:tc>
      </w:tr>
      <w:tr w:rsidR="000B173B" w14:paraId="24324244" w14:textId="77777777" w:rsidTr="00A15226">
        <w:tc>
          <w:tcPr>
            <w:tcW w:w="3114" w:type="dxa"/>
            <w:shd w:val="clear" w:color="auto" w:fill="FFFFFF" w:themeFill="background1"/>
            <w:vAlign w:val="center"/>
          </w:tcPr>
          <w:p w14:paraId="2D14F9B0" w14:textId="77777777" w:rsidR="000B173B" w:rsidRPr="003C348E" w:rsidRDefault="000B173B" w:rsidP="00A15226">
            <w:pPr>
              <w:pStyle w:val="Tabletext"/>
              <w:rPr>
                <w:i/>
                <w:iCs/>
                <w:highlight w:val="yellow"/>
              </w:rPr>
            </w:pPr>
            <w:r w:rsidRPr="003C348E">
              <w:rPr>
                <w:i/>
                <w:iCs/>
              </w:rPr>
              <w:t>Macronectes giganteus</w:t>
            </w:r>
          </w:p>
        </w:tc>
        <w:tc>
          <w:tcPr>
            <w:tcW w:w="3118" w:type="dxa"/>
            <w:shd w:val="clear" w:color="auto" w:fill="FFFFFF" w:themeFill="background1"/>
            <w:vAlign w:val="center"/>
          </w:tcPr>
          <w:p w14:paraId="18BBA09E" w14:textId="77777777" w:rsidR="000B173B" w:rsidRPr="002C27E1" w:rsidRDefault="000B173B" w:rsidP="00A15226">
            <w:pPr>
              <w:pStyle w:val="Tabletext"/>
              <w:rPr>
                <w:highlight w:val="yellow"/>
              </w:rPr>
            </w:pPr>
            <w:r w:rsidRPr="00A42F3A">
              <w:t>Southern Giant-Petrel</w:t>
            </w:r>
          </w:p>
        </w:tc>
        <w:tc>
          <w:tcPr>
            <w:tcW w:w="2835" w:type="dxa"/>
            <w:shd w:val="clear" w:color="auto" w:fill="FFFFFF" w:themeFill="background1"/>
            <w:vAlign w:val="center"/>
          </w:tcPr>
          <w:p w14:paraId="710D9268" w14:textId="77777777" w:rsidR="000B173B" w:rsidRPr="002C27E1" w:rsidRDefault="000B173B" w:rsidP="00A15226">
            <w:pPr>
              <w:pStyle w:val="Tabletext"/>
              <w:rPr>
                <w:highlight w:val="yellow"/>
              </w:rPr>
            </w:pPr>
            <w:r w:rsidRPr="00A42F3A">
              <w:t>Endangered, marine, migratory</w:t>
            </w:r>
          </w:p>
        </w:tc>
        <w:tc>
          <w:tcPr>
            <w:tcW w:w="851" w:type="dxa"/>
            <w:shd w:val="clear" w:color="auto" w:fill="FFFFFF" w:themeFill="background1"/>
            <w:vAlign w:val="center"/>
          </w:tcPr>
          <w:p w14:paraId="30B684C9"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6510E729"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54810F6C"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763981EA" w14:textId="77777777" w:rsidR="000B173B" w:rsidRPr="002C27E1" w:rsidRDefault="000B173B" w:rsidP="00A15226">
            <w:pPr>
              <w:pStyle w:val="Tabletext"/>
              <w:jc w:val="center"/>
              <w:rPr>
                <w:highlight w:val="yellow"/>
              </w:rPr>
            </w:pPr>
            <w:r w:rsidRPr="001425AD">
              <w:t>May</w:t>
            </w:r>
          </w:p>
        </w:tc>
        <w:tc>
          <w:tcPr>
            <w:tcW w:w="1300" w:type="dxa"/>
            <w:shd w:val="clear" w:color="auto" w:fill="FFFFFF" w:themeFill="background1"/>
            <w:vAlign w:val="center"/>
          </w:tcPr>
          <w:p w14:paraId="1739EC7D" w14:textId="77777777" w:rsidR="000B173B" w:rsidRPr="001425AD" w:rsidRDefault="000B173B" w:rsidP="00A15226">
            <w:pPr>
              <w:pStyle w:val="Tabletext"/>
              <w:jc w:val="center"/>
            </w:pPr>
            <w:r w:rsidRPr="00BA5CA5">
              <w:t>Yes</w:t>
            </w:r>
          </w:p>
        </w:tc>
      </w:tr>
      <w:tr w:rsidR="000B173B" w14:paraId="64F641D7" w14:textId="77777777" w:rsidTr="00A15226">
        <w:tc>
          <w:tcPr>
            <w:tcW w:w="3114" w:type="dxa"/>
            <w:shd w:val="clear" w:color="auto" w:fill="FFFFFF" w:themeFill="background1"/>
            <w:vAlign w:val="center"/>
          </w:tcPr>
          <w:p w14:paraId="3724EFCA" w14:textId="77777777" w:rsidR="000B173B" w:rsidRPr="003C348E" w:rsidRDefault="000B173B" w:rsidP="00A15226">
            <w:pPr>
              <w:pStyle w:val="Tabletext"/>
              <w:rPr>
                <w:i/>
                <w:iCs/>
                <w:highlight w:val="yellow"/>
              </w:rPr>
            </w:pPr>
            <w:r w:rsidRPr="003C348E">
              <w:rPr>
                <w:i/>
                <w:iCs/>
              </w:rPr>
              <w:t>Macronectes halli</w:t>
            </w:r>
          </w:p>
        </w:tc>
        <w:tc>
          <w:tcPr>
            <w:tcW w:w="3118" w:type="dxa"/>
            <w:shd w:val="clear" w:color="auto" w:fill="FFFFFF" w:themeFill="background1"/>
            <w:vAlign w:val="center"/>
          </w:tcPr>
          <w:p w14:paraId="1F0FDDFE" w14:textId="77777777" w:rsidR="000B173B" w:rsidRPr="002C27E1" w:rsidRDefault="000B173B" w:rsidP="00A15226">
            <w:pPr>
              <w:pStyle w:val="Tabletext"/>
              <w:rPr>
                <w:highlight w:val="yellow"/>
              </w:rPr>
            </w:pPr>
            <w:r w:rsidRPr="00A42F3A">
              <w:t>Northern Giant Petrel</w:t>
            </w:r>
          </w:p>
        </w:tc>
        <w:tc>
          <w:tcPr>
            <w:tcW w:w="2835" w:type="dxa"/>
            <w:shd w:val="clear" w:color="auto" w:fill="FFFFFF" w:themeFill="background1"/>
            <w:vAlign w:val="center"/>
          </w:tcPr>
          <w:p w14:paraId="3EC4294C"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06712227"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3D37E7F8"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24CAD89B"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14E47F0A" w14:textId="77777777" w:rsidR="000B173B" w:rsidRPr="002C27E1" w:rsidRDefault="000B173B" w:rsidP="00A15226">
            <w:pPr>
              <w:pStyle w:val="Tabletext"/>
              <w:jc w:val="center"/>
              <w:rPr>
                <w:highlight w:val="yellow"/>
              </w:rPr>
            </w:pPr>
            <w:r w:rsidRPr="001425AD">
              <w:t>May</w:t>
            </w:r>
          </w:p>
        </w:tc>
        <w:tc>
          <w:tcPr>
            <w:tcW w:w="1300" w:type="dxa"/>
            <w:shd w:val="clear" w:color="auto" w:fill="FFFFFF" w:themeFill="background1"/>
            <w:vAlign w:val="center"/>
          </w:tcPr>
          <w:p w14:paraId="1CEA561C" w14:textId="77777777" w:rsidR="000B173B" w:rsidRPr="001425AD" w:rsidRDefault="000B173B" w:rsidP="00A15226">
            <w:pPr>
              <w:pStyle w:val="Tabletext"/>
              <w:jc w:val="center"/>
            </w:pPr>
            <w:r w:rsidRPr="00BA5CA5">
              <w:t>Yes</w:t>
            </w:r>
          </w:p>
        </w:tc>
      </w:tr>
      <w:tr w:rsidR="000B173B" w14:paraId="4D1D3052" w14:textId="77777777" w:rsidTr="00A15226">
        <w:tc>
          <w:tcPr>
            <w:tcW w:w="3114" w:type="dxa"/>
            <w:shd w:val="clear" w:color="auto" w:fill="FFFFFF" w:themeFill="background1"/>
            <w:vAlign w:val="center"/>
          </w:tcPr>
          <w:p w14:paraId="5648D4DB" w14:textId="77777777" w:rsidR="000B173B" w:rsidRPr="003C348E" w:rsidRDefault="000B173B" w:rsidP="00A15226">
            <w:pPr>
              <w:pStyle w:val="Tabletext"/>
              <w:rPr>
                <w:i/>
                <w:iCs/>
                <w:highlight w:val="yellow"/>
              </w:rPr>
            </w:pPr>
            <w:r w:rsidRPr="003C348E">
              <w:rPr>
                <w:i/>
                <w:iCs/>
              </w:rPr>
              <w:t>Neophema chrysogaster</w:t>
            </w:r>
          </w:p>
        </w:tc>
        <w:tc>
          <w:tcPr>
            <w:tcW w:w="3118" w:type="dxa"/>
            <w:shd w:val="clear" w:color="auto" w:fill="FFFFFF" w:themeFill="background1"/>
            <w:vAlign w:val="center"/>
          </w:tcPr>
          <w:p w14:paraId="431ACA26" w14:textId="77777777" w:rsidR="000B173B" w:rsidRPr="002C27E1" w:rsidRDefault="000B173B" w:rsidP="00A15226">
            <w:pPr>
              <w:pStyle w:val="Tabletext"/>
              <w:rPr>
                <w:highlight w:val="yellow"/>
              </w:rPr>
            </w:pPr>
            <w:r w:rsidRPr="00A42F3A">
              <w:t>Orange-bellied Parrot</w:t>
            </w:r>
          </w:p>
        </w:tc>
        <w:tc>
          <w:tcPr>
            <w:tcW w:w="2835" w:type="dxa"/>
            <w:shd w:val="clear" w:color="auto" w:fill="FFFFFF" w:themeFill="background1"/>
            <w:vAlign w:val="center"/>
          </w:tcPr>
          <w:p w14:paraId="75C9DF8E" w14:textId="77777777" w:rsidR="000B173B" w:rsidRPr="002C27E1" w:rsidRDefault="000B173B" w:rsidP="00A15226">
            <w:pPr>
              <w:pStyle w:val="Tabletext"/>
              <w:rPr>
                <w:highlight w:val="yellow"/>
              </w:rPr>
            </w:pPr>
            <w:r w:rsidRPr="00A42F3A">
              <w:t>Critically Endangered, Marine</w:t>
            </w:r>
          </w:p>
        </w:tc>
        <w:tc>
          <w:tcPr>
            <w:tcW w:w="851" w:type="dxa"/>
            <w:shd w:val="clear" w:color="auto" w:fill="FFFFFF" w:themeFill="background1"/>
            <w:vAlign w:val="center"/>
          </w:tcPr>
          <w:p w14:paraId="5C923CED"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713830FA"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13BBE1B5"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29CE8C09"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73DF0058" w14:textId="77777777" w:rsidR="000B173B" w:rsidRPr="001425AD" w:rsidRDefault="000B173B" w:rsidP="00A15226">
            <w:pPr>
              <w:pStyle w:val="Tabletext"/>
              <w:jc w:val="center"/>
            </w:pPr>
            <w:r w:rsidRPr="00BA5CA5">
              <w:t>Yes</w:t>
            </w:r>
          </w:p>
        </w:tc>
      </w:tr>
      <w:tr w:rsidR="000B173B" w14:paraId="08F178EA" w14:textId="77777777" w:rsidTr="00A15226">
        <w:tc>
          <w:tcPr>
            <w:tcW w:w="3114" w:type="dxa"/>
            <w:shd w:val="clear" w:color="auto" w:fill="FFFFFF" w:themeFill="background1"/>
            <w:vAlign w:val="center"/>
          </w:tcPr>
          <w:p w14:paraId="73D39978" w14:textId="77777777" w:rsidR="000B173B" w:rsidRPr="003C348E" w:rsidRDefault="000B173B" w:rsidP="00A15226">
            <w:pPr>
              <w:pStyle w:val="Tabletext"/>
              <w:rPr>
                <w:i/>
                <w:iCs/>
              </w:rPr>
            </w:pPr>
            <w:r>
              <w:rPr>
                <w:i/>
                <w:iCs/>
              </w:rPr>
              <w:lastRenderedPageBreak/>
              <w:t>Neophema chrysostoma</w:t>
            </w:r>
          </w:p>
        </w:tc>
        <w:tc>
          <w:tcPr>
            <w:tcW w:w="3118" w:type="dxa"/>
            <w:shd w:val="clear" w:color="auto" w:fill="FFFFFF" w:themeFill="background1"/>
            <w:vAlign w:val="center"/>
          </w:tcPr>
          <w:p w14:paraId="17B38F13" w14:textId="77777777" w:rsidR="000B173B" w:rsidRPr="00A42F3A" w:rsidRDefault="000B173B" w:rsidP="00A15226">
            <w:pPr>
              <w:pStyle w:val="Tabletext"/>
            </w:pPr>
            <w:r>
              <w:t>Blue-winged Parrot</w:t>
            </w:r>
          </w:p>
        </w:tc>
        <w:tc>
          <w:tcPr>
            <w:tcW w:w="2835" w:type="dxa"/>
            <w:shd w:val="clear" w:color="auto" w:fill="FFFFFF" w:themeFill="background1"/>
            <w:vAlign w:val="center"/>
          </w:tcPr>
          <w:p w14:paraId="5E8496C1" w14:textId="77777777" w:rsidR="000B173B" w:rsidRPr="00A42F3A" w:rsidRDefault="000B173B" w:rsidP="00A15226">
            <w:pPr>
              <w:pStyle w:val="Tabletext"/>
            </w:pPr>
            <w:r>
              <w:t>Vulnerable</w:t>
            </w:r>
          </w:p>
        </w:tc>
        <w:tc>
          <w:tcPr>
            <w:tcW w:w="851" w:type="dxa"/>
            <w:shd w:val="clear" w:color="auto" w:fill="FFFFFF" w:themeFill="background1"/>
            <w:vAlign w:val="center"/>
          </w:tcPr>
          <w:p w14:paraId="1F985590" w14:textId="77777777" w:rsidR="000B173B" w:rsidRPr="001425AD" w:rsidRDefault="000B173B" w:rsidP="00A15226">
            <w:pPr>
              <w:pStyle w:val="Tabletext"/>
              <w:jc w:val="center"/>
            </w:pPr>
            <w:r>
              <w:t>Yes</w:t>
            </w:r>
          </w:p>
        </w:tc>
        <w:tc>
          <w:tcPr>
            <w:tcW w:w="850" w:type="dxa"/>
            <w:shd w:val="clear" w:color="auto" w:fill="FFFFFF" w:themeFill="background1"/>
            <w:vAlign w:val="center"/>
          </w:tcPr>
          <w:p w14:paraId="32173AEC" w14:textId="77777777" w:rsidR="000B173B" w:rsidRPr="001425AD" w:rsidRDefault="000B173B" w:rsidP="00A15226">
            <w:pPr>
              <w:pStyle w:val="Tabletext"/>
              <w:jc w:val="center"/>
            </w:pPr>
            <w:r>
              <w:t>No</w:t>
            </w:r>
          </w:p>
        </w:tc>
        <w:tc>
          <w:tcPr>
            <w:tcW w:w="1134" w:type="dxa"/>
            <w:shd w:val="clear" w:color="auto" w:fill="FFFFFF" w:themeFill="background1"/>
            <w:vAlign w:val="center"/>
          </w:tcPr>
          <w:p w14:paraId="403C3FC2" w14:textId="77777777" w:rsidR="000B173B" w:rsidRPr="001425AD" w:rsidRDefault="000B173B" w:rsidP="00A15226">
            <w:pPr>
              <w:pStyle w:val="Tabletext"/>
              <w:jc w:val="center"/>
            </w:pPr>
            <w:r>
              <w:t>N/A</w:t>
            </w:r>
          </w:p>
        </w:tc>
        <w:tc>
          <w:tcPr>
            <w:tcW w:w="1134" w:type="dxa"/>
            <w:shd w:val="clear" w:color="auto" w:fill="FFFFFF" w:themeFill="background1"/>
            <w:vAlign w:val="center"/>
          </w:tcPr>
          <w:p w14:paraId="6266CF04" w14:textId="77777777" w:rsidR="000B173B" w:rsidRPr="001425AD" w:rsidRDefault="000B173B" w:rsidP="00A15226">
            <w:pPr>
              <w:pStyle w:val="Tabletext"/>
              <w:jc w:val="center"/>
            </w:pPr>
            <w:r>
              <w:t>Known</w:t>
            </w:r>
          </w:p>
        </w:tc>
        <w:tc>
          <w:tcPr>
            <w:tcW w:w="1300" w:type="dxa"/>
            <w:shd w:val="clear" w:color="auto" w:fill="FFFFFF" w:themeFill="background1"/>
            <w:vAlign w:val="center"/>
          </w:tcPr>
          <w:p w14:paraId="1D20A89E" w14:textId="77777777" w:rsidR="000B173B" w:rsidRPr="00BA5CA5" w:rsidRDefault="000B173B" w:rsidP="00A15226">
            <w:pPr>
              <w:pStyle w:val="Tabletext"/>
              <w:jc w:val="center"/>
            </w:pPr>
            <w:r>
              <w:t>Yes</w:t>
            </w:r>
          </w:p>
        </w:tc>
      </w:tr>
      <w:tr w:rsidR="000B173B" w14:paraId="65A077C9" w14:textId="77777777" w:rsidTr="00A15226">
        <w:tc>
          <w:tcPr>
            <w:tcW w:w="3114" w:type="dxa"/>
            <w:shd w:val="clear" w:color="auto" w:fill="FFFFFF" w:themeFill="background1"/>
            <w:vAlign w:val="center"/>
          </w:tcPr>
          <w:p w14:paraId="32B84F5F" w14:textId="77777777" w:rsidR="000B173B" w:rsidRPr="003C348E" w:rsidRDefault="000B173B" w:rsidP="00A15226">
            <w:pPr>
              <w:pStyle w:val="Tabletext"/>
              <w:rPr>
                <w:i/>
                <w:iCs/>
                <w:highlight w:val="yellow"/>
              </w:rPr>
            </w:pPr>
            <w:r w:rsidRPr="003C348E">
              <w:rPr>
                <w:i/>
                <w:iCs/>
              </w:rPr>
              <w:t>Numenius madagascariensis</w:t>
            </w:r>
          </w:p>
        </w:tc>
        <w:tc>
          <w:tcPr>
            <w:tcW w:w="3118" w:type="dxa"/>
            <w:shd w:val="clear" w:color="auto" w:fill="FFFFFF" w:themeFill="background1"/>
            <w:vAlign w:val="center"/>
          </w:tcPr>
          <w:p w14:paraId="63C9C959" w14:textId="77777777" w:rsidR="000B173B" w:rsidRPr="002C27E1" w:rsidRDefault="000B173B" w:rsidP="00A15226">
            <w:pPr>
              <w:pStyle w:val="Tabletext"/>
              <w:rPr>
                <w:highlight w:val="yellow"/>
              </w:rPr>
            </w:pPr>
            <w:r w:rsidRPr="00A42F3A">
              <w:t>Eastern Curlew</w:t>
            </w:r>
          </w:p>
        </w:tc>
        <w:tc>
          <w:tcPr>
            <w:tcW w:w="2835" w:type="dxa"/>
            <w:shd w:val="clear" w:color="auto" w:fill="FFFFFF" w:themeFill="background1"/>
            <w:vAlign w:val="center"/>
          </w:tcPr>
          <w:p w14:paraId="4F3E535E" w14:textId="77777777" w:rsidR="000B173B" w:rsidRPr="002C27E1" w:rsidRDefault="000B173B" w:rsidP="00A15226">
            <w:pPr>
              <w:pStyle w:val="Tabletext"/>
              <w:rPr>
                <w:highlight w:val="yellow"/>
              </w:rPr>
            </w:pPr>
            <w:r w:rsidRPr="00A42F3A">
              <w:t>Critically Endangered, marine, migratory</w:t>
            </w:r>
          </w:p>
        </w:tc>
        <w:tc>
          <w:tcPr>
            <w:tcW w:w="851" w:type="dxa"/>
            <w:shd w:val="clear" w:color="auto" w:fill="FFFFFF" w:themeFill="background1"/>
            <w:vAlign w:val="center"/>
          </w:tcPr>
          <w:p w14:paraId="2511168A"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1B9A7A5C"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1054E72D"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24357554"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31E2D209" w14:textId="77777777" w:rsidR="000B173B" w:rsidRPr="001425AD" w:rsidRDefault="000B173B" w:rsidP="00A15226">
            <w:pPr>
              <w:pStyle w:val="Tabletext"/>
              <w:jc w:val="center"/>
            </w:pPr>
            <w:r w:rsidRPr="00BA5CA5">
              <w:t>Yes</w:t>
            </w:r>
          </w:p>
        </w:tc>
      </w:tr>
      <w:tr w:rsidR="000B173B" w14:paraId="5F689893" w14:textId="77777777" w:rsidTr="00A15226">
        <w:tc>
          <w:tcPr>
            <w:tcW w:w="3114" w:type="dxa"/>
            <w:shd w:val="clear" w:color="auto" w:fill="FFFFFF" w:themeFill="background1"/>
            <w:vAlign w:val="center"/>
          </w:tcPr>
          <w:p w14:paraId="58205606" w14:textId="77777777" w:rsidR="000B173B" w:rsidRPr="003C348E" w:rsidRDefault="000B173B" w:rsidP="00A15226">
            <w:pPr>
              <w:pStyle w:val="Tabletext"/>
              <w:rPr>
                <w:i/>
                <w:iCs/>
                <w:highlight w:val="yellow"/>
              </w:rPr>
            </w:pPr>
            <w:r w:rsidRPr="003C348E">
              <w:rPr>
                <w:i/>
                <w:iCs/>
              </w:rPr>
              <w:t>Pachyptila turtur subantarctica</w:t>
            </w:r>
          </w:p>
        </w:tc>
        <w:tc>
          <w:tcPr>
            <w:tcW w:w="3118" w:type="dxa"/>
            <w:shd w:val="clear" w:color="auto" w:fill="FFFFFF" w:themeFill="background1"/>
            <w:vAlign w:val="center"/>
          </w:tcPr>
          <w:p w14:paraId="6B91159E" w14:textId="77777777" w:rsidR="000B173B" w:rsidRPr="002C27E1" w:rsidRDefault="000B173B" w:rsidP="00A15226">
            <w:pPr>
              <w:pStyle w:val="Tabletext"/>
              <w:rPr>
                <w:highlight w:val="yellow"/>
              </w:rPr>
            </w:pPr>
            <w:r w:rsidRPr="00A42F3A">
              <w:t>Fairy Prion</w:t>
            </w:r>
          </w:p>
        </w:tc>
        <w:tc>
          <w:tcPr>
            <w:tcW w:w="2835" w:type="dxa"/>
            <w:shd w:val="clear" w:color="auto" w:fill="FFFFFF" w:themeFill="background1"/>
            <w:vAlign w:val="center"/>
          </w:tcPr>
          <w:p w14:paraId="37F74EC0" w14:textId="77777777" w:rsidR="000B173B" w:rsidRPr="002C27E1" w:rsidRDefault="000B173B" w:rsidP="00A15226">
            <w:pPr>
              <w:pStyle w:val="Tabletext"/>
              <w:rPr>
                <w:highlight w:val="yellow"/>
              </w:rPr>
            </w:pPr>
            <w:r w:rsidRPr="00A42F3A">
              <w:t>Vulnerable</w:t>
            </w:r>
          </w:p>
        </w:tc>
        <w:tc>
          <w:tcPr>
            <w:tcW w:w="851" w:type="dxa"/>
            <w:shd w:val="clear" w:color="auto" w:fill="FFFFFF" w:themeFill="background1"/>
            <w:vAlign w:val="center"/>
          </w:tcPr>
          <w:p w14:paraId="2594FB6F" w14:textId="77777777" w:rsidR="000B173B" w:rsidRPr="002C27E1" w:rsidRDefault="000B173B" w:rsidP="00A15226">
            <w:pPr>
              <w:pStyle w:val="Tabletext"/>
              <w:jc w:val="center"/>
              <w:rPr>
                <w:highlight w:val="yellow"/>
              </w:rPr>
            </w:pPr>
            <w:r>
              <w:t>Yes</w:t>
            </w:r>
          </w:p>
        </w:tc>
        <w:tc>
          <w:tcPr>
            <w:tcW w:w="850" w:type="dxa"/>
            <w:shd w:val="clear" w:color="auto" w:fill="FFFFFF" w:themeFill="background1"/>
            <w:vAlign w:val="center"/>
          </w:tcPr>
          <w:p w14:paraId="5F7EA970"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19371EE8"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72A96F5D"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69222EC1" w14:textId="77777777" w:rsidR="000B173B" w:rsidRPr="001425AD" w:rsidRDefault="000B173B" w:rsidP="00A15226">
            <w:pPr>
              <w:pStyle w:val="Tabletext"/>
              <w:jc w:val="center"/>
            </w:pPr>
            <w:r w:rsidRPr="00BA5CA5">
              <w:t>Yes</w:t>
            </w:r>
          </w:p>
        </w:tc>
      </w:tr>
      <w:tr w:rsidR="000B173B" w14:paraId="6E32D87F" w14:textId="77777777" w:rsidTr="00A15226">
        <w:tc>
          <w:tcPr>
            <w:tcW w:w="3114" w:type="dxa"/>
            <w:shd w:val="clear" w:color="auto" w:fill="FFFFFF" w:themeFill="background1"/>
            <w:vAlign w:val="center"/>
          </w:tcPr>
          <w:p w14:paraId="4AB21FE9" w14:textId="77777777" w:rsidR="000B173B" w:rsidRPr="003C348E" w:rsidRDefault="000B173B" w:rsidP="00A15226">
            <w:pPr>
              <w:pStyle w:val="Tabletext"/>
              <w:rPr>
                <w:i/>
                <w:iCs/>
                <w:highlight w:val="yellow"/>
              </w:rPr>
            </w:pPr>
            <w:r w:rsidRPr="003C348E">
              <w:rPr>
                <w:i/>
                <w:iCs/>
              </w:rPr>
              <w:t>Pedionomus torquatus</w:t>
            </w:r>
          </w:p>
        </w:tc>
        <w:tc>
          <w:tcPr>
            <w:tcW w:w="3118" w:type="dxa"/>
            <w:shd w:val="clear" w:color="auto" w:fill="FFFFFF" w:themeFill="background1"/>
            <w:vAlign w:val="center"/>
          </w:tcPr>
          <w:p w14:paraId="2E7F05B0" w14:textId="77777777" w:rsidR="000B173B" w:rsidRPr="002C27E1" w:rsidRDefault="000B173B" w:rsidP="00A15226">
            <w:pPr>
              <w:pStyle w:val="Tabletext"/>
              <w:rPr>
                <w:highlight w:val="yellow"/>
              </w:rPr>
            </w:pPr>
            <w:r w:rsidRPr="00A42F3A">
              <w:t>Plains-wanderer</w:t>
            </w:r>
          </w:p>
        </w:tc>
        <w:tc>
          <w:tcPr>
            <w:tcW w:w="2835" w:type="dxa"/>
            <w:shd w:val="clear" w:color="auto" w:fill="FFFFFF" w:themeFill="background1"/>
            <w:vAlign w:val="center"/>
          </w:tcPr>
          <w:p w14:paraId="5A09F4D2" w14:textId="77777777" w:rsidR="000B173B" w:rsidRPr="002C27E1" w:rsidRDefault="000B173B" w:rsidP="00A15226">
            <w:pPr>
              <w:pStyle w:val="Tabletext"/>
              <w:rPr>
                <w:highlight w:val="yellow"/>
              </w:rPr>
            </w:pPr>
            <w:r w:rsidRPr="003C348E">
              <w:t>Critically Endangered</w:t>
            </w:r>
          </w:p>
        </w:tc>
        <w:tc>
          <w:tcPr>
            <w:tcW w:w="851" w:type="dxa"/>
            <w:shd w:val="clear" w:color="auto" w:fill="FFFFFF" w:themeFill="background1"/>
            <w:vAlign w:val="center"/>
          </w:tcPr>
          <w:p w14:paraId="4B020BDB"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288DBC28"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60781E13"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7B26AD0B"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15C97FA7" w14:textId="77777777" w:rsidR="000B173B" w:rsidRPr="001425AD" w:rsidRDefault="000B173B" w:rsidP="00A15226">
            <w:pPr>
              <w:pStyle w:val="Tabletext"/>
              <w:jc w:val="center"/>
            </w:pPr>
            <w:r w:rsidRPr="00BA5CA5">
              <w:t>Yes</w:t>
            </w:r>
          </w:p>
        </w:tc>
      </w:tr>
      <w:tr w:rsidR="000B173B" w14:paraId="20FE99A3" w14:textId="77777777" w:rsidTr="00A15226">
        <w:tc>
          <w:tcPr>
            <w:tcW w:w="3114" w:type="dxa"/>
            <w:shd w:val="clear" w:color="auto" w:fill="FFFFFF" w:themeFill="background1"/>
            <w:vAlign w:val="center"/>
          </w:tcPr>
          <w:p w14:paraId="2FA86E22" w14:textId="77777777" w:rsidR="000B173B" w:rsidRPr="003C348E" w:rsidRDefault="000B173B" w:rsidP="00A15226">
            <w:pPr>
              <w:pStyle w:val="Tabletext"/>
              <w:rPr>
                <w:i/>
                <w:iCs/>
                <w:highlight w:val="yellow"/>
              </w:rPr>
            </w:pPr>
            <w:r w:rsidRPr="003C348E">
              <w:rPr>
                <w:i/>
                <w:iCs/>
              </w:rPr>
              <w:t>Phoebetria fusca</w:t>
            </w:r>
          </w:p>
        </w:tc>
        <w:tc>
          <w:tcPr>
            <w:tcW w:w="3118" w:type="dxa"/>
            <w:shd w:val="clear" w:color="auto" w:fill="FFFFFF" w:themeFill="background1"/>
            <w:vAlign w:val="center"/>
          </w:tcPr>
          <w:p w14:paraId="6B95DAB3" w14:textId="77777777" w:rsidR="000B173B" w:rsidRPr="002C27E1" w:rsidRDefault="000B173B" w:rsidP="00A15226">
            <w:pPr>
              <w:pStyle w:val="Tabletext"/>
              <w:rPr>
                <w:highlight w:val="yellow"/>
              </w:rPr>
            </w:pPr>
            <w:r w:rsidRPr="00A42F3A">
              <w:t>Sooty Albatross</w:t>
            </w:r>
          </w:p>
        </w:tc>
        <w:tc>
          <w:tcPr>
            <w:tcW w:w="2835" w:type="dxa"/>
            <w:shd w:val="clear" w:color="auto" w:fill="FFFFFF" w:themeFill="background1"/>
            <w:vAlign w:val="center"/>
          </w:tcPr>
          <w:p w14:paraId="6EF408C0"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23009407"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683BA822"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53AE0727"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56554519"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2048B96F" w14:textId="77777777" w:rsidR="000B173B" w:rsidRPr="001425AD" w:rsidRDefault="000B173B" w:rsidP="00A15226">
            <w:pPr>
              <w:pStyle w:val="Tabletext"/>
              <w:jc w:val="center"/>
            </w:pPr>
            <w:r w:rsidRPr="00BA5CA5">
              <w:t>Yes</w:t>
            </w:r>
          </w:p>
        </w:tc>
      </w:tr>
      <w:tr w:rsidR="000B173B" w14:paraId="5E60F8E7" w14:textId="77777777" w:rsidTr="00A15226">
        <w:tc>
          <w:tcPr>
            <w:tcW w:w="3114" w:type="dxa"/>
            <w:shd w:val="clear" w:color="auto" w:fill="FFFFFF" w:themeFill="background1"/>
            <w:vAlign w:val="center"/>
          </w:tcPr>
          <w:p w14:paraId="6258D289" w14:textId="77777777" w:rsidR="000B173B" w:rsidRPr="003C348E" w:rsidRDefault="000B173B" w:rsidP="00A15226">
            <w:pPr>
              <w:pStyle w:val="Tabletext"/>
              <w:rPr>
                <w:i/>
                <w:iCs/>
                <w:highlight w:val="yellow"/>
              </w:rPr>
            </w:pPr>
            <w:r w:rsidRPr="003C348E">
              <w:rPr>
                <w:i/>
                <w:iCs/>
              </w:rPr>
              <w:t>Polytelis swainsonii</w:t>
            </w:r>
          </w:p>
        </w:tc>
        <w:tc>
          <w:tcPr>
            <w:tcW w:w="3118" w:type="dxa"/>
            <w:shd w:val="clear" w:color="auto" w:fill="FFFFFF" w:themeFill="background1"/>
            <w:vAlign w:val="center"/>
          </w:tcPr>
          <w:p w14:paraId="0491C730" w14:textId="77777777" w:rsidR="000B173B" w:rsidRPr="002C27E1" w:rsidRDefault="000B173B" w:rsidP="00A15226">
            <w:pPr>
              <w:pStyle w:val="Tabletext"/>
              <w:rPr>
                <w:highlight w:val="yellow"/>
              </w:rPr>
            </w:pPr>
            <w:r w:rsidRPr="00A42F3A">
              <w:t>Superb Parrot</w:t>
            </w:r>
          </w:p>
        </w:tc>
        <w:tc>
          <w:tcPr>
            <w:tcW w:w="2835" w:type="dxa"/>
            <w:shd w:val="clear" w:color="auto" w:fill="FFFFFF" w:themeFill="background1"/>
            <w:vAlign w:val="center"/>
          </w:tcPr>
          <w:p w14:paraId="679321C0" w14:textId="77777777" w:rsidR="000B173B" w:rsidRPr="002C27E1" w:rsidRDefault="000B173B" w:rsidP="00A15226">
            <w:pPr>
              <w:pStyle w:val="Tabletext"/>
              <w:rPr>
                <w:highlight w:val="yellow"/>
              </w:rPr>
            </w:pPr>
            <w:r w:rsidRPr="00A42F3A">
              <w:t>Vulnerable</w:t>
            </w:r>
          </w:p>
        </w:tc>
        <w:tc>
          <w:tcPr>
            <w:tcW w:w="851" w:type="dxa"/>
            <w:shd w:val="clear" w:color="auto" w:fill="FFFFFF" w:themeFill="background1"/>
            <w:vAlign w:val="center"/>
          </w:tcPr>
          <w:p w14:paraId="1282AE20"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3A5EC044"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6002C4D9" w14:textId="77777777" w:rsidR="000B173B" w:rsidRPr="002C27E1" w:rsidRDefault="000B173B" w:rsidP="00A15226">
            <w:pPr>
              <w:pStyle w:val="Tabletext"/>
              <w:jc w:val="center"/>
              <w:rPr>
                <w:highlight w:val="yellow"/>
              </w:rPr>
            </w:pPr>
            <w:r w:rsidRPr="001425AD">
              <w:t>N/A</w:t>
            </w:r>
          </w:p>
        </w:tc>
        <w:tc>
          <w:tcPr>
            <w:tcW w:w="1134" w:type="dxa"/>
            <w:shd w:val="clear" w:color="auto" w:fill="FFFFFF" w:themeFill="background1"/>
            <w:vAlign w:val="center"/>
          </w:tcPr>
          <w:p w14:paraId="654691FF" w14:textId="77777777" w:rsidR="000B173B" w:rsidRPr="002C27E1" w:rsidRDefault="000B173B" w:rsidP="00A15226">
            <w:pPr>
              <w:pStyle w:val="Tabletext"/>
              <w:jc w:val="center"/>
              <w:rPr>
                <w:highlight w:val="yellow"/>
              </w:rPr>
            </w:pPr>
            <w:r w:rsidRPr="001425AD">
              <w:t>N/A</w:t>
            </w:r>
          </w:p>
        </w:tc>
        <w:tc>
          <w:tcPr>
            <w:tcW w:w="1300" w:type="dxa"/>
            <w:shd w:val="clear" w:color="auto" w:fill="FFFFFF" w:themeFill="background1"/>
            <w:vAlign w:val="center"/>
          </w:tcPr>
          <w:p w14:paraId="5F5BC352" w14:textId="77777777" w:rsidR="000B173B" w:rsidRPr="001425AD" w:rsidRDefault="000B173B" w:rsidP="00A15226">
            <w:pPr>
              <w:pStyle w:val="Tabletext"/>
              <w:jc w:val="center"/>
            </w:pPr>
            <w:r w:rsidRPr="00BA5CA5">
              <w:t>Yes</w:t>
            </w:r>
          </w:p>
        </w:tc>
      </w:tr>
      <w:tr w:rsidR="000B173B" w14:paraId="3633EE5B" w14:textId="77777777" w:rsidTr="00A15226">
        <w:tc>
          <w:tcPr>
            <w:tcW w:w="3114" w:type="dxa"/>
            <w:shd w:val="clear" w:color="auto" w:fill="FFFFFF" w:themeFill="background1"/>
            <w:vAlign w:val="center"/>
          </w:tcPr>
          <w:p w14:paraId="4939A722" w14:textId="77777777" w:rsidR="000B173B" w:rsidRPr="003C348E" w:rsidRDefault="000B173B" w:rsidP="00A15226">
            <w:pPr>
              <w:pStyle w:val="Tabletext"/>
              <w:rPr>
                <w:i/>
                <w:iCs/>
              </w:rPr>
            </w:pPr>
            <w:r w:rsidRPr="003C348E">
              <w:rPr>
                <w:i/>
                <w:iCs/>
              </w:rPr>
              <w:t>Pterodroma leucoptera leucoptera</w:t>
            </w:r>
          </w:p>
        </w:tc>
        <w:tc>
          <w:tcPr>
            <w:tcW w:w="3118" w:type="dxa"/>
            <w:shd w:val="clear" w:color="auto" w:fill="FFFFFF" w:themeFill="background1"/>
            <w:vAlign w:val="center"/>
          </w:tcPr>
          <w:p w14:paraId="43CDAECC" w14:textId="77777777" w:rsidR="000B173B" w:rsidRPr="00A42F3A" w:rsidRDefault="000B173B" w:rsidP="00A15226">
            <w:pPr>
              <w:pStyle w:val="Tabletext"/>
            </w:pPr>
            <w:r w:rsidRPr="003B2572">
              <w:t>Gould's Petrel</w:t>
            </w:r>
          </w:p>
        </w:tc>
        <w:tc>
          <w:tcPr>
            <w:tcW w:w="2835" w:type="dxa"/>
            <w:shd w:val="clear" w:color="auto" w:fill="FFFFFF" w:themeFill="background1"/>
            <w:vAlign w:val="center"/>
          </w:tcPr>
          <w:p w14:paraId="44B7B415" w14:textId="77777777" w:rsidR="000B173B" w:rsidRPr="00A42F3A" w:rsidRDefault="000B173B" w:rsidP="00A15226">
            <w:pPr>
              <w:pStyle w:val="Tabletext"/>
            </w:pPr>
            <w:r w:rsidRPr="003B2572">
              <w:t>Endangered</w:t>
            </w:r>
          </w:p>
        </w:tc>
        <w:tc>
          <w:tcPr>
            <w:tcW w:w="851" w:type="dxa"/>
            <w:shd w:val="clear" w:color="auto" w:fill="FFFFFF" w:themeFill="background1"/>
            <w:vAlign w:val="center"/>
          </w:tcPr>
          <w:p w14:paraId="568459A7" w14:textId="77777777" w:rsidR="000B173B" w:rsidRPr="001425AD" w:rsidRDefault="000B173B" w:rsidP="00A15226">
            <w:pPr>
              <w:pStyle w:val="Tabletext"/>
              <w:jc w:val="center"/>
            </w:pPr>
            <w:r w:rsidRPr="003B2572">
              <w:t>No</w:t>
            </w:r>
          </w:p>
        </w:tc>
        <w:tc>
          <w:tcPr>
            <w:tcW w:w="850" w:type="dxa"/>
            <w:shd w:val="clear" w:color="auto" w:fill="FFFFFF" w:themeFill="background1"/>
            <w:vAlign w:val="center"/>
          </w:tcPr>
          <w:p w14:paraId="2E703535" w14:textId="77777777" w:rsidR="000B173B" w:rsidRPr="001425AD" w:rsidRDefault="000B173B" w:rsidP="00A15226">
            <w:pPr>
              <w:pStyle w:val="Tabletext"/>
              <w:jc w:val="center"/>
            </w:pPr>
            <w:r w:rsidRPr="003B2572">
              <w:t>No</w:t>
            </w:r>
          </w:p>
        </w:tc>
        <w:tc>
          <w:tcPr>
            <w:tcW w:w="1134" w:type="dxa"/>
            <w:shd w:val="clear" w:color="auto" w:fill="FFFFFF" w:themeFill="background1"/>
            <w:vAlign w:val="center"/>
          </w:tcPr>
          <w:p w14:paraId="21B60E6B" w14:textId="77777777" w:rsidR="000B173B" w:rsidRPr="001425AD" w:rsidRDefault="000B173B" w:rsidP="00A15226">
            <w:pPr>
              <w:pStyle w:val="Tabletext"/>
              <w:jc w:val="center"/>
            </w:pPr>
            <w:r w:rsidRPr="003B2572">
              <w:t>Unlikely</w:t>
            </w:r>
          </w:p>
        </w:tc>
        <w:tc>
          <w:tcPr>
            <w:tcW w:w="1134" w:type="dxa"/>
            <w:shd w:val="clear" w:color="auto" w:fill="FFFFFF" w:themeFill="background1"/>
            <w:vAlign w:val="center"/>
          </w:tcPr>
          <w:p w14:paraId="6053E261" w14:textId="77777777" w:rsidR="000B173B" w:rsidRPr="001425AD" w:rsidRDefault="000B173B" w:rsidP="00A15226">
            <w:pPr>
              <w:pStyle w:val="Tabletext"/>
              <w:jc w:val="center"/>
            </w:pPr>
            <w:r w:rsidRPr="003B2572">
              <w:t>May</w:t>
            </w:r>
          </w:p>
        </w:tc>
        <w:tc>
          <w:tcPr>
            <w:tcW w:w="1300" w:type="dxa"/>
            <w:shd w:val="clear" w:color="auto" w:fill="FFFFFF" w:themeFill="background1"/>
            <w:vAlign w:val="center"/>
          </w:tcPr>
          <w:p w14:paraId="0D209655" w14:textId="77777777" w:rsidR="000B173B" w:rsidRPr="001425AD" w:rsidRDefault="000B173B" w:rsidP="00A15226">
            <w:pPr>
              <w:pStyle w:val="Tabletext"/>
              <w:jc w:val="center"/>
            </w:pPr>
            <w:r w:rsidRPr="00BA5CA5">
              <w:t>No</w:t>
            </w:r>
          </w:p>
        </w:tc>
      </w:tr>
      <w:tr w:rsidR="000B173B" w14:paraId="0546BBCC" w14:textId="77777777" w:rsidTr="00A15226">
        <w:tc>
          <w:tcPr>
            <w:tcW w:w="3114" w:type="dxa"/>
            <w:shd w:val="clear" w:color="auto" w:fill="FFFFFF" w:themeFill="background1"/>
            <w:vAlign w:val="center"/>
          </w:tcPr>
          <w:p w14:paraId="014BEABC" w14:textId="77777777" w:rsidR="000B173B" w:rsidRPr="001640C4" w:rsidRDefault="000B173B" w:rsidP="00A15226">
            <w:pPr>
              <w:pStyle w:val="Tabletext"/>
              <w:rPr>
                <w:i/>
                <w:iCs/>
              </w:rPr>
            </w:pPr>
            <w:r w:rsidRPr="002A4173">
              <w:rPr>
                <w:i/>
                <w:iCs/>
              </w:rPr>
              <w:t>Pterodroma mollis</w:t>
            </w:r>
          </w:p>
        </w:tc>
        <w:tc>
          <w:tcPr>
            <w:tcW w:w="3118" w:type="dxa"/>
            <w:shd w:val="clear" w:color="auto" w:fill="FFFFFF" w:themeFill="background1"/>
            <w:vAlign w:val="center"/>
          </w:tcPr>
          <w:p w14:paraId="5878E152" w14:textId="77777777" w:rsidR="000B173B" w:rsidRPr="003B2572" w:rsidRDefault="000B173B" w:rsidP="00A15226">
            <w:pPr>
              <w:pStyle w:val="Tabletext"/>
            </w:pPr>
            <w:r w:rsidRPr="00084DC7">
              <w:t>Soft-plumaged Petrel</w:t>
            </w:r>
          </w:p>
        </w:tc>
        <w:tc>
          <w:tcPr>
            <w:tcW w:w="2835" w:type="dxa"/>
            <w:shd w:val="clear" w:color="auto" w:fill="FFFFFF" w:themeFill="background1"/>
            <w:vAlign w:val="center"/>
          </w:tcPr>
          <w:p w14:paraId="3068FB61" w14:textId="77777777" w:rsidR="000B173B" w:rsidRPr="003B2572" w:rsidRDefault="000B173B" w:rsidP="00A15226">
            <w:pPr>
              <w:pStyle w:val="Tabletext"/>
            </w:pPr>
            <w:r>
              <w:t>Vulnerable</w:t>
            </w:r>
          </w:p>
        </w:tc>
        <w:tc>
          <w:tcPr>
            <w:tcW w:w="851" w:type="dxa"/>
            <w:shd w:val="clear" w:color="auto" w:fill="FFFFFF" w:themeFill="background1"/>
            <w:vAlign w:val="center"/>
          </w:tcPr>
          <w:p w14:paraId="46808F74" w14:textId="77777777" w:rsidR="000B173B" w:rsidRPr="003B2572" w:rsidRDefault="000B173B" w:rsidP="00A15226">
            <w:pPr>
              <w:pStyle w:val="Tabletext"/>
              <w:jc w:val="center"/>
            </w:pPr>
            <w:r>
              <w:t>No</w:t>
            </w:r>
          </w:p>
        </w:tc>
        <w:tc>
          <w:tcPr>
            <w:tcW w:w="850" w:type="dxa"/>
            <w:shd w:val="clear" w:color="auto" w:fill="FFFFFF" w:themeFill="background1"/>
            <w:vAlign w:val="center"/>
          </w:tcPr>
          <w:p w14:paraId="4D0C3F77" w14:textId="77777777" w:rsidR="000B173B" w:rsidRPr="003B2572" w:rsidRDefault="000B173B" w:rsidP="00A15226">
            <w:pPr>
              <w:pStyle w:val="Tabletext"/>
              <w:jc w:val="center"/>
            </w:pPr>
            <w:r>
              <w:t>No</w:t>
            </w:r>
          </w:p>
        </w:tc>
        <w:tc>
          <w:tcPr>
            <w:tcW w:w="1134" w:type="dxa"/>
            <w:shd w:val="clear" w:color="auto" w:fill="FFFFFF" w:themeFill="background1"/>
            <w:vAlign w:val="center"/>
          </w:tcPr>
          <w:p w14:paraId="69EB8867" w14:textId="77777777" w:rsidR="000B173B" w:rsidRPr="003B2572" w:rsidRDefault="000B173B" w:rsidP="00A15226">
            <w:pPr>
              <w:pStyle w:val="Tabletext"/>
              <w:jc w:val="center"/>
            </w:pPr>
            <w:r>
              <w:t>N/A</w:t>
            </w:r>
          </w:p>
        </w:tc>
        <w:tc>
          <w:tcPr>
            <w:tcW w:w="1134" w:type="dxa"/>
            <w:shd w:val="clear" w:color="auto" w:fill="FFFFFF" w:themeFill="background1"/>
            <w:vAlign w:val="center"/>
          </w:tcPr>
          <w:p w14:paraId="0BDCBEE6" w14:textId="77777777" w:rsidR="000B173B" w:rsidRPr="003B2572" w:rsidRDefault="000B173B" w:rsidP="00A15226">
            <w:pPr>
              <w:pStyle w:val="Tabletext"/>
              <w:jc w:val="center"/>
            </w:pPr>
            <w:r>
              <w:t>May</w:t>
            </w:r>
          </w:p>
        </w:tc>
        <w:tc>
          <w:tcPr>
            <w:tcW w:w="1300" w:type="dxa"/>
            <w:shd w:val="clear" w:color="auto" w:fill="FFFFFF" w:themeFill="background1"/>
            <w:vAlign w:val="center"/>
          </w:tcPr>
          <w:p w14:paraId="2E942B1D" w14:textId="77777777" w:rsidR="000B173B" w:rsidRPr="00BA5CA5" w:rsidRDefault="000B173B" w:rsidP="00A15226">
            <w:pPr>
              <w:pStyle w:val="Tabletext"/>
              <w:jc w:val="center"/>
            </w:pPr>
            <w:r>
              <w:t>No</w:t>
            </w:r>
          </w:p>
        </w:tc>
      </w:tr>
      <w:tr w:rsidR="000B173B" w14:paraId="4C23F186" w14:textId="77777777" w:rsidTr="00A15226">
        <w:tc>
          <w:tcPr>
            <w:tcW w:w="3114" w:type="dxa"/>
            <w:shd w:val="clear" w:color="auto" w:fill="FFFFFF" w:themeFill="background1"/>
            <w:vAlign w:val="center"/>
          </w:tcPr>
          <w:p w14:paraId="059F46CC" w14:textId="77777777" w:rsidR="000B173B" w:rsidRPr="003C348E" w:rsidRDefault="000B173B" w:rsidP="00A15226">
            <w:pPr>
              <w:pStyle w:val="Tabletext"/>
              <w:rPr>
                <w:i/>
                <w:iCs/>
                <w:highlight w:val="yellow"/>
              </w:rPr>
            </w:pPr>
            <w:r w:rsidRPr="003C348E">
              <w:rPr>
                <w:i/>
                <w:iCs/>
              </w:rPr>
              <w:t>Rostratula australis</w:t>
            </w:r>
          </w:p>
        </w:tc>
        <w:tc>
          <w:tcPr>
            <w:tcW w:w="3118" w:type="dxa"/>
            <w:shd w:val="clear" w:color="auto" w:fill="FFFFFF" w:themeFill="background1"/>
            <w:vAlign w:val="center"/>
          </w:tcPr>
          <w:p w14:paraId="4A6BB0BD" w14:textId="77777777" w:rsidR="000B173B" w:rsidRPr="002C27E1" w:rsidRDefault="000B173B" w:rsidP="00A15226">
            <w:pPr>
              <w:pStyle w:val="Tabletext"/>
              <w:rPr>
                <w:highlight w:val="yellow"/>
              </w:rPr>
            </w:pPr>
            <w:r w:rsidRPr="00A42F3A">
              <w:t>Australian Painted Snipe</w:t>
            </w:r>
          </w:p>
        </w:tc>
        <w:tc>
          <w:tcPr>
            <w:tcW w:w="2835" w:type="dxa"/>
            <w:shd w:val="clear" w:color="auto" w:fill="FFFFFF" w:themeFill="background1"/>
            <w:vAlign w:val="center"/>
          </w:tcPr>
          <w:p w14:paraId="20681815" w14:textId="77777777" w:rsidR="000B173B" w:rsidRPr="002C27E1" w:rsidRDefault="000B173B" w:rsidP="00A15226">
            <w:pPr>
              <w:pStyle w:val="Tabletext"/>
              <w:rPr>
                <w:highlight w:val="yellow"/>
              </w:rPr>
            </w:pPr>
            <w:r w:rsidRPr="00A42F3A">
              <w:t>Endangered, marine</w:t>
            </w:r>
          </w:p>
        </w:tc>
        <w:tc>
          <w:tcPr>
            <w:tcW w:w="851" w:type="dxa"/>
            <w:shd w:val="clear" w:color="auto" w:fill="FFFFFF" w:themeFill="background1"/>
            <w:vAlign w:val="center"/>
          </w:tcPr>
          <w:p w14:paraId="547093CD"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7DE305D2"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09634E24" w14:textId="77777777" w:rsidR="000B173B" w:rsidRPr="002C27E1" w:rsidRDefault="000B173B" w:rsidP="00A15226">
            <w:pPr>
              <w:pStyle w:val="Tabletext"/>
              <w:jc w:val="center"/>
              <w:rPr>
                <w:highlight w:val="yellow"/>
              </w:rPr>
            </w:pPr>
            <w:r w:rsidRPr="001425AD">
              <w:t>Low</w:t>
            </w:r>
          </w:p>
        </w:tc>
        <w:tc>
          <w:tcPr>
            <w:tcW w:w="1134" w:type="dxa"/>
            <w:shd w:val="clear" w:color="auto" w:fill="FFFFFF" w:themeFill="background1"/>
            <w:vAlign w:val="center"/>
          </w:tcPr>
          <w:p w14:paraId="41B97081"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021DCBE6" w14:textId="77777777" w:rsidR="000B173B" w:rsidRPr="001425AD" w:rsidRDefault="000B173B" w:rsidP="00A15226">
            <w:pPr>
              <w:pStyle w:val="Tabletext"/>
              <w:jc w:val="center"/>
            </w:pPr>
            <w:r w:rsidRPr="00BA5CA5">
              <w:t>Yes</w:t>
            </w:r>
          </w:p>
        </w:tc>
      </w:tr>
      <w:tr w:rsidR="000B173B" w14:paraId="5FA3B3CA" w14:textId="77777777" w:rsidTr="00A15226">
        <w:tc>
          <w:tcPr>
            <w:tcW w:w="3114" w:type="dxa"/>
            <w:shd w:val="clear" w:color="auto" w:fill="FFFFFF" w:themeFill="background1"/>
            <w:vAlign w:val="center"/>
          </w:tcPr>
          <w:p w14:paraId="19F579A7" w14:textId="77777777" w:rsidR="000B173B" w:rsidRPr="003C348E" w:rsidRDefault="000B173B" w:rsidP="00A15226">
            <w:pPr>
              <w:pStyle w:val="Tabletext"/>
              <w:rPr>
                <w:i/>
                <w:iCs/>
                <w:highlight w:val="yellow"/>
              </w:rPr>
            </w:pPr>
            <w:r w:rsidRPr="003C348E">
              <w:rPr>
                <w:i/>
                <w:iCs/>
              </w:rPr>
              <w:t>Sternula nereis nereis</w:t>
            </w:r>
          </w:p>
        </w:tc>
        <w:tc>
          <w:tcPr>
            <w:tcW w:w="3118" w:type="dxa"/>
            <w:shd w:val="clear" w:color="auto" w:fill="FFFFFF" w:themeFill="background1"/>
            <w:vAlign w:val="center"/>
          </w:tcPr>
          <w:p w14:paraId="7948A939" w14:textId="77777777" w:rsidR="000B173B" w:rsidRPr="002C27E1" w:rsidRDefault="000B173B" w:rsidP="00A15226">
            <w:pPr>
              <w:pStyle w:val="Tabletext"/>
              <w:rPr>
                <w:highlight w:val="yellow"/>
              </w:rPr>
            </w:pPr>
            <w:r w:rsidRPr="00A42F3A">
              <w:t>Australian Fairy Tern</w:t>
            </w:r>
          </w:p>
        </w:tc>
        <w:tc>
          <w:tcPr>
            <w:tcW w:w="2835" w:type="dxa"/>
            <w:shd w:val="clear" w:color="auto" w:fill="FFFFFF" w:themeFill="background1"/>
            <w:vAlign w:val="center"/>
          </w:tcPr>
          <w:p w14:paraId="7390DA54" w14:textId="77777777" w:rsidR="000B173B" w:rsidRPr="002C27E1" w:rsidRDefault="000B173B" w:rsidP="00A15226">
            <w:pPr>
              <w:pStyle w:val="Tabletext"/>
              <w:rPr>
                <w:highlight w:val="yellow"/>
              </w:rPr>
            </w:pPr>
            <w:r w:rsidRPr="00A42F3A">
              <w:t>Vulnerable</w:t>
            </w:r>
          </w:p>
        </w:tc>
        <w:tc>
          <w:tcPr>
            <w:tcW w:w="851" w:type="dxa"/>
            <w:shd w:val="clear" w:color="auto" w:fill="FFFFFF" w:themeFill="background1"/>
            <w:vAlign w:val="center"/>
          </w:tcPr>
          <w:p w14:paraId="1714B4A4"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1062AF41"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34EA0284"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106F5ABF" w14:textId="77777777" w:rsidR="000B173B" w:rsidRPr="002C27E1" w:rsidRDefault="000B173B" w:rsidP="00A15226">
            <w:pPr>
              <w:pStyle w:val="Tabletext"/>
              <w:jc w:val="center"/>
              <w:rPr>
                <w:highlight w:val="yellow"/>
              </w:rPr>
            </w:pPr>
            <w:r w:rsidRPr="001425AD">
              <w:t>Known</w:t>
            </w:r>
          </w:p>
        </w:tc>
        <w:tc>
          <w:tcPr>
            <w:tcW w:w="1300" w:type="dxa"/>
            <w:shd w:val="clear" w:color="auto" w:fill="FFFFFF" w:themeFill="background1"/>
            <w:vAlign w:val="center"/>
          </w:tcPr>
          <w:p w14:paraId="1AF90E3B" w14:textId="77777777" w:rsidR="000B173B" w:rsidRPr="001425AD" w:rsidRDefault="000B173B" w:rsidP="00A15226">
            <w:pPr>
              <w:pStyle w:val="Tabletext"/>
              <w:jc w:val="center"/>
            </w:pPr>
            <w:r w:rsidRPr="00BA5CA5">
              <w:t>Yes</w:t>
            </w:r>
          </w:p>
        </w:tc>
      </w:tr>
      <w:tr w:rsidR="000B173B" w14:paraId="4EAE8640" w14:textId="77777777" w:rsidTr="00A15226">
        <w:tc>
          <w:tcPr>
            <w:tcW w:w="3114" w:type="dxa"/>
            <w:shd w:val="clear" w:color="auto" w:fill="FFFFFF" w:themeFill="background1"/>
            <w:vAlign w:val="center"/>
          </w:tcPr>
          <w:p w14:paraId="26353BBA" w14:textId="77777777" w:rsidR="000B173B" w:rsidRPr="003C348E" w:rsidRDefault="000B173B" w:rsidP="00A15226">
            <w:pPr>
              <w:pStyle w:val="Tabletext"/>
              <w:rPr>
                <w:i/>
                <w:iCs/>
              </w:rPr>
            </w:pPr>
            <w:r w:rsidRPr="003C348E">
              <w:rPr>
                <w:i/>
                <w:iCs/>
              </w:rPr>
              <w:t>Thalassarche bulleri</w:t>
            </w:r>
          </w:p>
        </w:tc>
        <w:tc>
          <w:tcPr>
            <w:tcW w:w="3118" w:type="dxa"/>
            <w:shd w:val="clear" w:color="auto" w:fill="FFFFFF" w:themeFill="background1"/>
            <w:vAlign w:val="center"/>
          </w:tcPr>
          <w:p w14:paraId="63412543" w14:textId="77777777" w:rsidR="000B173B" w:rsidRPr="00A42F3A" w:rsidRDefault="000B173B" w:rsidP="00A15226">
            <w:pPr>
              <w:pStyle w:val="Tabletext"/>
            </w:pPr>
            <w:r w:rsidRPr="00745ED9">
              <w:t>Buller's Albatross</w:t>
            </w:r>
          </w:p>
        </w:tc>
        <w:tc>
          <w:tcPr>
            <w:tcW w:w="2835" w:type="dxa"/>
            <w:shd w:val="clear" w:color="auto" w:fill="FFFFFF" w:themeFill="background1"/>
            <w:vAlign w:val="center"/>
          </w:tcPr>
          <w:p w14:paraId="553F5B3F" w14:textId="77777777" w:rsidR="000B173B" w:rsidRPr="00A42F3A" w:rsidRDefault="000B173B" w:rsidP="00A15226">
            <w:pPr>
              <w:pStyle w:val="Tabletext"/>
            </w:pPr>
            <w:r w:rsidRPr="00745ED9">
              <w:t xml:space="preserve">Vulnerable, marine, migratory </w:t>
            </w:r>
          </w:p>
        </w:tc>
        <w:tc>
          <w:tcPr>
            <w:tcW w:w="851" w:type="dxa"/>
            <w:shd w:val="clear" w:color="auto" w:fill="FFFFFF" w:themeFill="background1"/>
            <w:vAlign w:val="center"/>
          </w:tcPr>
          <w:p w14:paraId="7A9C6CE7" w14:textId="77777777" w:rsidR="000B173B" w:rsidRPr="001425AD" w:rsidRDefault="000B173B" w:rsidP="00A15226">
            <w:pPr>
              <w:pStyle w:val="Tabletext"/>
              <w:jc w:val="center"/>
            </w:pPr>
            <w:r w:rsidRPr="00745ED9">
              <w:t>No</w:t>
            </w:r>
          </w:p>
        </w:tc>
        <w:tc>
          <w:tcPr>
            <w:tcW w:w="850" w:type="dxa"/>
            <w:shd w:val="clear" w:color="auto" w:fill="FFFFFF" w:themeFill="background1"/>
            <w:vAlign w:val="center"/>
          </w:tcPr>
          <w:p w14:paraId="5E0AE522" w14:textId="77777777" w:rsidR="000B173B" w:rsidRPr="001425AD" w:rsidRDefault="000B173B" w:rsidP="00A15226">
            <w:pPr>
              <w:pStyle w:val="Tabletext"/>
              <w:jc w:val="center"/>
            </w:pPr>
            <w:r w:rsidRPr="00745ED9">
              <w:t>No</w:t>
            </w:r>
          </w:p>
        </w:tc>
        <w:tc>
          <w:tcPr>
            <w:tcW w:w="1134" w:type="dxa"/>
            <w:shd w:val="clear" w:color="auto" w:fill="FFFFFF" w:themeFill="background1"/>
            <w:vAlign w:val="center"/>
          </w:tcPr>
          <w:p w14:paraId="630535EC" w14:textId="77777777" w:rsidR="000B173B" w:rsidRPr="001425AD" w:rsidRDefault="000B173B" w:rsidP="00A15226">
            <w:pPr>
              <w:pStyle w:val="Tabletext"/>
              <w:jc w:val="center"/>
            </w:pPr>
            <w:r w:rsidRPr="00745ED9">
              <w:t>Unlikely</w:t>
            </w:r>
          </w:p>
        </w:tc>
        <w:tc>
          <w:tcPr>
            <w:tcW w:w="1134" w:type="dxa"/>
            <w:shd w:val="clear" w:color="auto" w:fill="FFFFFF" w:themeFill="background1"/>
            <w:vAlign w:val="center"/>
          </w:tcPr>
          <w:p w14:paraId="59F28024" w14:textId="77777777" w:rsidR="000B173B" w:rsidRPr="001425AD" w:rsidRDefault="000B173B" w:rsidP="00A15226">
            <w:pPr>
              <w:pStyle w:val="Tabletext"/>
              <w:jc w:val="center"/>
            </w:pPr>
            <w:r w:rsidRPr="00745ED9">
              <w:t>May</w:t>
            </w:r>
          </w:p>
        </w:tc>
        <w:tc>
          <w:tcPr>
            <w:tcW w:w="1300" w:type="dxa"/>
            <w:shd w:val="clear" w:color="auto" w:fill="FFFFFF" w:themeFill="background1"/>
            <w:vAlign w:val="center"/>
          </w:tcPr>
          <w:p w14:paraId="472AC403" w14:textId="77777777" w:rsidR="000B173B" w:rsidRPr="001425AD" w:rsidRDefault="000B173B" w:rsidP="00A15226">
            <w:pPr>
              <w:pStyle w:val="Tabletext"/>
              <w:jc w:val="center"/>
            </w:pPr>
            <w:r w:rsidRPr="00BA5CA5">
              <w:t>No</w:t>
            </w:r>
          </w:p>
        </w:tc>
      </w:tr>
      <w:tr w:rsidR="000B173B" w14:paraId="62904EA4" w14:textId="77777777" w:rsidTr="00A15226">
        <w:tc>
          <w:tcPr>
            <w:tcW w:w="3114" w:type="dxa"/>
            <w:shd w:val="clear" w:color="auto" w:fill="FFFFFF" w:themeFill="background1"/>
            <w:vAlign w:val="center"/>
          </w:tcPr>
          <w:p w14:paraId="186112F4" w14:textId="77777777" w:rsidR="000B173B" w:rsidRPr="003C348E" w:rsidRDefault="000B173B" w:rsidP="00A15226">
            <w:pPr>
              <w:pStyle w:val="Tabletext"/>
              <w:rPr>
                <w:i/>
                <w:iCs/>
              </w:rPr>
            </w:pPr>
            <w:r w:rsidRPr="003C348E">
              <w:rPr>
                <w:i/>
                <w:iCs/>
              </w:rPr>
              <w:t>Thalassarche bulleri platei</w:t>
            </w:r>
          </w:p>
        </w:tc>
        <w:tc>
          <w:tcPr>
            <w:tcW w:w="3118" w:type="dxa"/>
            <w:shd w:val="clear" w:color="auto" w:fill="FFFFFF" w:themeFill="background1"/>
            <w:vAlign w:val="center"/>
          </w:tcPr>
          <w:p w14:paraId="5F20DBFA" w14:textId="77777777" w:rsidR="000B173B" w:rsidRPr="00A42F3A" w:rsidRDefault="000B173B" w:rsidP="00A15226">
            <w:pPr>
              <w:pStyle w:val="Tabletext"/>
            </w:pPr>
            <w:r w:rsidRPr="00745ED9">
              <w:t>Northern Buller's Albatross</w:t>
            </w:r>
          </w:p>
        </w:tc>
        <w:tc>
          <w:tcPr>
            <w:tcW w:w="2835" w:type="dxa"/>
            <w:shd w:val="clear" w:color="auto" w:fill="FFFFFF" w:themeFill="background1"/>
            <w:vAlign w:val="center"/>
          </w:tcPr>
          <w:p w14:paraId="0AA3EEA6" w14:textId="77777777" w:rsidR="000B173B" w:rsidRPr="00A42F3A" w:rsidRDefault="000B173B" w:rsidP="00A15226">
            <w:pPr>
              <w:pStyle w:val="Tabletext"/>
            </w:pPr>
            <w:r w:rsidRPr="00745ED9">
              <w:t xml:space="preserve">Vulnerable, marine </w:t>
            </w:r>
          </w:p>
        </w:tc>
        <w:tc>
          <w:tcPr>
            <w:tcW w:w="851" w:type="dxa"/>
            <w:shd w:val="clear" w:color="auto" w:fill="FFFFFF" w:themeFill="background1"/>
            <w:vAlign w:val="center"/>
          </w:tcPr>
          <w:p w14:paraId="4E070E33" w14:textId="77777777" w:rsidR="000B173B" w:rsidRPr="001425AD" w:rsidRDefault="000B173B" w:rsidP="00A15226">
            <w:pPr>
              <w:pStyle w:val="Tabletext"/>
              <w:jc w:val="center"/>
            </w:pPr>
            <w:r w:rsidRPr="00745ED9">
              <w:t>No</w:t>
            </w:r>
          </w:p>
        </w:tc>
        <w:tc>
          <w:tcPr>
            <w:tcW w:w="850" w:type="dxa"/>
            <w:shd w:val="clear" w:color="auto" w:fill="FFFFFF" w:themeFill="background1"/>
            <w:vAlign w:val="center"/>
          </w:tcPr>
          <w:p w14:paraId="7FB8A7B2" w14:textId="77777777" w:rsidR="000B173B" w:rsidRPr="001425AD" w:rsidRDefault="000B173B" w:rsidP="00A15226">
            <w:pPr>
              <w:pStyle w:val="Tabletext"/>
              <w:jc w:val="center"/>
            </w:pPr>
            <w:r w:rsidRPr="00745ED9">
              <w:t>No</w:t>
            </w:r>
          </w:p>
        </w:tc>
        <w:tc>
          <w:tcPr>
            <w:tcW w:w="1134" w:type="dxa"/>
            <w:shd w:val="clear" w:color="auto" w:fill="FFFFFF" w:themeFill="background1"/>
            <w:vAlign w:val="center"/>
          </w:tcPr>
          <w:p w14:paraId="6A064A74" w14:textId="77777777" w:rsidR="000B173B" w:rsidRPr="001425AD" w:rsidRDefault="000B173B" w:rsidP="00A15226">
            <w:pPr>
              <w:pStyle w:val="Tabletext"/>
              <w:jc w:val="center"/>
            </w:pPr>
            <w:r w:rsidRPr="00745ED9">
              <w:t>Unlikely</w:t>
            </w:r>
          </w:p>
        </w:tc>
        <w:tc>
          <w:tcPr>
            <w:tcW w:w="1134" w:type="dxa"/>
            <w:shd w:val="clear" w:color="auto" w:fill="FFFFFF" w:themeFill="background1"/>
            <w:vAlign w:val="center"/>
          </w:tcPr>
          <w:p w14:paraId="0E632879" w14:textId="77777777" w:rsidR="000B173B" w:rsidRPr="001425AD" w:rsidRDefault="000B173B" w:rsidP="00A15226">
            <w:pPr>
              <w:pStyle w:val="Tabletext"/>
              <w:jc w:val="center"/>
            </w:pPr>
            <w:r w:rsidRPr="00745ED9">
              <w:t>May</w:t>
            </w:r>
          </w:p>
        </w:tc>
        <w:tc>
          <w:tcPr>
            <w:tcW w:w="1300" w:type="dxa"/>
            <w:shd w:val="clear" w:color="auto" w:fill="FFFFFF" w:themeFill="background1"/>
            <w:vAlign w:val="center"/>
          </w:tcPr>
          <w:p w14:paraId="0D1465C1" w14:textId="77777777" w:rsidR="000B173B" w:rsidRPr="001425AD" w:rsidRDefault="000B173B" w:rsidP="00A15226">
            <w:pPr>
              <w:pStyle w:val="Tabletext"/>
              <w:jc w:val="center"/>
            </w:pPr>
            <w:r w:rsidRPr="00BA5CA5">
              <w:t>No</w:t>
            </w:r>
          </w:p>
        </w:tc>
      </w:tr>
      <w:tr w:rsidR="000B173B" w14:paraId="1F4A8E7B" w14:textId="77777777" w:rsidTr="00A15226">
        <w:tc>
          <w:tcPr>
            <w:tcW w:w="3114" w:type="dxa"/>
            <w:shd w:val="clear" w:color="auto" w:fill="FFFFFF" w:themeFill="background1"/>
            <w:vAlign w:val="center"/>
          </w:tcPr>
          <w:p w14:paraId="5525C5E4" w14:textId="77777777" w:rsidR="000B173B" w:rsidRPr="003C348E" w:rsidRDefault="000B173B" w:rsidP="00A15226">
            <w:pPr>
              <w:pStyle w:val="Tabletext"/>
              <w:rPr>
                <w:i/>
                <w:iCs/>
                <w:highlight w:val="yellow"/>
              </w:rPr>
            </w:pPr>
            <w:r w:rsidRPr="003C348E">
              <w:rPr>
                <w:i/>
                <w:iCs/>
              </w:rPr>
              <w:t>Thalassarche carteri</w:t>
            </w:r>
          </w:p>
        </w:tc>
        <w:tc>
          <w:tcPr>
            <w:tcW w:w="3118" w:type="dxa"/>
            <w:shd w:val="clear" w:color="auto" w:fill="FFFFFF" w:themeFill="background1"/>
            <w:vAlign w:val="center"/>
          </w:tcPr>
          <w:p w14:paraId="25258D47" w14:textId="77777777" w:rsidR="000B173B" w:rsidRPr="002C27E1" w:rsidRDefault="000B173B" w:rsidP="00A15226">
            <w:pPr>
              <w:pStyle w:val="Tabletext"/>
              <w:rPr>
                <w:highlight w:val="yellow"/>
              </w:rPr>
            </w:pPr>
            <w:r w:rsidRPr="00A42F3A">
              <w:t>Indian Yellow-nosed Albatross</w:t>
            </w:r>
          </w:p>
        </w:tc>
        <w:tc>
          <w:tcPr>
            <w:tcW w:w="2835" w:type="dxa"/>
            <w:shd w:val="clear" w:color="auto" w:fill="FFFFFF" w:themeFill="background1"/>
            <w:vAlign w:val="center"/>
          </w:tcPr>
          <w:p w14:paraId="2CA9A147"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029CFB63"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5B64A93B"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3FBD12FA"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538DE9CB"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064EFCF2" w14:textId="77777777" w:rsidR="000B173B" w:rsidRPr="001425AD" w:rsidRDefault="000B173B" w:rsidP="00A15226">
            <w:pPr>
              <w:pStyle w:val="Tabletext"/>
              <w:jc w:val="center"/>
            </w:pPr>
            <w:r w:rsidRPr="00BA5CA5">
              <w:t>Yes</w:t>
            </w:r>
          </w:p>
        </w:tc>
      </w:tr>
      <w:tr w:rsidR="000B173B" w14:paraId="62E212DD" w14:textId="77777777" w:rsidTr="00A15226">
        <w:tc>
          <w:tcPr>
            <w:tcW w:w="3114" w:type="dxa"/>
            <w:shd w:val="clear" w:color="auto" w:fill="FFFFFF" w:themeFill="background1"/>
            <w:vAlign w:val="center"/>
          </w:tcPr>
          <w:p w14:paraId="0A48D1DD" w14:textId="77777777" w:rsidR="000B173B" w:rsidRPr="003C348E" w:rsidRDefault="000B173B" w:rsidP="00A15226">
            <w:pPr>
              <w:pStyle w:val="Tabletext"/>
              <w:rPr>
                <w:i/>
                <w:iCs/>
                <w:highlight w:val="yellow"/>
              </w:rPr>
            </w:pPr>
            <w:r w:rsidRPr="003C348E">
              <w:rPr>
                <w:i/>
                <w:iCs/>
              </w:rPr>
              <w:t>Thalassarche cauta</w:t>
            </w:r>
          </w:p>
        </w:tc>
        <w:tc>
          <w:tcPr>
            <w:tcW w:w="3118" w:type="dxa"/>
            <w:shd w:val="clear" w:color="auto" w:fill="FFFFFF" w:themeFill="background1"/>
            <w:vAlign w:val="center"/>
          </w:tcPr>
          <w:p w14:paraId="26A7C236" w14:textId="77777777" w:rsidR="000B173B" w:rsidRPr="002C27E1" w:rsidRDefault="000B173B" w:rsidP="00A15226">
            <w:pPr>
              <w:pStyle w:val="Tabletext"/>
              <w:rPr>
                <w:highlight w:val="yellow"/>
              </w:rPr>
            </w:pPr>
            <w:r w:rsidRPr="00A42F3A">
              <w:t>Shy Albatross</w:t>
            </w:r>
          </w:p>
        </w:tc>
        <w:tc>
          <w:tcPr>
            <w:tcW w:w="2835" w:type="dxa"/>
            <w:shd w:val="clear" w:color="auto" w:fill="FFFFFF" w:themeFill="background1"/>
            <w:vAlign w:val="center"/>
          </w:tcPr>
          <w:p w14:paraId="0CD24A91" w14:textId="77777777" w:rsidR="000B173B" w:rsidRPr="002C27E1" w:rsidRDefault="000B173B" w:rsidP="00A15226">
            <w:pPr>
              <w:pStyle w:val="Tabletext"/>
              <w:rPr>
                <w:highlight w:val="yellow"/>
              </w:rPr>
            </w:pPr>
            <w:r w:rsidRPr="00A42F3A">
              <w:t>Endangered, marine, migratory</w:t>
            </w:r>
          </w:p>
        </w:tc>
        <w:tc>
          <w:tcPr>
            <w:tcW w:w="851" w:type="dxa"/>
            <w:shd w:val="clear" w:color="auto" w:fill="FFFFFF" w:themeFill="background1"/>
            <w:vAlign w:val="center"/>
          </w:tcPr>
          <w:p w14:paraId="7A8351F2"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1AEBB6BD"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5FCE33DF"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04A8C93B"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5A3CA064" w14:textId="77777777" w:rsidR="000B173B" w:rsidRPr="001425AD" w:rsidRDefault="000B173B" w:rsidP="00A15226">
            <w:pPr>
              <w:pStyle w:val="Tabletext"/>
              <w:jc w:val="center"/>
            </w:pPr>
            <w:r w:rsidRPr="00BA5CA5">
              <w:t>Yes</w:t>
            </w:r>
          </w:p>
        </w:tc>
      </w:tr>
      <w:tr w:rsidR="000B173B" w14:paraId="0D8CF9C2" w14:textId="77777777" w:rsidTr="00A15226">
        <w:tc>
          <w:tcPr>
            <w:tcW w:w="3114" w:type="dxa"/>
            <w:shd w:val="clear" w:color="auto" w:fill="FFFFFF" w:themeFill="background1"/>
            <w:vAlign w:val="center"/>
          </w:tcPr>
          <w:p w14:paraId="15FA8FC4" w14:textId="77777777" w:rsidR="000B173B" w:rsidRPr="003C348E" w:rsidRDefault="000B173B" w:rsidP="00A15226">
            <w:pPr>
              <w:pStyle w:val="Tabletext"/>
              <w:rPr>
                <w:i/>
                <w:iCs/>
              </w:rPr>
            </w:pPr>
            <w:r w:rsidRPr="003C348E">
              <w:rPr>
                <w:i/>
                <w:iCs/>
              </w:rPr>
              <w:t>Thalassarche chrysostoma</w:t>
            </w:r>
          </w:p>
        </w:tc>
        <w:tc>
          <w:tcPr>
            <w:tcW w:w="3118" w:type="dxa"/>
            <w:shd w:val="clear" w:color="auto" w:fill="FFFFFF" w:themeFill="background1"/>
            <w:vAlign w:val="center"/>
          </w:tcPr>
          <w:p w14:paraId="4869FFC2" w14:textId="77777777" w:rsidR="000B173B" w:rsidRPr="00A42F3A" w:rsidRDefault="000B173B" w:rsidP="00A15226">
            <w:pPr>
              <w:pStyle w:val="Tabletext"/>
            </w:pPr>
            <w:r w:rsidRPr="00896274">
              <w:t>Grey-headed Albatross</w:t>
            </w:r>
          </w:p>
        </w:tc>
        <w:tc>
          <w:tcPr>
            <w:tcW w:w="2835" w:type="dxa"/>
            <w:shd w:val="clear" w:color="auto" w:fill="FFFFFF" w:themeFill="background1"/>
            <w:vAlign w:val="center"/>
          </w:tcPr>
          <w:p w14:paraId="2585A01A" w14:textId="77777777" w:rsidR="000B173B" w:rsidRPr="00A42F3A" w:rsidRDefault="000B173B" w:rsidP="00A15226">
            <w:pPr>
              <w:pStyle w:val="Tabletext"/>
            </w:pPr>
            <w:r w:rsidRPr="00896274">
              <w:t xml:space="preserve">Endangered, marine, migratory </w:t>
            </w:r>
          </w:p>
        </w:tc>
        <w:tc>
          <w:tcPr>
            <w:tcW w:w="851" w:type="dxa"/>
            <w:shd w:val="clear" w:color="auto" w:fill="FFFFFF" w:themeFill="background1"/>
            <w:vAlign w:val="center"/>
          </w:tcPr>
          <w:p w14:paraId="125BCB22" w14:textId="77777777" w:rsidR="000B173B" w:rsidRPr="001425AD" w:rsidRDefault="000B173B" w:rsidP="00A15226">
            <w:pPr>
              <w:pStyle w:val="Tabletext"/>
              <w:jc w:val="center"/>
            </w:pPr>
            <w:r w:rsidRPr="00896274">
              <w:t>No</w:t>
            </w:r>
          </w:p>
        </w:tc>
        <w:tc>
          <w:tcPr>
            <w:tcW w:w="850" w:type="dxa"/>
            <w:shd w:val="clear" w:color="auto" w:fill="FFFFFF" w:themeFill="background1"/>
            <w:vAlign w:val="center"/>
          </w:tcPr>
          <w:p w14:paraId="668C87FA" w14:textId="77777777" w:rsidR="000B173B" w:rsidRPr="001425AD" w:rsidRDefault="000B173B" w:rsidP="00A15226">
            <w:pPr>
              <w:pStyle w:val="Tabletext"/>
              <w:jc w:val="center"/>
            </w:pPr>
            <w:r w:rsidRPr="00896274">
              <w:t>No</w:t>
            </w:r>
          </w:p>
        </w:tc>
        <w:tc>
          <w:tcPr>
            <w:tcW w:w="1134" w:type="dxa"/>
            <w:shd w:val="clear" w:color="auto" w:fill="FFFFFF" w:themeFill="background1"/>
            <w:vAlign w:val="center"/>
          </w:tcPr>
          <w:p w14:paraId="38497D9A" w14:textId="77777777" w:rsidR="000B173B" w:rsidRPr="001425AD" w:rsidRDefault="000B173B" w:rsidP="00A15226">
            <w:pPr>
              <w:pStyle w:val="Tabletext"/>
              <w:jc w:val="center"/>
            </w:pPr>
            <w:r w:rsidRPr="00896274">
              <w:t>Unlikely</w:t>
            </w:r>
          </w:p>
        </w:tc>
        <w:tc>
          <w:tcPr>
            <w:tcW w:w="1134" w:type="dxa"/>
            <w:shd w:val="clear" w:color="auto" w:fill="FFFFFF" w:themeFill="background1"/>
            <w:vAlign w:val="center"/>
          </w:tcPr>
          <w:p w14:paraId="7664597B" w14:textId="77777777" w:rsidR="000B173B" w:rsidRPr="001425AD" w:rsidRDefault="000B173B" w:rsidP="00A15226">
            <w:pPr>
              <w:pStyle w:val="Tabletext"/>
              <w:jc w:val="center"/>
            </w:pPr>
            <w:r w:rsidRPr="00896274">
              <w:t>May</w:t>
            </w:r>
          </w:p>
        </w:tc>
        <w:tc>
          <w:tcPr>
            <w:tcW w:w="1300" w:type="dxa"/>
            <w:shd w:val="clear" w:color="auto" w:fill="FFFFFF" w:themeFill="background1"/>
            <w:vAlign w:val="center"/>
          </w:tcPr>
          <w:p w14:paraId="02C9AA0A" w14:textId="77777777" w:rsidR="000B173B" w:rsidRPr="001425AD" w:rsidRDefault="000B173B" w:rsidP="00A15226">
            <w:pPr>
              <w:pStyle w:val="Tabletext"/>
              <w:jc w:val="center"/>
            </w:pPr>
            <w:r w:rsidRPr="00BA5CA5">
              <w:t>No</w:t>
            </w:r>
          </w:p>
        </w:tc>
      </w:tr>
      <w:tr w:rsidR="000B173B" w14:paraId="49B96816" w14:textId="77777777" w:rsidTr="00A15226">
        <w:tc>
          <w:tcPr>
            <w:tcW w:w="3114" w:type="dxa"/>
            <w:shd w:val="clear" w:color="auto" w:fill="FFFFFF" w:themeFill="background1"/>
            <w:vAlign w:val="center"/>
          </w:tcPr>
          <w:p w14:paraId="74563CD3" w14:textId="77777777" w:rsidR="000B173B" w:rsidRPr="003C348E" w:rsidRDefault="000B173B" w:rsidP="00A15226">
            <w:pPr>
              <w:pStyle w:val="Tabletext"/>
              <w:rPr>
                <w:i/>
                <w:iCs/>
                <w:highlight w:val="yellow"/>
              </w:rPr>
            </w:pPr>
            <w:r w:rsidRPr="003C348E">
              <w:rPr>
                <w:i/>
                <w:iCs/>
              </w:rPr>
              <w:t>Thalassarche impavida</w:t>
            </w:r>
          </w:p>
        </w:tc>
        <w:tc>
          <w:tcPr>
            <w:tcW w:w="3118" w:type="dxa"/>
            <w:shd w:val="clear" w:color="auto" w:fill="FFFFFF" w:themeFill="background1"/>
            <w:vAlign w:val="center"/>
          </w:tcPr>
          <w:p w14:paraId="2B686815" w14:textId="77777777" w:rsidR="000B173B" w:rsidRPr="002C27E1" w:rsidRDefault="000B173B" w:rsidP="00A15226">
            <w:pPr>
              <w:pStyle w:val="Tabletext"/>
              <w:rPr>
                <w:highlight w:val="yellow"/>
              </w:rPr>
            </w:pPr>
            <w:r w:rsidRPr="00A42F3A">
              <w:t>Campbell Albatross</w:t>
            </w:r>
          </w:p>
        </w:tc>
        <w:tc>
          <w:tcPr>
            <w:tcW w:w="2835" w:type="dxa"/>
            <w:shd w:val="clear" w:color="auto" w:fill="FFFFFF" w:themeFill="background1"/>
            <w:vAlign w:val="center"/>
          </w:tcPr>
          <w:p w14:paraId="5F6DCA04"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11EBD3DF"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1F2BD261"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6F3287D6" w14:textId="77777777" w:rsidR="000B173B" w:rsidRPr="002C27E1" w:rsidRDefault="000B173B" w:rsidP="00A15226">
            <w:pPr>
              <w:pStyle w:val="Tabletext"/>
              <w:jc w:val="center"/>
              <w:rPr>
                <w:highlight w:val="yellow"/>
              </w:rPr>
            </w:pPr>
            <w:r w:rsidRPr="001425AD">
              <w:t>N/A</w:t>
            </w:r>
          </w:p>
        </w:tc>
        <w:tc>
          <w:tcPr>
            <w:tcW w:w="1134" w:type="dxa"/>
            <w:shd w:val="clear" w:color="auto" w:fill="FFFFFF" w:themeFill="background1"/>
            <w:vAlign w:val="center"/>
          </w:tcPr>
          <w:p w14:paraId="00920A37"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7D9EA1FD" w14:textId="77777777" w:rsidR="000B173B" w:rsidRPr="001425AD" w:rsidRDefault="000B173B" w:rsidP="00A15226">
            <w:pPr>
              <w:pStyle w:val="Tabletext"/>
              <w:jc w:val="center"/>
            </w:pPr>
            <w:r w:rsidRPr="00BA5CA5">
              <w:t>Yes</w:t>
            </w:r>
          </w:p>
        </w:tc>
      </w:tr>
      <w:tr w:rsidR="000B173B" w14:paraId="75EC64C0" w14:textId="77777777" w:rsidTr="00A15226">
        <w:tc>
          <w:tcPr>
            <w:tcW w:w="3114" w:type="dxa"/>
            <w:shd w:val="clear" w:color="auto" w:fill="FFFFFF" w:themeFill="background1"/>
            <w:vAlign w:val="center"/>
          </w:tcPr>
          <w:p w14:paraId="68DAFF10" w14:textId="77777777" w:rsidR="000B173B" w:rsidRPr="003C348E" w:rsidRDefault="000B173B" w:rsidP="00A15226">
            <w:pPr>
              <w:pStyle w:val="Tabletext"/>
              <w:rPr>
                <w:i/>
                <w:iCs/>
                <w:highlight w:val="yellow"/>
              </w:rPr>
            </w:pPr>
            <w:r w:rsidRPr="003C348E">
              <w:rPr>
                <w:i/>
                <w:iCs/>
              </w:rPr>
              <w:t>Thalassarche melanophris</w:t>
            </w:r>
          </w:p>
        </w:tc>
        <w:tc>
          <w:tcPr>
            <w:tcW w:w="3118" w:type="dxa"/>
            <w:shd w:val="clear" w:color="auto" w:fill="FFFFFF" w:themeFill="background1"/>
            <w:vAlign w:val="center"/>
          </w:tcPr>
          <w:p w14:paraId="3477F84F" w14:textId="77777777" w:rsidR="000B173B" w:rsidRPr="002C27E1" w:rsidRDefault="000B173B" w:rsidP="00A15226">
            <w:pPr>
              <w:pStyle w:val="Tabletext"/>
              <w:rPr>
                <w:highlight w:val="yellow"/>
              </w:rPr>
            </w:pPr>
            <w:r w:rsidRPr="00A42F3A">
              <w:t>Black-browed Albatross</w:t>
            </w:r>
          </w:p>
        </w:tc>
        <w:tc>
          <w:tcPr>
            <w:tcW w:w="2835" w:type="dxa"/>
            <w:shd w:val="clear" w:color="auto" w:fill="FFFFFF" w:themeFill="background1"/>
            <w:vAlign w:val="center"/>
          </w:tcPr>
          <w:p w14:paraId="797DACF6"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65615765" w14:textId="77777777" w:rsidR="000B173B" w:rsidRPr="002C27E1" w:rsidRDefault="000B173B" w:rsidP="00A15226">
            <w:pPr>
              <w:pStyle w:val="Tabletext"/>
              <w:jc w:val="center"/>
              <w:rPr>
                <w:highlight w:val="yellow"/>
              </w:rPr>
            </w:pPr>
            <w:r w:rsidRPr="001425AD">
              <w:t>Yes</w:t>
            </w:r>
          </w:p>
        </w:tc>
        <w:tc>
          <w:tcPr>
            <w:tcW w:w="850" w:type="dxa"/>
            <w:shd w:val="clear" w:color="auto" w:fill="FFFFFF" w:themeFill="background1"/>
            <w:vAlign w:val="center"/>
          </w:tcPr>
          <w:p w14:paraId="6262AB76"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7E58ABAD"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2ABEF593" w14:textId="77777777" w:rsidR="000B173B" w:rsidRPr="002C27E1" w:rsidRDefault="000B173B" w:rsidP="00A15226">
            <w:pPr>
              <w:pStyle w:val="Tabletext"/>
              <w:jc w:val="center"/>
              <w:rPr>
                <w:highlight w:val="yellow"/>
              </w:rPr>
            </w:pPr>
            <w:r w:rsidRPr="001425AD">
              <w:t>May</w:t>
            </w:r>
          </w:p>
        </w:tc>
        <w:tc>
          <w:tcPr>
            <w:tcW w:w="1300" w:type="dxa"/>
            <w:shd w:val="clear" w:color="auto" w:fill="FFFFFF" w:themeFill="background1"/>
            <w:vAlign w:val="center"/>
          </w:tcPr>
          <w:p w14:paraId="7ADFC744" w14:textId="77777777" w:rsidR="000B173B" w:rsidRPr="001425AD" w:rsidRDefault="000B173B" w:rsidP="00A15226">
            <w:pPr>
              <w:pStyle w:val="Tabletext"/>
              <w:jc w:val="center"/>
            </w:pPr>
            <w:r w:rsidRPr="00BA5CA5">
              <w:t>Yes</w:t>
            </w:r>
          </w:p>
        </w:tc>
      </w:tr>
      <w:tr w:rsidR="000B173B" w14:paraId="0628DCDF" w14:textId="77777777" w:rsidTr="00A15226">
        <w:tc>
          <w:tcPr>
            <w:tcW w:w="3114" w:type="dxa"/>
            <w:shd w:val="clear" w:color="auto" w:fill="FFFFFF" w:themeFill="background1"/>
            <w:vAlign w:val="center"/>
          </w:tcPr>
          <w:p w14:paraId="08E20CEB" w14:textId="77777777" w:rsidR="000B173B" w:rsidRPr="003C348E" w:rsidRDefault="000B173B" w:rsidP="00A15226">
            <w:pPr>
              <w:pStyle w:val="Tabletext"/>
              <w:rPr>
                <w:i/>
                <w:iCs/>
                <w:highlight w:val="yellow"/>
              </w:rPr>
            </w:pPr>
            <w:r w:rsidRPr="003C348E">
              <w:rPr>
                <w:i/>
                <w:iCs/>
              </w:rPr>
              <w:t>Thalassarche salvini</w:t>
            </w:r>
          </w:p>
        </w:tc>
        <w:tc>
          <w:tcPr>
            <w:tcW w:w="3118" w:type="dxa"/>
            <w:shd w:val="clear" w:color="auto" w:fill="FFFFFF" w:themeFill="background1"/>
            <w:vAlign w:val="center"/>
          </w:tcPr>
          <w:p w14:paraId="63164DE3" w14:textId="77777777" w:rsidR="000B173B" w:rsidRPr="002C27E1" w:rsidRDefault="000B173B" w:rsidP="00A15226">
            <w:pPr>
              <w:pStyle w:val="Tabletext"/>
              <w:rPr>
                <w:highlight w:val="yellow"/>
              </w:rPr>
            </w:pPr>
            <w:r w:rsidRPr="00A42F3A">
              <w:t>Salvin's Albatross</w:t>
            </w:r>
          </w:p>
        </w:tc>
        <w:tc>
          <w:tcPr>
            <w:tcW w:w="2835" w:type="dxa"/>
            <w:shd w:val="clear" w:color="auto" w:fill="FFFFFF" w:themeFill="background1"/>
            <w:vAlign w:val="center"/>
          </w:tcPr>
          <w:p w14:paraId="69B6F858"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2B6243FA"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73D698E5"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0AB4898C" w14:textId="77777777" w:rsidR="000B173B" w:rsidRPr="002C27E1" w:rsidRDefault="000B173B" w:rsidP="00A15226">
            <w:pPr>
              <w:pStyle w:val="Tabletext"/>
              <w:jc w:val="center"/>
              <w:rPr>
                <w:highlight w:val="yellow"/>
              </w:rPr>
            </w:pPr>
            <w:r w:rsidRPr="001425AD">
              <w:t>Unlikely</w:t>
            </w:r>
          </w:p>
        </w:tc>
        <w:tc>
          <w:tcPr>
            <w:tcW w:w="1134" w:type="dxa"/>
            <w:shd w:val="clear" w:color="auto" w:fill="FFFFFF" w:themeFill="background1"/>
            <w:vAlign w:val="center"/>
          </w:tcPr>
          <w:p w14:paraId="4B0D792E"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5EEEB1D3" w14:textId="77777777" w:rsidR="000B173B" w:rsidRPr="001425AD" w:rsidRDefault="000B173B" w:rsidP="00A15226">
            <w:pPr>
              <w:pStyle w:val="Tabletext"/>
              <w:jc w:val="center"/>
            </w:pPr>
            <w:r w:rsidRPr="00BA5CA5">
              <w:t>Yes</w:t>
            </w:r>
          </w:p>
        </w:tc>
      </w:tr>
      <w:tr w:rsidR="000B173B" w14:paraId="3698F5C7" w14:textId="77777777" w:rsidTr="00A15226">
        <w:tc>
          <w:tcPr>
            <w:tcW w:w="3114" w:type="dxa"/>
            <w:shd w:val="clear" w:color="auto" w:fill="FFFFFF" w:themeFill="background1"/>
            <w:vAlign w:val="center"/>
          </w:tcPr>
          <w:p w14:paraId="68AE1C18" w14:textId="77777777" w:rsidR="000B173B" w:rsidRPr="003C348E" w:rsidRDefault="000B173B" w:rsidP="00A15226">
            <w:pPr>
              <w:pStyle w:val="Tabletext"/>
              <w:rPr>
                <w:i/>
                <w:iCs/>
                <w:highlight w:val="yellow"/>
              </w:rPr>
            </w:pPr>
            <w:r w:rsidRPr="003C348E">
              <w:rPr>
                <w:i/>
                <w:iCs/>
              </w:rPr>
              <w:t>Thalassarche steadi</w:t>
            </w:r>
          </w:p>
        </w:tc>
        <w:tc>
          <w:tcPr>
            <w:tcW w:w="3118" w:type="dxa"/>
            <w:shd w:val="clear" w:color="auto" w:fill="FFFFFF" w:themeFill="background1"/>
            <w:vAlign w:val="center"/>
          </w:tcPr>
          <w:p w14:paraId="7A78B0B0" w14:textId="77777777" w:rsidR="000B173B" w:rsidRPr="002C27E1" w:rsidRDefault="000B173B" w:rsidP="00A15226">
            <w:pPr>
              <w:pStyle w:val="Tabletext"/>
              <w:rPr>
                <w:highlight w:val="yellow"/>
              </w:rPr>
            </w:pPr>
            <w:r w:rsidRPr="00A42F3A">
              <w:t>White-capped Albatross</w:t>
            </w:r>
          </w:p>
        </w:tc>
        <w:tc>
          <w:tcPr>
            <w:tcW w:w="2835" w:type="dxa"/>
            <w:shd w:val="clear" w:color="auto" w:fill="FFFFFF" w:themeFill="background1"/>
            <w:vAlign w:val="center"/>
          </w:tcPr>
          <w:p w14:paraId="031F4654" w14:textId="77777777" w:rsidR="000B173B" w:rsidRPr="002C27E1" w:rsidRDefault="000B173B" w:rsidP="00A15226">
            <w:pPr>
              <w:pStyle w:val="Tabletext"/>
              <w:rPr>
                <w:highlight w:val="yellow"/>
              </w:rPr>
            </w:pPr>
            <w:r w:rsidRPr="00A42F3A">
              <w:t>Vulnerable, marine, migratory</w:t>
            </w:r>
          </w:p>
        </w:tc>
        <w:tc>
          <w:tcPr>
            <w:tcW w:w="851" w:type="dxa"/>
            <w:shd w:val="clear" w:color="auto" w:fill="FFFFFF" w:themeFill="background1"/>
            <w:vAlign w:val="center"/>
          </w:tcPr>
          <w:p w14:paraId="61D9B7B1" w14:textId="77777777" w:rsidR="000B173B" w:rsidRPr="002C27E1" w:rsidRDefault="000B173B" w:rsidP="00A15226">
            <w:pPr>
              <w:pStyle w:val="Tabletext"/>
              <w:jc w:val="center"/>
              <w:rPr>
                <w:highlight w:val="yellow"/>
              </w:rPr>
            </w:pPr>
            <w:r w:rsidRPr="001425AD">
              <w:t>No</w:t>
            </w:r>
          </w:p>
        </w:tc>
        <w:tc>
          <w:tcPr>
            <w:tcW w:w="850" w:type="dxa"/>
            <w:shd w:val="clear" w:color="auto" w:fill="FFFFFF" w:themeFill="background1"/>
            <w:vAlign w:val="center"/>
          </w:tcPr>
          <w:p w14:paraId="7868DD76" w14:textId="77777777" w:rsidR="000B173B" w:rsidRPr="002C27E1" w:rsidRDefault="000B173B" w:rsidP="00A15226">
            <w:pPr>
              <w:pStyle w:val="Tabletext"/>
              <w:jc w:val="center"/>
              <w:rPr>
                <w:highlight w:val="yellow"/>
              </w:rPr>
            </w:pPr>
            <w:r w:rsidRPr="001425AD">
              <w:t>No</w:t>
            </w:r>
          </w:p>
        </w:tc>
        <w:tc>
          <w:tcPr>
            <w:tcW w:w="1134" w:type="dxa"/>
            <w:shd w:val="clear" w:color="auto" w:fill="FFFFFF" w:themeFill="background1"/>
            <w:vAlign w:val="center"/>
          </w:tcPr>
          <w:p w14:paraId="6A04F8BE" w14:textId="77777777" w:rsidR="000B173B" w:rsidRPr="002C27E1" w:rsidRDefault="000B173B" w:rsidP="00A15226">
            <w:pPr>
              <w:pStyle w:val="Tabletext"/>
              <w:jc w:val="center"/>
              <w:rPr>
                <w:highlight w:val="yellow"/>
              </w:rPr>
            </w:pPr>
            <w:r w:rsidRPr="001425AD">
              <w:t>N/A</w:t>
            </w:r>
          </w:p>
        </w:tc>
        <w:tc>
          <w:tcPr>
            <w:tcW w:w="1134" w:type="dxa"/>
            <w:shd w:val="clear" w:color="auto" w:fill="FFFFFF" w:themeFill="background1"/>
            <w:vAlign w:val="center"/>
          </w:tcPr>
          <w:p w14:paraId="5BC77B0C" w14:textId="77777777" w:rsidR="000B173B" w:rsidRPr="002C27E1" w:rsidRDefault="000B173B" w:rsidP="00A15226">
            <w:pPr>
              <w:pStyle w:val="Tabletext"/>
              <w:jc w:val="center"/>
              <w:rPr>
                <w:highlight w:val="yellow"/>
              </w:rPr>
            </w:pPr>
            <w:r w:rsidRPr="001425AD">
              <w:t>Likely</w:t>
            </w:r>
          </w:p>
        </w:tc>
        <w:tc>
          <w:tcPr>
            <w:tcW w:w="1300" w:type="dxa"/>
            <w:shd w:val="clear" w:color="auto" w:fill="FFFFFF" w:themeFill="background1"/>
            <w:vAlign w:val="center"/>
          </w:tcPr>
          <w:p w14:paraId="0EC85607" w14:textId="77777777" w:rsidR="000B173B" w:rsidRPr="001425AD" w:rsidRDefault="000B173B" w:rsidP="00A15226">
            <w:pPr>
              <w:pStyle w:val="Tabletext"/>
              <w:jc w:val="center"/>
            </w:pPr>
            <w:r w:rsidRPr="00BA5CA5">
              <w:t>Yes</w:t>
            </w:r>
          </w:p>
        </w:tc>
      </w:tr>
      <w:tr w:rsidR="000B173B" w14:paraId="502A78D2" w14:textId="77777777" w:rsidTr="00A15226">
        <w:tc>
          <w:tcPr>
            <w:tcW w:w="3114" w:type="dxa"/>
            <w:tcBorders>
              <w:bottom w:val="single" w:sz="4" w:space="0" w:color="auto"/>
            </w:tcBorders>
            <w:shd w:val="clear" w:color="auto" w:fill="FFFFFF" w:themeFill="background1"/>
            <w:vAlign w:val="center"/>
          </w:tcPr>
          <w:p w14:paraId="2519A5B7" w14:textId="77777777" w:rsidR="000B173B" w:rsidRPr="003C348E" w:rsidRDefault="000B173B" w:rsidP="00A15226">
            <w:pPr>
              <w:pStyle w:val="Tabletext"/>
              <w:rPr>
                <w:i/>
                <w:iCs/>
                <w:highlight w:val="yellow"/>
              </w:rPr>
            </w:pPr>
            <w:r w:rsidRPr="003C348E">
              <w:rPr>
                <w:i/>
                <w:iCs/>
              </w:rPr>
              <w:t>Thinornis cucullatus cucullatus</w:t>
            </w:r>
          </w:p>
        </w:tc>
        <w:tc>
          <w:tcPr>
            <w:tcW w:w="3118" w:type="dxa"/>
            <w:tcBorders>
              <w:bottom w:val="single" w:sz="4" w:space="0" w:color="auto"/>
            </w:tcBorders>
            <w:shd w:val="clear" w:color="auto" w:fill="FFFFFF" w:themeFill="background1"/>
            <w:vAlign w:val="center"/>
          </w:tcPr>
          <w:p w14:paraId="63F72FD3" w14:textId="77777777" w:rsidR="000B173B" w:rsidRPr="002C27E1" w:rsidRDefault="000B173B" w:rsidP="00A15226">
            <w:pPr>
              <w:pStyle w:val="Tabletext"/>
              <w:rPr>
                <w:highlight w:val="yellow"/>
              </w:rPr>
            </w:pPr>
            <w:r w:rsidRPr="00A42F3A">
              <w:t>Eastern Hooded Plover</w:t>
            </w:r>
          </w:p>
        </w:tc>
        <w:tc>
          <w:tcPr>
            <w:tcW w:w="2835" w:type="dxa"/>
            <w:tcBorders>
              <w:bottom w:val="single" w:sz="4" w:space="0" w:color="auto"/>
            </w:tcBorders>
            <w:shd w:val="clear" w:color="auto" w:fill="FFFFFF" w:themeFill="background1"/>
            <w:vAlign w:val="center"/>
          </w:tcPr>
          <w:p w14:paraId="1CF2A365" w14:textId="77777777" w:rsidR="000B173B" w:rsidRPr="002C27E1" w:rsidRDefault="000B173B" w:rsidP="00A15226">
            <w:pPr>
              <w:pStyle w:val="Tabletext"/>
              <w:rPr>
                <w:highlight w:val="yellow"/>
              </w:rPr>
            </w:pPr>
            <w:r w:rsidRPr="00A42F3A">
              <w:t>Vulnerable, Marine</w:t>
            </w:r>
          </w:p>
        </w:tc>
        <w:tc>
          <w:tcPr>
            <w:tcW w:w="851" w:type="dxa"/>
            <w:tcBorders>
              <w:bottom w:val="single" w:sz="4" w:space="0" w:color="auto"/>
            </w:tcBorders>
            <w:shd w:val="clear" w:color="auto" w:fill="FFFFFF" w:themeFill="background1"/>
            <w:vAlign w:val="center"/>
          </w:tcPr>
          <w:p w14:paraId="23732931" w14:textId="77777777" w:rsidR="000B173B" w:rsidRPr="002C27E1" w:rsidRDefault="000B173B" w:rsidP="00A15226">
            <w:pPr>
              <w:pStyle w:val="Tabletext"/>
              <w:jc w:val="center"/>
              <w:rPr>
                <w:highlight w:val="yellow"/>
              </w:rPr>
            </w:pPr>
            <w:r w:rsidRPr="001425AD">
              <w:t>Yes</w:t>
            </w:r>
          </w:p>
        </w:tc>
        <w:tc>
          <w:tcPr>
            <w:tcW w:w="850" w:type="dxa"/>
            <w:tcBorders>
              <w:bottom w:val="single" w:sz="4" w:space="0" w:color="auto"/>
            </w:tcBorders>
            <w:shd w:val="clear" w:color="auto" w:fill="FFFFFF" w:themeFill="background1"/>
            <w:vAlign w:val="center"/>
          </w:tcPr>
          <w:p w14:paraId="14000BEE" w14:textId="77777777" w:rsidR="000B173B" w:rsidRPr="002C27E1" w:rsidRDefault="000B173B" w:rsidP="00A15226">
            <w:pPr>
              <w:pStyle w:val="Tabletext"/>
              <w:jc w:val="center"/>
              <w:rPr>
                <w:highlight w:val="yellow"/>
              </w:rPr>
            </w:pPr>
            <w:r w:rsidRPr="001425AD">
              <w:t>No</w:t>
            </w:r>
          </w:p>
        </w:tc>
        <w:tc>
          <w:tcPr>
            <w:tcW w:w="1134" w:type="dxa"/>
            <w:tcBorders>
              <w:bottom w:val="single" w:sz="4" w:space="0" w:color="auto"/>
            </w:tcBorders>
            <w:shd w:val="clear" w:color="auto" w:fill="FFFFFF" w:themeFill="background1"/>
            <w:vAlign w:val="center"/>
          </w:tcPr>
          <w:p w14:paraId="60D655BE" w14:textId="77777777" w:rsidR="000B173B" w:rsidRPr="002C27E1" w:rsidRDefault="000B173B" w:rsidP="00A15226">
            <w:pPr>
              <w:pStyle w:val="Tabletext"/>
              <w:jc w:val="center"/>
              <w:rPr>
                <w:highlight w:val="yellow"/>
              </w:rPr>
            </w:pPr>
            <w:r w:rsidRPr="001425AD">
              <w:t>N/A</w:t>
            </w:r>
          </w:p>
        </w:tc>
        <w:tc>
          <w:tcPr>
            <w:tcW w:w="1134" w:type="dxa"/>
            <w:tcBorders>
              <w:bottom w:val="single" w:sz="4" w:space="0" w:color="auto"/>
            </w:tcBorders>
            <w:shd w:val="clear" w:color="auto" w:fill="FFFFFF" w:themeFill="background1"/>
            <w:vAlign w:val="center"/>
          </w:tcPr>
          <w:p w14:paraId="19A44147" w14:textId="77777777" w:rsidR="000B173B" w:rsidRPr="002C27E1" w:rsidRDefault="000B173B" w:rsidP="00A15226">
            <w:pPr>
              <w:pStyle w:val="Tabletext"/>
              <w:jc w:val="center"/>
              <w:rPr>
                <w:highlight w:val="yellow"/>
              </w:rPr>
            </w:pPr>
            <w:r w:rsidRPr="001425AD">
              <w:t>Known</w:t>
            </w:r>
          </w:p>
        </w:tc>
        <w:tc>
          <w:tcPr>
            <w:tcW w:w="1300" w:type="dxa"/>
            <w:tcBorders>
              <w:bottom w:val="single" w:sz="4" w:space="0" w:color="auto"/>
            </w:tcBorders>
            <w:shd w:val="clear" w:color="auto" w:fill="FFFFFF" w:themeFill="background1"/>
            <w:vAlign w:val="center"/>
          </w:tcPr>
          <w:p w14:paraId="4D68FFCF" w14:textId="77777777" w:rsidR="000B173B" w:rsidRPr="001425AD" w:rsidRDefault="000B173B" w:rsidP="00A15226">
            <w:pPr>
              <w:pStyle w:val="Tabletext"/>
              <w:jc w:val="center"/>
            </w:pPr>
            <w:r w:rsidRPr="00BA5CA5">
              <w:t>Yes</w:t>
            </w:r>
          </w:p>
        </w:tc>
      </w:tr>
      <w:tr w:rsidR="000B173B" w14:paraId="2D6B64F5" w14:textId="77777777" w:rsidTr="00A15226">
        <w:tc>
          <w:tcPr>
            <w:tcW w:w="3114" w:type="dxa"/>
            <w:tcBorders>
              <w:right w:val="nil"/>
            </w:tcBorders>
            <w:shd w:val="clear" w:color="auto" w:fill="B4C6E7" w:themeFill="accent1" w:themeFillTint="66"/>
            <w:vAlign w:val="center"/>
          </w:tcPr>
          <w:p w14:paraId="0869FB37" w14:textId="77777777" w:rsidR="000B173B" w:rsidRPr="00B260FD" w:rsidRDefault="000B173B" w:rsidP="00A15226">
            <w:pPr>
              <w:pStyle w:val="Tabletext"/>
              <w:rPr>
                <w:b/>
                <w:bCs/>
                <w:highlight w:val="yellow"/>
              </w:rPr>
            </w:pPr>
            <w:r w:rsidRPr="00B260FD">
              <w:rPr>
                <w:b/>
                <w:bCs/>
              </w:rPr>
              <w:t>Reptiles</w:t>
            </w:r>
          </w:p>
        </w:tc>
        <w:tc>
          <w:tcPr>
            <w:tcW w:w="3118" w:type="dxa"/>
            <w:tcBorders>
              <w:left w:val="nil"/>
              <w:right w:val="nil"/>
            </w:tcBorders>
            <w:shd w:val="clear" w:color="auto" w:fill="B4C6E7" w:themeFill="accent1" w:themeFillTint="66"/>
            <w:vAlign w:val="center"/>
          </w:tcPr>
          <w:p w14:paraId="64D7282C" w14:textId="77777777" w:rsidR="000B173B" w:rsidRPr="002C27E1" w:rsidRDefault="000B173B" w:rsidP="00A15226">
            <w:pPr>
              <w:pStyle w:val="Tabletext"/>
              <w:rPr>
                <w:highlight w:val="yellow"/>
              </w:rPr>
            </w:pPr>
          </w:p>
        </w:tc>
        <w:tc>
          <w:tcPr>
            <w:tcW w:w="2835" w:type="dxa"/>
            <w:tcBorders>
              <w:left w:val="nil"/>
              <w:right w:val="nil"/>
            </w:tcBorders>
            <w:shd w:val="clear" w:color="auto" w:fill="B4C6E7" w:themeFill="accent1" w:themeFillTint="66"/>
            <w:vAlign w:val="center"/>
          </w:tcPr>
          <w:p w14:paraId="2D2D0CDB" w14:textId="77777777" w:rsidR="000B173B" w:rsidRPr="002C27E1" w:rsidRDefault="000B173B" w:rsidP="00A15226">
            <w:pPr>
              <w:pStyle w:val="Tabletext"/>
              <w:rPr>
                <w:highlight w:val="yellow"/>
              </w:rPr>
            </w:pPr>
          </w:p>
        </w:tc>
        <w:tc>
          <w:tcPr>
            <w:tcW w:w="851" w:type="dxa"/>
            <w:tcBorders>
              <w:left w:val="nil"/>
              <w:right w:val="nil"/>
            </w:tcBorders>
            <w:shd w:val="clear" w:color="auto" w:fill="B4C6E7" w:themeFill="accent1" w:themeFillTint="66"/>
            <w:vAlign w:val="center"/>
          </w:tcPr>
          <w:p w14:paraId="3453047A" w14:textId="77777777" w:rsidR="000B173B" w:rsidRPr="002C27E1" w:rsidRDefault="000B173B" w:rsidP="00A15226">
            <w:pPr>
              <w:pStyle w:val="Tabletext"/>
              <w:jc w:val="center"/>
              <w:rPr>
                <w:highlight w:val="yellow"/>
              </w:rPr>
            </w:pPr>
          </w:p>
        </w:tc>
        <w:tc>
          <w:tcPr>
            <w:tcW w:w="850" w:type="dxa"/>
            <w:tcBorders>
              <w:left w:val="nil"/>
              <w:right w:val="nil"/>
            </w:tcBorders>
            <w:shd w:val="clear" w:color="auto" w:fill="B4C6E7" w:themeFill="accent1" w:themeFillTint="66"/>
            <w:vAlign w:val="center"/>
          </w:tcPr>
          <w:p w14:paraId="6FDF8AC5"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6DDB8839"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1A05D8B0" w14:textId="77777777" w:rsidR="000B173B" w:rsidRPr="002C27E1" w:rsidRDefault="000B173B" w:rsidP="00A15226">
            <w:pPr>
              <w:pStyle w:val="Tabletext"/>
              <w:jc w:val="center"/>
              <w:rPr>
                <w:highlight w:val="yellow"/>
              </w:rPr>
            </w:pPr>
          </w:p>
        </w:tc>
        <w:tc>
          <w:tcPr>
            <w:tcW w:w="1300" w:type="dxa"/>
            <w:tcBorders>
              <w:left w:val="nil"/>
            </w:tcBorders>
            <w:shd w:val="clear" w:color="auto" w:fill="B4C6E7" w:themeFill="accent1" w:themeFillTint="66"/>
            <w:vAlign w:val="center"/>
          </w:tcPr>
          <w:p w14:paraId="6D5693A7" w14:textId="77777777" w:rsidR="000B173B" w:rsidRPr="002C27E1" w:rsidRDefault="000B173B" w:rsidP="00A15226">
            <w:pPr>
              <w:pStyle w:val="Tabletext"/>
              <w:jc w:val="center"/>
              <w:rPr>
                <w:highlight w:val="yellow"/>
              </w:rPr>
            </w:pPr>
          </w:p>
        </w:tc>
      </w:tr>
      <w:tr w:rsidR="000B173B" w14:paraId="320DF007" w14:textId="77777777" w:rsidTr="00A15226">
        <w:tc>
          <w:tcPr>
            <w:tcW w:w="3114" w:type="dxa"/>
            <w:shd w:val="clear" w:color="auto" w:fill="FFFFFF" w:themeFill="background1"/>
            <w:vAlign w:val="center"/>
          </w:tcPr>
          <w:p w14:paraId="0C0CC514" w14:textId="77777777" w:rsidR="000B173B" w:rsidRPr="003C348E" w:rsidRDefault="000B173B" w:rsidP="00A15226">
            <w:pPr>
              <w:pStyle w:val="Tabletext"/>
              <w:rPr>
                <w:i/>
                <w:iCs/>
              </w:rPr>
            </w:pPr>
            <w:r w:rsidRPr="003C348E">
              <w:rPr>
                <w:i/>
                <w:iCs/>
              </w:rPr>
              <w:t>Aprasia parapulchella</w:t>
            </w:r>
          </w:p>
        </w:tc>
        <w:tc>
          <w:tcPr>
            <w:tcW w:w="3118" w:type="dxa"/>
            <w:shd w:val="clear" w:color="auto" w:fill="FFFFFF" w:themeFill="background1"/>
            <w:vAlign w:val="center"/>
          </w:tcPr>
          <w:p w14:paraId="60F13AF9" w14:textId="77777777" w:rsidR="000B173B" w:rsidRPr="002445A8" w:rsidRDefault="000B173B" w:rsidP="00A15226">
            <w:pPr>
              <w:pStyle w:val="Tabletext"/>
            </w:pPr>
            <w:r w:rsidRPr="007F73A7">
              <w:t>Pink-tailed Worm-lizard</w:t>
            </w:r>
          </w:p>
        </w:tc>
        <w:tc>
          <w:tcPr>
            <w:tcW w:w="2835" w:type="dxa"/>
            <w:shd w:val="clear" w:color="auto" w:fill="FFFFFF" w:themeFill="background1"/>
            <w:vAlign w:val="center"/>
          </w:tcPr>
          <w:p w14:paraId="217050D4" w14:textId="77777777" w:rsidR="000B173B" w:rsidRPr="002445A8" w:rsidRDefault="000B173B" w:rsidP="00A15226">
            <w:pPr>
              <w:pStyle w:val="Tabletext"/>
            </w:pPr>
            <w:r w:rsidRPr="007F73A7">
              <w:t xml:space="preserve">Vulnerable </w:t>
            </w:r>
          </w:p>
        </w:tc>
        <w:tc>
          <w:tcPr>
            <w:tcW w:w="851" w:type="dxa"/>
            <w:shd w:val="clear" w:color="auto" w:fill="FFFFFF" w:themeFill="background1"/>
            <w:vAlign w:val="center"/>
          </w:tcPr>
          <w:p w14:paraId="6CD99DD8" w14:textId="77777777" w:rsidR="000B173B" w:rsidRPr="002445A8" w:rsidRDefault="000B173B" w:rsidP="00A15226">
            <w:pPr>
              <w:pStyle w:val="Tabletext"/>
              <w:jc w:val="center"/>
            </w:pPr>
            <w:r w:rsidRPr="007F73A7">
              <w:t>No</w:t>
            </w:r>
          </w:p>
        </w:tc>
        <w:tc>
          <w:tcPr>
            <w:tcW w:w="850" w:type="dxa"/>
            <w:shd w:val="clear" w:color="auto" w:fill="FFFFFF" w:themeFill="background1"/>
            <w:vAlign w:val="center"/>
          </w:tcPr>
          <w:p w14:paraId="73895696" w14:textId="77777777" w:rsidR="000B173B" w:rsidRPr="002445A8" w:rsidRDefault="000B173B" w:rsidP="00A15226">
            <w:pPr>
              <w:pStyle w:val="Tabletext"/>
              <w:jc w:val="center"/>
            </w:pPr>
            <w:r w:rsidRPr="007F73A7">
              <w:t>No</w:t>
            </w:r>
          </w:p>
        </w:tc>
        <w:tc>
          <w:tcPr>
            <w:tcW w:w="1134" w:type="dxa"/>
            <w:shd w:val="clear" w:color="auto" w:fill="FFFFFF" w:themeFill="background1"/>
            <w:vAlign w:val="center"/>
          </w:tcPr>
          <w:p w14:paraId="76CBA0B7" w14:textId="77777777" w:rsidR="000B173B" w:rsidRPr="002445A8" w:rsidRDefault="000B173B" w:rsidP="00A15226">
            <w:pPr>
              <w:pStyle w:val="Tabletext"/>
              <w:jc w:val="center"/>
            </w:pPr>
            <w:r w:rsidRPr="007F73A7">
              <w:t>Unlikely</w:t>
            </w:r>
          </w:p>
        </w:tc>
        <w:tc>
          <w:tcPr>
            <w:tcW w:w="1134" w:type="dxa"/>
            <w:shd w:val="clear" w:color="auto" w:fill="FFFFFF" w:themeFill="background1"/>
            <w:vAlign w:val="center"/>
          </w:tcPr>
          <w:p w14:paraId="7CE17FCB" w14:textId="77777777" w:rsidR="000B173B" w:rsidRPr="002445A8" w:rsidRDefault="000B173B" w:rsidP="00A15226">
            <w:pPr>
              <w:pStyle w:val="Tabletext"/>
              <w:jc w:val="center"/>
            </w:pPr>
            <w:r w:rsidRPr="007F73A7">
              <w:t>May</w:t>
            </w:r>
          </w:p>
        </w:tc>
        <w:tc>
          <w:tcPr>
            <w:tcW w:w="1300" w:type="dxa"/>
            <w:shd w:val="clear" w:color="auto" w:fill="FFFFFF" w:themeFill="background1"/>
            <w:vAlign w:val="center"/>
          </w:tcPr>
          <w:p w14:paraId="71F07D90" w14:textId="77777777" w:rsidR="000B173B" w:rsidRPr="002445A8" w:rsidRDefault="000B173B" w:rsidP="00A15226">
            <w:pPr>
              <w:pStyle w:val="Tabletext"/>
              <w:jc w:val="center"/>
            </w:pPr>
            <w:r w:rsidRPr="00453BA6">
              <w:t>No</w:t>
            </w:r>
          </w:p>
        </w:tc>
      </w:tr>
      <w:tr w:rsidR="000B173B" w14:paraId="3AF69E5B" w14:textId="77777777" w:rsidTr="00A15226">
        <w:tc>
          <w:tcPr>
            <w:tcW w:w="3114" w:type="dxa"/>
            <w:shd w:val="clear" w:color="auto" w:fill="FFFFFF" w:themeFill="background1"/>
            <w:vAlign w:val="center"/>
          </w:tcPr>
          <w:p w14:paraId="5BBE19FA" w14:textId="77777777" w:rsidR="000B173B" w:rsidRPr="003C348E" w:rsidRDefault="000B173B" w:rsidP="00A15226">
            <w:pPr>
              <w:pStyle w:val="Tabletext"/>
              <w:rPr>
                <w:i/>
                <w:iCs/>
                <w:highlight w:val="yellow"/>
              </w:rPr>
            </w:pPr>
            <w:r w:rsidRPr="003C348E">
              <w:rPr>
                <w:i/>
                <w:iCs/>
              </w:rPr>
              <w:lastRenderedPageBreak/>
              <w:t>Caretta caretta</w:t>
            </w:r>
          </w:p>
        </w:tc>
        <w:tc>
          <w:tcPr>
            <w:tcW w:w="3118" w:type="dxa"/>
            <w:shd w:val="clear" w:color="auto" w:fill="FFFFFF" w:themeFill="background1"/>
            <w:vAlign w:val="center"/>
          </w:tcPr>
          <w:p w14:paraId="26F77911" w14:textId="77777777" w:rsidR="000B173B" w:rsidRPr="002C27E1" w:rsidRDefault="000B173B" w:rsidP="00A15226">
            <w:pPr>
              <w:pStyle w:val="Tabletext"/>
              <w:rPr>
                <w:highlight w:val="yellow"/>
              </w:rPr>
            </w:pPr>
            <w:r w:rsidRPr="002445A8">
              <w:t>Loggerhead Turtle</w:t>
            </w:r>
          </w:p>
        </w:tc>
        <w:tc>
          <w:tcPr>
            <w:tcW w:w="2835" w:type="dxa"/>
            <w:shd w:val="clear" w:color="auto" w:fill="FFFFFF" w:themeFill="background1"/>
            <w:vAlign w:val="center"/>
          </w:tcPr>
          <w:p w14:paraId="7EEC5491" w14:textId="77777777" w:rsidR="000B173B" w:rsidRPr="002C27E1" w:rsidRDefault="000B173B" w:rsidP="00A15226">
            <w:pPr>
              <w:pStyle w:val="Tabletext"/>
              <w:rPr>
                <w:highlight w:val="yellow"/>
              </w:rPr>
            </w:pPr>
            <w:r w:rsidRPr="002445A8">
              <w:t>Endangered, marine, migratory</w:t>
            </w:r>
          </w:p>
        </w:tc>
        <w:tc>
          <w:tcPr>
            <w:tcW w:w="851" w:type="dxa"/>
            <w:shd w:val="clear" w:color="auto" w:fill="FFFFFF" w:themeFill="background1"/>
            <w:vAlign w:val="center"/>
          </w:tcPr>
          <w:p w14:paraId="4B75453F" w14:textId="77777777" w:rsidR="000B173B" w:rsidRPr="002C27E1" w:rsidRDefault="000B173B" w:rsidP="00A15226">
            <w:pPr>
              <w:pStyle w:val="Tabletext"/>
              <w:jc w:val="center"/>
              <w:rPr>
                <w:highlight w:val="yellow"/>
              </w:rPr>
            </w:pPr>
            <w:r w:rsidRPr="002445A8">
              <w:t>No</w:t>
            </w:r>
          </w:p>
        </w:tc>
        <w:tc>
          <w:tcPr>
            <w:tcW w:w="850" w:type="dxa"/>
            <w:shd w:val="clear" w:color="auto" w:fill="FFFFFF" w:themeFill="background1"/>
            <w:vAlign w:val="center"/>
          </w:tcPr>
          <w:p w14:paraId="6CEE646A" w14:textId="77777777" w:rsidR="000B173B" w:rsidRPr="002C27E1" w:rsidRDefault="000B173B" w:rsidP="00A15226">
            <w:pPr>
              <w:pStyle w:val="Tabletext"/>
              <w:jc w:val="center"/>
              <w:rPr>
                <w:highlight w:val="yellow"/>
              </w:rPr>
            </w:pPr>
            <w:r w:rsidRPr="002445A8">
              <w:t>No</w:t>
            </w:r>
          </w:p>
        </w:tc>
        <w:tc>
          <w:tcPr>
            <w:tcW w:w="1134" w:type="dxa"/>
            <w:shd w:val="clear" w:color="auto" w:fill="FFFFFF" w:themeFill="background1"/>
            <w:vAlign w:val="center"/>
          </w:tcPr>
          <w:p w14:paraId="108F313E" w14:textId="77777777" w:rsidR="000B173B" w:rsidRPr="002C27E1" w:rsidRDefault="000B173B" w:rsidP="00A15226">
            <w:pPr>
              <w:pStyle w:val="Tabletext"/>
              <w:jc w:val="center"/>
              <w:rPr>
                <w:highlight w:val="yellow"/>
              </w:rPr>
            </w:pPr>
            <w:r w:rsidRPr="002445A8">
              <w:t>Unlikely</w:t>
            </w:r>
          </w:p>
        </w:tc>
        <w:tc>
          <w:tcPr>
            <w:tcW w:w="1134" w:type="dxa"/>
            <w:shd w:val="clear" w:color="auto" w:fill="FFFFFF" w:themeFill="background1"/>
            <w:vAlign w:val="center"/>
          </w:tcPr>
          <w:p w14:paraId="6060DF3A" w14:textId="77777777" w:rsidR="000B173B" w:rsidRPr="002C27E1" w:rsidRDefault="000B173B" w:rsidP="00A15226">
            <w:pPr>
              <w:pStyle w:val="Tabletext"/>
              <w:jc w:val="center"/>
              <w:rPr>
                <w:highlight w:val="yellow"/>
              </w:rPr>
            </w:pPr>
            <w:r w:rsidRPr="002445A8">
              <w:t>Known</w:t>
            </w:r>
          </w:p>
        </w:tc>
        <w:tc>
          <w:tcPr>
            <w:tcW w:w="1300" w:type="dxa"/>
            <w:shd w:val="clear" w:color="auto" w:fill="FFFFFF" w:themeFill="background1"/>
            <w:vAlign w:val="center"/>
          </w:tcPr>
          <w:p w14:paraId="7F60ADC0" w14:textId="77777777" w:rsidR="000B173B" w:rsidRPr="002445A8" w:rsidRDefault="000B173B" w:rsidP="00A15226">
            <w:pPr>
              <w:pStyle w:val="Tabletext"/>
              <w:jc w:val="center"/>
            </w:pPr>
            <w:r w:rsidRPr="00453BA6">
              <w:t>Yes</w:t>
            </w:r>
          </w:p>
        </w:tc>
      </w:tr>
      <w:tr w:rsidR="000B173B" w14:paraId="3FE553D0" w14:textId="77777777" w:rsidTr="00A15226">
        <w:tc>
          <w:tcPr>
            <w:tcW w:w="3114" w:type="dxa"/>
            <w:shd w:val="clear" w:color="auto" w:fill="FFFFFF" w:themeFill="background1"/>
            <w:vAlign w:val="center"/>
          </w:tcPr>
          <w:p w14:paraId="2225C96D" w14:textId="77777777" w:rsidR="000B173B" w:rsidRPr="003C348E" w:rsidRDefault="000B173B" w:rsidP="00A15226">
            <w:pPr>
              <w:pStyle w:val="Tabletext"/>
              <w:rPr>
                <w:i/>
                <w:iCs/>
              </w:rPr>
            </w:pPr>
            <w:r w:rsidRPr="003C348E">
              <w:rPr>
                <w:i/>
                <w:iCs/>
              </w:rPr>
              <w:t>Chelonia mydas</w:t>
            </w:r>
          </w:p>
        </w:tc>
        <w:tc>
          <w:tcPr>
            <w:tcW w:w="3118" w:type="dxa"/>
            <w:shd w:val="clear" w:color="auto" w:fill="FFFFFF" w:themeFill="background1"/>
            <w:vAlign w:val="center"/>
          </w:tcPr>
          <w:p w14:paraId="1EAD0F33" w14:textId="77777777" w:rsidR="000B173B" w:rsidRPr="002445A8" w:rsidRDefault="000B173B" w:rsidP="00A15226">
            <w:pPr>
              <w:pStyle w:val="Tabletext"/>
            </w:pPr>
            <w:r w:rsidRPr="00773C7C">
              <w:t>Green Turtle</w:t>
            </w:r>
          </w:p>
        </w:tc>
        <w:tc>
          <w:tcPr>
            <w:tcW w:w="2835" w:type="dxa"/>
            <w:shd w:val="clear" w:color="auto" w:fill="FFFFFF" w:themeFill="background1"/>
            <w:vAlign w:val="center"/>
          </w:tcPr>
          <w:p w14:paraId="702CDEA2" w14:textId="77777777" w:rsidR="000B173B" w:rsidRPr="002445A8" w:rsidRDefault="000B173B" w:rsidP="00A15226">
            <w:pPr>
              <w:pStyle w:val="Tabletext"/>
            </w:pPr>
            <w:r w:rsidRPr="00773C7C">
              <w:t xml:space="preserve">Vulnerable, marine, migratory </w:t>
            </w:r>
          </w:p>
        </w:tc>
        <w:tc>
          <w:tcPr>
            <w:tcW w:w="851" w:type="dxa"/>
            <w:shd w:val="clear" w:color="auto" w:fill="FFFFFF" w:themeFill="background1"/>
            <w:vAlign w:val="center"/>
          </w:tcPr>
          <w:p w14:paraId="0465D528" w14:textId="77777777" w:rsidR="000B173B" w:rsidRPr="002445A8" w:rsidRDefault="000B173B" w:rsidP="00A15226">
            <w:pPr>
              <w:pStyle w:val="Tabletext"/>
              <w:jc w:val="center"/>
            </w:pPr>
            <w:r w:rsidRPr="00773C7C">
              <w:t>No</w:t>
            </w:r>
          </w:p>
        </w:tc>
        <w:tc>
          <w:tcPr>
            <w:tcW w:w="850" w:type="dxa"/>
            <w:shd w:val="clear" w:color="auto" w:fill="FFFFFF" w:themeFill="background1"/>
            <w:vAlign w:val="center"/>
          </w:tcPr>
          <w:p w14:paraId="51AF0D03" w14:textId="77777777" w:rsidR="000B173B" w:rsidRPr="002445A8" w:rsidRDefault="000B173B" w:rsidP="00A15226">
            <w:pPr>
              <w:pStyle w:val="Tabletext"/>
              <w:jc w:val="center"/>
            </w:pPr>
            <w:r w:rsidRPr="00773C7C">
              <w:t>No</w:t>
            </w:r>
          </w:p>
        </w:tc>
        <w:tc>
          <w:tcPr>
            <w:tcW w:w="1134" w:type="dxa"/>
            <w:shd w:val="clear" w:color="auto" w:fill="FFFFFF" w:themeFill="background1"/>
            <w:vAlign w:val="center"/>
          </w:tcPr>
          <w:p w14:paraId="43930FBF" w14:textId="77777777" w:rsidR="000B173B" w:rsidRPr="002445A8" w:rsidRDefault="000B173B" w:rsidP="00A15226">
            <w:pPr>
              <w:pStyle w:val="Tabletext"/>
              <w:jc w:val="center"/>
            </w:pPr>
            <w:r w:rsidRPr="00773C7C">
              <w:t>Unlikely</w:t>
            </w:r>
          </w:p>
        </w:tc>
        <w:tc>
          <w:tcPr>
            <w:tcW w:w="1134" w:type="dxa"/>
            <w:shd w:val="clear" w:color="auto" w:fill="FFFFFF" w:themeFill="background1"/>
            <w:vAlign w:val="center"/>
          </w:tcPr>
          <w:p w14:paraId="7BCFDC30" w14:textId="77777777" w:rsidR="000B173B" w:rsidRPr="002445A8" w:rsidRDefault="000B173B" w:rsidP="00A15226">
            <w:pPr>
              <w:pStyle w:val="Tabletext"/>
              <w:jc w:val="center"/>
            </w:pPr>
            <w:r w:rsidRPr="00773C7C">
              <w:t>May</w:t>
            </w:r>
          </w:p>
        </w:tc>
        <w:tc>
          <w:tcPr>
            <w:tcW w:w="1300" w:type="dxa"/>
            <w:shd w:val="clear" w:color="auto" w:fill="FFFFFF" w:themeFill="background1"/>
            <w:vAlign w:val="center"/>
          </w:tcPr>
          <w:p w14:paraId="703F1A6A" w14:textId="77777777" w:rsidR="000B173B" w:rsidRPr="002445A8" w:rsidRDefault="000B173B" w:rsidP="00A15226">
            <w:pPr>
              <w:pStyle w:val="Tabletext"/>
              <w:jc w:val="center"/>
            </w:pPr>
            <w:r w:rsidRPr="00453BA6">
              <w:t>No</w:t>
            </w:r>
          </w:p>
        </w:tc>
      </w:tr>
      <w:tr w:rsidR="000B173B" w14:paraId="27C611A3" w14:textId="77777777" w:rsidTr="00A15226">
        <w:tc>
          <w:tcPr>
            <w:tcW w:w="3114" w:type="dxa"/>
            <w:shd w:val="clear" w:color="auto" w:fill="FFFFFF" w:themeFill="background1"/>
            <w:vAlign w:val="center"/>
          </w:tcPr>
          <w:p w14:paraId="5BCD1D6A" w14:textId="77777777" w:rsidR="000B173B" w:rsidRPr="003C348E" w:rsidRDefault="000B173B" w:rsidP="00A15226">
            <w:pPr>
              <w:pStyle w:val="Tabletext"/>
              <w:rPr>
                <w:i/>
                <w:iCs/>
                <w:highlight w:val="yellow"/>
              </w:rPr>
            </w:pPr>
            <w:r w:rsidRPr="003C348E">
              <w:rPr>
                <w:i/>
                <w:iCs/>
              </w:rPr>
              <w:t>Delma impar</w:t>
            </w:r>
          </w:p>
        </w:tc>
        <w:tc>
          <w:tcPr>
            <w:tcW w:w="3118" w:type="dxa"/>
            <w:shd w:val="clear" w:color="auto" w:fill="FFFFFF" w:themeFill="background1"/>
            <w:vAlign w:val="center"/>
          </w:tcPr>
          <w:p w14:paraId="66EE56F4" w14:textId="77777777" w:rsidR="000B173B" w:rsidRPr="002C27E1" w:rsidRDefault="000B173B" w:rsidP="00A15226">
            <w:pPr>
              <w:pStyle w:val="Tabletext"/>
              <w:rPr>
                <w:highlight w:val="yellow"/>
              </w:rPr>
            </w:pPr>
            <w:r w:rsidRPr="002445A8">
              <w:t>Striped Legless Lizard</w:t>
            </w:r>
          </w:p>
        </w:tc>
        <w:tc>
          <w:tcPr>
            <w:tcW w:w="2835" w:type="dxa"/>
            <w:shd w:val="clear" w:color="auto" w:fill="FFFFFF" w:themeFill="background1"/>
            <w:vAlign w:val="center"/>
          </w:tcPr>
          <w:p w14:paraId="608ABA9C" w14:textId="77777777" w:rsidR="000B173B" w:rsidRPr="002C27E1" w:rsidRDefault="000B173B" w:rsidP="00A15226">
            <w:pPr>
              <w:pStyle w:val="Tabletext"/>
              <w:rPr>
                <w:highlight w:val="yellow"/>
              </w:rPr>
            </w:pPr>
            <w:r w:rsidRPr="002445A8">
              <w:t>Vulnerable</w:t>
            </w:r>
          </w:p>
        </w:tc>
        <w:tc>
          <w:tcPr>
            <w:tcW w:w="851" w:type="dxa"/>
            <w:shd w:val="clear" w:color="auto" w:fill="FFFFFF" w:themeFill="background1"/>
            <w:vAlign w:val="center"/>
          </w:tcPr>
          <w:p w14:paraId="4525E90F" w14:textId="77777777" w:rsidR="000B173B" w:rsidRPr="002C27E1" w:rsidRDefault="000B173B" w:rsidP="00A15226">
            <w:pPr>
              <w:pStyle w:val="Tabletext"/>
              <w:jc w:val="center"/>
              <w:rPr>
                <w:highlight w:val="yellow"/>
              </w:rPr>
            </w:pPr>
            <w:r w:rsidRPr="002445A8">
              <w:t>Yes</w:t>
            </w:r>
          </w:p>
        </w:tc>
        <w:tc>
          <w:tcPr>
            <w:tcW w:w="850" w:type="dxa"/>
            <w:shd w:val="clear" w:color="auto" w:fill="FFFFFF" w:themeFill="background1"/>
            <w:vAlign w:val="center"/>
          </w:tcPr>
          <w:p w14:paraId="5A6ABDFD" w14:textId="77777777" w:rsidR="000B173B" w:rsidRPr="002C27E1" w:rsidRDefault="000B173B" w:rsidP="00A15226">
            <w:pPr>
              <w:pStyle w:val="Tabletext"/>
              <w:jc w:val="center"/>
              <w:rPr>
                <w:highlight w:val="yellow"/>
              </w:rPr>
            </w:pPr>
            <w:r w:rsidRPr="002445A8">
              <w:t>Yes</w:t>
            </w:r>
          </w:p>
        </w:tc>
        <w:tc>
          <w:tcPr>
            <w:tcW w:w="1134" w:type="dxa"/>
            <w:shd w:val="clear" w:color="auto" w:fill="FFFFFF" w:themeFill="background1"/>
            <w:vAlign w:val="center"/>
          </w:tcPr>
          <w:p w14:paraId="4C076F12" w14:textId="77777777" w:rsidR="000B173B" w:rsidRPr="002C27E1" w:rsidRDefault="000B173B" w:rsidP="00A15226">
            <w:pPr>
              <w:pStyle w:val="Tabletext"/>
              <w:jc w:val="center"/>
              <w:rPr>
                <w:highlight w:val="yellow"/>
              </w:rPr>
            </w:pPr>
            <w:r w:rsidRPr="002445A8">
              <w:t>High</w:t>
            </w:r>
          </w:p>
        </w:tc>
        <w:tc>
          <w:tcPr>
            <w:tcW w:w="1134" w:type="dxa"/>
            <w:shd w:val="clear" w:color="auto" w:fill="FFFFFF" w:themeFill="background1"/>
            <w:vAlign w:val="center"/>
          </w:tcPr>
          <w:p w14:paraId="543CEF69" w14:textId="77777777" w:rsidR="000B173B" w:rsidRPr="002C27E1" w:rsidRDefault="000B173B" w:rsidP="00A15226">
            <w:pPr>
              <w:pStyle w:val="Tabletext"/>
              <w:jc w:val="center"/>
              <w:rPr>
                <w:highlight w:val="yellow"/>
              </w:rPr>
            </w:pPr>
            <w:r w:rsidRPr="002445A8">
              <w:t>Known</w:t>
            </w:r>
          </w:p>
        </w:tc>
        <w:tc>
          <w:tcPr>
            <w:tcW w:w="1300" w:type="dxa"/>
            <w:shd w:val="clear" w:color="auto" w:fill="FFFFFF" w:themeFill="background1"/>
            <w:vAlign w:val="center"/>
          </w:tcPr>
          <w:p w14:paraId="40B9823C" w14:textId="77777777" w:rsidR="000B173B" w:rsidRPr="002445A8" w:rsidRDefault="000B173B" w:rsidP="00A15226">
            <w:pPr>
              <w:pStyle w:val="Tabletext"/>
              <w:jc w:val="center"/>
            </w:pPr>
            <w:r w:rsidRPr="00453BA6">
              <w:t>Yes</w:t>
            </w:r>
          </w:p>
        </w:tc>
      </w:tr>
      <w:tr w:rsidR="000B173B" w14:paraId="76A3796B" w14:textId="77777777" w:rsidTr="00A15226">
        <w:tc>
          <w:tcPr>
            <w:tcW w:w="3114" w:type="dxa"/>
            <w:shd w:val="clear" w:color="auto" w:fill="FFFFFF" w:themeFill="background1"/>
            <w:vAlign w:val="center"/>
          </w:tcPr>
          <w:p w14:paraId="749F6BE2" w14:textId="77777777" w:rsidR="000B173B" w:rsidRPr="003C348E" w:rsidRDefault="000B173B" w:rsidP="00A15226">
            <w:pPr>
              <w:pStyle w:val="Tabletext"/>
              <w:rPr>
                <w:i/>
                <w:iCs/>
                <w:highlight w:val="yellow"/>
              </w:rPr>
            </w:pPr>
            <w:r w:rsidRPr="003C348E">
              <w:rPr>
                <w:i/>
                <w:iCs/>
              </w:rPr>
              <w:t>Dermochelys coriacea</w:t>
            </w:r>
          </w:p>
        </w:tc>
        <w:tc>
          <w:tcPr>
            <w:tcW w:w="3118" w:type="dxa"/>
            <w:shd w:val="clear" w:color="auto" w:fill="FFFFFF" w:themeFill="background1"/>
            <w:vAlign w:val="center"/>
          </w:tcPr>
          <w:p w14:paraId="22FABCDB" w14:textId="77777777" w:rsidR="000B173B" w:rsidRPr="002C27E1" w:rsidRDefault="000B173B" w:rsidP="00A15226">
            <w:pPr>
              <w:pStyle w:val="Tabletext"/>
              <w:rPr>
                <w:highlight w:val="yellow"/>
              </w:rPr>
            </w:pPr>
            <w:r w:rsidRPr="002445A8">
              <w:t>Leatherback Turtle</w:t>
            </w:r>
          </w:p>
        </w:tc>
        <w:tc>
          <w:tcPr>
            <w:tcW w:w="2835" w:type="dxa"/>
            <w:shd w:val="clear" w:color="auto" w:fill="FFFFFF" w:themeFill="background1"/>
            <w:vAlign w:val="center"/>
          </w:tcPr>
          <w:p w14:paraId="082BEBDD" w14:textId="77777777" w:rsidR="000B173B" w:rsidRPr="002C27E1" w:rsidRDefault="000B173B" w:rsidP="00A15226">
            <w:pPr>
              <w:pStyle w:val="Tabletext"/>
              <w:rPr>
                <w:highlight w:val="yellow"/>
              </w:rPr>
            </w:pPr>
            <w:r w:rsidRPr="002445A8">
              <w:t>Endangered, marine, migratory</w:t>
            </w:r>
          </w:p>
        </w:tc>
        <w:tc>
          <w:tcPr>
            <w:tcW w:w="851" w:type="dxa"/>
            <w:shd w:val="clear" w:color="auto" w:fill="FFFFFF" w:themeFill="background1"/>
            <w:vAlign w:val="center"/>
          </w:tcPr>
          <w:p w14:paraId="180429A5" w14:textId="77777777" w:rsidR="000B173B" w:rsidRPr="002C27E1" w:rsidRDefault="000B173B" w:rsidP="00A15226">
            <w:pPr>
              <w:pStyle w:val="Tabletext"/>
              <w:jc w:val="center"/>
              <w:rPr>
                <w:highlight w:val="yellow"/>
              </w:rPr>
            </w:pPr>
            <w:r w:rsidRPr="002445A8">
              <w:t>Yes</w:t>
            </w:r>
          </w:p>
        </w:tc>
        <w:tc>
          <w:tcPr>
            <w:tcW w:w="850" w:type="dxa"/>
            <w:shd w:val="clear" w:color="auto" w:fill="FFFFFF" w:themeFill="background1"/>
            <w:vAlign w:val="center"/>
          </w:tcPr>
          <w:p w14:paraId="72BE66CB" w14:textId="77777777" w:rsidR="000B173B" w:rsidRPr="002C27E1" w:rsidRDefault="000B173B" w:rsidP="00A15226">
            <w:pPr>
              <w:pStyle w:val="Tabletext"/>
              <w:jc w:val="center"/>
              <w:rPr>
                <w:highlight w:val="yellow"/>
              </w:rPr>
            </w:pPr>
            <w:r w:rsidRPr="002445A8">
              <w:t>No</w:t>
            </w:r>
          </w:p>
        </w:tc>
        <w:tc>
          <w:tcPr>
            <w:tcW w:w="1134" w:type="dxa"/>
            <w:shd w:val="clear" w:color="auto" w:fill="FFFFFF" w:themeFill="background1"/>
            <w:vAlign w:val="center"/>
          </w:tcPr>
          <w:p w14:paraId="0D7A815F" w14:textId="77777777" w:rsidR="000B173B" w:rsidRPr="002C27E1" w:rsidRDefault="000B173B" w:rsidP="00A15226">
            <w:pPr>
              <w:pStyle w:val="Tabletext"/>
              <w:jc w:val="center"/>
              <w:rPr>
                <w:highlight w:val="yellow"/>
              </w:rPr>
            </w:pPr>
            <w:r w:rsidRPr="002445A8">
              <w:t>Unlikely</w:t>
            </w:r>
          </w:p>
        </w:tc>
        <w:tc>
          <w:tcPr>
            <w:tcW w:w="1134" w:type="dxa"/>
            <w:shd w:val="clear" w:color="auto" w:fill="FFFFFF" w:themeFill="background1"/>
            <w:vAlign w:val="center"/>
          </w:tcPr>
          <w:p w14:paraId="2FC1C426" w14:textId="77777777" w:rsidR="000B173B" w:rsidRPr="002C27E1" w:rsidRDefault="000B173B" w:rsidP="00A15226">
            <w:pPr>
              <w:pStyle w:val="Tabletext"/>
              <w:jc w:val="center"/>
              <w:rPr>
                <w:highlight w:val="yellow"/>
              </w:rPr>
            </w:pPr>
            <w:r w:rsidRPr="002445A8">
              <w:t>Known</w:t>
            </w:r>
          </w:p>
        </w:tc>
        <w:tc>
          <w:tcPr>
            <w:tcW w:w="1300" w:type="dxa"/>
            <w:shd w:val="clear" w:color="auto" w:fill="FFFFFF" w:themeFill="background1"/>
            <w:vAlign w:val="center"/>
          </w:tcPr>
          <w:p w14:paraId="378EA6D8" w14:textId="77777777" w:rsidR="000B173B" w:rsidRPr="002445A8" w:rsidRDefault="000B173B" w:rsidP="00A15226">
            <w:pPr>
              <w:pStyle w:val="Tabletext"/>
              <w:jc w:val="center"/>
            </w:pPr>
            <w:r w:rsidRPr="00453BA6">
              <w:t>Yes</w:t>
            </w:r>
          </w:p>
        </w:tc>
      </w:tr>
      <w:tr w:rsidR="000B173B" w14:paraId="2EC22FA3" w14:textId="77777777" w:rsidTr="00A15226">
        <w:tc>
          <w:tcPr>
            <w:tcW w:w="3114" w:type="dxa"/>
            <w:shd w:val="clear" w:color="auto" w:fill="FFFFFF" w:themeFill="background1"/>
            <w:vAlign w:val="center"/>
          </w:tcPr>
          <w:p w14:paraId="7875EC9D" w14:textId="77777777" w:rsidR="000B173B" w:rsidRPr="003C348E" w:rsidRDefault="000B173B" w:rsidP="00A15226">
            <w:pPr>
              <w:pStyle w:val="Tabletext"/>
              <w:rPr>
                <w:i/>
                <w:iCs/>
                <w:highlight w:val="yellow"/>
              </w:rPr>
            </w:pPr>
            <w:r w:rsidRPr="003C348E">
              <w:rPr>
                <w:i/>
                <w:iCs/>
              </w:rPr>
              <w:t>Lepidochelys olivacea</w:t>
            </w:r>
          </w:p>
        </w:tc>
        <w:tc>
          <w:tcPr>
            <w:tcW w:w="3118" w:type="dxa"/>
            <w:shd w:val="clear" w:color="auto" w:fill="FFFFFF" w:themeFill="background1"/>
            <w:vAlign w:val="center"/>
          </w:tcPr>
          <w:p w14:paraId="5F032EB5" w14:textId="77777777" w:rsidR="000B173B" w:rsidRPr="002C27E1" w:rsidRDefault="000B173B" w:rsidP="00A15226">
            <w:pPr>
              <w:pStyle w:val="Tabletext"/>
              <w:rPr>
                <w:highlight w:val="yellow"/>
              </w:rPr>
            </w:pPr>
            <w:r w:rsidRPr="002445A8">
              <w:t>Pacific (Olive) Ridley</w:t>
            </w:r>
          </w:p>
        </w:tc>
        <w:tc>
          <w:tcPr>
            <w:tcW w:w="2835" w:type="dxa"/>
            <w:shd w:val="clear" w:color="auto" w:fill="FFFFFF" w:themeFill="background1"/>
            <w:vAlign w:val="center"/>
          </w:tcPr>
          <w:p w14:paraId="1823B058" w14:textId="77777777" w:rsidR="000B173B" w:rsidRPr="002C27E1" w:rsidRDefault="000B173B" w:rsidP="00A15226">
            <w:pPr>
              <w:pStyle w:val="Tabletext"/>
              <w:rPr>
                <w:highlight w:val="yellow"/>
              </w:rPr>
            </w:pPr>
            <w:r w:rsidRPr="002445A8">
              <w:t>Endangered</w:t>
            </w:r>
          </w:p>
        </w:tc>
        <w:tc>
          <w:tcPr>
            <w:tcW w:w="851" w:type="dxa"/>
            <w:shd w:val="clear" w:color="auto" w:fill="FFFFFF" w:themeFill="background1"/>
            <w:vAlign w:val="center"/>
          </w:tcPr>
          <w:p w14:paraId="2C30EA99" w14:textId="77777777" w:rsidR="000B173B" w:rsidRPr="002C27E1" w:rsidRDefault="000B173B" w:rsidP="00A15226">
            <w:pPr>
              <w:pStyle w:val="Tabletext"/>
              <w:jc w:val="center"/>
              <w:rPr>
                <w:highlight w:val="yellow"/>
              </w:rPr>
            </w:pPr>
            <w:r w:rsidRPr="002445A8">
              <w:t>Yes</w:t>
            </w:r>
          </w:p>
        </w:tc>
        <w:tc>
          <w:tcPr>
            <w:tcW w:w="850" w:type="dxa"/>
            <w:shd w:val="clear" w:color="auto" w:fill="FFFFFF" w:themeFill="background1"/>
            <w:vAlign w:val="center"/>
          </w:tcPr>
          <w:p w14:paraId="6BA4C61F" w14:textId="77777777" w:rsidR="000B173B" w:rsidRPr="002C27E1" w:rsidRDefault="000B173B" w:rsidP="00A15226">
            <w:pPr>
              <w:pStyle w:val="Tabletext"/>
              <w:jc w:val="center"/>
              <w:rPr>
                <w:highlight w:val="yellow"/>
              </w:rPr>
            </w:pPr>
            <w:r w:rsidRPr="002445A8">
              <w:t>No</w:t>
            </w:r>
          </w:p>
        </w:tc>
        <w:tc>
          <w:tcPr>
            <w:tcW w:w="1134" w:type="dxa"/>
            <w:shd w:val="clear" w:color="auto" w:fill="FFFFFF" w:themeFill="background1"/>
            <w:vAlign w:val="center"/>
          </w:tcPr>
          <w:p w14:paraId="2B518B99" w14:textId="77777777" w:rsidR="000B173B" w:rsidRPr="002C27E1" w:rsidRDefault="000B173B" w:rsidP="00A15226">
            <w:pPr>
              <w:pStyle w:val="Tabletext"/>
              <w:jc w:val="center"/>
              <w:rPr>
                <w:highlight w:val="yellow"/>
              </w:rPr>
            </w:pPr>
            <w:r w:rsidRPr="002445A8">
              <w:t>N/A</w:t>
            </w:r>
          </w:p>
        </w:tc>
        <w:tc>
          <w:tcPr>
            <w:tcW w:w="1134" w:type="dxa"/>
            <w:shd w:val="clear" w:color="auto" w:fill="FFFFFF" w:themeFill="background1"/>
            <w:vAlign w:val="center"/>
          </w:tcPr>
          <w:p w14:paraId="72653B7B" w14:textId="77777777" w:rsidR="000B173B" w:rsidRPr="002C27E1" w:rsidRDefault="000B173B" w:rsidP="00A15226">
            <w:pPr>
              <w:pStyle w:val="Tabletext"/>
              <w:jc w:val="center"/>
              <w:rPr>
                <w:highlight w:val="yellow"/>
              </w:rPr>
            </w:pPr>
            <w:r w:rsidRPr="002445A8">
              <w:t>N/A</w:t>
            </w:r>
          </w:p>
        </w:tc>
        <w:tc>
          <w:tcPr>
            <w:tcW w:w="1300" w:type="dxa"/>
            <w:shd w:val="clear" w:color="auto" w:fill="FFFFFF" w:themeFill="background1"/>
            <w:vAlign w:val="center"/>
          </w:tcPr>
          <w:p w14:paraId="30A7C1CA" w14:textId="77777777" w:rsidR="000B173B" w:rsidRPr="002445A8" w:rsidRDefault="000B173B" w:rsidP="00A15226">
            <w:pPr>
              <w:pStyle w:val="Tabletext"/>
              <w:jc w:val="center"/>
            </w:pPr>
            <w:r w:rsidRPr="00453BA6">
              <w:t>Yes</w:t>
            </w:r>
          </w:p>
        </w:tc>
      </w:tr>
      <w:tr w:rsidR="000B173B" w14:paraId="40AC64A4" w14:textId="77777777" w:rsidTr="00A15226">
        <w:tc>
          <w:tcPr>
            <w:tcW w:w="3114" w:type="dxa"/>
            <w:tcBorders>
              <w:bottom w:val="single" w:sz="4" w:space="0" w:color="auto"/>
            </w:tcBorders>
            <w:shd w:val="clear" w:color="auto" w:fill="FFFFFF" w:themeFill="background1"/>
            <w:vAlign w:val="center"/>
          </w:tcPr>
          <w:p w14:paraId="6AAA3E1A" w14:textId="77777777" w:rsidR="000B173B" w:rsidRPr="003C348E" w:rsidRDefault="000B173B" w:rsidP="00A15226">
            <w:pPr>
              <w:pStyle w:val="Tabletext"/>
              <w:rPr>
                <w:i/>
                <w:iCs/>
                <w:highlight w:val="yellow"/>
              </w:rPr>
            </w:pPr>
            <w:r w:rsidRPr="003C348E">
              <w:rPr>
                <w:i/>
                <w:iCs/>
              </w:rPr>
              <w:t>Tympanocryptis pinguicolla</w:t>
            </w:r>
          </w:p>
        </w:tc>
        <w:tc>
          <w:tcPr>
            <w:tcW w:w="3118" w:type="dxa"/>
            <w:tcBorders>
              <w:bottom w:val="single" w:sz="4" w:space="0" w:color="auto"/>
            </w:tcBorders>
            <w:shd w:val="clear" w:color="auto" w:fill="FFFFFF" w:themeFill="background1"/>
            <w:vAlign w:val="center"/>
          </w:tcPr>
          <w:p w14:paraId="201D6D00" w14:textId="77777777" w:rsidR="000B173B" w:rsidRPr="002C27E1" w:rsidRDefault="000B173B" w:rsidP="00A15226">
            <w:pPr>
              <w:pStyle w:val="Tabletext"/>
              <w:rPr>
                <w:highlight w:val="yellow"/>
              </w:rPr>
            </w:pPr>
            <w:r>
              <w:t xml:space="preserve">Victorian </w:t>
            </w:r>
            <w:r w:rsidRPr="002445A8">
              <w:t>Grassland Earless Dragon</w:t>
            </w:r>
          </w:p>
        </w:tc>
        <w:tc>
          <w:tcPr>
            <w:tcW w:w="2835" w:type="dxa"/>
            <w:tcBorders>
              <w:bottom w:val="single" w:sz="4" w:space="0" w:color="auto"/>
            </w:tcBorders>
            <w:shd w:val="clear" w:color="auto" w:fill="FFFFFF" w:themeFill="background1"/>
            <w:vAlign w:val="center"/>
          </w:tcPr>
          <w:p w14:paraId="23EB4EA7" w14:textId="77777777" w:rsidR="000B173B" w:rsidRPr="002C27E1" w:rsidRDefault="000B173B" w:rsidP="00A15226">
            <w:pPr>
              <w:pStyle w:val="Tabletext"/>
              <w:rPr>
                <w:highlight w:val="yellow"/>
              </w:rPr>
            </w:pPr>
            <w:r w:rsidRPr="002445A8">
              <w:t>Endangered</w:t>
            </w:r>
          </w:p>
        </w:tc>
        <w:tc>
          <w:tcPr>
            <w:tcW w:w="851" w:type="dxa"/>
            <w:tcBorders>
              <w:bottom w:val="single" w:sz="4" w:space="0" w:color="auto"/>
            </w:tcBorders>
            <w:shd w:val="clear" w:color="auto" w:fill="FFFFFF" w:themeFill="background1"/>
            <w:vAlign w:val="center"/>
          </w:tcPr>
          <w:p w14:paraId="1535123F" w14:textId="77777777" w:rsidR="000B173B" w:rsidRPr="002C27E1" w:rsidRDefault="000B173B" w:rsidP="00A15226">
            <w:pPr>
              <w:pStyle w:val="Tabletext"/>
              <w:jc w:val="center"/>
              <w:rPr>
                <w:highlight w:val="yellow"/>
              </w:rPr>
            </w:pPr>
            <w:r w:rsidRPr="002445A8">
              <w:t>Yes</w:t>
            </w:r>
          </w:p>
        </w:tc>
        <w:tc>
          <w:tcPr>
            <w:tcW w:w="850" w:type="dxa"/>
            <w:tcBorders>
              <w:bottom w:val="single" w:sz="4" w:space="0" w:color="auto"/>
            </w:tcBorders>
            <w:shd w:val="clear" w:color="auto" w:fill="FFFFFF" w:themeFill="background1"/>
            <w:vAlign w:val="center"/>
          </w:tcPr>
          <w:p w14:paraId="3009A97E" w14:textId="77777777" w:rsidR="000B173B" w:rsidRPr="002C27E1" w:rsidRDefault="000B173B" w:rsidP="00A15226">
            <w:pPr>
              <w:pStyle w:val="Tabletext"/>
              <w:jc w:val="center"/>
              <w:rPr>
                <w:highlight w:val="yellow"/>
              </w:rPr>
            </w:pPr>
            <w:r w:rsidRPr="002445A8">
              <w:t>No</w:t>
            </w:r>
          </w:p>
        </w:tc>
        <w:tc>
          <w:tcPr>
            <w:tcW w:w="1134" w:type="dxa"/>
            <w:tcBorders>
              <w:bottom w:val="single" w:sz="4" w:space="0" w:color="auto"/>
            </w:tcBorders>
            <w:shd w:val="clear" w:color="auto" w:fill="FFFFFF" w:themeFill="background1"/>
            <w:vAlign w:val="center"/>
          </w:tcPr>
          <w:p w14:paraId="7DB81FDC" w14:textId="77777777" w:rsidR="000B173B" w:rsidRPr="002C27E1" w:rsidRDefault="000B173B" w:rsidP="00A15226">
            <w:pPr>
              <w:pStyle w:val="Tabletext"/>
              <w:jc w:val="center"/>
              <w:rPr>
                <w:highlight w:val="yellow"/>
              </w:rPr>
            </w:pPr>
            <w:r w:rsidRPr="002445A8">
              <w:t>Unlikely</w:t>
            </w:r>
          </w:p>
        </w:tc>
        <w:tc>
          <w:tcPr>
            <w:tcW w:w="1134" w:type="dxa"/>
            <w:tcBorders>
              <w:bottom w:val="single" w:sz="4" w:space="0" w:color="auto"/>
            </w:tcBorders>
            <w:shd w:val="clear" w:color="auto" w:fill="FFFFFF" w:themeFill="background1"/>
            <w:vAlign w:val="center"/>
          </w:tcPr>
          <w:p w14:paraId="1BAB3A01" w14:textId="77777777" w:rsidR="000B173B" w:rsidRPr="002C27E1" w:rsidRDefault="000B173B" w:rsidP="00A15226">
            <w:pPr>
              <w:pStyle w:val="Tabletext"/>
              <w:jc w:val="center"/>
              <w:rPr>
                <w:highlight w:val="yellow"/>
              </w:rPr>
            </w:pPr>
            <w:r w:rsidRPr="002445A8">
              <w:t>Known</w:t>
            </w:r>
          </w:p>
        </w:tc>
        <w:tc>
          <w:tcPr>
            <w:tcW w:w="1300" w:type="dxa"/>
            <w:tcBorders>
              <w:bottom w:val="single" w:sz="4" w:space="0" w:color="auto"/>
            </w:tcBorders>
            <w:shd w:val="clear" w:color="auto" w:fill="FFFFFF" w:themeFill="background1"/>
            <w:vAlign w:val="center"/>
          </w:tcPr>
          <w:p w14:paraId="12DCEE3D" w14:textId="77777777" w:rsidR="000B173B" w:rsidRPr="002445A8" w:rsidRDefault="000B173B" w:rsidP="00A15226">
            <w:pPr>
              <w:pStyle w:val="Tabletext"/>
              <w:jc w:val="center"/>
            </w:pPr>
            <w:r w:rsidRPr="00453BA6">
              <w:t>Yes</w:t>
            </w:r>
          </w:p>
        </w:tc>
      </w:tr>
      <w:tr w:rsidR="000B173B" w14:paraId="5445847D" w14:textId="77777777" w:rsidTr="00A15226">
        <w:tc>
          <w:tcPr>
            <w:tcW w:w="3114" w:type="dxa"/>
            <w:tcBorders>
              <w:right w:val="nil"/>
            </w:tcBorders>
            <w:shd w:val="clear" w:color="auto" w:fill="B4C6E7" w:themeFill="accent1" w:themeFillTint="66"/>
            <w:vAlign w:val="center"/>
          </w:tcPr>
          <w:p w14:paraId="309DB02F" w14:textId="77777777" w:rsidR="000B173B" w:rsidRPr="00B260FD" w:rsidRDefault="000B173B" w:rsidP="00A15226">
            <w:pPr>
              <w:pStyle w:val="Tabletext"/>
              <w:rPr>
                <w:b/>
                <w:bCs/>
                <w:highlight w:val="yellow"/>
              </w:rPr>
            </w:pPr>
            <w:r w:rsidRPr="00B260FD">
              <w:rPr>
                <w:b/>
                <w:bCs/>
              </w:rPr>
              <w:t>Amphibians</w:t>
            </w:r>
          </w:p>
        </w:tc>
        <w:tc>
          <w:tcPr>
            <w:tcW w:w="3118" w:type="dxa"/>
            <w:tcBorders>
              <w:left w:val="nil"/>
              <w:right w:val="nil"/>
            </w:tcBorders>
            <w:shd w:val="clear" w:color="auto" w:fill="B4C6E7" w:themeFill="accent1" w:themeFillTint="66"/>
            <w:vAlign w:val="center"/>
          </w:tcPr>
          <w:p w14:paraId="2C7CD54A" w14:textId="77777777" w:rsidR="000B173B" w:rsidRPr="002C27E1" w:rsidRDefault="000B173B" w:rsidP="00A15226">
            <w:pPr>
              <w:pStyle w:val="Tabletext"/>
              <w:rPr>
                <w:highlight w:val="yellow"/>
              </w:rPr>
            </w:pPr>
          </w:p>
        </w:tc>
        <w:tc>
          <w:tcPr>
            <w:tcW w:w="2835" w:type="dxa"/>
            <w:tcBorders>
              <w:left w:val="nil"/>
              <w:right w:val="nil"/>
            </w:tcBorders>
            <w:shd w:val="clear" w:color="auto" w:fill="B4C6E7" w:themeFill="accent1" w:themeFillTint="66"/>
            <w:vAlign w:val="center"/>
          </w:tcPr>
          <w:p w14:paraId="4C0F4608" w14:textId="77777777" w:rsidR="000B173B" w:rsidRPr="002C27E1" w:rsidRDefault="000B173B" w:rsidP="00A15226">
            <w:pPr>
              <w:pStyle w:val="Tabletext"/>
              <w:rPr>
                <w:highlight w:val="yellow"/>
              </w:rPr>
            </w:pPr>
          </w:p>
        </w:tc>
        <w:tc>
          <w:tcPr>
            <w:tcW w:w="851" w:type="dxa"/>
            <w:tcBorders>
              <w:left w:val="nil"/>
              <w:right w:val="nil"/>
            </w:tcBorders>
            <w:shd w:val="clear" w:color="auto" w:fill="B4C6E7" w:themeFill="accent1" w:themeFillTint="66"/>
            <w:vAlign w:val="center"/>
          </w:tcPr>
          <w:p w14:paraId="00FE8C0F" w14:textId="77777777" w:rsidR="000B173B" w:rsidRPr="002C27E1" w:rsidRDefault="000B173B" w:rsidP="00A15226">
            <w:pPr>
              <w:pStyle w:val="Tabletext"/>
              <w:jc w:val="center"/>
              <w:rPr>
                <w:highlight w:val="yellow"/>
              </w:rPr>
            </w:pPr>
          </w:p>
        </w:tc>
        <w:tc>
          <w:tcPr>
            <w:tcW w:w="850" w:type="dxa"/>
            <w:tcBorders>
              <w:left w:val="nil"/>
              <w:right w:val="nil"/>
            </w:tcBorders>
            <w:shd w:val="clear" w:color="auto" w:fill="B4C6E7" w:themeFill="accent1" w:themeFillTint="66"/>
            <w:vAlign w:val="center"/>
          </w:tcPr>
          <w:p w14:paraId="404FC52F"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4F4C7C95"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445443A2" w14:textId="77777777" w:rsidR="000B173B" w:rsidRPr="002C27E1" w:rsidRDefault="000B173B" w:rsidP="00A15226">
            <w:pPr>
              <w:pStyle w:val="Tabletext"/>
              <w:jc w:val="center"/>
              <w:rPr>
                <w:highlight w:val="yellow"/>
              </w:rPr>
            </w:pPr>
          </w:p>
        </w:tc>
        <w:tc>
          <w:tcPr>
            <w:tcW w:w="1300" w:type="dxa"/>
            <w:tcBorders>
              <w:left w:val="nil"/>
            </w:tcBorders>
            <w:shd w:val="clear" w:color="auto" w:fill="B4C6E7" w:themeFill="accent1" w:themeFillTint="66"/>
            <w:vAlign w:val="center"/>
          </w:tcPr>
          <w:p w14:paraId="6FB38014" w14:textId="77777777" w:rsidR="000B173B" w:rsidRPr="002C27E1" w:rsidRDefault="000B173B" w:rsidP="00A15226">
            <w:pPr>
              <w:pStyle w:val="Tabletext"/>
              <w:jc w:val="center"/>
              <w:rPr>
                <w:highlight w:val="yellow"/>
              </w:rPr>
            </w:pPr>
          </w:p>
        </w:tc>
      </w:tr>
      <w:tr w:rsidR="000B173B" w14:paraId="466E35FE" w14:textId="77777777" w:rsidTr="00A15226">
        <w:tc>
          <w:tcPr>
            <w:tcW w:w="3114" w:type="dxa"/>
            <w:tcBorders>
              <w:bottom w:val="single" w:sz="4" w:space="0" w:color="auto"/>
            </w:tcBorders>
            <w:shd w:val="clear" w:color="auto" w:fill="FFFFFF" w:themeFill="background1"/>
            <w:vAlign w:val="center"/>
          </w:tcPr>
          <w:p w14:paraId="09F8879B" w14:textId="77777777" w:rsidR="000B173B" w:rsidRPr="003C348E" w:rsidRDefault="000B173B" w:rsidP="00A15226">
            <w:pPr>
              <w:pStyle w:val="Tabletext"/>
              <w:rPr>
                <w:i/>
                <w:iCs/>
                <w:highlight w:val="yellow"/>
              </w:rPr>
            </w:pPr>
            <w:r w:rsidRPr="003C348E">
              <w:rPr>
                <w:i/>
                <w:iCs/>
              </w:rPr>
              <w:t>Litoria raniformis</w:t>
            </w:r>
          </w:p>
        </w:tc>
        <w:tc>
          <w:tcPr>
            <w:tcW w:w="3118" w:type="dxa"/>
            <w:tcBorders>
              <w:bottom w:val="single" w:sz="4" w:space="0" w:color="auto"/>
            </w:tcBorders>
            <w:shd w:val="clear" w:color="auto" w:fill="FFFFFF" w:themeFill="background1"/>
            <w:vAlign w:val="center"/>
          </w:tcPr>
          <w:p w14:paraId="1E76F0C5" w14:textId="77777777" w:rsidR="000B173B" w:rsidRPr="002C27E1" w:rsidRDefault="000B173B" w:rsidP="00A15226">
            <w:pPr>
              <w:pStyle w:val="Tabletext"/>
              <w:rPr>
                <w:highlight w:val="yellow"/>
              </w:rPr>
            </w:pPr>
            <w:r w:rsidRPr="00910935">
              <w:t>Growling Grass Frog</w:t>
            </w:r>
          </w:p>
        </w:tc>
        <w:tc>
          <w:tcPr>
            <w:tcW w:w="2835" w:type="dxa"/>
            <w:tcBorders>
              <w:bottom w:val="single" w:sz="4" w:space="0" w:color="auto"/>
            </w:tcBorders>
            <w:shd w:val="clear" w:color="auto" w:fill="FFFFFF" w:themeFill="background1"/>
            <w:vAlign w:val="center"/>
          </w:tcPr>
          <w:p w14:paraId="53FF7687" w14:textId="77777777" w:rsidR="000B173B" w:rsidRPr="002C27E1" w:rsidRDefault="000B173B" w:rsidP="00A15226">
            <w:pPr>
              <w:pStyle w:val="Tabletext"/>
              <w:rPr>
                <w:highlight w:val="yellow"/>
              </w:rPr>
            </w:pPr>
            <w:r w:rsidRPr="00910935">
              <w:t>Vulnerable</w:t>
            </w:r>
          </w:p>
        </w:tc>
        <w:tc>
          <w:tcPr>
            <w:tcW w:w="851" w:type="dxa"/>
            <w:tcBorders>
              <w:bottom w:val="single" w:sz="4" w:space="0" w:color="auto"/>
            </w:tcBorders>
            <w:shd w:val="clear" w:color="auto" w:fill="FFFFFF" w:themeFill="background1"/>
            <w:vAlign w:val="center"/>
          </w:tcPr>
          <w:p w14:paraId="0A730565" w14:textId="77777777" w:rsidR="000B173B" w:rsidRPr="002C27E1" w:rsidRDefault="000B173B" w:rsidP="00A15226">
            <w:pPr>
              <w:pStyle w:val="Tabletext"/>
              <w:jc w:val="center"/>
              <w:rPr>
                <w:highlight w:val="yellow"/>
              </w:rPr>
            </w:pPr>
            <w:r w:rsidRPr="00910935">
              <w:t>Yes</w:t>
            </w:r>
          </w:p>
        </w:tc>
        <w:tc>
          <w:tcPr>
            <w:tcW w:w="850" w:type="dxa"/>
            <w:tcBorders>
              <w:bottom w:val="single" w:sz="4" w:space="0" w:color="auto"/>
            </w:tcBorders>
            <w:shd w:val="clear" w:color="auto" w:fill="FFFFFF" w:themeFill="background1"/>
            <w:vAlign w:val="center"/>
          </w:tcPr>
          <w:p w14:paraId="79A299D4" w14:textId="77777777" w:rsidR="000B173B" w:rsidRPr="002C27E1" w:rsidRDefault="000B173B" w:rsidP="00A15226">
            <w:pPr>
              <w:pStyle w:val="Tabletext"/>
              <w:jc w:val="center"/>
              <w:rPr>
                <w:highlight w:val="yellow"/>
              </w:rPr>
            </w:pPr>
            <w:r w:rsidRPr="00910935">
              <w:t>Yes</w:t>
            </w:r>
          </w:p>
        </w:tc>
        <w:tc>
          <w:tcPr>
            <w:tcW w:w="1134" w:type="dxa"/>
            <w:tcBorders>
              <w:bottom w:val="single" w:sz="4" w:space="0" w:color="auto"/>
            </w:tcBorders>
            <w:shd w:val="clear" w:color="auto" w:fill="FFFFFF" w:themeFill="background1"/>
            <w:vAlign w:val="center"/>
          </w:tcPr>
          <w:p w14:paraId="6DF4454F" w14:textId="77777777" w:rsidR="000B173B" w:rsidRPr="002C27E1" w:rsidRDefault="000B173B" w:rsidP="00A15226">
            <w:pPr>
              <w:pStyle w:val="Tabletext"/>
              <w:jc w:val="center"/>
              <w:rPr>
                <w:highlight w:val="yellow"/>
              </w:rPr>
            </w:pPr>
            <w:r w:rsidRPr="00910935">
              <w:t>High</w:t>
            </w:r>
          </w:p>
        </w:tc>
        <w:tc>
          <w:tcPr>
            <w:tcW w:w="1134" w:type="dxa"/>
            <w:tcBorders>
              <w:bottom w:val="single" w:sz="4" w:space="0" w:color="auto"/>
            </w:tcBorders>
            <w:shd w:val="clear" w:color="auto" w:fill="FFFFFF" w:themeFill="background1"/>
            <w:vAlign w:val="center"/>
          </w:tcPr>
          <w:p w14:paraId="4F13EC19" w14:textId="77777777" w:rsidR="000B173B" w:rsidRPr="002C27E1" w:rsidRDefault="000B173B" w:rsidP="00A15226">
            <w:pPr>
              <w:pStyle w:val="Tabletext"/>
              <w:jc w:val="center"/>
              <w:rPr>
                <w:highlight w:val="yellow"/>
              </w:rPr>
            </w:pPr>
            <w:r w:rsidRPr="00910935">
              <w:t>Known</w:t>
            </w:r>
          </w:p>
        </w:tc>
        <w:tc>
          <w:tcPr>
            <w:tcW w:w="1300" w:type="dxa"/>
            <w:tcBorders>
              <w:bottom w:val="single" w:sz="4" w:space="0" w:color="auto"/>
            </w:tcBorders>
            <w:shd w:val="clear" w:color="auto" w:fill="FFFFFF" w:themeFill="background1"/>
            <w:vAlign w:val="center"/>
          </w:tcPr>
          <w:p w14:paraId="4A55536C" w14:textId="77777777" w:rsidR="000B173B" w:rsidRPr="00910935" w:rsidRDefault="000B173B" w:rsidP="00A15226">
            <w:pPr>
              <w:pStyle w:val="Tabletext"/>
              <w:jc w:val="center"/>
            </w:pPr>
            <w:r w:rsidRPr="00453BA6">
              <w:t>Yes</w:t>
            </w:r>
          </w:p>
        </w:tc>
      </w:tr>
      <w:tr w:rsidR="000B173B" w14:paraId="695C2F82" w14:textId="77777777" w:rsidTr="00A15226">
        <w:tc>
          <w:tcPr>
            <w:tcW w:w="3114" w:type="dxa"/>
            <w:tcBorders>
              <w:right w:val="nil"/>
            </w:tcBorders>
            <w:shd w:val="clear" w:color="auto" w:fill="B4C6E7" w:themeFill="accent1" w:themeFillTint="66"/>
            <w:vAlign w:val="center"/>
          </w:tcPr>
          <w:p w14:paraId="0D1A305C" w14:textId="77777777" w:rsidR="000B173B" w:rsidRPr="00B260FD" w:rsidRDefault="000B173B" w:rsidP="00A15226">
            <w:pPr>
              <w:pStyle w:val="Tabletext"/>
              <w:rPr>
                <w:b/>
                <w:bCs/>
                <w:highlight w:val="yellow"/>
              </w:rPr>
            </w:pPr>
            <w:r>
              <w:rPr>
                <w:b/>
                <w:bCs/>
              </w:rPr>
              <w:t>Fish</w:t>
            </w:r>
          </w:p>
        </w:tc>
        <w:tc>
          <w:tcPr>
            <w:tcW w:w="3118" w:type="dxa"/>
            <w:tcBorders>
              <w:left w:val="nil"/>
              <w:right w:val="nil"/>
            </w:tcBorders>
            <w:shd w:val="clear" w:color="auto" w:fill="B4C6E7" w:themeFill="accent1" w:themeFillTint="66"/>
            <w:vAlign w:val="center"/>
          </w:tcPr>
          <w:p w14:paraId="40BE0028" w14:textId="77777777" w:rsidR="000B173B" w:rsidRPr="002C27E1" w:rsidRDefault="000B173B" w:rsidP="00A15226">
            <w:pPr>
              <w:pStyle w:val="Tabletext"/>
              <w:rPr>
                <w:highlight w:val="yellow"/>
              </w:rPr>
            </w:pPr>
          </w:p>
        </w:tc>
        <w:tc>
          <w:tcPr>
            <w:tcW w:w="2835" w:type="dxa"/>
            <w:tcBorders>
              <w:left w:val="nil"/>
              <w:right w:val="nil"/>
            </w:tcBorders>
            <w:shd w:val="clear" w:color="auto" w:fill="B4C6E7" w:themeFill="accent1" w:themeFillTint="66"/>
            <w:vAlign w:val="center"/>
          </w:tcPr>
          <w:p w14:paraId="5418C3FD" w14:textId="77777777" w:rsidR="000B173B" w:rsidRPr="002C27E1" w:rsidRDefault="000B173B" w:rsidP="00A15226">
            <w:pPr>
              <w:pStyle w:val="Tabletext"/>
              <w:rPr>
                <w:highlight w:val="yellow"/>
              </w:rPr>
            </w:pPr>
          </w:p>
        </w:tc>
        <w:tc>
          <w:tcPr>
            <w:tcW w:w="851" w:type="dxa"/>
            <w:tcBorders>
              <w:left w:val="nil"/>
              <w:right w:val="nil"/>
            </w:tcBorders>
            <w:shd w:val="clear" w:color="auto" w:fill="B4C6E7" w:themeFill="accent1" w:themeFillTint="66"/>
            <w:vAlign w:val="center"/>
          </w:tcPr>
          <w:p w14:paraId="5523A95C" w14:textId="77777777" w:rsidR="000B173B" w:rsidRPr="002C27E1" w:rsidRDefault="000B173B" w:rsidP="00A15226">
            <w:pPr>
              <w:pStyle w:val="Tabletext"/>
              <w:jc w:val="center"/>
              <w:rPr>
                <w:highlight w:val="yellow"/>
              </w:rPr>
            </w:pPr>
          </w:p>
        </w:tc>
        <w:tc>
          <w:tcPr>
            <w:tcW w:w="850" w:type="dxa"/>
            <w:tcBorders>
              <w:left w:val="nil"/>
              <w:right w:val="nil"/>
            </w:tcBorders>
            <w:shd w:val="clear" w:color="auto" w:fill="B4C6E7" w:themeFill="accent1" w:themeFillTint="66"/>
            <w:vAlign w:val="center"/>
          </w:tcPr>
          <w:p w14:paraId="54251034"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2CEB764E" w14:textId="77777777" w:rsidR="000B173B" w:rsidRPr="002C27E1" w:rsidRDefault="000B173B" w:rsidP="00A15226">
            <w:pPr>
              <w:pStyle w:val="Tabletext"/>
              <w:jc w:val="center"/>
              <w:rPr>
                <w:highlight w:val="yellow"/>
              </w:rPr>
            </w:pPr>
          </w:p>
        </w:tc>
        <w:tc>
          <w:tcPr>
            <w:tcW w:w="1134" w:type="dxa"/>
            <w:tcBorders>
              <w:left w:val="nil"/>
              <w:right w:val="nil"/>
            </w:tcBorders>
            <w:shd w:val="clear" w:color="auto" w:fill="B4C6E7" w:themeFill="accent1" w:themeFillTint="66"/>
            <w:vAlign w:val="center"/>
          </w:tcPr>
          <w:p w14:paraId="602658E3" w14:textId="77777777" w:rsidR="000B173B" w:rsidRPr="002C27E1" w:rsidRDefault="000B173B" w:rsidP="00A15226">
            <w:pPr>
              <w:pStyle w:val="Tabletext"/>
              <w:jc w:val="center"/>
              <w:rPr>
                <w:highlight w:val="yellow"/>
              </w:rPr>
            </w:pPr>
          </w:p>
        </w:tc>
        <w:tc>
          <w:tcPr>
            <w:tcW w:w="1300" w:type="dxa"/>
            <w:tcBorders>
              <w:left w:val="nil"/>
            </w:tcBorders>
            <w:shd w:val="clear" w:color="auto" w:fill="B4C6E7" w:themeFill="accent1" w:themeFillTint="66"/>
            <w:vAlign w:val="center"/>
          </w:tcPr>
          <w:p w14:paraId="3A2CF267" w14:textId="77777777" w:rsidR="000B173B" w:rsidRPr="002C27E1" w:rsidRDefault="000B173B" w:rsidP="00A15226">
            <w:pPr>
              <w:pStyle w:val="Tabletext"/>
              <w:jc w:val="center"/>
              <w:rPr>
                <w:highlight w:val="yellow"/>
              </w:rPr>
            </w:pPr>
          </w:p>
        </w:tc>
      </w:tr>
      <w:tr w:rsidR="000B173B" w14:paraId="34FA9C35" w14:textId="77777777" w:rsidTr="00A15226">
        <w:tc>
          <w:tcPr>
            <w:tcW w:w="3114" w:type="dxa"/>
            <w:shd w:val="clear" w:color="auto" w:fill="FFFFFF" w:themeFill="background1"/>
            <w:vAlign w:val="center"/>
          </w:tcPr>
          <w:p w14:paraId="1097831E" w14:textId="77777777" w:rsidR="000B173B" w:rsidRPr="003C348E" w:rsidRDefault="000B173B" w:rsidP="00A15226">
            <w:pPr>
              <w:pStyle w:val="Tabletext"/>
              <w:rPr>
                <w:i/>
                <w:iCs/>
                <w:highlight w:val="yellow"/>
              </w:rPr>
            </w:pPr>
            <w:r w:rsidRPr="003C348E">
              <w:rPr>
                <w:i/>
                <w:iCs/>
              </w:rPr>
              <w:t>Carcharodon carcharias</w:t>
            </w:r>
          </w:p>
        </w:tc>
        <w:tc>
          <w:tcPr>
            <w:tcW w:w="3118" w:type="dxa"/>
            <w:shd w:val="clear" w:color="auto" w:fill="FFFFFF" w:themeFill="background1"/>
            <w:vAlign w:val="center"/>
          </w:tcPr>
          <w:p w14:paraId="1F8DD72A" w14:textId="77777777" w:rsidR="000B173B" w:rsidRPr="002C27E1" w:rsidRDefault="000B173B" w:rsidP="00A15226">
            <w:pPr>
              <w:pStyle w:val="Tabletext"/>
              <w:rPr>
                <w:highlight w:val="yellow"/>
              </w:rPr>
            </w:pPr>
            <w:r w:rsidRPr="00BA192D">
              <w:t>Great White Shark</w:t>
            </w:r>
          </w:p>
        </w:tc>
        <w:tc>
          <w:tcPr>
            <w:tcW w:w="2835" w:type="dxa"/>
            <w:shd w:val="clear" w:color="auto" w:fill="FFFFFF" w:themeFill="background1"/>
            <w:vAlign w:val="center"/>
          </w:tcPr>
          <w:p w14:paraId="1F8421C1" w14:textId="77777777" w:rsidR="000B173B" w:rsidRPr="002C27E1" w:rsidRDefault="000B173B" w:rsidP="00A15226">
            <w:pPr>
              <w:pStyle w:val="Tabletext"/>
              <w:rPr>
                <w:highlight w:val="yellow"/>
              </w:rPr>
            </w:pPr>
            <w:r w:rsidRPr="00BA192D">
              <w:t>Vulnerable, migratory</w:t>
            </w:r>
          </w:p>
        </w:tc>
        <w:tc>
          <w:tcPr>
            <w:tcW w:w="851" w:type="dxa"/>
            <w:shd w:val="clear" w:color="auto" w:fill="FFFFFF" w:themeFill="background1"/>
            <w:vAlign w:val="center"/>
          </w:tcPr>
          <w:p w14:paraId="2B0FA522" w14:textId="77777777" w:rsidR="000B173B" w:rsidRPr="002C27E1" w:rsidRDefault="000B173B" w:rsidP="00A15226">
            <w:pPr>
              <w:pStyle w:val="Tabletext"/>
              <w:jc w:val="center"/>
              <w:rPr>
                <w:highlight w:val="yellow"/>
              </w:rPr>
            </w:pPr>
            <w:r w:rsidRPr="00F15493">
              <w:t>No</w:t>
            </w:r>
          </w:p>
        </w:tc>
        <w:tc>
          <w:tcPr>
            <w:tcW w:w="850" w:type="dxa"/>
            <w:shd w:val="clear" w:color="auto" w:fill="FFFFFF" w:themeFill="background1"/>
            <w:vAlign w:val="center"/>
          </w:tcPr>
          <w:p w14:paraId="123ECFCA" w14:textId="77777777" w:rsidR="000B173B" w:rsidRPr="002C27E1" w:rsidRDefault="000B173B" w:rsidP="00A15226">
            <w:pPr>
              <w:pStyle w:val="Tabletext"/>
              <w:jc w:val="center"/>
              <w:rPr>
                <w:highlight w:val="yellow"/>
              </w:rPr>
            </w:pPr>
            <w:r w:rsidRPr="00F15493">
              <w:t>No</w:t>
            </w:r>
          </w:p>
        </w:tc>
        <w:tc>
          <w:tcPr>
            <w:tcW w:w="1134" w:type="dxa"/>
            <w:shd w:val="clear" w:color="auto" w:fill="FFFFFF" w:themeFill="background1"/>
            <w:vAlign w:val="center"/>
          </w:tcPr>
          <w:p w14:paraId="0EB621F9" w14:textId="77777777" w:rsidR="000B173B" w:rsidRPr="002C27E1" w:rsidRDefault="000B173B" w:rsidP="00A15226">
            <w:pPr>
              <w:pStyle w:val="Tabletext"/>
              <w:jc w:val="center"/>
              <w:rPr>
                <w:highlight w:val="yellow"/>
              </w:rPr>
            </w:pPr>
            <w:r w:rsidRPr="00F15493">
              <w:t>N/A</w:t>
            </w:r>
          </w:p>
        </w:tc>
        <w:tc>
          <w:tcPr>
            <w:tcW w:w="1134" w:type="dxa"/>
            <w:shd w:val="clear" w:color="auto" w:fill="FFFFFF" w:themeFill="background1"/>
            <w:vAlign w:val="center"/>
          </w:tcPr>
          <w:p w14:paraId="7C41F9A9" w14:textId="77777777" w:rsidR="000B173B" w:rsidRPr="002C27E1" w:rsidRDefault="000B173B" w:rsidP="00A15226">
            <w:pPr>
              <w:pStyle w:val="Tabletext"/>
              <w:jc w:val="center"/>
              <w:rPr>
                <w:highlight w:val="yellow"/>
              </w:rPr>
            </w:pPr>
            <w:r w:rsidRPr="00F15493">
              <w:t>Known</w:t>
            </w:r>
          </w:p>
        </w:tc>
        <w:tc>
          <w:tcPr>
            <w:tcW w:w="1300" w:type="dxa"/>
            <w:shd w:val="clear" w:color="auto" w:fill="FFFFFF" w:themeFill="background1"/>
            <w:vAlign w:val="center"/>
          </w:tcPr>
          <w:p w14:paraId="0A13CF0B" w14:textId="77777777" w:rsidR="000B173B" w:rsidRPr="00F15493" w:rsidRDefault="000B173B" w:rsidP="00A15226">
            <w:pPr>
              <w:pStyle w:val="Tabletext"/>
              <w:jc w:val="center"/>
            </w:pPr>
            <w:r w:rsidRPr="00736003">
              <w:t>Yes</w:t>
            </w:r>
          </w:p>
        </w:tc>
      </w:tr>
      <w:tr w:rsidR="000B173B" w14:paraId="7D63E97B" w14:textId="77777777" w:rsidTr="00A15226">
        <w:tc>
          <w:tcPr>
            <w:tcW w:w="3114" w:type="dxa"/>
            <w:shd w:val="clear" w:color="auto" w:fill="FFFFFF" w:themeFill="background1"/>
            <w:vAlign w:val="center"/>
          </w:tcPr>
          <w:p w14:paraId="0D477479" w14:textId="77777777" w:rsidR="000B173B" w:rsidRPr="003C348E" w:rsidRDefault="000B173B" w:rsidP="00A15226">
            <w:pPr>
              <w:pStyle w:val="Tabletext"/>
              <w:rPr>
                <w:i/>
                <w:iCs/>
              </w:rPr>
            </w:pPr>
            <w:r w:rsidRPr="003C348E">
              <w:rPr>
                <w:i/>
                <w:iCs/>
              </w:rPr>
              <w:t>Galeorhinus galeus</w:t>
            </w:r>
          </w:p>
        </w:tc>
        <w:tc>
          <w:tcPr>
            <w:tcW w:w="3118" w:type="dxa"/>
            <w:shd w:val="clear" w:color="auto" w:fill="FFFFFF" w:themeFill="background1"/>
            <w:vAlign w:val="center"/>
          </w:tcPr>
          <w:p w14:paraId="094C09EC" w14:textId="77777777" w:rsidR="000B173B" w:rsidRPr="00BA192D" w:rsidRDefault="000B173B" w:rsidP="00A15226">
            <w:pPr>
              <w:pStyle w:val="Tabletext"/>
            </w:pPr>
            <w:r w:rsidRPr="00CF73D2">
              <w:t>School Shark</w:t>
            </w:r>
          </w:p>
        </w:tc>
        <w:tc>
          <w:tcPr>
            <w:tcW w:w="2835" w:type="dxa"/>
            <w:shd w:val="clear" w:color="auto" w:fill="FFFFFF" w:themeFill="background1"/>
            <w:vAlign w:val="center"/>
          </w:tcPr>
          <w:p w14:paraId="45254C8B" w14:textId="77777777" w:rsidR="000B173B" w:rsidRPr="00BA192D" w:rsidRDefault="000B173B" w:rsidP="00A15226">
            <w:pPr>
              <w:pStyle w:val="Tabletext"/>
            </w:pPr>
          </w:p>
        </w:tc>
        <w:tc>
          <w:tcPr>
            <w:tcW w:w="851" w:type="dxa"/>
            <w:shd w:val="clear" w:color="auto" w:fill="FFFFFF" w:themeFill="background1"/>
            <w:vAlign w:val="center"/>
          </w:tcPr>
          <w:p w14:paraId="42F657F9" w14:textId="77777777" w:rsidR="000B173B" w:rsidRPr="00F15493" w:rsidRDefault="000B173B" w:rsidP="00A15226">
            <w:pPr>
              <w:pStyle w:val="Tabletext"/>
              <w:jc w:val="center"/>
            </w:pPr>
            <w:r w:rsidRPr="00CF73D2">
              <w:t>No</w:t>
            </w:r>
          </w:p>
        </w:tc>
        <w:tc>
          <w:tcPr>
            <w:tcW w:w="850" w:type="dxa"/>
            <w:shd w:val="clear" w:color="auto" w:fill="FFFFFF" w:themeFill="background1"/>
            <w:vAlign w:val="center"/>
          </w:tcPr>
          <w:p w14:paraId="7F99BF60" w14:textId="77777777" w:rsidR="000B173B" w:rsidRPr="00F15493" w:rsidRDefault="000B173B" w:rsidP="00A15226">
            <w:pPr>
              <w:pStyle w:val="Tabletext"/>
              <w:jc w:val="center"/>
            </w:pPr>
            <w:r w:rsidRPr="00CF73D2">
              <w:t>No</w:t>
            </w:r>
          </w:p>
        </w:tc>
        <w:tc>
          <w:tcPr>
            <w:tcW w:w="1134" w:type="dxa"/>
            <w:shd w:val="clear" w:color="auto" w:fill="FFFFFF" w:themeFill="background1"/>
            <w:vAlign w:val="center"/>
          </w:tcPr>
          <w:p w14:paraId="484FB07F" w14:textId="77777777" w:rsidR="000B173B" w:rsidRPr="00F15493" w:rsidRDefault="000B173B" w:rsidP="00A15226">
            <w:pPr>
              <w:pStyle w:val="Tabletext"/>
              <w:jc w:val="center"/>
            </w:pPr>
            <w:r w:rsidRPr="00CF73D2">
              <w:t>N/A</w:t>
            </w:r>
          </w:p>
        </w:tc>
        <w:tc>
          <w:tcPr>
            <w:tcW w:w="1134" w:type="dxa"/>
            <w:shd w:val="clear" w:color="auto" w:fill="FFFFFF" w:themeFill="background1"/>
            <w:vAlign w:val="center"/>
          </w:tcPr>
          <w:p w14:paraId="3432E442" w14:textId="77777777" w:rsidR="000B173B" w:rsidRPr="00F15493" w:rsidRDefault="000B173B" w:rsidP="00A15226">
            <w:pPr>
              <w:pStyle w:val="Tabletext"/>
              <w:jc w:val="center"/>
            </w:pPr>
            <w:r w:rsidRPr="00CF73D2">
              <w:t>May</w:t>
            </w:r>
          </w:p>
        </w:tc>
        <w:tc>
          <w:tcPr>
            <w:tcW w:w="1300" w:type="dxa"/>
            <w:shd w:val="clear" w:color="auto" w:fill="FFFFFF" w:themeFill="background1"/>
            <w:vAlign w:val="center"/>
          </w:tcPr>
          <w:p w14:paraId="1F6B95F0" w14:textId="77777777" w:rsidR="000B173B" w:rsidRPr="00F15493" w:rsidRDefault="000B173B" w:rsidP="00A15226">
            <w:pPr>
              <w:pStyle w:val="Tabletext"/>
              <w:jc w:val="center"/>
            </w:pPr>
            <w:r w:rsidRPr="00736003">
              <w:t>No</w:t>
            </w:r>
          </w:p>
        </w:tc>
      </w:tr>
      <w:tr w:rsidR="000B173B" w14:paraId="3D605C0D" w14:textId="77777777" w:rsidTr="00A15226">
        <w:tc>
          <w:tcPr>
            <w:tcW w:w="3114" w:type="dxa"/>
            <w:shd w:val="clear" w:color="auto" w:fill="FFFFFF" w:themeFill="background1"/>
            <w:vAlign w:val="center"/>
          </w:tcPr>
          <w:p w14:paraId="7D0116F4" w14:textId="77777777" w:rsidR="000B173B" w:rsidRPr="00C134BC" w:rsidRDefault="000B173B" w:rsidP="00A15226">
            <w:pPr>
              <w:pStyle w:val="Tabletext"/>
              <w:rPr>
                <w:highlight w:val="yellow"/>
              </w:rPr>
            </w:pPr>
            <w:r>
              <w:rPr>
                <w:i/>
                <w:iCs/>
              </w:rPr>
              <w:t xml:space="preserve">Galaxiella toourtkoourt </w:t>
            </w:r>
            <w:r>
              <w:t xml:space="preserve">(previously </w:t>
            </w:r>
            <w:r w:rsidRPr="003C348E">
              <w:rPr>
                <w:i/>
                <w:iCs/>
              </w:rPr>
              <w:t>Galaxiella pusilla</w:t>
            </w:r>
            <w:r>
              <w:t>)</w:t>
            </w:r>
          </w:p>
        </w:tc>
        <w:tc>
          <w:tcPr>
            <w:tcW w:w="3118" w:type="dxa"/>
            <w:shd w:val="clear" w:color="auto" w:fill="FFFFFF" w:themeFill="background1"/>
            <w:vAlign w:val="center"/>
          </w:tcPr>
          <w:p w14:paraId="2DDA97D6" w14:textId="77777777" w:rsidR="000B173B" w:rsidRPr="002C27E1" w:rsidRDefault="000B173B" w:rsidP="00A15226">
            <w:pPr>
              <w:pStyle w:val="Tabletext"/>
              <w:rPr>
                <w:highlight w:val="yellow"/>
              </w:rPr>
            </w:pPr>
            <w:r w:rsidRPr="00BA192D">
              <w:t>Eastern Dwarf Galaxias</w:t>
            </w:r>
          </w:p>
        </w:tc>
        <w:tc>
          <w:tcPr>
            <w:tcW w:w="2835" w:type="dxa"/>
            <w:shd w:val="clear" w:color="auto" w:fill="FFFFFF" w:themeFill="background1"/>
            <w:vAlign w:val="center"/>
          </w:tcPr>
          <w:p w14:paraId="35FFB6B3" w14:textId="77777777" w:rsidR="000B173B" w:rsidRPr="002C27E1" w:rsidRDefault="000B173B" w:rsidP="00A15226">
            <w:pPr>
              <w:pStyle w:val="Tabletext"/>
              <w:rPr>
                <w:highlight w:val="yellow"/>
              </w:rPr>
            </w:pPr>
            <w:r w:rsidRPr="00BA192D">
              <w:t>Vulnerable</w:t>
            </w:r>
          </w:p>
        </w:tc>
        <w:tc>
          <w:tcPr>
            <w:tcW w:w="851" w:type="dxa"/>
            <w:shd w:val="clear" w:color="auto" w:fill="FFFFFF" w:themeFill="background1"/>
            <w:vAlign w:val="center"/>
          </w:tcPr>
          <w:p w14:paraId="2E10AF38" w14:textId="77777777" w:rsidR="000B173B" w:rsidRPr="002C27E1" w:rsidRDefault="000B173B" w:rsidP="00A15226">
            <w:pPr>
              <w:pStyle w:val="Tabletext"/>
              <w:jc w:val="center"/>
              <w:rPr>
                <w:highlight w:val="yellow"/>
              </w:rPr>
            </w:pPr>
            <w:r w:rsidRPr="00F15493">
              <w:t>No</w:t>
            </w:r>
          </w:p>
        </w:tc>
        <w:tc>
          <w:tcPr>
            <w:tcW w:w="850" w:type="dxa"/>
            <w:shd w:val="clear" w:color="auto" w:fill="FFFFFF" w:themeFill="background1"/>
            <w:vAlign w:val="center"/>
          </w:tcPr>
          <w:p w14:paraId="511EC80A" w14:textId="77777777" w:rsidR="000B173B" w:rsidRPr="002C27E1" w:rsidRDefault="000B173B" w:rsidP="00A15226">
            <w:pPr>
              <w:pStyle w:val="Tabletext"/>
              <w:jc w:val="center"/>
              <w:rPr>
                <w:highlight w:val="yellow"/>
              </w:rPr>
            </w:pPr>
            <w:r w:rsidRPr="00F15493">
              <w:t>No</w:t>
            </w:r>
          </w:p>
        </w:tc>
        <w:tc>
          <w:tcPr>
            <w:tcW w:w="1134" w:type="dxa"/>
            <w:shd w:val="clear" w:color="auto" w:fill="FFFFFF" w:themeFill="background1"/>
            <w:vAlign w:val="center"/>
          </w:tcPr>
          <w:p w14:paraId="24ED1987" w14:textId="77777777" w:rsidR="000B173B" w:rsidRPr="002C27E1" w:rsidRDefault="000B173B" w:rsidP="00A15226">
            <w:pPr>
              <w:pStyle w:val="Tabletext"/>
              <w:jc w:val="center"/>
              <w:rPr>
                <w:highlight w:val="yellow"/>
              </w:rPr>
            </w:pPr>
            <w:r w:rsidRPr="00F15493">
              <w:t>N/A</w:t>
            </w:r>
          </w:p>
        </w:tc>
        <w:tc>
          <w:tcPr>
            <w:tcW w:w="1134" w:type="dxa"/>
            <w:shd w:val="clear" w:color="auto" w:fill="FFFFFF" w:themeFill="background1"/>
            <w:vAlign w:val="center"/>
          </w:tcPr>
          <w:p w14:paraId="36F9071E" w14:textId="77777777" w:rsidR="000B173B" w:rsidRPr="002C27E1" w:rsidRDefault="000B173B" w:rsidP="00A15226">
            <w:pPr>
              <w:pStyle w:val="Tabletext"/>
              <w:jc w:val="center"/>
              <w:rPr>
                <w:highlight w:val="yellow"/>
              </w:rPr>
            </w:pPr>
            <w:r w:rsidRPr="00F15493">
              <w:t>Likely</w:t>
            </w:r>
          </w:p>
        </w:tc>
        <w:tc>
          <w:tcPr>
            <w:tcW w:w="1300" w:type="dxa"/>
            <w:shd w:val="clear" w:color="auto" w:fill="FFFFFF" w:themeFill="background1"/>
            <w:vAlign w:val="center"/>
          </w:tcPr>
          <w:p w14:paraId="0A92D0C9" w14:textId="77777777" w:rsidR="000B173B" w:rsidRPr="00F15493" w:rsidRDefault="000B173B" w:rsidP="00A15226">
            <w:pPr>
              <w:pStyle w:val="Tabletext"/>
              <w:jc w:val="center"/>
            </w:pPr>
            <w:r w:rsidRPr="00736003">
              <w:t>Yes</w:t>
            </w:r>
          </w:p>
        </w:tc>
      </w:tr>
      <w:tr w:rsidR="000B173B" w14:paraId="36882F4D" w14:textId="77777777" w:rsidTr="00A15226">
        <w:tc>
          <w:tcPr>
            <w:tcW w:w="3114" w:type="dxa"/>
            <w:shd w:val="clear" w:color="auto" w:fill="FFFFFF" w:themeFill="background1"/>
            <w:vAlign w:val="center"/>
          </w:tcPr>
          <w:p w14:paraId="34B83EEE" w14:textId="77777777" w:rsidR="000B173B" w:rsidRPr="003C348E" w:rsidRDefault="000B173B" w:rsidP="00A15226">
            <w:pPr>
              <w:pStyle w:val="Tabletext"/>
              <w:rPr>
                <w:i/>
                <w:iCs/>
                <w:highlight w:val="yellow"/>
              </w:rPr>
            </w:pPr>
            <w:r w:rsidRPr="003C348E">
              <w:rPr>
                <w:i/>
                <w:iCs/>
              </w:rPr>
              <w:t>Maccullochella peelii</w:t>
            </w:r>
          </w:p>
        </w:tc>
        <w:tc>
          <w:tcPr>
            <w:tcW w:w="3118" w:type="dxa"/>
            <w:shd w:val="clear" w:color="auto" w:fill="FFFFFF" w:themeFill="background1"/>
            <w:vAlign w:val="center"/>
          </w:tcPr>
          <w:p w14:paraId="1B5312FF" w14:textId="77777777" w:rsidR="000B173B" w:rsidRPr="002C27E1" w:rsidRDefault="000B173B" w:rsidP="00A15226">
            <w:pPr>
              <w:pStyle w:val="Tabletext"/>
              <w:rPr>
                <w:highlight w:val="yellow"/>
              </w:rPr>
            </w:pPr>
            <w:r w:rsidRPr="00BA192D">
              <w:t>Murray Cod</w:t>
            </w:r>
          </w:p>
        </w:tc>
        <w:tc>
          <w:tcPr>
            <w:tcW w:w="2835" w:type="dxa"/>
            <w:shd w:val="clear" w:color="auto" w:fill="FFFFFF" w:themeFill="background1"/>
            <w:vAlign w:val="center"/>
          </w:tcPr>
          <w:p w14:paraId="5D0C6EA4" w14:textId="77777777" w:rsidR="000B173B" w:rsidRPr="002C27E1" w:rsidRDefault="000B173B" w:rsidP="00A15226">
            <w:pPr>
              <w:pStyle w:val="Tabletext"/>
              <w:rPr>
                <w:highlight w:val="yellow"/>
              </w:rPr>
            </w:pPr>
            <w:r w:rsidRPr="00BA192D">
              <w:t>Vulnerable</w:t>
            </w:r>
          </w:p>
        </w:tc>
        <w:tc>
          <w:tcPr>
            <w:tcW w:w="851" w:type="dxa"/>
            <w:shd w:val="clear" w:color="auto" w:fill="FFFFFF" w:themeFill="background1"/>
            <w:vAlign w:val="center"/>
          </w:tcPr>
          <w:p w14:paraId="40FD77A6" w14:textId="77777777" w:rsidR="000B173B" w:rsidRPr="002C27E1" w:rsidRDefault="000B173B" w:rsidP="00A15226">
            <w:pPr>
              <w:pStyle w:val="Tabletext"/>
              <w:jc w:val="center"/>
              <w:rPr>
                <w:highlight w:val="yellow"/>
              </w:rPr>
            </w:pPr>
            <w:r w:rsidRPr="00F15493">
              <w:t>Yes</w:t>
            </w:r>
          </w:p>
        </w:tc>
        <w:tc>
          <w:tcPr>
            <w:tcW w:w="850" w:type="dxa"/>
            <w:shd w:val="clear" w:color="auto" w:fill="FFFFFF" w:themeFill="background1"/>
            <w:vAlign w:val="center"/>
          </w:tcPr>
          <w:p w14:paraId="56E3EEA0" w14:textId="77777777" w:rsidR="000B173B" w:rsidRPr="002C27E1" w:rsidRDefault="000B173B" w:rsidP="00A15226">
            <w:pPr>
              <w:pStyle w:val="Tabletext"/>
              <w:jc w:val="center"/>
              <w:rPr>
                <w:highlight w:val="yellow"/>
              </w:rPr>
            </w:pPr>
            <w:r w:rsidRPr="00F15493">
              <w:t>No</w:t>
            </w:r>
          </w:p>
        </w:tc>
        <w:tc>
          <w:tcPr>
            <w:tcW w:w="1134" w:type="dxa"/>
            <w:shd w:val="clear" w:color="auto" w:fill="FFFFFF" w:themeFill="background1"/>
            <w:vAlign w:val="center"/>
          </w:tcPr>
          <w:p w14:paraId="0146495E" w14:textId="77777777" w:rsidR="000B173B" w:rsidRPr="002C27E1" w:rsidRDefault="000B173B" w:rsidP="00A15226">
            <w:pPr>
              <w:pStyle w:val="Tabletext"/>
              <w:jc w:val="center"/>
              <w:rPr>
                <w:highlight w:val="yellow"/>
              </w:rPr>
            </w:pPr>
            <w:r w:rsidRPr="00F15493">
              <w:t>Unlikely</w:t>
            </w:r>
          </w:p>
        </w:tc>
        <w:tc>
          <w:tcPr>
            <w:tcW w:w="1134" w:type="dxa"/>
            <w:shd w:val="clear" w:color="auto" w:fill="FFFFFF" w:themeFill="background1"/>
            <w:vAlign w:val="center"/>
          </w:tcPr>
          <w:p w14:paraId="00795B71" w14:textId="77777777" w:rsidR="000B173B" w:rsidRPr="002C27E1" w:rsidRDefault="000B173B" w:rsidP="00A15226">
            <w:pPr>
              <w:pStyle w:val="Tabletext"/>
              <w:jc w:val="center"/>
              <w:rPr>
                <w:highlight w:val="yellow"/>
              </w:rPr>
            </w:pPr>
            <w:r w:rsidRPr="00F15493">
              <w:t>N/A</w:t>
            </w:r>
          </w:p>
        </w:tc>
        <w:tc>
          <w:tcPr>
            <w:tcW w:w="1300" w:type="dxa"/>
            <w:shd w:val="clear" w:color="auto" w:fill="FFFFFF" w:themeFill="background1"/>
            <w:vAlign w:val="center"/>
          </w:tcPr>
          <w:p w14:paraId="4AB5ABAF" w14:textId="77777777" w:rsidR="000B173B" w:rsidRPr="00F15493" w:rsidRDefault="000B173B" w:rsidP="00A15226">
            <w:pPr>
              <w:pStyle w:val="Tabletext"/>
              <w:jc w:val="center"/>
            </w:pPr>
            <w:r w:rsidRPr="00736003">
              <w:t>Yes</w:t>
            </w:r>
          </w:p>
        </w:tc>
      </w:tr>
      <w:tr w:rsidR="000B173B" w14:paraId="05411BAC" w14:textId="77777777" w:rsidTr="00A15226">
        <w:tc>
          <w:tcPr>
            <w:tcW w:w="3114" w:type="dxa"/>
            <w:shd w:val="clear" w:color="auto" w:fill="FFFFFF" w:themeFill="background1"/>
            <w:vAlign w:val="center"/>
          </w:tcPr>
          <w:p w14:paraId="218B7C95" w14:textId="77777777" w:rsidR="000B173B" w:rsidRPr="003C348E" w:rsidRDefault="000B173B" w:rsidP="00A15226">
            <w:pPr>
              <w:pStyle w:val="Tabletext"/>
              <w:rPr>
                <w:i/>
                <w:iCs/>
                <w:highlight w:val="yellow"/>
              </w:rPr>
            </w:pPr>
            <w:r w:rsidRPr="003C348E">
              <w:rPr>
                <w:i/>
                <w:iCs/>
              </w:rPr>
              <w:t>Macquaria australasica</w:t>
            </w:r>
          </w:p>
        </w:tc>
        <w:tc>
          <w:tcPr>
            <w:tcW w:w="3118" w:type="dxa"/>
            <w:shd w:val="clear" w:color="auto" w:fill="FFFFFF" w:themeFill="background1"/>
            <w:vAlign w:val="center"/>
          </w:tcPr>
          <w:p w14:paraId="7F373146" w14:textId="77777777" w:rsidR="000B173B" w:rsidRPr="002C27E1" w:rsidRDefault="000B173B" w:rsidP="00A15226">
            <w:pPr>
              <w:pStyle w:val="Tabletext"/>
              <w:rPr>
                <w:highlight w:val="yellow"/>
              </w:rPr>
            </w:pPr>
            <w:r w:rsidRPr="00BA192D">
              <w:t>Macquarie Perch</w:t>
            </w:r>
          </w:p>
        </w:tc>
        <w:tc>
          <w:tcPr>
            <w:tcW w:w="2835" w:type="dxa"/>
            <w:shd w:val="clear" w:color="auto" w:fill="FFFFFF" w:themeFill="background1"/>
            <w:vAlign w:val="center"/>
          </w:tcPr>
          <w:p w14:paraId="036A3FC5" w14:textId="77777777" w:rsidR="000B173B" w:rsidRPr="002C27E1" w:rsidRDefault="000B173B" w:rsidP="00A15226">
            <w:pPr>
              <w:pStyle w:val="Tabletext"/>
              <w:rPr>
                <w:highlight w:val="yellow"/>
              </w:rPr>
            </w:pPr>
            <w:r w:rsidRPr="00BA192D">
              <w:t>Endangered</w:t>
            </w:r>
          </w:p>
        </w:tc>
        <w:tc>
          <w:tcPr>
            <w:tcW w:w="851" w:type="dxa"/>
            <w:shd w:val="clear" w:color="auto" w:fill="FFFFFF" w:themeFill="background1"/>
            <w:vAlign w:val="center"/>
          </w:tcPr>
          <w:p w14:paraId="1E1D2D47" w14:textId="77777777" w:rsidR="000B173B" w:rsidRPr="002C27E1" w:rsidRDefault="000B173B" w:rsidP="00A15226">
            <w:pPr>
              <w:pStyle w:val="Tabletext"/>
              <w:jc w:val="center"/>
              <w:rPr>
                <w:highlight w:val="yellow"/>
              </w:rPr>
            </w:pPr>
            <w:r w:rsidRPr="00F15493">
              <w:t>Yes</w:t>
            </w:r>
          </w:p>
        </w:tc>
        <w:tc>
          <w:tcPr>
            <w:tcW w:w="850" w:type="dxa"/>
            <w:shd w:val="clear" w:color="auto" w:fill="FFFFFF" w:themeFill="background1"/>
            <w:vAlign w:val="center"/>
          </w:tcPr>
          <w:p w14:paraId="605EC5EC" w14:textId="77777777" w:rsidR="000B173B" w:rsidRPr="002C27E1" w:rsidRDefault="000B173B" w:rsidP="00A15226">
            <w:pPr>
              <w:pStyle w:val="Tabletext"/>
              <w:jc w:val="center"/>
              <w:rPr>
                <w:highlight w:val="yellow"/>
              </w:rPr>
            </w:pPr>
            <w:r w:rsidRPr="00F15493">
              <w:t>No</w:t>
            </w:r>
          </w:p>
        </w:tc>
        <w:tc>
          <w:tcPr>
            <w:tcW w:w="1134" w:type="dxa"/>
            <w:shd w:val="clear" w:color="auto" w:fill="FFFFFF" w:themeFill="background1"/>
            <w:vAlign w:val="center"/>
          </w:tcPr>
          <w:p w14:paraId="2EDBD35D" w14:textId="77777777" w:rsidR="000B173B" w:rsidRPr="002C27E1" w:rsidRDefault="000B173B" w:rsidP="00A15226">
            <w:pPr>
              <w:pStyle w:val="Tabletext"/>
              <w:jc w:val="center"/>
              <w:rPr>
                <w:highlight w:val="yellow"/>
              </w:rPr>
            </w:pPr>
            <w:r w:rsidRPr="00F15493">
              <w:t>Low</w:t>
            </w:r>
          </w:p>
        </w:tc>
        <w:tc>
          <w:tcPr>
            <w:tcW w:w="1134" w:type="dxa"/>
            <w:shd w:val="clear" w:color="auto" w:fill="FFFFFF" w:themeFill="background1"/>
            <w:vAlign w:val="center"/>
          </w:tcPr>
          <w:p w14:paraId="42486E74" w14:textId="77777777" w:rsidR="000B173B" w:rsidRPr="002C27E1" w:rsidRDefault="000B173B" w:rsidP="00A15226">
            <w:pPr>
              <w:pStyle w:val="Tabletext"/>
              <w:jc w:val="center"/>
              <w:rPr>
                <w:highlight w:val="yellow"/>
              </w:rPr>
            </w:pPr>
            <w:r w:rsidRPr="00F15493">
              <w:t>N/A</w:t>
            </w:r>
          </w:p>
        </w:tc>
        <w:tc>
          <w:tcPr>
            <w:tcW w:w="1300" w:type="dxa"/>
            <w:shd w:val="clear" w:color="auto" w:fill="FFFFFF" w:themeFill="background1"/>
            <w:vAlign w:val="center"/>
          </w:tcPr>
          <w:p w14:paraId="6FC21F8B" w14:textId="77777777" w:rsidR="000B173B" w:rsidRPr="00F15493" w:rsidRDefault="000B173B" w:rsidP="00A15226">
            <w:pPr>
              <w:pStyle w:val="Tabletext"/>
              <w:jc w:val="center"/>
            </w:pPr>
            <w:r w:rsidRPr="00736003">
              <w:t>Yes</w:t>
            </w:r>
          </w:p>
        </w:tc>
      </w:tr>
      <w:tr w:rsidR="000B173B" w14:paraId="776B9B33" w14:textId="77777777" w:rsidTr="00A15226">
        <w:tc>
          <w:tcPr>
            <w:tcW w:w="3114" w:type="dxa"/>
            <w:shd w:val="clear" w:color="auto" w:fill="FFFFFF" w:themeFill="background1"/>
            <w:vAlign w:val="center"/>
          </w:tcPr>
          <w:p w14:paraId="2DCF58D9" w14:textId="77777777" w:rsidR="000B173B" w:rsidRPr="003C348E" w:rsidRDefault="000B173B" w:rsidP="00A15226">
            <w:pPr>
              <w:pStyle w:val="Tabletext"/>
              <w:rPr>
                <w:i/>
                <w:iCs/>
                <w:highlight w:val="yellow"/>
              </w:rPr>
            </w:pPr>
            <w:r w:rsidRPr="003C348E">
              <w:rPr>
                <w:i/>
                <w:iCs/>
              </w:rPr>
              <w:t>Nannoperca obscura</w:t>
            </w:r>
          </w:p>
        </w:tc>
        <w:tc>
          <w:tcPr>
            <w:tcW w:w="3118" w:type="dxa"/>
            <w:shd w:val="clear" w:color="auto" w:fill="FFFFFF" w:themeFill="background1"/>
            <w:vAlign w:val="center"/>
          </w:tcPr>
          <w:p w14:paraId="06903BA0" w14:textId="77777777" w:rsidR="000B173B" w:rsidRPr="002C27E1" w:rsidRDefault="000B173B" w:rsidP="00A15226">
            <w:pPr>
              <w:pStyle w:val="Tabletext"/>
              <w:rPr>
                <w:highlight w:val="yellow"/>
              </w:rPr>
            </w:pPr>
            <w:r w:rsidRPr="00BA192D">
              <w:t>Yarra Pygmy Perch</w:t>
            </w:r>
          </w:p>
        </w:tc>
        <w:tc>
          <w:tcPr>
            <w:tcW w:w="2835" w:type="dxa"/>
            <w:shd w:val="clear" w:color="auto" w:fill="FFFFFF" w:themeFill="background1"/>
            <w:vAlign w:val="center"/>
          </w:tcPr>
          <w:p w14:paraId="664C24D7" w14:textId="77777777" w:rsidR="000B173B" w:rsidRPr="002C27E1" w:rsidRDefault="000B173B" w:rsidP="00A15226">
            <w:pPr>
              <w:pStyle w:val="Tabletext"/>
              <w:rPr>
                <w:highlight w:val="yellow"/>
              </w:rPr>
            </w:pPr>
            <w:r w:rsidRPr="00BA192D">
              <w:t>Vulnerable</w:t>
            </w:r>
          </w:p>
        </w:tc>
        <w:tc>
          <w:tcPr>
            <w:tcW w:w="851" w:type="dxa"/>
            <w:shd w:val="clear" w:color="auto" w:fill="FFFFFF" w:themeFill="background1"/>
            <w:vAlign w:val="center"/>
          </w:tcPr>
          <w:p w14:paraId="122E4365" w14:textId="77777777" w:rsidR="000B173B" w:rsidRPr="002C27E1" w:rsidRDefault="000B173B" w:rsidP="00A15226">
            <w:pPr>
              <w:pStyle w:val="Tabletext"/>
              <w:jc w:val="center"/>
              <w:rPr>
                <w:highlight w:val="yellow"/>
              </w:rPr>
            </w:pPr>
            <w:r w:rsidRPr="00F15493">
              <w:t>Yes</w:t>
            </w:r>
          </w:p>
        </w:tc>
        <w:tc>
          <w:tcPr>
            <w:tcW w:w="850" w:type="dxa"/>
            <w:shd w:val="clear" w:color="auto" w:fill="FFFFFF" w:themeFill="background1"/>
            <w:vAlign w:val="center"/>
          </w:tcPr>
          <w:p w14:paraId="13DC33C4" w14:textId="77777777" w:rsidR="000B173B" w:rsidRPr="002C27E1" w:rsidRDefault="000B173B" w:rsidP="00A15226">
            <w:pPr>
              <w:pStyle w:val="Tabletext"/>
              <w:jc w:val="center"/>
              <w:rPr>
                <w:highlight w:val="yellow"/>
              </w:rPr>
            </w:pPr>
            <w:r w:rsidRPr="00F15493">
              <w:t>No</w:t>
            </w:r>
          </w:p>
        </w:tc>
        <w:tc>
          <w:tcPr>
            <w:tcW w:w="1134" w:type="dxa"/>
            <w:shd w:val="clear" w:color="auto" w:fill="FFFFFF" w:themeFill="background1"/>
            <w:vAlign w:val="center"/>
          </w:tcPr>
          <w:p w14:paraId="01BA90EB" w14:textId="77777777" w:rsidR="000B173B" w:rsidRPr="002C27E1" w:rsidRDefault="000B173B" w:rsidP="00A15226">
            <w:pPr>
              <w:pStyle w:val="Tabletext"/>
              <w:jc w:val="center"/>
              <w:rPr>
                <w:highlight w:val="yellow"/>
              </w:rPr>
            </w:pPr>
            <w:r w:rsidRPr="00F15493">
              <w:t>Low</w:t>
            </w:r>
          </w:p>
        </w:tc>
        <w:tc>
          <w:tcPr>
            <w:tcW w:w="1134" w:type="dxa"/>
            <w:shd w:val="clear" w:color="auto" w:fill="FFFFFF" w:themeFill="background1"/>
            <w:vAlign w:val="center"/>
          </w:tcPr>
          <w:p w14:paraId="6D562903" w14:textId="77777777" w:rsidR="000B173B" w:rsidRPr="002C27E1" w:rsidRDefault="000B173B" w:rsidP="00A15226">
            <w:pPr>
              <w:pStyle w:val="Tabletext"/>
              <w:jc w:val="center"/>
              <w:rPr>
                <w:highlight w:val="yellow"/>
              </w:rPr>
            </w:pPr>
            <w:r w:rsidRPr="00F15493">
              <w:t>Likely</w:t>
            </w:r>
          </w:p>
        </w:tc>
        <w:tc>
          <w:tcPr>
            <w:tcW w:w="1300" w:type="dxa"/>
            <w:shd w:val="clear" w:color="auto" w:fill="FFFFFF" w:themeFill="background1"/>
            <w:vAlign w:val="center"/>
          </w:tcPr>
          <w:p w14:paraId="1D70474A" w14:textId="77777777" w:rsidR="000B173B" w:rsidRPr="00F15493" w:rsidRDefault="000B173B" w:rsidP="00A15226">
            <w:pPr>
              <w:pStyle w:val="Tabletext"/>
              <w:jc w:val="center"/>
            </w:pPr>
            <w:r w:rsidRPr="00736003">
              <w:t>Yes</w:t>
            </w:r>
          </w:p>
        </w:tc>
      </w:tr>
      <w:tr w:rsidR="000B173B" w14:paraId="3255EFD6" w14:textId="77777777" w:rsidTr="00A15226">
        <w:tc>
          <w:tcPr>
            <w:tcW w:w="3114" w:type="dxa"/>
            <w:tcBorders>
              <w:bottom w:val="single" w:sz="4" w:space="0" w:color="auto"/>
            </w:tcBorders>
            <w:shd w:val="clear" w:color="auto" w:fill="FFFFFF" w:themeFill="background1"/>
            <w:vAlign w:val="center"/>
          </w:tcPr>
          <w:p w14:paraId="762DF201" w14:textId="77777777" w:rsidR="000B173B" w:rsidRPr="003C348E" w:rsidRDefault="000B173B" w:rsidP="00A15226">
            <w:pPr>
              <w:pStyle w:val="Tabletext"/>
              <w:rPr>
                <w:i/>
                <w:iCs/>
                <w:highlight w:val="yellow"/>
              </w:rPr>
            </w:pPr>
            <w:r w:rsidRPr="003C348E">
              <w:rPr>
                <w:i/>
                <w:iCs/>
              </w:rPr>
              <w:t>Prototroctes maraena</w:t>
            </w:r>
          </w:p>
        </w:tc>
        <w:tc>
          <w:tcPr>
            <w:tcW w:w="3118" w:type="dxa"/>
            <w:tcBorders>
              <w:bottom w:val="single" w:sz="4" w:space="0" w:color="auto"/>
            </w:tcBorders>
            <w:shd w:val="clear" w:color="auto" w:fill="FFFFFF" w:themeFill="background1"/>
            <w:vAlign w:val="center"/>
          </w:tcPr>
          <w:p w14:paraId="5BAA0194" w14:textId="77777777" w:rsidR="000B173B" w:rsidRPr="002C27E1" w:rsidRDefault="000B173B" w:rsidP="00A15226">
            <w:pPr>
              <w:pStyle w:val="Tabletext"/>
              <w:rPr>
                <w:highlight w:val="yellow"/>
              </w:rPr>
            </w:pPr>
            <w:r w:rsidRPr="00BA192D">
              <w:t>Australian Grayling</w:t>
            </w:r>
          </w:p>
        </w:tc>
        <w:tc>
          <w:tcPr>
            <w:tcW w:w="2835" w:type="dxa"/>
            <w:tcBorders>
              <w:bottom w:val="single" w:sz="4" w:space="0" w:color="auto"/>
            </w:tcBorders>
            <w:shd w:val="clear" w:color="auto" w:fill="FFFFFF" w:themeFill="background1"/>
            <w:vAlign w:val="center"/>
          </w:tcPr>
          <w:p w14:paraId="240B764A" w14:textId="77777777" w:rsidR="000B173B" w:rsidRPr="002C27E1" w:rsidRDefault="000B173B" w:rsidP="00A15226">
            <w:pPr>
              <w:pStyle w:val="Tabletext"/>
              <w:rPr>
                <w:highlight w:val="yellow"/>
              </w:rPr>
            </w:pPr>
            <w:r w:rsidRPr="00BA192D">
              <w:t>Vulnerable</w:t>
            </w:r>
          </w:p>
        </w:tc>
        <w:tc>
          <w:tcPr>
            <w:tcW w:w="851" w:type="dxa"/>
            <w:tcBorders>
              <w:bottom w:val="single" w:sz="4" w:space="0" w:color="auto"/>
            </w:tcBorders>
            <w:shd w:val="clear" w:color="auto" w:fill="FFFFFF" w:themeFill="background1"/>
            <w:vAlign w:val="center"/>
          </w:tcPr>
          <w:p w14:paraId="66C5C175" w14:textId="77777777" w:rsidR="000B173B" w:rsidRPr="002C27E1" w:rsidRDefault="000B173B" w:rsidP="00A15226">
            <w:pPr>
              <w:pStyle w:val="Tabletext"/>
              <w:jc w:val="center"/>
              <w:rPr>
                <w:highlight w:val="yellow"/>
              </w:rPr>
            </w:pPr>
            <w:r w:rsidRPr="00F15493">
              <w:t>Yes</w:t>
            </w:r>
          </w:p>
        </w:tc>
        <w:tc>
          <w:tcPr>
            <w:tcW w:w="850" w:type="dxa"/>
            <w:tcBorders>
              <w:bottom w:val="single" w:sz="4" w:space="0" w:color="auto"/>
            </w:tcBorders>
            <w:shd w:val="clear" w:color="auto" w:fill="FFFFFF" w:themeFill="background1"/>
            <w:vAlign w:val="center"/>
          </w:tcPr>
          <w:p w14:paraId="4B9B97C5" w14:textId="77777777" w:rsidR="000B173B" w:rsidRPr="002C27E1" w:rsidRDefault="000B173B" w:rsidP="00A15226">
            <w:pPr>
              <w:pStyle w:val="Tabletext"/>
              <w:jc w:val="center"/>
              <w:rPr>
                <w:highlight w:val="yellow"/>
              </w:rPr>
            </w:pPr>
            <w:r w:rsidRPr="00F15493">
              <w:t>No</w:t>
            </w:r>
          </w:p>
        </w:tc>
        <w:tc>
          <w:tcPr>
            <w:tcW w:w="1134" w:type="dxa"/>
            <w:tcBorders>
              <w:bottom w:val="single" w:sz="4" w:space="0" w:color="auto"/>
            </w:tcBorders>
            <w:shd w:val="clear" w:color="auto" w:fill="FFFFFF" w:themeFill="background1"/>
            <w:vAlign w:val="center"/>
          </w:tcPr>
          <w:p w14:paraId="2B1A3A7B" w14:textId="77777777" w:rsidR="000B173B" w:rsidRPr="002C27E1" w:rsidRDefault="000B173B" w:rsidP="00A15226">
            <w:pPr>
              <w:pStyle w:val="Tabletext"/>
              <w:jc w:val="center"/>
              <w:rPr>
                <w:highlight w:val="yellow"/>
              </w:rPr>
            </w:pPr>
            <w:r w:rsidRPr="00F15493">
              <w:t>Moderate</w:t>
            </w:r>
          </w:p>
        </w:tc>
        <w:tc>
          <w:tcPr>
            <w:tcW w:w="1134" w:type="dxa"/>
            <w:tcBorders>
              <w:bottom w:val="single" w:sz="4" w:space="0" w:color="auto"/>
            </w:tcBorders>
            <w:shd w:val="clear" w:color="auto" w:fill="FFFFFF" w:themeFill="background1"/>
            <w:vAlign w:val="center"/>
          </w:tcPr>
          <w:p w14:paraId="28425953" w14:textId="77777777" w:rsidR="000B173B" w:rsidRPr="002C27E1" w:rsidRDefault="000B173B" w:rsidP="00A15226">
            <w:pPr>
              <w:pStyle w:val="Tabletext"/>
              <w:jc w:val="center"/>
              <w:rPr>
                <w:highlight w:val="yellow"/>
              </w:rPr>
            </w:pPr>
            <w:r w:rsidRPr="00F15493">
              <w:t>Known</w:t>
            </w:r>
          </w:p>
        </w:tc>
        <w:tc>
          <w:tcPr>
            <w:tcW w:w="1300" w:type="dxa"/>
            <w:tcBorders>
              <w:bottom w:val="single" w:sz="4" w:space="0" w:color="auto"/>
            </w:tcBorders>
            <w:shd w:val="clear" w:color="auto" w:fill="FFFFFF" w:themeFill="background1"/>
            <w:vAlign w:val="center"/>
          </w:tcPr>
          <w:p w14:paraId="14699A6C" w14:textId="77777777" w:rsidR="000B173B" w:rsidRPr="00F15493" w:rsidRDefault="000B173B" w:rsidP="00A15226">
            <w:pPr>
              <w:pStyle w:val="Tabletext"/>
              <w:jc w:val="center"/>
            </w:pPr>
            <w:r w:rsidRPr="00736003">
              <w:t>Yes</w:t>
            </w:r>
          </w:p>
        </w:tc>
      </w:tr>
      <w:tr w:rsidR="000B173B" w14:paraId="1F7465A5" w14:textId="77777777" w:rsidTr="00A15226">
        <w:tc>
          <w:tcPr>
            <w:tcW w:w="3114" w:type="dxa"/>
            <w:tcBorders>
              <w:right w:val="nil"/>
            </w:tcBorders>
            <w:shd w:val="clear" w:color="auto" w:fill="B4C6E7" w:themeFill="accent1" w:themeFillTint="66"/>
            <w:vAlign w:val="center"/>
          </w:tcPr>
          <w:p w14:paraId="25DEACFA" w14:textId="77777777" w:rsidR="000B173B" w:rsidRPr="00927B93" w:rsidRDefault="000B173B" w:rsidP="00A15226">
            <w:pPr>
              <w:pStyle w:val="Tabletext"/>
              <w:rPr>
                <w:b/>
                <w:bCs/>
              </w:rPr>
            </w:pPr>
            <w:r w:rsidRPr="00927B93">
              <w:rPr>
                <w:b/>
                <w:bCs/>
              </w:rPr>
              <w:t>Insects</w:t>
            </w:r>
          </w:p>
        </w:tc>
        <w:tc>
          <w:tcPr>
            <w:tcW w:w="3118" w:type="dxa"/>
            <w:tcBorders>
              <w:left w:val="nil"/>
              <w:right w:val="nil"/>
            </w:tcBorders>
            <w:shd w:val="clear" w:color="auto" w:fill="B4C6E7" w:themeFill="accent1" w:themeFillTint="66"/>
            <w:vAlign w:val="center"/>
          </w:tcPr>
          <w:p w14:paraId="6A9EAA31" w14:textId="77777777" w:rsidR="000B173B" w:rsidRPr="00BA192D" w:rsidRDefault="000B173B" w:rsidP="00A15226">
            <w:pPr>
              <w:pStyle w:val="Tabletext"/>
            </w:pPr>
          </w:p>
        </w:tc>
        <w:tc>
          <w:tcPr>
            <w:tcW w:w="2835" w:type="dxa"/>
            <w:tcBorders>
              <w:left w:val="nil"/>
              <w:right w:val="nil"/>
            </w:tcBorders>
            <w:shd w:val="clear" w:color="auto" w:fill="B4C6E7" w:themeFill="accent1" w:themeFillTint="66"/>
            <w:vAlign w:val="center"/>
          </w:tcPr>
          <w:p w14:paraId="63F3FC8E" w14:textId="77777777" w:rsidR="000B173B" w:rsidRPr="00BA192D" w:rsidRDefault="000B173B" w:rsidP="00A15226">
            <w:pPr>
              <w:pStyle w:val="Tabletext"/>
            </w:pPr>
          </w:p>
        </w:tc>
        <w:tc>
          <w:tcPr>
            <w:tcW w:w="851" w:type="dxa"/>
            <w:tcBorders>
              <w:left w:val="nil"/>
              <w:right w:val="nil"/>
            </w:tcBorders>
            <w:shd w:val="clear" w:color="auto" w:fill="B4C6E7" w:themeFill="accent1" w:themeFillTint="66"/>
            <w:vAlign w:val="center"/>
          </w:tcPr>
          <w:p w14:paraId="222CBCDD" w14:textId="77777777" w:rsidR="000B173B" w:rsidRPr="00F15493" w:rsidRDefault="000B173B" w:rsidP="00A15226">
            <w:pPr>
              <w:pStyle w:val="Tabletext"/>
              <w:jc w:val="center"/>
            </w:pPr>
          </w:p>
        </w:tc>
        <w:tc>
          <w:tcPr>
            <w:tcW w:w="850" w:type="dxa"/>
            <w:tcBorders>
              <w:left w:val="nil"/>
              <w:right w:val="nil"/>
            </w:tcBorders>
            <w:shd w:val="clear" w:color="auto" w:fill="B4C6E7" w:themeFill="accent1" w:themeFillTint="66"/>
            <w:vAlign w:val="center"/>
          </w:tcPr>
          <w:p w14:paraId="295625A1" w14:textId="77777777" w:rsidR="000B173B" w:rsidRPr="00F15493" w:rsidRDefault="000B173B" w:rsidP="00A15226">
            <w:pPr>
              <w:pStyle w:val="Tabletext"/>
              <w:jc w:val="center"/>
            </w:pPr>
          </w:p>
        </w:tc>
        <w:tc>
          <w:tcPr>
            <w:tcW w:w="1134" w:type="dxa"/>
            <w:tcBorders>
              <w:left w:val="nil"/>
              <w:right w:val="nil"/>
            </w:tcBorders>
            <w:shd w:val="clear" w:color="auto" w:fill="B4C6E7" w:themeFill="accent1" w:themeFillTint="66"/>
            <w:vAlign w:val="center"/>
          </w:tcPr>
          <w:p w14:paraId="68EE65EE" w14:textId="77777777" w:rsidR="000B173B" w:rsidRPr="00F15493" w:rsidRDefault="000B173B" w:rsidP="00A15226">
            <w:pPr>
              <w:pStyle w:val="Tabletext"/>
              <w:jc w:val="center"/>
            </w:pPr>
          </w:p>
        </w:tc>
        <w:tc>
          <w:tcPr>
            <w:tcW w:w="1134" w:type="dxa"/>
            <w:tcBorders>
              <w:left w:val="nil"/>
              <w:right w:val="nil"/>
            </w:tcBorders>
            <w:shd w:val="clear" w:color="auto" w:fill="B4C6E7" w:themeFill="accent1" w:themeFillTint="66"/>
            <w:vAlign w:val="center"/>
          </w:tcPr>
          <w:p w14:paraId="1CC95080" w14:textId="77777777" w:rsidR="000B173B" w:rsidRPr="00F15493" w:rsidRDefault="000B173B" w:rsidP="00A15226">
            <w:pPr>
              <w:pStyle w:val="Tabletext"/>
              <w:jc w:val="center"/>
            </w:pPr>
          </w:p>
        </w:tc>
        <w:tc>
          <w:tcPr>
            <w:tcW w:w="1300" w:type="dxa"/>
            <w:tcBorders>
              <w:left w:val="nil"/>
            </w:tcBorders>
            <w:shd w:val="clear" w:color="auto" w:fill="B4C6E7" w:themeFill="accent1" w:themeFillTint="66"/>
            <w:vAlign w:val="center"/>
          </w:tcPr>
          <w:p w14:paraId="72220DB2" w14:textId="77777777" w:rsidR="000B173B" w:rsidRPr="00F15493" w:rsidRDefault="000B173B" w:rsidP="00A15226">
            <w:pPr>
              <w:pStyle w:val="Tabletext"/>
              <w:jc w:val="center"/>
            </w:pPr>
          </w:p>
        </w:tc>
      </w:tr>
      <w:tr w:rsidR="000B173B" w14:paraId="62C8C2EE" w14:textId="77777777" w:rsidTr="00A15226">
        <w:tc>
          <w:tcPr>
            <w:tcW w:w="3114" w:type="dxa"/>
            <w:shd w:val="clear" w:color="auto" w:fill="FFFFFF" w:themeFill="background1"/>
            <w:vAlign w:val="center"/>
          </w:tcPr>
          <w:p w14:paraId="4F6C27B5" w14:textId="77777777" w:rsidR="000B173B" w:rsidRPr="003C348E" w:rsidRDefault="000B173B" w:rsidP="00A15226">
            <w:pPr>
              <w:pStyle w:val="Tabletext"/>
              <w:rPr>
                <w:i/>
                <w:iCs/>
              </w:rPr>
            </w:pPr>
            <w:r w:rsidRPr="003C348E">
              <w:rPr>
                <w:i/>
                <w:iCs/>
              </w:rPr>
              <w:t>Synemon plana</w:t>
            </w:r>
          </w:p>
        </w:tc>
        <w:tc>
          <w:tcPr>
            <w:tcW w:w="3118" w:type="dxa"/>
            <w:shd w:val="clear" w:color="auto" w:fill="FFFFFF" w:themeFill="background1"/>
            <w:vAlign w:val="center"/>
          </w:tcPr>
          <w:p w14:paraId="033C3083" w14:textId="77777777" w:rsidR="000B173B" w:rsidRPr="00BA192D" w:rsidRDefault="000B173B" w:rsidP="00A15226">
            <w:pPr>
              <w:pStyle w:val="Tabletext"/>
            </w:pPr>
            <w:r w:rsidRPr="00562FDE">
              <w:t>Golden Sun Moth</w:t>
            </w:r>
          </w:p>
        </w:tc>
        <w:tc>
          <w:tcPr>
            <w:tcW w:w="2835" w:type="dxa"/>
            <w:shd w:val="clear" w:color="auto" w:fill="FFFFFF" w:themeFill="background1"/>
            <w:vAlign w:val="center"/>
          </w:tcPr>
          <w:p w14:paraId="371DB854" w14:textId="77777777" w:rsidR="000B173B" w:rsidRPr="00BA192D" w:rsidRDefault="000B173B" w:rsidP="00A15226">
            <w:pPr>
              <w:pStyle w:val="Tabletext"/>
            </w:pPr>
            <w:r w:rsidRPr="00562FDE">
              <w:t>Critically Endangered</w:t>
            </w:r>
          </w:p>
        </w:tc>
        <w:tc>
          <w:tcPr>
            <w:tcW w:w="851" w:type="dxa"/>
            <w:shd w:val="clear" w:color="auto" w:fill="FFFFFF" w:themeFill="background1"/>
            <w:vAlign w:val="center"/>
          </w:tcPr>
          <w:p w14:paraId="0A3544D7" w14:textId="77777777" w:rsidR="000B173B" w:rsidRPr="00F15493" w:rsidRDefault="000B173B" w:rsidP="00A15226">
            <w:pPr>
              <w:pStyle w:val="Tabletext"/>
              <w:jc w:val="center"/>
            </w:pPr>
            <w:r>
              <w:t>Yes</w:t>
            </w:r>
          </w:p>
        </w:tc>
        <w:tc>
          <w:tcPr>
            <w:tcW w:w="850" w:type="dxa"/>
            <w:shd w:val="clear" w:color="auto" w:fill="FFFFFF" w:themeFill="background1"/>
            <w:vAlign w:val="center"/>
          </w:tcPr>
          <w:p w14:paraId="389E99D0" w14:textId="77777777" w:rsidR="000B173B" w:rsidRPr="00F15493" w:rsidRDefault="000B173B" w:rsidP="00A15226">
            <w:pPr>
              <w:pStyle w:val="Tabletext"/>
              <w:jc w:val="center"/>
            </w:pPr>
            <w:r w:rsidRPr="00562FDE">
              <w:t>Yes</w:t>
            </w:r>
          </w:p>
        </w:tc>
        <w:tc>
          <w:tcPr>
            <w:tcW w:w="1134" w:type="dxa"/>
            <w:shd w:val="clear" w:color="auto" w:fill="FFFFFF" w:themeFill="background1"/>
            <w:vAlign w:val="center"/>
          </w:tcPr>
          <w:p w14:paraId="377F92C2" w14:textId="77777777" w:rsidR="000B173B" w:rsidRPr="00F15493" w:rsidRDefault="000B173B" w:rsidP="00A15226">
            <w:pPr>
              <w:pStyle w:val="Tabletext"/>
              <w:jc w:val="center"/>
            </w:pPr>
            <w:r w:rsidRPr="00562FDE">
              <w:t>High</w:t>
            </w:r>
          </w:p>
        </w:tc>
        <w:tc>
          <w:tcPr>
            <w:tcW w:w="1134" w:type="dxa"/>
            <w:shd w:val="clear" w:color="auto" w:fill="FFFFFF" w:themeFill="background1"/>
            <w:vAlign w:val="center"/>
          </w:tcPr>
          <w:p w14:paraId="342E0048" w14:textId="77777777" w:rsidR="000B173B" w:rsidRPr="00F15493" w:rsidRDefault="000B173B" w:rsidP="00A15226">
            <w:pPr>
              <w:pStyle w:val="Tabletext"/>
              <w:jc w:val="center"/>
            </w:pPr>
            <w:r w:rsidRPr="00562FDE">
              <w:t>Known</w:t>
            </w:r>
          </w:p>
        </w:tc>
        <w:tc>
          <w:tcPr>
            <w:tcW w:w="1300" w:type="dxa"/>
            <w:shd w:val="clear" w:color="auto" w:fill="FFFFFF" w:themeFill="background1"/>
            <w:vAlign w:val="center"/>
          </w:tcPr>
          <w:p w14:paraId="63CDA1E5" w14:textId="77777777" w:rsidR="000B173B" w:rsidRPr="00562FDE" w:rsidRDefault="000B173B" w:rsidP="00A15226">
            <w:pPr>
              <w:pStyle w:val="Tabletext"/>
              <w:jc w:val="center"/>
            </w:pPr>
            <w:r>
              <w:t>Yes</w:t>
            </w:r>
          </w:p>
        </w:tc>
      </w:tr>
    </w:tbl>
    <w:p w14:paraId="4AEAFE26" w14:textId="77777777" w:rsidR="000B173B" w:rsidRDefault="000B173B" w:rsidP="000B173B">
      <w:pPr>
        <w:tabs>
          <w:tab w:val="clear" w:pos="4962"/>
        </w:tabs>
        <w:spacing w:before="0" w:after="0" w:line="240" w:lineRule="auto"/>
        <w:rPr>
          <w:rFonts w:ascii="Helvetica" w:eastAsia="MS Gothic" w:hAnsi="Helvetica"/>
          <w:bCs/>
          <w:sz w:val="40"/>
          <w:szCs w:val="40"/>
        </w:rPr>
        <w:sectPr w:rsidR="000B173B" w:rsidSect="00AF129C">
          <w:headerReference w:type="even" r:id="rId121"/>
          <w:headerReference w:type="default" r:id="rId122"/>
          <w:footerReference w:type="default" r:id="rId123"/>
          <w:headerReference w:type="first" r:id="rId124"/>
          <w:pgSz w:w="16840" w:h="11900" w:orient="landscape"/>
          <w:pgMar w:top="1134" w:right="1247" w:bottom="1134" w:left="1247" w:header="708" w:footer="708" w:gutter="0"/>
          <w:pgNumType w:chapStyle="1"/>
          <w:cols w:space="708"/>
          <w:docGrid w:linePitch="360"/>
        </w:sectPr>
      </w:pPr>
    </w:p>
    <w:p w14:paraId="3424E1E7" w14:textId="77777777" w:rsidR="000B173B" w:rsidRDefault="000B173B" w:rsidP="000B173B">
      <w:pPr>
        <w:pStyle w:val="Caption"/>
      </w:pPr>
      <w:bookmarkStart w:id="216" w:name="_Ref116652975"/>
      <w:bookmarkStart w:id="217" w:name="_Toc87947847"/>
      <w:bookmarkStart w:id="218" w:name="_Toc134697912"/>
      <w:r>
        <w:lastRenderedPageBreak/>
        <w:t xml:space="preserve">Table </w:t>
      </w:r>
      <w:r>
        <w:fldChar w:fldCharType="begin"/>
      </w:r>
      <w:r>
        <w:instrText xml:space="preserve"> STYLEREF 1 \s </w:instrText>
      </w:r>
      <w:r>
        <w:fldChar w:fldCharType="separate"/>
      </w:r>
      <w:r>
        <w:rPr>
          <w:noProof/>
        </w:rPr>
        <w:t>A</w:t>
      </w:r>
      <w:r>
        <w:fldChar w:fldCharType="end"/>
      </w:r>
      <w:r>
        <w:noBreakHyphen/>
      </w:r>
      <w:r>
        <w:fldChar w:fldCharType="begin"/>
      </w:r>
      <w:r>
        <w:instrText xml:space="preserve"> SEQ Table \* ARABIC \s 1 </w:instrText>
      </w:r>
      <w:r>
        <w:fldChar w:fldCharType="separate"/>
      </w:r>
      <w:r>
        <w:rPr>
          <w:noProof/>
        </w:rPr>
        <w:t>2</w:t>
      </w:r>
      <w:r>
        <w:fldChar w:fldCharType="end"/>
      </w:r>
      <w:bookmarkEnd w:id="216"/>
      <w:r>
        <w:t>:</w:t>
      </w:r>
      <w:bookmarkEnd w:id="217"/>
      <w:r>
        <w:t xml:space="preserve"> Preliminary assessment for threatened species</w:t>
      </w:r>
      <w:bookmarkEnd w:id="218"/>
    </w:p>
    <w:tbl>
      <w:tblPr>
        <w:tblStyle w:val="TableGrid"/>
        <w:tblW w:w="0" w:type="auto"/>
        <w:tblInd w:w="-5" w:type="dxa"/>
        <w:tblLook w:val="04A0" w:firstRow="1" w:lastRow="0" w:firstColumn="1" w:lastColumn="0" w:noHBand="0" w:noVBand="1"/>
      </w:tblPr>
      <w:tblGrid>
        <w:gridCol w:w="1480"/>
        <w:gridCol w:w="1353"/>
        <w:gridCol w:w="1235"/>
        <w:gridCol w:w="1177"/>
        <w:gridCol w:w="9072"/>
      </w:tblGrid>
      <w:tr w:rsidR="000B173B" w:rsidRPr="009B72E9" w14:paraId="691172E0" w14:textId="77777777" w:rsidTr="00A15226">
        <w:trPr>
          <w:tblHeader/>
        </w:trPr>
        <w:tc>
          <w:tcPr>
            <w:tcW w:w="1480" w:type="dxa"/>
            <w:tcBorders>
              <w:bottom w:val="single" w:sz="4" w:space="0" w:color="auto"/>
            </w:tcBorders>
            <w:shd w:val="clear" w:color="auto" w:fill="D9D9D9" w:themeFill="background1" w:themeFillShade="D9"/>
            <w:vAlign w:val="center"/>
          </w:tcPr>
          <w:p w14:paraId="05FB3C8E" w14:textId="77777777" w:rsidR="000B173B" w:rsidRPr="00EF6308" w:rsidRDefault="000B173B" w:rsidP="00A15226">
            <w:pPr>
              <w:pStyle w:val="Tabletext"/>
              <w:rPr>
                <w:b/>
                <w:bCs/>
              </w:rPr>
            </w:pPr>
            <w:r w:rsidRPr="00EF6308">
              <w:rPr>
                <w:b/>
                <w:bCs/>
              </w:rPr>
              <w:t>Scientific name</w:t>
            </w:r>
          </w:p>
        </w:tc>
        <w:tc>
          <w:tcPr>
            <w:tcW w:w="1353" w:type="dxa"/>
            <w:tcBorders>
              <w:bottom w:val="single" w:sz="4" w:space="0" w:color="auto"/>
            </w:tcBorders>
            <w:shd w:val="clear" w:color="auto" w:fill="D9D9D9" w:themeFill="background1" w:themeFillShade="D9"/>
            <w:vAlign w:val="center"/>
          </w:tcPr>
          <w:p w14:paraId="124EBAB4" w14:textId="77777777" w:rsidR="000B173B" w:rsidRPr="00EF6308" w:rsidRDefault="000B173B" w:rsidP="00A15226">
            <w:pPr>
              <w:pStyle w:val="Tabletext"/>
              <w:rPr>
                <w:b/>
                <w:bCs/>
              </w:rPr>
            </w:pPr>
            <w:r w:rsidRPr="00EF6308">
              <w:rPr>
                <w:b/>
                <w:bCs/>
              </w:rPr>
              <w:t>Common name</w:t>
            </w:r>
          </w:p>
        </w:tc>
        <w:tc>
          <w:tcPr>
            <w:tcW w:w="1235" w:type="dxa"/>
            <w:tcBorders>
              <w:bottom w:val="single" w:sz="4" w:space="0" w:color="auto"/>
            </w:tcBorders>
            <w:shd w:val="clear" w:color="auto" w:fill="D9D9D9" w:themeFill="background1" w:themeFillShade="D9"/>
            <w:vAlign w:val="center"/>
          </w:tcPr>
          <w:p w14:paraId="715D37D2" w14:textId="77777777" w:rsidR="000B173B" w:rsidRPr="00EF6308" w:rsidRDefault="000B173B" w:rsidP="00A15226">
            <w:pPr>
              <w:pStyle w:val="Tabletext"/>
              <w:rPr>
                <w:b/>
                <w:bCs/>
              </w:rPr>
            </w:pPr>
            <w:r w:rsidRPr="00EF6308">
              <w:rPr>
                <w:b/>
                <w:bCs/>
              </w:rPr>
              <w:t>Listing status</w:t>
            </w:r>
          </w:p>
        </w:tc>
        <w:tc>
          <w:tcPr>
            <w:tcW w:w="1177" w:type="dxa"/>
            <w:tcBorders>
              <w:bottom w:val="single" w:sz="4" w:space="0" w:color="auto"/>
            </w:tcBorders>
            <w:shd w:val="clear" w:color="auto" w:fill="D9D9D9" w:themeFill="background1" w:themeFillShade="D9"/>
            <w:vAlign w:val="center"/>
          </w:tcPr>
          <w:p w14:paraId="2033687B" w14:textId="77777777" w:rsidR="000B173B" w:rsidRPr="00B84B99" w:rsidRDefault="000B173B" w:rsidP="00A15226">
            <w:pPr>
              <w:pStyle w:val="Tabletext"/>
              <w:jc w:val="center"/>
              <w:rPr>
                <w:b/>
                <w:bCs/>
              </w:rPr>
            </w:pPr>
            <w:r w:rsidRPr="00B84B99">
              <w:rPr>
                <w:b/>
                <w:bCs/>
              </w:rPr>
              <w:t xml:space="preserve">Requires </w:t>
            </w:r>
            <w:r>
              <w:rPr>
                <w:b/>
                <w:bCs/>
              </w:rPr>
              <w:t xml:space="preserve">further </w:t>
            </w:r>
            <w:r w:rsidRPr="00B84B99">
              <w:rPr>
                <w:b/>
                <w:bCs/>
              </w:rPr>
              <w:t>assessment</w:t>
            </w:r>
          </w:p>
        </w:tc>
        <w:tc>
          <w:tcPr>
            <w:tcW w:w="9072" w:type="dxa"/>
            <w:tcBorders>
              <w:bottom w:val="single" w:sz="4" w:space="0" w:color="auto"/>
            </w:tcBorders>
            <w:shd w:val="clear" w:color="auto" w:fill="D9D9D9" w:themeFill="background1" w:themeFillShade="D9"/>
            <w:vAlign w:val="center"/>
          </w:tcPr>
          <w:p w14:paraId="6F3BED74" w14:textId="77777777" w:rsidR="000B173B" w:rsidRPr="00125798" w:rsidRDefault="000B173B" w:rsidP="00A15226">
            <w:pPr>
              <w:pStyle w:val="Tabletext"/>
              <w:rPr>
                <w:b/>
                <w:bCs/>
              </w:rPr>
            </w:pPr>
            <w:r>
              <w:rPr>
                <w:b/>
                <w:bCs/>
              </w:rPr>
              <w:t>Justification</w:t>
            </w:r>
          </w:p>
        </w:tc>
      </w:tr>
      <w:tr w:rsidR="000B173B" w:rsidRPr="009B72E9" w14:paraId="034EC264" w14:textId="77777777" w:rsidTr="00A15226">
        <w:tc>
          <w:tcPr>
            <w:tcW w:w="1480" w:type="dxa"/>
            <w:tcBorders>
              <w:right w:val="nil"/>
            </w:tcBorders>
            <w:shd w:val="clear" w:color="auto" w:fill="B4C6E7" w:themeFill="accent1" w:themeFillTint="66"/>
            <w:vAlign w:val="center"/>
          </w:tcPr>
          <w:p w14:paraId="5D70DF41" w14:textId="77777777" w:rsidR="000B173B" w:rsidRPr="00EF6308" w:rsidRDefault="000B173B" w:rsidP="00A15226">
            <w:pPr>
              <w:pStyle w:val="Tabletext"/>
              <w:rPr>
                <w:b/>
                <w:bCs/>
              </w:rPr>
            </w:pPr>
            <w:r w:rsidRPr="00EF6308">
              <w:rPr>
                <w:b/>
                <w:bCs/>
              </w:rPr>
              <w:t>Flora</w:t>
            </w:r>
          </w:p>
        </w:tc>
        <w:tc>
          <w:tcPr>
            <w:tcW w:w="1353" w:type="dxa"/>
            <w:tcBorders>
              <w:left w:val="nil"/>
              <w:right w:val="nil"/>
            </w:tcBorders>
            <w:shd w:val="clear" w:color="auto" w:fill="B4C6E7" w:themeFill="accent1" w:themeFillTint="66"/>
            <w:vAlign w:val="center"/>
          </w:tcPr>
          <w:p w14:paraId="4E319F52" w14:textId="77777777" w:rsidR="000B173B" w:rsidRPr="00EF6308" w:rsidRDefault="000B173B" w:rsidP="00A15226">
            <w:pPr>
              <w:pStyle w:val="Tabletext"/>
              <w:rPr>
                <w:b/>
                <w:bCs/>
              </w:rPr>
            </w:pPr>
          </w:p>
        </w:tc>
        <w:tc>
          <w:tcPr>
            <w:tcW w:w="1235" w:type="dxa"/>
            <w:tcBorders>
              <w:left w:val="nil"/>
              <w:right w:val="nil"/>
            </w:tcBorders>
            <w:shd w:val="clear" w:color="auto" w:fill="B4C6E7" w:themeFill="accent1" w:themeFillTint="66"/>
            <w:vAlign w:val="center"/>
          </w:tcPr>
          <w:p w14:paraId="60B9FD68" w14:textId="77777777" w:rsidR="000B173B" w:rsidRPr="00EF6308" w:rsidRDefault="000B173B" w:rsidP="00A15226">
            <w:pPr>
              <w:pStyle w:val="Tabletext"/>
              <w:rPr>
                <w:b/>
                <w:bCs/>
              </w:rPr>
            </w:pPr>
          </w:p>
        </w:tc>
        <w:tc>
          <w:tcPr>
            <w:tcW w:w="1177" w:type="dxa"/>
            <w:tcBorders>
              <w:left w:val="nil"/>
              <w:right w:val="nil"/>
            </w:tcBorders>
            <w:shd w:val="clear" w:color="auto" w:fill="B4C6E7" w:themeFill="accent1" w:themeFillTint="66"/>
            <w:vAlign w:val="center"/>
          </w:tcPr>
          <w:p w14:paraId="5A3B58D8" w14:textId="77777777" w:rsidR="000B173B" w:rsidRPr="00AC3FED" w:rsidRDefault="000B173B" w:rsidP="00A15226">
            <w:pPr>
              <w:pStyle w:val="Tabletext"/>
              <w:jc w:val="center"/>
              <w:rPr>
                <w:b/>
                <w:bCs/>
                <w:highlight w:val="yellow"/>
              </w:rPr>
            </w:pPr>
          </w:p>
        </w:tc>
        <w:tc>
          <w:tcPr>
            <w:tcW w:w="9072" w:type="dxa"/>
            <w:tcBorders>
              <w:left w:val="nil"/>
            </w:tcBorders>
            <w:shd w:val="clear" w:color="auto" w:fill="B4C6E7" w:themeFill="accent1" w:themeFillTint="66"/>
            <w:vAlign w:val="center"/>
          </w:tcPr>
          <w:p w14:paraId="31CC3D0C" w14:textId="77777777" w:rsidR="000B173B" w:rsidRPr="00EF6308" w:rsidRDefault="000B173B" w:rsidP="00A15226">
            <w:pPr>
              <w:pStyle w:val="Tabletext"/>
            </w:pPr>
          </w:p>
        </w:tc>
      </w:tr>
      <w:tr w:rsidR="000B173B" w14:paraId="3387279F" w14:textId="77777777" w:rsidTr="00A15226">
        <w:tc>
          <w:tcPr>
            <w:tcW w:w="1480" w:type="dxa"/>
            <w:tcBorders>
              <w:bottom w:val="single" w:sz="4" w:space="0" w:color="auto"/>
            </w:tcBorders>
            <w:shd w:val="clear" w:color="auto" w:fill="auto"/>
            <w:vAlign w:val="center"/>
          </w:tcPr>
          <w:p w14:paraId="7F841F4F" w14:textId="77777777" w:rsidR="000B173B" w:rsidRPr="00B83DE7" w:rsidRDefault="000B173B" w:rsidP="00A15226">
            <w:pPr>
              <w:pStyle w:val="Tabletext"/>
              <w:rPr>
                <w:szCs w:val="18"/>
              </w:rPr>
            </w:pPr>
            <w:r w:rsidRPr="00B83DE7">
              <w:rPr>
                <w:rFonts w:cs="Arial"/>
                <w:i/>
                <w:iCs/>
                <w:szCs w:val="18"/>
              </w:rPr>
              <w:t>Amphibromus fluitans</w:t>
            </w:r>
          </w:p>
        </w:tc>
        <w:tc>
          <w:tcPr>
            <w:tcW w:w="1353" w:type="dxa"/>
            <w:tcBorders>
              <w:bottom w:val="single" w:sz="4" w:space="0" w:color="auto"/>
            </w:tcBorders>
            <w:shd w:val="clear" w:color="auto" w:fill="auto"/>
            <w:vAlign w:val="center"/>
          </w:tcPr>
          <w:p w14:paraId="0AB2279F" w14:textId="77777777" w:rsidR="000B173B" w:rsidRPr="00B83DE7" w:rsidRDefault="000B173B" w:rsidP="00A15226">
            <w:pPr>
              <w:pStyle w:val="Tabletext"/>
              <w:rPr>
                <w:szCs w:val="18"/>
              </w:rPr>
            </w:pPr>
            <w:r w:rsidRPr="00B83DE7">
              <w:rPr>
                <w:rFonts w:cs="Arial"/>
                <w:szCs w:val="18"/>
              </w:rPr>
              <w:t>Floating Swamp Wallaby-grass</w:t>
            </w:r>
          </w:p>
        </w:tc>
        <w:tc>
          <w:tcPr>
            <w:tcW w:w="1235" w:type="dxa"/>
            <w:tcBorders>
              <w:bottom w:val="single" w:sz="4" w:space="0" w:color="auto"/>
            </w:tcBorders>
            <w:shd w:val="clear" w:color="auto" w:fill="auto"/>
            <w:vAlign w:val="center"/>
          </w:tcPr>
          <w:p w14:paraId="6FA6A3D9" w14:textId="77777777" w:rsidR="000B173B" w:rsidRPr="00B83DE7" w:rsidRDefault="000B173B" w:rsidP="00A15226">
            <w:pPr>
              <w:pStyle w:val="Tabletext"/>
              <w:rPr>
                <w:szCs w:val="18"/>
              </w:rPr>
            </w:pPr>
            <w:r w:rsidRPr="00B83DE7">
              <w:rPr>
                <w:rFonts w:cs="Arial"/>
                <w:szCs w:val="18"/>
              </w:rPr>
              <w:t>Vulnerable</w:t>
            </w:r>
          </w:p>
        </w:tc>
        <w:tc>
          <w:tcPr>
            <w:tcW w:w="1177" w:type="dxa"/>
            <w:tcBorders>
              <w:bottom w:val="single" w:sz="4" w:space="0" w:color="auto"/>
            </w:tcBorders>
            <w:shd w:val="clear" w:color="auto" w:fill="auto"/>
            <w:vAlign w:val="center"/>
          </w:tcPr>
          <w:p w14:paraId="66E8B8A9" w14:textId="77777777" w:rsidR="000B173B" w:rsidRPr="00AC3FED" w:rsidRDefault="000B173B" w:rsidP="00A15226">
            <w:pPr>
              <w:pStyle w:val="Tabletext"/>
              <w:jc w:val="center"/>
              <w:rPr>
                <w:highlight w:val="yellow"/>
              </w:rPr>
            </w:pPr>
            <w:r w:rsidRPr="00FB74DC">
              <w:t>No</w:t>
            </w:r>
          </w:p>
        </w:tc>
        <w:tc>
          <w:tcPr>
            <w:tcW w:w="9072" w:type="dxa"/>
            <w:tcBorders>
              <w:bottom w:val="single" w:sz="4" w:space="0" w:color="auto"/>
            </w:tcBorders>
            <w:shd w:val="clear" w:color="auto" w:fill="auto"/>
            <w:vAlign w:val="center"/>
          </w:tcPr>
          <w:p w14:paraId="09011CC4" w14:textId="77777777" w:rsidR="000B173B" w:rsidRDefault="000B173B" w:rsidP="00A15226">
            <w:pPr>
              <w:pStyle w:val="Tabletext"/>
            </w:pPr>
            <w:r w:rsidRPr="00FB74DC">
              <w:rPr>
                <w:i/>
                <w:iCs/>
              </w:rPr>
              <w:t>Amphibromus fluitans</w:t>
            </w:r>
            <w:r w:rsidRPr="00FB74DC">
              <w:t xml:space="preserve"> (River Swamp Wallaby-grass) is an aquatic or semi-aquatic perennial plant </w:t>
            </w:r>
            <w:r>
              <w:t>that</w:t>
            </w:r>
            <w:r w:rsidRPr="00FB74DC">
              <w:t xml:space="preserve"> may inh</w:t>
            </w:r>
            <w:r>
              <w:t>a</w:t>
            </w:r>
            <w:r w:rsidRPr="00FB74DC">
              <w:t xml:space="preserve">bit man-made or natural water bodies such as lagoons, swamps, billabongs, and dams </w:t>
            </w:r>
            <w:sdt>
              <w:sdtPr>
                <w:rPr>
                  <w:color w:val="000000"/>
                </w:rPr>
                <w:tag w:val="MENDELEY_CITATION_v3_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"/>
                <w:id w:val="299507147"/>
                <w:placeholder>
                  <w:docPart w:val="339B7D746526864D922760336FCFE603"/>
                </w:placeholder>
              </w:sdtPr>
              <w:sdtContent>
                <w:r w:rsidRPr="002F46CE">
                  <w:rPr>
                    <w:color w:val="000000"/>
                  </w:rPr>
                  <w:t>(DEWHA, 2008a)</w:t>
                </w:r>
              </w:sdtContent>
            </w:sdt>
            <w:r w:rsidRPr="00FB74DC">
              <w:t xml:space="preserve">. </w:t>
            </w:r>
            <w:r>
              <w:t xml:space="preserve">The species grows permanent waterbodies with seasonally fluctuating water levels </w:t>
            </w:r>
            <w:sdt>
              <w:sdtPr>
                <w:rPr>
                  <w:color w:val="000000"/>
                </w:rPr>
                <w:tag w:val="MENDELEY_CITATION_v3_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"/>
                <w:id w:val="1532997033"/>
                <w:placeholder>
                  <w:docPart w:val="339B7D746526864D922760336FCFE603"/>
                </w:placeholder>
              </w:sdtPr>
              <w:sdtContent>
                <w:r w:rsidRPr="002F46CE">
                  <w:rPr>
                    <w:color w:val="000000"/>
                  </w:rPr>
                  <w:t>(TSSC, 2012)</w:t>
                </w:r>
              </w:sdtContent>
            </w:sdt>
          </w:p>
          <w:p w14:paraId="0AB937DD" w14:textId="77777777" w:rsidR="000B173B" w:rsidRDefault="000B173B" w:rsidP="00A15226">
            <w:pPr>
              <w:pStyle w:val="Tabletext"/>
            </w:pPr>
            <w:r w:rsidRPr="00D75832">
              <w:t xml:space="preserve">The species is </w:t>
            </w:r>
            <w:r>
              <w:t>known from</w:t>
            </w:r>
            <w:r w:rsidRPr="00D75832">
              <w:t xml:space="preserve"> South Australia, southern NSW, Victoria, Tasmania</w:t>
            </w:r>
            <w:r>
              <w:t xml:space="preserve"> and</w:t>
            </w:r>
            <w:r w:rsidRPr="00D75832">
              <w:t xml:space="preserve"> New Zealand. Numerous populations occur in northern Victoria near the Murray </w:t>
            </w:r>
            <w:r>
              <w:t>R</w:t>
            </w:r>
            <w:r w:rsidRPr="00D75832">
              <w:t xml:space="preserve">iver and its tributaries. It is also known from several localities in Gippsland (including Rosedale, Meeniyan, and Wonthaggi) Melbourne, Ballarat, and the Portland-Casterton areas </w:t>
            </w:r>
            <w:sdt>
              <w:sdtPr>
                <w:rPr>
                  <w:color w:val="000000"/>
                </w:rPr>
                <w:tag w:val="MENDELEY_CITATION_v3_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"/>
                <w:id w:val="1007330230"/>
                <w:placeholder>
                  <w:docPart w:val="339B7D746526864D922760336FCFE603"/>
                </w:placeholder>
              </w:sdtPr>
              <w:sdtContent>
                <w:r w:rsidRPr="002F46CE">
                  <w:rPr>
                    <w:color w:val="000000"/>
                  </w:rPr>
                  <w:t>(DEWHA, 2008a)</w:t>
                </w:r>
              </w:sdtContent>
            </w:sdt>
            <w:r w:rsidRPr="00FB74DC">
              <w:t xml:space="preserve">. </w:t>
            </w:r>
          </w:p>
          <w:p w14:paraId="7EA0D6A6" w14:textId="77777777" w:rsidR="000B173B" w:rsidRDefault="000B173B" w:rsidP="00A15226">
            <w:pPr>
              <w:pStyle w:val="Tabletext"/>
            </w:pPr>
            <w:r>
              <w:t xml:space="preserve">Insufficient data is available on population locations and trends, although the species is known from numerous populations in northern Victoria and from several localities in southern Victoria </w:t>
            </w:r>
            <w:sdt>
              <w:sdtPr>
                <w:rPr>
                  <w:color w:val="000000"/>
                </w:rPr>
                <w:tag w:val="MENDELEY_CITATION_v3_eyJjaXRhdGlvbklEIjoiTUVOREVMRVlfQ0lUQVRJT05fYTQ2YTgyMzgtNTkwNS00MzQ3LTk5ZjMtNmI1ODliZjU1ZjEw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923935877"/>
                <w:placeholder>
                  <w:docPart w:val="339B7D746526864D922760336FCFE603"/>
                </w:placeholder>
              </w:sdtPr>
              <w:sdtContent>
                <w:r w:rsidRPr="002F46CE">
                  <w:rPr>
                    <w:color w:val="000000"/>
                  </w:rPr>
                  <w:t>(DCCEEW, 2022)</w:t>
                </w:r>
              </w:sdtContent>
            </w:sdt>
            <w:r>
              <w:t>.</w:t>
            </w:r>
          </w:p>
          <w:p w14:paraId="7B579570" w14:textId="77777777" w:rsidR="000B173B" w:rsidRDefault="000B173B" w:rsidP="00A15226">
            <w:pPr>
              <w:pStyle w:val="Tabletext"/>
            </w:pPr>
            <w:r w:rsidRPr="00FB74DC">
              <w:t>The species is threatened by changes to hydrology</w:t>
            </w:r>
            <w:r>
              <w:t>,</w:t>
            </w:r>
            <w:r w:rsidRPr="00FB74DC">
              <w:t xml:space="preserve"> particularly the draining of swamps and conversion of wetlands to dams, weed invasion</w:t>
            </w:r>
            <w:r>
              <w:t xml:space="preserve"> and grazing by stock </w:t>
            </w:r>
            <w:r w:rsidRPr="00FB74DC">
              <w:t xml:space="preserve"> </w:t>
            </w:r>
            <w:sdt>
              <w:sdtPr>
                <w:rPr>
                  <w:color w:val="000000"/>
                </w:rPr>
                <w:tag w:val="MENDELEY_CITATION_v3_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"/>
                <w:id w:val="775369921"/>
                <w:placeholder>
                  <w:docPart w:val="339B7D746526864D922760336FCFE603"/>
                </w:placeholder>
              </w:sdtPr>
              <w:sdtContent>
                <w:r w:rsidRPr="002F46CE">
                  <w:rPr>
                    <w:color w:val="000000"/>
                  </w:rPr>
                  <w:t>(DEWHA, 2008a)</w:t>
                </w:r>
              </w:sdtContent>
            </w:sdt>
            <w:r w:rsidRPr="00FB74DC">
              <w:t>.</w:t>
            </w:r>
          </w:p>
          <w:p w14:paraId="6A0CE28B" w14:textId="77777777" w:rsidR="000B173B" w:rsidRDefault="000B173B" w:rsidP="00A15226">
            <w:pPr>
              <w:pStyle w:val="Tabletext"/>
              <w:rPr>
                <w:iCs/>
              </w:rPr>
            </w:pPr>
            <w:r>
              <w:rPr>
                <w:iCs/>
              </w:rPr>
              <w:t>There are four records of the species within the Study Area, all associated with Little River approximately 18.5 km to the north. There are no records of the species within the Strategic Assessment Area.</w:t>
            </w:r>
          </w:p>
          <w:p w14:paraId="0B5BEE41" w14:textId="77777777" w:rsidR="000B173B" w:rsidRDefault="000B173B" w:rsidP="00A15226">
            <w:pPr>
              <w:pStyle w:val="Tabletext"/>
              <w:rPr>
                <w:iCs/>
              </w:rPr>
            </w:pPr>
            <w:r w:rsidRPr="006900FB">
              <w:rPr>
                <w:iCs/>
              </w:rPr>
              <w:t>The species is unlikely to be directly impacted by the Plan. The absence of species records within or near the Strategic Assessment Area suggest the species is unlikely to be present. Further, the species occurs in association with permanent waterbodies. No such areas will be developed under the Plan.</w:t>
            </w:r>
          </w:p>
          <w:p w14:paraId="60CFDB79" w14:textId="77777777" w:rsidR="000B173B" w:rsidRDefault="000B173B" w:rsidP="00A15226">
            <w:pPr>
              <w:pStyle w:val="Tabletext"/>
              <w:rPr>
                <w:iCs/>
              </w:rPr>
            </w:pPr>
            <w:r>
              <w:rPr>
                <w:iCs/>
              </w:rPr>
              <w:t>The species is also unlikely to be impacted indirectly as a result of development within the Growth Areas for the following reasons:</w:t>
            </w:r>
          </w:p>
          <w:p w14:paraId="2123A313" w14:textId="77777777" w:rsidR="000B173B" w:rsidRDefault="000B173B" w:rsidP="00A15226">
            <w:pPr>
              <w:pStyle w:val="Bullet1"/>
            </w:pPr>
            <w:r>
              <w:t>The records within the Study Area are in a different catchment to the Growth Areas and there are no known records downstream of development</w:t>
            </w:r>
          </w:p>
          <w:p w14:paraId="6F33DBE1" w14:textId="77777777" w:rsidR="000B173B" w:rsidRDefault="000B173B" w:rsidP="00A15226">
            <w:pPr>
              <w:pStyle w:val="Bullet1"/>
            </w:pPr>
            <w:r>
              <w:t xml:space="preserve">Other potential indirect impacts from development, such as those associated with weeds or human disturbance, are unlikely to exacerbate existing threats to the species </w:t>
            </w:r>
            <w:r w:rsidRPr="006F6BCF">
              <w:t>given the agricultural landscape</w:t>
            </w:r>
            <w:r>
              <w:t xml:space="preserve"> context and the distance of the nearest records to proposed development </w:t>
            </w:r>
          </w:p>
        </w:tc>
      </w:tr>
      <w:tr w:rsidR="000B173B" w14:paraId="1EDF176E" w14:textId="77777777" w:rsidTr="00A15226">
        <w:tc>
          <w:tcPr>
            <w:tcW w:w="1480" w:type="dxa"/>
            <w:tcBorders>
              <w:bottom w:val="single" w:sz="4" w:space="0" w:color="auto"/>
            </w:tcBorders>
            <w:shd w:val="clear" w:color="auto" w:fill="auto"/>
            <w:vAlign w:val="center"/>
          </w:tcPr>
          <w:p w14:paraId="6307D35B" w14:textId="77777777" w:rsidR="000B173B" w:rsidRPr="00B83DE7" w:rsidRDefault="000B173B" w:rsidP="00A15226">
            <w:pPr>
              <w:pStyle w:val="Tabletext"/>
              <w:rPr>
                <w:szCs w:val="18"/>
              </w:rPr>
            </w:pPr>
            <w:r w:rsidRPr="00B83DE7">
              <w:rPr>
                <w:rFonts w:cs="Arial"/>
                <w:i/>
                <w:iCs/>
                <w:szCs w:val="18"/>
              </w:rPr>
              <w:t>Caladenia ornata</w:t>
            </w:r>
          </w:p>
        </w:tc>
        <w:tc>
          <w:tcPr>
            <w:tcW w:w="1353" w:type="dxa"/>
            <w:tcBorders>
              <w:bottom w:val="single" w:sz="4" w:space="0" w:color="auto"/>
            </w:tcBorders>
            <w:shd w:val="clear" w:color="auto" w:fill="auto"/>
            <w:vAlign w:val="center"/>
          </w:tcPr>
          <w:p w14:paraId="3E4426AC" w14:textId="77777777" w:rsidR="000B173B" w:rsidRPr="00B83DE7" w:rsidRDefault="000B173B" w:rsidP="00A15226">
            <w:pPr>
              <w:pStyle w:val="Tabletext"/>
              <w:rPr>
                <w:szCs w:val="18"/>
              </w:rPr>
            </w:pPr>
            <w:r w:rsidRPr="00B83DE7">
              <w:rPr>
                <w:rFonts w:cs="Arial"/>
                <w:szCs w:val="18"/>
              </w:rPr>
              <w:t>Ornate Pink Fingers</w:t>
            </w:r>
          </w:p>
        </w:tc>
        <w:tc>
          <w:tcPr>
            <w:tcW w:w="1235" w:type="dxa"/>
            <w:tcBorders>
              <w:bottom w:val="single" w:sz="4" w:space="0" w:color="auto"/>
            </w:tcBorders>
            <w:shd w:val="clear" w:color="auto" w:fill="auto"/>
            <w:vAlign w:val="center"/>
          </w:tcPr>
          <w:p w14:paraId="578C5B71"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3E9CD86A" w14:textId="77777777" w:rsidR="000B173B" w:rsidRPr="00AC3FED" w:rsidRDefault="000B173B" w:rsidP="00A15226">
            <w:pPr>
              <w:pStyle w:val="Tabletext"/>
              <w:jc w:val="center"/>
              <w:rPr>
                <w:highlight w:val="yellow"/>
              </w:rPr>
            </w:pPr>
            <w:r w:rsidRPr="00FB74DC">
              <w:t>No</w:t>
            </w:r>
          </w:p>
        </w:tc>
        <w:tc>
          <w:tcPr>
            <w:tcW w:w="9072" w:type="dxa"/>
            <w:tcBorders>
              <w:bottom w:val="single" w:sz="4" w:space="0" w:color="auto"/>
            </w:tcBorders>
            <w:shd w:val="clear" w:color="auto" w:fill="auto"/>
            <w:vAlign w:val="center"/>
          </w:tcPr>
          <w:p w14:paraId="22273699" w14:textId="77777777" w:rsidR="000B173B" w:rsidRDefault="000B173B" w:rsidP="00A15226">
            <w:pPr>
              <w:pStyle w:val="Tabletext"/>
            </w:pPr>
            <w:r w:rsidRPr="00544939">
              <w:rPr>
                <w:i/>
                <w:iCs/>
              </w:rPr>
              <w:t>Caladenia ornata</w:t>
            </w:r>
            <w:r w:rsidRPr="00544939">
              <w:t xml:space="preserve"> (Ornate Pink Fingers) is a plant</w:t>
            </w:r>
            <w:r>
              <w:t xml:space="preserve"> that occurs in </w:t>
            </w:r>
            <w:r w:rsidRPr="00544939">
              <w:t>woodlands, heathy woodlands, heathlands and seasonally in moist sand and clay loams</w:t>
            </w:r>
            <w:r>
              <w:t xml:space="preserve">. The species occurs in </w:t>
            </w:r>
            <w:r w:rsidRPr="00544939">
              <w:t xml:space="preserve">South Australia and Victoria. </w:t>
            </w:r>
            <w:r>
              <w:t>As of 2008, it was known from</w:t>
            </w:r>
            <w:r w:rsidRPr="00544939">
              <w:t xml:space="preserve"> 19 populations containing approximately 500 individuals </w:t>
            </w:r>
            <w:sdt>
              <w:sdtPr>
                <w:rPr>
                  <w:color w:val="000000"/>
                </w:rPr>
                <w:tag w:val="MENDELEY_CITATION_v3_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"/>
                <w:id w:val="1788621736"/>
                <w:placeholder>
                  <w:docPart w:val="339B7D746526864D922760336FCFE603"/>
                </w:placeholder>
              </w:sdtPr>
              <w:sdtContent>
                <w:r w:rsidRPr="002F46CE">
                  <w:rPr>
                    <w:color w:val="000000"/>
                  </w:rPr>
                  <w:t>(DEWHA, 2008b)</w:t>
                </w:r>
              </w:sdtContent>
            </w:sdt>
            <w:r w:rsidRPr="00544939">
              <w:t>.</w:t>
            </w:r>
            <w:r>
              <w:t xml:space="preserve"> </w:t>
            </w:r>
          </w:p>
          <w:p w14:paraId="55664820" w14:textId="77777777" w:rsidR="000B173B" w:rsidRDefault="000B173B" w:rsidP="00A15226">
            <w:pPr>
              <w:pStyle w:val="Tabletext"/>
            </w:pPr>
            <w:r w:rsidRPr="00544939">
              <w:lastRenderedPageBreak/>
              <w:t xml:space="preserve">The species is </w:t>
            </w:r>
            <w:r>
              <w:t>threatened by</w:t>
            </w:r>
            <w:r w:rsidRPr="00544939">
              <w:t xml:space="preserve"> weed invasion, habitat disturbance, trampling</w:t>
            </w:r>
            <w:r>
              <w:t xml:space="preserve"> and </w:t>
            </w:r>
            <w:r w:rsidRPr="00544939">
              <w:t>grazing by feral rabbits and macropods</w:t>
            </w:r>
            <w:r>
              <w:t xml:space="preserve">, along with extinction due to </w:t>
            </w:r>
            <w:r w:rsidRPr="00544939">
              <w:t xml:space="preserve">limited habitat, low plant numbers, and inappropriate fire regimes </w:t>
            </w:r>
            <w:sdt>
              <w:sdtPr>
                <w:rPr>
                  <w:color w:val="000000"/>
                </w:rPr>
                <w:tag w:val="MENDELEY_CITATION_v3_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"/>
                <w:id w:val="1820225997"/>
                <w:placeholder>
                  <w:docPart w:val="339B7D746526864D922760336FCFE603"/>
                </w:placeholder>
              </w:sdtPr>
              <w:sdtContent>
                <w:r w:rsidRPr="002F46CE">
                  <w:rPr>
                    <w:color w:val="000000"/>
                  </w:rPr>
                  <w:t>(DEWHA, 2008b)</w:t>
                </w:r>
              </w:sdtContent>
            </w:sdt>
            <w:r w:rsidRPr="00544939">
              <w:t>.</w:t>
            </w:r>
          </w:p>
          <w:p w14:paraId="4FE9C479" w14:textId="77777777" w:rsidR="000B173B" w:rsidRDefault="000B173B" w:rsidP="00A15226">
            <w:pPr>
              <w:pStyle w:val="Tabletext"/>
            </w:pPr>
            <w:r w:rsidRPr="006900FB">
              <w:t>There are no records of the species within or near the Strategic Assessment Area. The environmental features of the Strategic Assessment Area (which primarily consists of grasslands on heavy clay soils) are generally not suitable for this species (which occurs in woodlands and heathlands on lighter soils). Direct impacts are therefore considered unlikely.</w:t>
            </w:r>
          </w:p>
          <w:p w14:paraId="56232F6C" w14:textId="77777777" w:rsidR="000B173B" w:rsidRDefault="000B173B" w:rsidP="00A15226">
            <w:pPr>
              <w:pStyle w:val="Tabletext"/>
            </w:pPr>
            <w:r>
              <w:t xml:space="preserve">One record occurs within the Study Area (observed 1996) approximately 17.5 km from the Growth Areas. The potential indirect impacts of development, such as those associated with weeds, habitat disturbance and fire, are unlikely to exacerbate threats to the species given the </w:t>
            </w:r>
            <w:r w:rsidRPr="00C41AB8">
              <w:t>species is located in an existing protected area managed for conservation purposes (Brisbane Ranges National Park) and</w:t>
            </w:r>
            <w:r>
              <w:t xml:space="preserve"> the distance of the nearest records to proposed development. </w:t>
            </w:r>
          </w:p>
        </w:tc>
      </w:tr>
      <w:tr w:rsidR="000B173B" w14:paraId="5AB3F62C" w14:textId="77777777" w:rsidTr="00A15226">
        <w:tc>
          <w:tcPr>
            <w:tcW w:w="1480" w:type="dxa"/>
            <w:tcBorders>
              <w:bottom w:val="single" w:sz="4" w:space="0" w:color="auto"/>
            </w:tcBorders>
            <w:shd w:val="clear" w:color="auto" w:fill="auto"/>
            <w:vAlign w:val="center"/>
          </w:tcPr>
          <w:p w14:paraId="6F929E97" w14:textId="77777777" w:rsidR="000B173B" w:rsidRPr="00B83DE7" w:rsidRDefault="000B173B" w:rsidP="00A15226">
            <w:pPr>
              <w:pStyle w:val="Tabletext"/>
              <w:rPr>
                <w:szCs w:val="18"/>
              </w:rPr>
            </w:pPr>
            <w:r w:rsidRPr="00B83DE7">
              <w:rPr>
                <w:rFonts w:cs="Arial"/>
                <w:i/>
                <w:iCs/>
                <w:szCs w:val="18"/>
              </w:rPr>
              <w:lastRenderedPageBreak/>
              <w:t>Caladenia pumila</w:t>
            </w:r>
          </w:p>
        </w:tc>
        <w:tc>
          <w:tcPr>
            <w:tcW w:w="1353" w:type="dxa"/>
            <w:tcBorders>
              <w:bottom w:val="single" w:sz="4" w:space="0" w:color="auto"/>
            </w:tcBorders>
            <w:shd w:val="clear" w:color="auto" w:fill="auto"/>
            <w:vAlign w:val="center"/>
          </w:tcPr>
          <w:p w14:paraId="66DAF992" w14:textId="77777777" w:rsidR="000B173B" w:rsidRPr="00B83DE7" w:rsidRDefault="000B173B" w:rsidP="00A15226">
            <w:pPr>
              <w:pStyle w:val="Tabletext"/>
              <w:rPr>
                <w:szCs w:val="18"/>
              </w:rPr>
            </w:pPr>
            <w:r w:rsidRPr="00B83DE7">
              <w:rPr>
                <w:rFonts w:cs="Arial"/>
                <w:szCs w:val="18"/>
              </w:rPr>
              <w:t>Dwarf Spider-orchid</w:t>
            </w:r>
          </w:p>
        </w:tc>
        <w:tc>
          <w:tcPr>
            <w:tcW w:w="1235" w:type="dxa"/>
            <w:tcBorders>
              <w:bottom w:val="single" w:sz="4" w:space="0" w:color="auto"/>
            </w:tcBorders>
            <w:shd w:val="clear" w:color="auto" w:fill="auto"/>
            <w:vAlign w:val="center"/>
          </w:tcPr>
          <w:p w14:paraId="79A53379" w14:textId="77777777" w:rsidR="000B173B" w:rsidRPr="00B83DE7" w:rsidRDefault="000B173B" w:rsidP="00A15226">
            <w:pPr>
              <w:pStyle w:val="Tabletext"/>
              <w:rPr>
                <w:szCs w:val="18"/>
              </w:rPr>
            </w:pPr>
            <w:r w:rsidRPr="00B83DE7">
              <w:rPr>
                <w:rFonts w:cs="Arial"/>
                <w:szCs w:val="18"/>
              </w:rPr>
              <w:t xml:space="preserve">Critically Endangered </w:t>
            </w:r>
          </w:p>
        </w:tc>
        <w:tc>
          <w:tcPr>
            <w:tcW w:w="1177" w:type="dxa"/>
            <w:tcBorders>
              <w:bottom w:val="single" w:sz="4" w:space="0" w:color="auto"/>
            </w:tcBorders>
            <w:shd w:val="clear" w:color="auto" w:fill="auto"/>
            <w:vAlign w:val="center"/>
          </w:tcPr>
          <w:p w14:paraId="51B49634" w14:textId="77777777" w:rsidR="000B173B" w:rsidRPr="00AC3FED" w:rsidRDefault="000B173B" w:rsidP="00A15226">
            <w:pPr>
              <w:pStyle w:val="Tabletext"/>
              <w:jc w:val="center"/>
              <w:rPr>
                <w:highlight w:val="yellow"/>
              </w:rPr>
            </w:pPr>
            <w:r w:rsidRPr="002230EC">
              <w:t>No</w:t>
            </w:r>
          </w:p>
        </w:tc>
        <w:tc>
          <w:tcPr>
            <w:tcW w:w="9072" w:type="dxa"/>
            <w:tcBorders>
              <w:bottom w:val="single" w:sz="4" w:space="0" w:color="auto"/>
            </w:tcBorders>
            <w:shd w:val="clear" w:color="auto" w:fill="auto"/>
            <w:vAlign w:val="center"/>
          </w:tcPr>
          <w:p w14:paraId="17F31C4A" w14:textId="77777777" w:rsidR="000B173B" w:rsidRDefault="000B173B" w:rsidP="00A15226">
            <w:pPr>
              <w:pStyle w:val="Tabletext"/>
            </w:pPr>
            <w:r w:rsidRPr="00FB74DC">
              <w:rPr>
                <w:i/>
                <w:iCs/>
              </w:rPr>
              <w:t>Caladenia pumila</w:t>
            </w:r>
            <w:r w:rsidRPr="00FB74DC">
              <w:t xml:space="preserve"> (Dwarf Spider Orchid) is an orchid occurring within the Victorian Volcanic Plains Bioregion</w:t>
            </w:r>
            <w:r>
              <w:t xml:space="preserve">. </w:t>
            </w:r>
            <w:r w:rsidRPr="00FB74DC">
              <w:t xml:space="preserve">The species was previously known from one location at Bannockburn in Victoria with records observed in 1926. The Dwarf Spider Orchid was considered extinct until it was rediscovered in Inverleigh Nature Reserve near Bannockburn in 2009. </w:t>
            </w:r>
            <w:r>
              <w:t>As of 2013, there were</w:t>
            </w:r>
            <w:r w:rsidRPr="00FB74DC">
              <w:t xml:space="preserve"> two known plants at this site, and the species AOO</w:t>
            </w:r>
            <w:r>
              <w:t xml:space="preserve"> was</w:t>
            </w:r>
            <w:r w:rsidRPr="00FB74DC">
              <w:t xml:space="preserve"> estimated to be ~1 km </w:t>
            </w:r>
            <w:sdt>
              <w:sdtPr>
                <w:rPr>
                  <w:color w:val="000000"/>
                </w:rPr>
                <w:tag w:val="MENDELEY_CITATION_v3_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"/>
                <w:id w:val="1985733583"/>
                <w:placeholder>
                  <w:docPart w:val="339B7D746526864D922760336FCFE603"/>
                </w:placeholder>
              </w:sdtPr>
              <w:sdtContent>
                <w:r w:rsidRPr="002F46CE">
                  <w:rPr>
                    <w:color w:val="000000"/>
                  </w:rPr>
                  <w:t>(DoE, 2013a)</w:t>
                </w:r>
              </w:sdtContent>
            </w:sdt>
            <w:r w:rsidRPr="00FB74DC">
              <w:t xml:space="preserve">. </w:t>
            </w:r>
            <w:r>
              <w:t>More recent records (up to 2018) are available for the species, all of which are at Inverleigh Nature Reserve on the VBA database.</w:t>
            </w:r>
          </w:p>
          <w:p w14:paraId="6490FCBA" w14:textId="77777777" w:rsidR="000B173B" w:rsidRDefault="000B173B" w:rsidP="00A15226">
            <w:pPr>
              <w:pStyle w:val="Tabletext"/>
            </w:pPr>
            <w:r w:rsidRPr="00FB74DC">
              <w:t>There is limited understanding of the species ecology and habitat requirements.</w:t>
            </w:r>
            <w:r>
              <w:t xml:space="preserve"> </w:t>
            </w:r>
            <w:r w:rsidRPr="00FB74DC">
              <w:t xml:space="preserve">The species is threatened by habitat degradation, trampling by people, browsing, illegal collection, a lack of genetic diversity and competition with native species </w:t>
            </w:r>
            <w:sdt>
              <w:sdtPr>
                <w:rPr>
                  <w:color w:val="000000"/>
                </w:rPr>
                <w:tag w:val="MENDELEY_CITATION_v3_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"/>
                <w:id w:val="1618334250"/>
                <w:placeholder>
                  <w:docPart w:val="339B7D746526864D922760336FCFE603"/>
                </w:placeholder>
              </w:sdtPr>
              <w:sdtContent>
                <w:r w:rsidRPr="002F46CE">
                  <w:rPr>
                    <w:color w:val="000000"/>
                  </w:rPr>
                  <w:t>(DoE, 2013a)</w:t>
                </w:r>
              </w:sdtContent>
            </w:sdt>
            <w:r w:rsidRPr="00FB74DC">
              <w:t>.</w:t>
            </w:r>
          </w:p>
          <w:p w14:paraId="293C4E1A" w14:textId="77777777" w:rsidR="000B173B" w:rsidRDefault="000B173B" w:rsidP="00A15226">
            <w:pPr>
              <w:pStyle w:val="Tabletext"/>
            </w:pPr>
            <w:r>
              <w:t xml:space="preserve">There are 12 records of the species within the Study Area. Two records (both dated 1926) </w:t>
            </w:r>
            <w:r w:rsidRPr="00BD1ED7">
              <w:t>are approximately 9.5 km from the Growth Areas in a developed agricultural area and are unlikely to be extant</w:t>
            </w:r>
            <w:r>
              <w:t xml:space="preserve"> in this location today</w:t>
            </w:r>
            <w:r w:rsidRPr="00BD1ED7">
              <w:t>. The remaining 10 records are dated 2009-2018 in Inverleigh Nature Reserve, approximately 20 km from the Growth Areas.</w:t>
            </w:r>
          </w:p>
          <w:p w14:paraId="098D0FD1" w14:textId="77777777" w:rsidR="000B173B" w:rsidRDefault="000B173B" w:rsidP="00A15226">
            <w:pPr>
              <w:pStyle w:val="Tabletext"/>
            </w:pPr>
            <w:r w:rsidRPr="006900FB">
              <w:t>There are no records of the species within or near the Strategic Assessment Area. The species is thought to be sensitive to habitat degradation. It is noted that most of the Strategic Assessment Area is highly modified due to historical and current farming practices and development. Given the absence of records within the Strategic Assessment Area, and the distance of the Strategic Assessment Area from known occurrences of the species, and the level of disturbance within the Strategic Assessment Area, it is considered unlikely that the species is present within the Strategic Assessment Area. Subsequently, direct impacts are considered unlikely.</w:t>
            </w:r>
          </w:p>
          <w:p w14:paraId="03A48CA3" w14:textId="77777777" w:rsidR="000B173B" w:rsidRDefault="000B173B" w:rsidP="00A15226">
            <w:pPr>
              <w:pStyle w:val="Tabletext"/>
            </w:pPr>
            <w:r w:rsidRPr="009C434B">
              <w:t>Potential indirect impacts from development, such as those associated with</w:t>
            </w:r>
            <w:r>
              <w:t xml:space="preserve"> habitat degradation, trampling by people or illegal collection </w:t>
            </w:r>
            <w:r w:rsidRPr="009C434B">
              <w:t>are unlikely to exacerbate existing threats to the species give</w:t>
            </w:r>
            <w:r>
              <w:t xml:space="preserve">n the population is </w:t>
            </w:r>
            <w:r>
              <w:lastRenderedPageBreak/>
              <w:t xml:space="preserve">within an existing protected area managed for conservation purposes, and the </w:t>
            </w:r>
            <w:r w:rsidRPr="009C434B">
              <w:t>distance of the nearest records to proposed development.</w:t>
            </w:r>
          </w:p>
        </w:tc>
      </w:tr>
      <w:tr w:rsidR="000B173B" w14:paraId="22E1B11C" w14:textId="77777777" w:rsidTr="00A15226">
        <w:tc>
          <w:tcPr>
            <w:tcW w:w="1480" w:type="dxa"/>
            <w:tcBorders>
              <w:bottom w:val="single" w:sz="4" w:space="0" w:color="auto"/>
            </w:tcBorders>
            <w:shd w:val="clear" w:color="auto" w:fill="auto"/>
            <w:vAlign w:val="center"/>
          </w:tcPr>
          <w:p w14:paraId="44F7CF39" w14:textId="77777777" w:rsidR="000B173B" w:rsidRPr="00B83DE7" w:rsidRDefault="000B173B" w:rsidP="00A15226">
            <w:pPr>
              <w:pStyle w:val="Tabletext"/>
              <w:rPr>
                <w:szCs w:val="18"/>
              </w:rPr>
            </w:pPr>
            <w:r w:rsidRPr="00B83DE7">
              <w:rPr>
                <w:rFonts w:cs="Arial"/>
                <w:i/>
                <w:iCs/>
                <w:szCs w:val="18"/>
              </w:rPr>
              <w:lastRenderedPageBreak/>
              <w:t>Dianella amoena</w:t>
            </w:r>
          </w:p>
        </w:tc>
        <w:tc>
          <w:tcPr>
            <w:tcW w:w="1353" w:type="dxa"/>
            <w:tcBorders>
              <w:bottom w:val="single" w:sz="4" w:space="0" w:color="auto"/>
            </w:tcBorders>
            <w:shd w:val="clear" w:color="auto" w:fill="auto"/>
            <w:vAlign w:val="center"/>
          </w:tcPr>
          <w:p w14:paraId="71D5A45B" w14:textId="77777777" w:rsidR="000B173B" w:rsidRPr="00B83DE7" w:rsidRDefault="000B173B" w:rsidP="00A15226">
            <w:pPr>
              <w:pStyle w:val="Tabletext"/>
              <w:rPr>
                <w:szCs w:val="18"/>
              </w:rPr>
            </w:pPr>
            <w:r w:rsidRPr="00B839B5">
              <w:rPr>
                <w:rFonts w:cs="Arial"/>
                <w:szCs w:val="18"/>
              </w:rPr>
              <w:t>Matted Flax-lily</w:t>
            </w:r>
          </w:p>
        </w:tc>
        <w:tc>
          <w:tcPr>
            <w:tcW w:w="1235" w:type="dxa"/>
            <w:tcBorders>
              <w:bottom w:val="single" w:sz="4" w:space="0" w:color="auto"/>
            </w:tcBorders>
            <w:shd w:val="clear" w:color="auto" w:fill="auto"/>
            <w:vAlign w:val="center"/>
          </w:tcPr>
          <w:p w14:paraId="2C0F316B" w14:textId="77777777" w:rsidR="000B173B" w:rsidRPr="00B83DE7" w:rsidRDefault="000B173B" w:rsidP="00A15226">
            <w:pPr>
              <w:pStyle w:val="Tabletext"/>
              <w:rPr>
                <w:szCs w:val="18"/>
              </w:rPr>
            </w:pPr>
            <w:r w:rsidRPr="00B83DE7">
              <w:rPr>
                <w:rFonts w:cs="Arial"/>
                <w:szCs w:val="18"/>
              </w:rPr>
              <w:t>Endangered</w:t>
            </w:r>
          </w:p>
        </w:tc>
        <w:tc>
          <w:tcPr>
            <w:tcW w:w="1177" w:type="dxa"/>
            <w:tcBorders>
              <w:bottom w:val="single" w:sz="4" w:space="0" w:color="auto"/>
            </w:tcBorders>
            <w:shd w:val="clear" w:color="auto" w:fill="auto"/>
            <w:vAlign w:val="center"/>
          </w:tcPr>
          <w:p w14:paraId="5DE7A12C" w14:textId="77777777" w:rsidR="000B173B" w:rsidRPr="00AC3FED" w:rsidRDefault="000B173B" w:rsidP="00A15226">
            <w:pPr>
              <w:pStyle w:val="Tabletext"/>
              <w:jc w:val="center"/>
              <w:rPr>
                <w:highlight w:val="yellow"/>
              </w:rPr>
            </w:pPr>
            <w:r w:rsidRPr="00FE370C">
              <w:t>No</w:t>
            </w:r>
          </w:p>
        </w:tc>
        <w:tc>
          <w:tcPr>
            <w:tcW w:w="9072" w:type="dxa"/>
            <w:tcBorders>
              <w:bottom w:val="single" w:sz="4" w:space="0" w:color="auto"/>
            </w:tcBorders>
            <w:shd w:val="clear" w:color="auto" w:fill="auto"/>
            <w:vAlign w:val="center"/>
          </w:tcPr>
          <w:p w14:paraId="1A1F03E2" w14:textId="77777777" w:rsidR="000B173B" w:rsidRDefault="000B173B" w:rsidP="00A15226">
            <w:pPr>
              <w:pStyle w:val="Tabletext"/>
            </w:pPr>
            <w:r w:rsidRPr="00FB2176">
              <w:rPr>
                <w:i/>
                <w:iCs/>
              </w:rPr>
              <w:t>Dianella amoena</w:t>
            </w:r>
            <w:r w:rsidRPr="007D1D2A">
              <w:t xml:space="preserve"> (Matted Flax-lily) a small, tufted lily </w:t>
            </w:r>
            <w:r>
              <w:t xml:space="preserve">that has a wide distribution from eastern to south-western Victoria </w:t>
            </w:r>
            <w:sdt>
              <w:sdtPr>
                <w:rPr>
                  <w:color w:val="000000"/>
                </w:rPr>
                <w:tag w:val="MENDELEY_CITATION_v3_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"/>
                <w:id w:val="-480315329"/>
                <w:placeholder>
                  <w:docPart w:val="339B7D746526864D922760336FCFE603"/>
                </w:placeholder>
              </w:sdtPr>
              <w:sdtContent>
                <w:r w:rsidRPr="002F46CE">
                  <w:rPr>
                    <w:color w:val="000000"/>
                  </w:rPr>
                  <w:t>(Carter, 2010a)</w:t>
                </w:r>
              </w:sdtContent>
            </w:sdt>
            <w:r>
              <w:t>.</w:t>
            </w:r>
          </w:p>
          <w:p w14:paraId="32E4A1FC" w14:textId="77777777" w:rsidR="000B173B" w:rsidRDefault="000B173B" w:rsidP="00A15226">
            <w:pPr>
              <w:pStyle w:val="Tabletext"/>
            </w:pPr>
            <w:r>
              <w:t xml:space="preserve">The species </w:t>
            </w:r>
            <w:r w:rsidRPr="007D1D2A">
              <w:t>grows in grassland and grassy woodland habitats</w:t>
            </w:r>
            <w:r>
              <w:t xml:space="preserve">, on well drained to seasonally wet sandy loams to heavy clay soils. Sites may lack a tree canopy and contain a high cover of non-native species. The surrounding location of most sites has been severely altered post-European settlement </w:t>
            </w:r>
            <w:sdt>
              <w:sdtPr>
                <w:rPr>
                  <w:color w:val="000000"/>
                </w:rPr>
                <w:tag w:val="MENDELEY_CITATION_v3_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"/>
                <w:id w:val="1999774446"/>
                <w:placeholder>
                  <w:docPart w:val="339B7D746526864D922760336FCFE603"/>
                </w:placeholder>
              </w:sdtPr>
              <w:sdtContent>
                <w:r w:rsidRPr="002F46CE">
                  <w:rPr>
                    <w:color w:val="000000"/>
                  </w:rPr>
                  <w:t>(Carter, 2010a)</w:t>
                </w:r>
              </w:sdtContent>
            </w:sdt>
            <w:r>
              <w:t>.</w:t>
            </w:r>
          </w:p>
          <w:p w14:paraId="082712D2" w14:textId="77777777" w:rsidR="000B173B" w:rsidRDefault="000B173B" w:rsidP="00A15226">
            <w:pPr>
              <w:pStyle w:val="Tabletext"/>
            </w:pPr>
            <w:r>
              <w:t>As of 2010, there were</w:t>
            </w:r>
            <w:r w:rsidRPr="007D1D2A">
              <w:t xml:space="preserve"> thought to be around 2,500 remaining plants in total</w:t>
            </w:r>
            <w:r>
              <w:t>.</w:t>
            </w:r>
            <w:r w:rsidRPr="007D1D2A">
              <w:t xml:space="preserve"> </w:t>
            </w:r>
            <w:r>
              <w:t>P</w:t>
            </w:r>
            <w:r w:rsidRPr="007D1D2A">
              <w:t>opulations are small and highly fragmented</w:t>
            </w:r>
            <w:r>
              <w:t xml:space="preserve">. The species is threatened by habitat destruction or disturbance, weed invasion and population fragmentation </w:t>
            </w:r>
            <w:sdt>
              <w:sdtPr>
                <w:rPr>
                  <w:color w:val="000000"/>
                </w:rPr>
                <w:tag w:val="MENDELEY_CITATION_v3_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"/>
                <w:id w:val="901484822"/>
                <w:placeholder>
                  <w:docPart w:val="339B7D746526864D922760336FCFE603"/>
                </w:placeholder>
              </w:sdtPr>
              <w:sdtContent>
                <w:r w:rsidRPr="002F46CE">
                  <w:rPr>
                    <w:color w:val="000000"/>
                  </w:rPr>
                  <w:t>(Carter, 2010a)</w:t>
                </w:r>
              </w:sdtContent>
            </w:sdt>
            <w:r>
              <w:t>.</w:t>
            </w:r>
          </w:p>
          <w:p w14:paraId="5E09C6B2" w14:textId="77777777" w:rsidR="000B173B" w:rsidRPr="006900FB" w:rsidRDefault="000B173B" w:rsidP="00A15226">
            <w:pPr>
              <w:pStyle w:val="Tabletext"/>
            </w:pPr>
            <w:r w:rsidRPr="006900FB">
              <w:t xml:space="preserve">Targeted surveys were undertaken for the Matted Flax-lily within the Growth Areas. No individuals of the species were identified. Further, habitat within the surveyed areas was considered marginal, and it was considered highly unlikely that the species would occur within the surveyed areas of the Growth Areas </w:t>
            </w:r>
            <w:sdt>
              <w:sdtPr>
                <w:rPr>
                  <w:color w:val="000000"/>
                </w:rPr>
                <w:tag w:val="MENDELEY_CITATION_v3_eyJjaXRhdGlvbklEIjoiTUVOREVMRVlfQ0lUQVRJT05fMTIyNmRhNDQtZjc0ZC00MTI5LTgyZTMtNGEzOGRkOGFhZmM1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607780302"/>
                <w:placeholder>
                  <w:docPart w:val="339B7D746526864D922760336FCFE603"/>
                </w:placeholder>
              </w:sdtPr>
              <w:sdtContent>
                <w:r w:rsidRPr="002F46CE">
                  <w:rPr>
                    <w:color w:val="000000"/>
                  </w:rPr>
                  <w:t>(EHP, 2021)</w:t>
                </w:r>
              </w:sdtContent>
            </w:sdt>
            <w:r w:rsidRPr="006900FB">
              <w:t>.</w:t>
            </w:r>
            <w:r w:rsidRPr="000F472E">
              <w:t xml:space="preserve"> </w:t>
            </w:r>
          </w:p>
          <w:p w14:paraId="381894A6" w14:textId="77777777" w:rsidR="000B173B" w:rsidRPr="00845BA7" w:rsidRDefault="000B173B" w:rsidP="00A15226">
            <w:pPr>
              <w:pStyle w:val="Tabletext"/>
            </w:pPr>
            <w:r w:rsidRPr="00845BA7">
              <w:t>The unsurveyed areas of the Growth Areas are assumed to support habitat for</w:t>
            </w:r>
            <w:r>
              <w:t xml:space="preserve"> the same</w:t>
            </w:r>
            <w:r w:rsidRPr="00845BA7">
              <w:t xml:space="preserve"> threatened species which were recorded within the Growth Areas (see Section 13.3.2 of Part 3 for details). Given that these areas are more modified or degraded than the surveyed areas of the Growth Areas,</w:t>
            </w:r>
            <w:r w:rsidRPr="006900FB">
              <w:t xml:space="preserve"> and the species was not recorded during targeted surveys,</w:t>
            </w:r>
            <w:r w:rsidRPr="00845BA7">
              <w:t xml:space="preserve"> potential direct impacts to Matted Flax-Lily</w:t>
            </w:r>
            <w:r w:rsidRPr="006900FB">
              <w:t xml:space="preserve"> within the unsurveyed areas </w:t>
            </w:r>
            <w:r w:rsidRPr="00845BA7">
              <w:t xml:space="preserve">are unlikely. </w:t>
            </w:r>
          </w:p>
          <w:p w14:paraId="220B730E" w14:textId="77777777" w:rsidR="000B173B" w:rsidRPr="00845BA7" w:rsidRDefault="000B173B" w:rsidP="00A15226">
            <w:pPr>
              <w:pStyle w:val="Tabletext"/>
            </w:pPr>
            <w:r w:rsidRPr="00845BA7">
              <w:t>The broader Strategic Assessment Area has not been surveyed and will be subject to development within the external infrastructure footprints. The Plan includes a Measure to undertake targeted surveys within the external infrastructure footprints for all protected matters with the potential to occur. Any potential direct impacts to the species within these areas will be addressed following field surveys.</w:t>
            </w:r>
          </w:p>
          <w:p w14:paraId="2C49B641" w14:textId="77777777" w:rsidR="000B173B" w:rsidRDefault="000B173B" w:rsidP="00A15226">
            <w:pPr>
              <w:pStyle w:val="Tabletext"/>
            </w:pPr>
            <w:r w:rsidRPr="00845BA7">
              <w:t>There are 25 records within the Study Area, the closest of which is a cluster of records occurring 8.9 km from the Growth Areas at Little River. The potential indirect impacts of development, such as those associated</w:t>
            </w:r>
            <w:r>
              <w:t xml:space="preserve"> with weeds and habitat disturbance, are unlikely to exacerbate threats to the species </w:t>
            </w:r>
            <w:r w:rsidRPr="00B839B5">
              <w:t>given the agricultural</w:t>
            </w:r>
            <w:r>
              <w:t xml:space="preserve"> landscape context and the distance of the nearest records to proposed development. </w:t>
            </w:r>
          </w:p>
        </w:tc>
      </w:tr>
      <w:tr w:rsidR="000B173B" w14:paraId="60FFEEC9" w14:textId="77777777" w:rsidTr="00A15226">
        <w:tc>
          <w:tcPr>
            <w:tcW w:w="1480" w:type="dxa"/>
            <w:tcBorders>
              <w:bottom w:val="single" w:sz="4" w:space="0" w:color="auto"/>
            </w:tcBorders>
            <w:shd w:val="clear" w:color="auto" w:fill="auto"/>
            <w:vAlign w:val="center"/>
          </w:tcPr>
          <w:p w14:paraId="47543C50" w14:textId="77777777" w:rsidR="000B173B" w:rsidRPr="00B83DE7" w:rsidRDefault="000B173B" w:rsidP="00A15226">
            <w:pPr>
              <w:pStyle w:val="Tabletext"/>
              <w:rPr>
                <w:szCs w:val="18"/>
              </w:rPr>
            </w:pPr>
            <w:r w:rsidRPr="00B83DE7">
              <w:rPr>
                <w:rFonts w:cs="Arial"/>
                <w:i/>
                <w:iCs/>
                <w:szCs w:val="18"/>
              </w:rPr>
              <w:t>Diuris basaltica</w:t>
            </w:r>
          </w:p>
        </w:tc>
        <w:tc>
          <w:tcPr>
            <w:tcW w:w="1353" w:type="dxa"/>
            <w:tcBorders>
              <w:bottom w:val="single" w:sz="4" w:space="0" w:color="auto"/>
            </w:tcBorders>
            <w:shd w:val="clear" w:color="auto" w:fill="auto"/>
            <w:vAlign w:val="center"/>
          </w:tcPr>
          <w:p w14:paraId="059AAB4C" w14:textId="77777777" w:rsidR="000B173B" w:rsidRPr="00116F3A" w:rsidRDefault="000B173B" w:rsidP="00A15226">
            <w:pPr>
              <w:pStyle w:val="Tabletext"/>
              <w:rPr>
                <w:szCs w:val="18"/>
                <w:highlight w:val="yellow"/>
              </w:rPr>
            </w:pPr>
            <w:r w:rsidRPr="00DF41E8">
              <w:rPr>
                <w:rFonts w:cs="Arial"/>
                <w:szCs w:val="18"/>
              </w:rPr>
              <w:t>Small Golden Moths Orchid</w:t>
            </w:r>
          </w:p>
        </w:tc>
        <w:tc>
          <w:tcPr>
            <w:tcW w:w="1235" w:type="dxa"/>
            <w:tcBorders>
              <w:bottom w:val="single" w:sz="4" w:space="0" w:color="auto"/>
            </w:tcBorders>
            <w:shd w:val="clear" w:color="auto" w:fill="auto"/>
            <w:vAlign w:val="center"/>
          </w:tcPr>
          <w:p w14:paraId="19AA3B1C" w14:textId="77777777" w:rsidR="000B173B" w:rsidRPr="00B83DE7" w:rsidRDefault="000B173B" w:rsidP="00A15226">
            <w:pPr>
              <w:pStyle w:val="Tabletext"/>
              <w:rPr>
                <w:szCs w:val="18"/>
              </w:rPr>
            </w:pPr>
            <w:r w:rsidRPr="00B83DE7">
              <w:rPr>
                <w:rFonts w:cs="Arial"/>
                <w:szCs w:val="18"/>
              </w:rPr>
              <w:t xml:space="preserve">Endangered </w:t>
            </w:r>
          </w:p>
        </w:tc>
        <w:tc>
          <w:tcPr>
            <w:tcW w:w="1177" w:type="dxa"/>
            <w:tcBorders>
              <w:bottom w:val="single" w:sz="4" w:space="0" w:color="auto"/>
            </w:tcBorders>
            <w:shd w:val="clear" w:color="auto" w:fill="auto"/>
            <w:vAlign w:val="center"/>
          </w:tcPr>
          <w:p w14:paraId="32AA5300" w14:textId="77777777" w:rsidR="000B173B" w:rsidRPr="00AC3FED" w:rsidRDefault="000B173B" w:rsidP="00A15226">
            <w:pPr>
              <w:pStyle w:val="Tabletext"/>
              <w:jc w:val="center"/>
              <w:rPr>
                <w:highlight w:val="yellow"/>
              </w:rPr>
            </w:pPr>
            <w:r w:rsidRPr="002230EC">
              <w:t>No</w:t>
            </w:r>
          </w:p>
        </w:tc>
        <w:tc>
          <w:tcPr>
            <w:tcW w:w="9072" w:type="dxa"/>
            <w:tcBorders>
              <w:bottom w:val="single" w:sz="4" w:space="0" w:color="auto"/>
            </w:tcBorders>
            <w:shd w:val="clear" w:color="auto" w:fill="auto"/>
            <w:vAlign w:val="center"/>
          </w:tcPr>
          <w:p w14:paraId="4B3EF8D2" w14:textId="77777777" w:rsidR="000B173B" w:rsidRDefault="000B173B" w:rsidP="00A15226">
            <w:pPr>
              <w:pStyle w:val="Tabletext"/>
            </w:pPr>
            <w:r w:rsidRPr="00FB2176">
              <w:rPr>
                <w:i/>
                <w:iCs/>
              </w:rPr>
              <w:t>Diuris basaltica</w:t>
            </w:r>
            <w:r w:rsidRPr="00D85FC4">
              <w:t xml:space="preserve"> (Small Golden Moths Orchid) is a small</w:t>
            </w:r>
            <w:r>
              <w:t xml:space="preserve"> </w:t>
            </w:r>
            <w:r w:rsidRPr="00D85FC4">
              <w:t>orchid</w:t>
            </w:r>
            <w:r>
              <w:t xml:space="preserve"> that inhabits </w:t>
            </w:r>
            <w:r w:rsidRPr="00D85FC4">
              <w:t>herb-rich native grasslands dominated by Kangaroo Grass</w:t>
            </w:r>
            <w:r>
              <w:t xml:space="preserve">. Habitat is dominated by tussock-forming perennial grasses, with wildflowers and herbs dispersed throughout </w:t>
            </w:r>
            <w:sdt>
              <w:sdtPr>
                <w:rPr>
                  <w:color w:val="000000"/>
                </w:rPr>
                <w:tag w:val="MENDELEY_CITATION_v3_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"/>
                <w:id w:val="1252861932"/>
                <w:placeholder>
                  <w:docPart w:val="339B7D746526864D922760336FCFE603"/>
                </w:placeholder>
              </w:sdtPr>
              <w:sdtContent>
                <w:r w:rsidRPr="002F46CE">
                  <w:rPr>
                    <w:color w:val="000000"/>
                  </w:rPr>
                  <w:t>(Backhouse and Lester, 2010)</w:t>
                </w:r>
              </w:sdtContent>
            </w:sdt>
            <w:r>
              <w:t xml:space="preserve">.. </w:t>
            </w:r>
          </w:p>
          <w:p w14:paraId="49DC779D" w14:textId="77777777" w:rsidR="000B173B" w:rsidRDefault="000B173B" w:rsidP="00A15226">
            <w:pPr>
              <w:pStyle w:val="Tabletext"/>
            </w:pPr>
            <w:r>
              <w:t xml:space="preserve">Small Golden Moths Orchid is endemic to an area of 50 km from Sydenham to Lara in Victoria in the Victorian Volcanic Plains bioregion </w:t>
            </w:r>
            <w:sdt>
              <w:sdtPr>
                <w:rPr>
                  <w:color w:val="000000"/>
                </w:rPr>
                <w:tag w:val="MENDELEY_CITATION_v3_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"/>
                <w:id w:val="-1726056958"/>
                <w:placeholder>
                  <w:docPart w:val="339B7D746526864D922760336FCFE603"/>
                </w:placeholder>
              </w:sdtPr>
              <w:sdtContent>
                <w:r w:rsidRPr="002F46CE">
                  <w:rPr>
                    <w:color w:val="000000"/>
                  </w:rPr>
                  <w:t>(Backhouse and Lester, 2010)</w:t>
                </w:r>
              </w:sdtContent>
            </w:sdt>
            <w:r>
              <w:t>. The Strategic Assessment Area is to the west of this area.</w:t>
            </w:r>
          </w:p>
          <w:p w14:paraId="29E5AE62" w14:textId="77777777" w:rsidR="000B173B" w:rsidRDefault="000B173B" w:rsidP="00A15226">
            <w:pPr>
              <w:pStyle w:val="Tabletext"/>
            </w:pPr>
            <w:r>
              <w:lastRenderedPageBreak/>
              <w:t xml:space="preserve">The species was considered extinct in the late 1990s, although subsequent surveys re-discovered small populations. The species is currently known from only three locations near Melbourne at Laverton, Derrimut and Rockbank </w:t>
            </w:r>
            <w:sdt>
              <w:sdtPr>
                <w:rPr>
                  <w:color w:val="000000"/>
                </w:rPr>
                <w:tag w:val="MENDELEY_CITATION_v3_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"/>
                <w:id w:val="1396469901"/>
                <w:placeholder>
                  <w:docPart w:val="339B7D746526864D922760336FCFE603"/>
                </w:placeholder>
              </w:sdtPr>
              <w:sdtContent>
                <w:r w:rsidRPr="002F46CE">
                  <w:rPr>
                    <w:color w:val="000000"/>
                  </w:rPr>
                  <w:t>(Backhouse and Lester, 2010)</w:t>
                </w:r>
              </w:sdtContent>
            </w:sdt>
            <w:r>
              <w:t>.</w:t>
            </w:r>
          </w:p>
          <w:p w14:paraId="6B5FB21A" w14:textId="77777777" w:rsidR="000B173B" w:rsidRDefault="000B173B" w:rsidP="00A15226">
            <w:pPr>
              <w:pStyle w:val="Tabletext"/>
            </w:pPr>
            <w:r>
              <w:t xml:space="preserve">Habitat loss is the major cause of decline. The species is also threatened by disturbance, grazing and predation, weed invasion, and altered fire regimes </w:t>
            </w:r>
            <w:sdt>
              <w:sdtPr>
                <w:rPr>
                  <w:color w:val="000000"/>
                </w:rPr>
                <w:tag w:val="MENDELEY_CITATION_v3_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"/>
                <w:id w:val="-892728455"/>
                <w:placeholder>
                  <w:docPart w:val="339B7D746526864D922760336FCFE603"/>
                </w:placeholder>
              </w:sdtPr>
              <w:sdtContent>
                <w:r w:rsidRPr="002F46CE">
                  <w:rPr>
                    <w:color w:val="000000"/>
                  </w:rPr>
                  <w:t>(Backhouse and Lester, 2010)</w:t>
                </w:r>
              </w:sdtContent>
            </w:sdt>
            <w:r>
              <w:t xml:space="preserve">. </w:t>
            </w:r>
          </w:p>
          <w:p w14:paraId="51407ABE" w14:textId="77777777" w:rsidR="000B173B" w:rsidRDefault="000B173B" w:rsidP="00A15226">
            <w:pPr>
              <w:pStyle w:val="Tabletext"/>
            </w:pPr>
            <w:r>
              <w:t xml:space="preserve">There is a 1998 record of the species to the east of the Strategic Assessment Area, within the North Shore locality adjacent to Rollerama Drain. This site is in a heavily developed environment and is approximately 4 km from the nearest Growth Area. It is unlikely that this population is extant as the site, given the age of the record, the developed and disturbed characteristics of the site, and that the location was not recognised in the species’ Recovery Plan </w:t>
            </w:r>
            <w:sdt>
              <w:sdtPr>
                <w:rPr>
                  <w:color w:val="000000"/>
                </w:rPr>
                <w:tag w:val="MENDELEY_CITATION_v3_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"/>
                <w:id w:val="-620609321"/>
                <w:placeholder>
                  <w:docPart w:val="339B7D746526864D922760336FCFE603"/>
                </w:placeholder>
              </w:sdtPr>
              <w:sdtContent>
                <w:r w:rsidRPr="002F46CE">
                  <w:rPr>
                    <w:color w:val="000000"/>
                  </w:rPr>
                  <w:t>(Backhouse and Lester, 2010)</w:t>
                </w:r>
              </w:sdtContent>
            </w:sdt>
            <w:r>
              <w:t>.</w:t>
            </w:r>
          </w:p>
          <w:p w14:paraId="31B1A90F" w14:textId="77777777" w:rsidR="000B173B" w:rsidRPr="006900FB" w:rsidRDefault="000B173B" w:rsidP="00A15226">
            <w:pPr>
              <w:pStyle w:val="Tabletext"/>
            </w:pPr>
            <w:r w:rsidRPr="006900FB">
              <w:t xml:space="preserve">There are no records of the species within or near the Strategic Assessment Area. </w:t>
            </w:r>
          </w:p>
          <w:p w14:paraId="07AF7CB8" w14:textId="77777777" w:rsidR="000B173B" w:rsidRPr="006900FB" w:rsidRDefault="000B173B" w:rsidP="00A15226">
            <w:pPr>
              <w:pStyle w:val="Tabletext"/>
            </w:pPr>
            <w:r w:rsidRPr="006900FB">
              <w:t xml:space="preserve">The species is thought to be sensitive to habitat degradation. It is noted that most of the Strategic Assessment Area is highly modified due to historical and current farming practices and development. Given the level of disturbance within the Strategic Assessment Area, it is considered unlikely that the species is present within the Strategic Assessment Area. </w:t>
            </w:r>
          </w:p>
          <w:p w14:paraId="72505145" w14:textId="77777777" w:rsidR="000B173B" w:rsidRPr="006900FB" w:rsidRDefault="000B173B" w:rsidP="00A15226">
            <w:pPr>
              <w:pStyle w:val="Tabletext"/>
            </w:pPr>
            <w:r w:rsidRPr="006900FB">
              <w:t>Overall, direct impacts are considered unlikely.</w:t>
            </w:r>
          </w:p>
          <w:p w14:paraId="0E4AA746" w14:textId="77777777" w:rsidR="000B173B" w:rsidRDefault="000B173B" w:rsidP="00A15226">
            <w:pPr>
              <w:pStyle w:val="Tabletext"/>
            </w:pPr>
            <w:r>
              <w:t xml:space="preserve">There are otherwise no records of the species within the broader Study Area. </w:t>
            </w:r>
            <w:r w:rsidRPr="0002007F">
              <w:t xml:space="preserve">Suitable potential habitat is limited within a largely agricultural landscape. Potential indirect impacts to the species are </w:t>
            </w:r>
            <w:r>
              <w:t>therefore</w:t>
            </w:r>
            <w:r w:rsidRPr="0002007F">
              <w:t xml:space="preserve"> considered unlikely.</w:t>
            </w:r>
          </w:p>
        </w:tc>
      </w:tr>
      <w:tr w:rsidR="000B173B" w14:paraId="54E0E455" w14:textId="77777777" w:rsidTr="00A15226">
        <w:tc>
          <w:tcPr>
            <w:tcW w:w="1480" w:type="dxa"/>
            <w:tcBorders>
              <w:bottom w:val="single" w:sz="4" w:space="0" w:color="auto"/>
            </w:tcBorders>
            <w:shd w:val="clear" w:color="auto" w:fill="auto"/>
            <w:vAlign w:val="center"/>
          </w:tcPr>
          <w:p w14:paraId="5578845D" w14:textId="77777777" w:rsidR="000B173B" w:rsidRPr="00B45DAA" w:rsidRDefault="000B173B" w:rsidP="00A15226">
            <w:pPr>
              <w:pStyle w:val="Tabletext"/>
              <w:rPr>
                <w:szCs w:val="18"/>
              </w:rPr>
            </w:pPr>
            <w:r w:rsidRPr="00B45DAA">
              <w:rPr>
                <w:rFonts w:cs="Arial"/>
                <w:i/>
                <w:iCs/>
                <w:szCs w:val="18"/>
              </w:rPr>
              <w:lastRenderedPageBreak/>
              <w:t>Dodonaea procumbens</w:t>
            </w:r>
          </w:p>
        </w:tc>
        <w:tc>
          <w:tcPr>
            <w:tcW w:w="1353" w:type="dxa"/>
            <w:tcBorders>
              <w:bottom w:val="single" w:sz="4" w:space="0" w:color="auto"/>
            </w:tcBorders>
            <w:shd w:val="clear" w:color="auto" w:fill="auto"/>
            <w:vAlign w:val="center"/>
          </w:tcPr>
          <w:p w14:paraId="0B7ABA7B" w14:textId="77777777" w:rsidR="000B173B" w:rsidRPr="00B45DAA" w:rsidRDefault="000B173B" w:rsidP="00A15226">
            <w:pPr>
              <w:pStyle w:val="Tabletext"/>
              <w:rPr>
                <w:szCs w:val="18"/>
              </w:rPr>
            </w:pPr>
            <w:r w:rsidRPr="00B45DAA">
              <w:rPr>
                <w:rFonts w:cs="Arial"/>
                <w:szCs w:val="18"/>
              </w:rPr>
              <w:t>Trailing Hop-bush</w:t>
            </w:r>
          </w:p>
        </w:tc>
        <w:tc>
          <w:tcPr>
            <w:tcW w:w="1235" w:type="dxa"/>
            <w:tcBorders>
              <w:bottom w:val="single" w:sz="4" w:space="0" w:color="auto"/>
            </w:tcBorders>
            <w:shd w:val="clear" w:color="auto" w:fill="auto"/>
            <w:vAlign w:val="center"/>
          </w:tcPr>
          <w:p w14:paraId="7E50BA3A" w14:textId="77777777" w:rsidR="000B173B" w:rsidRPr="00B45DAA" w:rsidRDefault="000B173B" w:rsidP="00A15226">
            <w:pPr>
              <w:pStyle w:val="Tabletext"/>
              <w:rPr>
                <w:szCs w:val="18"/>
              </w:rPr>
            </w:pPr>
            <w:r w:rsidRPr="00B45DAA">
              <w:rPr>
                <w:rFonts w:cs="Arial"/>
                <w:szCs w:val="18"/>
              </w:rPr>
              <w:t xml:space="preserve">Vulnerable </w:t>
            </w:r>
          </w:p>
        </w:tc>
        <w:tc>
          <w:tcPr>
            <w:tcW w:w="1177" w:type="dxa"/>
            <w:tcBorders>
              <w:bottom w:val="single" w:sz="4" w:space="0" w:color="auto"/>
            </w:tcBorders>
            <w:shd w:val="clear" w:color="auto" w:fill="auto"/>
            <w:vAlign w:val="center"/>
          </w:tcPr>
          <w:p w14:paraId="7A053016" w14:textId="77777777" w:rsidR="000B173B" w:rsidRPr="00B45DAA" w:rsidRDefault="000B173B" w:rsidP="00A15226">
            <w:pPr>
              <w:pStyle w:val="Tabletext"/>
              <w:jc w:val="center"/>
            </w:pPr>
            <w:r w:rsidRPr="00B45DAA">
              <w:t>No</w:t>
            </w:r>
          </w:p>
        </w:tc>
        <w:tc>
          <w:tcPr>
            <w:tcW w:w="9072" w:type="dxa"/>
            <w:tcBorders>
              <w:bottom w:val="single" w:sz="4" w:space="0" w:color="auto"/>
            </w:tcBorders>
            <w:shd w:val="clear" w:color="auto" w:fill="auto"/>
            <w:vAlign w:val="center"/>
          </w:tcPr>
          <w:p w14:paraId="3412C749" w14:textId="77777777" w:rsidR="000B173B" w:rsidRDefault="000B173B" w:rsidP="00A15226">
            <w:pPr>
              <w:pStyle w:val="Tabletext"/>
            </w:pPr>
            <w:r w:rsidRPr="00B45DAA">
              <w:rPr>
                <w:i/>
                <w:iCs/>
              </w:rPr>
              <w:t>Dodonaea procumbens</w:t>
            </w:r>
            <w:r w:rsidRPr="00B45DAA">
              <w:t xml:space="preserve"> (Trailing Hop-bush), is a small prostrate shrub which occupies low lying woodlands, and low open forests, heathland and grasslands. The species may occur on disturbed and exposed sites including road verges and cuttings, along with rocky outcrops</w:t>
            </w:r>
            <w:r>
              <w:t xml:space="preserve"> </w:t>
            </w:r>
            <w:sdt>
              <w:sdtPr>
                <w:rPr>
                  <w:color w:val="000000"/>
                </w:rPr>
                <w:tag w:val="MENDELEY_CITATION_v3_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"/>
                <w:id w:val="-129866365"/>
                <w:placeholder>
                  <w:docPart w:val="339B7D746526864D922760336FCFE603"/>
                </w:placeholder>
              </w:sdtPr>
              <w:sdtContent>
                <w:r w:rsidRPr="002F46CE">
                  <w:rPr>
                    <w:color w:val="000000"/>
                  </w:rPr>
                  <w:t>(Carter, 2010c)</w:t>
                </w:r>
              </w:sdtContent>
            </w:sdt>
            <w:r w:rsidRPr="00B45DAA">
              <w:t>.</w:t>
            </w:r>
          </w:p>
          <w:p w14:paraId="4F7408C5" w14:textId="77777777" w:rsidR="000B173B" w:rsidRPr="000F472E" w:rsidRDefault="000B173B" w:rsidP="00A15226">
            <w:pPr>
              <w:pStyle w:val="Tabletext"/>
            </w:pPr>
            <w:r w:rsidRPr="00B45DAA">
              <w:t xml:space="preserve">Trailing Hop-bush is distributed across south-eastern Australia, in Victoria, New South Wales and South Australia. In Victoria, the species </w:t>
            </w:r>
            <w:r w:rsidRPr="000F472E">
              <w:t xml:space="preserve">mainly occurs in in the western half of the state. </w:t>
            </w:r>
            <w:r w:rsidRPr="006900FB">
              <w:t>The Geelong region is not identified as a site of known occurrence of the species within the species’ Recovery Plan</w:t>
            </w:r>
            <w:r w:rsidRPr="000F472E">
              <w:t xml:space="preserve"> </w:t>
            </w:r>
            <w:sdt>
              <w:sdtPr>
                <w:rPr>
                  <w:color w:val="000000"/>
                </w:rPr>
                <w:tag w:val="MENDELEY_CITATION_v3_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"/>
                <w:id w:val="-1577278931"/>
                <w:placeholder>
                  <w:docPart w:val="339B7D746526864D922760336FCFE603"/>
                </w:placeholder>
              </w:sdtPr>
              <w:sdtContent>
                <w:r w:rsidRPr="002F46CE">
                  <w:rPr>
                    <w:color w:val="000000"/>
                  </w:rPr>
                  <w:t>(Carter, 2010c)</w:t>
                </w:r>
              </w:sdtContent>
            </w:sdt>
            <w:r w:rsidRPr="000F472E">
              <w:t>.</w:t>
            </w:r>
          </w:p>
          <w:p w14:paraId="318151D2" w14:textId="77777777" w:rsidR="000B173B" w:rsidRPr="000F472E" w:rsidRDefault="000B173B" w:rsidP="00A15226">
            <w:pPr>
              <w:pStyle w:val="Tabletext"/>
            </w:pPr>
            <w:r w:rsidRPr="000F472E">
              <w:t xml:space="preserve">As of 2010, there were thought to be about 50 remaining populations, most of which were small. The species is threatened by disturbance/destruction, weed invasion, grazing, and altered fire regimes </w:t>
            </w:r>
            <w:sdt>
              <w:sdtPr>
                <w:rPr>
                  <w:color w:val="000000"/>
                </w:rPr>
                <w:tag w:val="MENDELEY_CITATION_v3_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"/>
                <w:id w:val="708834740"/>
                <w:placeholder>
                  <w:docPart w:val="339B7D746526864D922760336FCFE603"/>
                </w:placeholder>
              </w:sdtPr>
              <w:sdtContent>
                <w:r w:rsidRPr="002F46CE">
                  <w:rPr>
                    <w:color w:val="000000"/>
                  </w:rPr>
                  <w:t>(Carter, 2010c)</w:t>
                </w:r>
              </w:sdtContent>
            </w:sdt>
            <w:r w:rsidRPr="000F472E">
              <w:t>.</w:t>
            </w:r>
          </w:p>
          <w:p w14:paraId="492CC07A" w14:textId="77777777" w:rsidR="000B173B" w:rsidRPr="00B45DAA" w:rsidRDefault="000B173B" w:rsidP="00A15226">
            <w:pPr>
              <w:pStyle w:val="Tabletext"/>
            </w:pPr>
            <w:r w:rsidRPr="006900FB">
              <w:t>There are also no existing records within the Strategic Assessment Area or the broader Study Area. Suitable potential habitat is limited within a largely agricultural landscape. Given the lack of records and limited potential habitat, it is considered unlikely that the species occurs within the Study Area. Therefore, direct and indirect impacts to the species are considered unlikely.</w:t>
            </w:r>
          </w:p>
        </w:tc>
      </w:tr>
      <w:tr w:rsidR="000B173B" w14:paraId="0AAA4CD5" w14:textId="77777777" w:rsidTr="00A15226">
        <w:tc>
          <w:tcPr>
            <w:tcW w:w="1480" w:type="dxa"/>
            <w:tcBorders>
              <w:bottom w:val="single" w:sz="4" w:space="0" w:color="auto"/>
            </w:tcBorders>
            <w:shd w:val="clear" w:color="auto" w:fill="auto"/>
            <w:vAlign w:val="center"/>
          </w:tcPr>
          <w:p w14:paraId="52A46CD1" w14:textId="77777777" w:rsidR="000B173B" w:rsidRPr="00B83DE7" w:rsidRDefault="000B173B" w:rsidP="00A15226">
            <w:pPr>
              <w:pStyle w:val="Tabletext"/>
              <w:rPr>
                <w:i/>
                <w:iCs/>
                <w:szCs w:val="18"/>
              </w:rPr>
            </w:pPr>
            <w:r w:rsidRPr="00B83DE7">
              <w:rPr>
                <w:rFonts w:cs="Arial"/>
                <w:i/>
                <w:iCs/>
                <w:szCs w:val="18"/>
              </w:rPr>
              <w:lastRenderedPageBreak/>
              <w:t>Eucalyptus crenulata</w:t>
            </w:r>
          </w:p>
        </w:tc>
        <w:tc>
          <w:tcPr>
            <w:tcW w:w="1353" w:type="dxa"/>
            <w:tcBorders>
              <w:bottom w:val="single" w:sz="4" w:space="0" w:color="auto"/>
            </w:tcBorders>
            <w:shd w:val="clear" w:color="auto" w:fill="auto"/>
            <w:vAlign w:val="center"/>
          </w:tcPr>
          <w:p w14:paraId="08EF62E6" w14:textId="77777777" w:rsidR="000B173B" w:rsidRPr="00116F3A" w:rsidRDefault="000B173B" w:rsidP="00A15226">
            <w:pPr>
              <w:pStyle w:val="Tabletext"/>
              <w:rPr>
                <w:szCs w:val="18"/>
                <w:highlight w:val="yellow"/>
              </w:rPr>
            </w:pPr>
            <w:r w:rsidRPr="00B168F5">
              <w:rPr>
                <w:rFonts w:cs="Arial"/>
                <w:szCs w:val="18"/>
              </w:rPr>
              <w:t>Buxton Gum</w:t>
            </w:r>
          </w:p>
        </w:tc>
        <w:tc>
          <w:tcPr>
            <w:tcW w:w="1235" w:type="dxa"/>
            <w:tcBorders>
              <w:bottom w:val="single" w:sz="4" w:space="0" w:color="auto"/>
            </w:tcBorders>
            <w:shd w:val="clear" w:color="auto" w:fill="auto"/>
            <w:vAlign w:val="center"/>
          </w:tcPr>
          <w:p w14:paraId="62B1C448" w14:textId="77777777" w:rsidR="000B173B" w:rsidRPr="00B83DE7" w:rsidRDefault="000B173B" w:rsidP="00A15226">
            <w:pPr>
              <w:pStyle w:val="Tabletext"/>
              <w:rPr>
                <w:szCs w:val="18"/>
              </w:rPr>
            </w:pPr>
            <w:r w:rsidRPr="00B83DE7">
              <w:rPr>
                <w:rFonts w:cs="Arial"/>
                <w:szCs w:val="18"/>
              </w:rPr>
              <w:t xml:space="preserve">Endangered </w:t>
            </w:r>
          </w:p>
        </w:tc>
        <w:tc>
          <w:tcPr>
            <w:tcW w:w="1177" w:type="dxa"/>
            <w:tcBorders>
              <w:bottom w:val="single" w:sz="4" w:space="0" w:color="auto"/>
            </w:tcBorders>
            <w:shd w:val="clear" w:color="auto" w:fill="auto"/>
            <w:vAlign w:val="center"/>
          </w:tcPr>
          <w:p w14:paraId="58C3D6DF" w14:textId="77777777" w:rsidR="000B173B" w:rsidRPr="00AC3FED" w:rsidRDefault="000B173B" w:rsidP="00A15226">
            <w:pPr>
              <w:pStyle w:val="Tabletext"/>
              <w:jc w:val="center"/>
              <w:rPr>
                <w:highlight w:val="yellow"/>
              </w:rPr>
            </w:pPr>
            <w:r>
              <w:t xml:space="preserve">No </w:t>
            </w:r>
          </w:p>
        </w:tc>
        <w:tc>
          <w:tcPr>
            <w:tcW w:w="9072" w:type="dxa"/>
            <w:tcBorders>
              <w:bottom w:val="single" w:sz="4" w:space="0" w:color="auto"/>
            </w:tcBorders>
            <w:shd w:val="clear" w:color="auto" w:fill="auto"/>
            <w:vAlign w:val="center"/>
          </w:tcPr>
          <w:p w14:paraId="6C17053F" w14:textId="77777777" w:rsidR="000B173B" w:rsidRDefault="000B173B" w:rsidP="00A15226">
            <w:pPr>
              <w:pStyle w:val="Tabletext"/>
            </w:pPr>
            <w:r>
              <w:rPr>
                <w:i/>
                <w:iCs/>
              </w:rPr>
              <w:t xml:space="preserve">Eucalyptus crenulata </w:t>
            </w:r>
            <w:r>
              <w:t xml:space="preserve">(Buxton Gum) is a small tree endemic to south central Victoria. The species is likely to have been naturally rare with a highly restricted distribution prior to European settlement. The species is cold-adapted and was likely more widespread in colder periods in the past climate of southern Australia </w:t>
            </w:r>
            <w:sdt>
              <w:sdtPr>
                <w:rPr>
                  <w:color w:val="000000"/>
                </w:rPr>
                <w:tag w:val="MENDELEY_CITATION_v3_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"/>
                <w:id w:val="538633257"/>
                <w:placeholder>
                  <w:docPart w:val="339B7D746526864D922760336FCFE603"/>
                </w:placeholder>
              </w:sdtPr>
              <w:sdtContent>
                <w:r w:rsidRPr="002F46CE">
                  <w:rPr>
                    <w:color w:val="000000"/>
                  </w:rPr>
                  <w:t>(White, Murphy and Downe, 2006; TSSC, 2016g)</w:t>
                </w:r>
              </w:sdtContent>
            </w:sdt>
            <w:r>
              <w:t>.</w:t>
            </w:r>
          </w:p>
          <w:p w14:paraId="4A3132BA" w14:textId="77777777" w:rsidR="000B173B" w:rsidRDefault="000B173B" w:rsidP="00A15226">
            <w:pPr>
              <w:pStyle w:val="Tabletext"/>
            </w:pPr>
            <w:r>
              <w:t xml:space="preserve">In its natural range, it is currently rare in both abundance and distribution, occupying a total of less than 10 ha across two populations with less than 700 plants. The two wild populations are located 64 km apart at Buxton and Yering and are separated by the Great Dividing Range </w:t>
            </w:r>
            <w:sdt>
              <w:sdtPr>
                <w:rPr>
                  <w:color w:val="000000"/>
                </w:rPr>
                <w:tag w:val="MENDELEY_CITATION_v3_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"/>
                <w:id w:val="-10768539"/>
                <w:placeholder>
                  <w:docPart w:val="339B7D746526864D922760336FCFE603"/>
                </w:placeholder>
              </w:sdtPr>
              <w:sdtContent>
                <w:r w:rsidRPr="002F46CE">
                  <w:rPr>
                    <w:color w:val="000000"/>
                  </w:rPr>
                  <w:t>(TSSC, 2016g)</w:t>
                </w:r>
              </w:sdtContent>
            </w:sdt>
            <w:r>
              <w:t>. The Study Area is outside of the natural range of the species.</w:t>
            </w:r>
          </w:p>
          <w:p w14:paraId="5C73F88A" w14:textId="77777777" w:rsidR="000B173B" w:rsidRDefault="000B173B" w:rsidP="00A15226">
            <w:pPr>
              <w:pStyle w:val="Tabletext"/>
            </w:pPr>
            <w:r>
              <w:t xml:space="preserve">The species is an attractive tree which is commonly grown as an ornamental across south-eastern Australia and is naturalised at a number of locations outside its natural range. There are far more individuals in cultivation than in the wild </w:t>
            </w:r>
            <w:sdt>
              <w:sdtPr>
                <w:rPr>
                  <w:color w:val="000000"/>
                </w:rPr>
                <w:tag w:val="MENDELEY_CITATION_v3_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"/>
                <w:id w:val="-1678649891"/>
                <w:placeholder>
                  <w:docPart w:val="339B7D746526864D922760336FCFE603"/>
                </w:placeholder>
              </w:sdtPr>
              <w:sdtContent>
                <w:r w:rsidRPr="002F46CE">
                  <w:rPr>
                    <w:color w:val="000000"/>
                  </w:rPr>
                  <w:t>(TSSC, 2016g)</w:t>
                </w:r>
              </w:sdtContent>
            </w:sdt>
            <w:r>
              <w:t>.</w:t>
            </w:r>
          </w:p>
          <w:p w14:paraId="6812A058" w14:textId="77777777" w:rsidR="000B173B" w:rsidRDefault="000B173B" w:rsidP="00A15226">
            <w:pPr>
              <w:pStyle w:val="Tabletext"/>
            </w:pPr>
            <w:r>
              <w:t xml:space="preserve">The Buxton population occurs in open forest dominated by </w:t>
            </w:r>
            <w:r>
              <w:rPr>
                <w:i/>
                <w:iCs/>
              </w:rPr>
              <w:t xml:space="preserve">Eucalyptus ovata </w:t>
            </w:r>
            <w:r>
              <w:t xml:space="preserve">on a poorly drained hollow. The Yering population occurs in a partially cleared, and significantly altered floodplain in low lying wet/swampy habitats. The species is threatened by habitat loss and disturbance, invasive species, trampling and soil compaction from cattle grazing, infection with </w:t>
            </w:r>
            <w:r>
              <w:rPr>
                <w:i/>
                <w:iCs/>
              </w:rPr>
              <w:t xml:space="preserve">Phytophthora cinnamomi, </w:t>
            </w:r>
            <w:r>
              <w:t xml:space="preserve">and inappropriate fire regimes </w:t>
            </w:r>
            <w:sdt>
              <w:sdtPr>
                <w:rPr>
                  <w:color w:val="000000"/>
                </w:rPr>
                <w:tag w:val="MENDELEY_CITATION_v3_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"/>
                <w:id w:val="-230930228"/>
                <w:placeholder>
                  <w:docPart w:val="339B7D746526864D922760336FCFE603"/>
                </w:placeholder>
              </w:sdtPr>
              <w:sdtContent>
                <w:r w:rsidRPr="002F46CE">
                  <w:rPr>
                    <w:color w:val="000000"/>
                  </w:rPr>
                  <w:t>(TSSC, 2016g)</w:t>
                </w:r>
              </w:sdtContent>
            </w:sdt>
            <w:r>
              <w:t>.</w:t>
            </w:r>
          </w:p>
          <w:p w14:paraId="2D9E447C" w14:textId="77777777" w:rsidR="000B173B" w:rsidRPr="000F472E" w:rsidRDefault="000B173B" w:rsidP="00A15226">
            <w:pPr>
              <w:pStyle w:val="Tabletext"/>
            </w:pPr>
            <w:r>
              <w:t xml:space="preserve">There are two records within the Study Area, the closest occurring 12.7 km west of the Growth Areas. These </w:t>
            </w:r>
            <w:r w:rsidRPr="000F472E">
              <w:t>records are not in the vicinity of either Buxton or Yering (which occur to the east of Melbourne). These records are likely to be either cultivated or naturalised individuals outside of the species’ natural range.</w:t>
            </w:r>
          </w:p>
          <w:p w14:paraId="2BB60DD5" w14:textId="77777777" w:rsidR="000B173B" w:rsidRPr="000F472E" w:rsidRDefault="000B173B" w:rsidP="00A15226">
            <w:pPr>
              <w:pStyle w:val="Tabletext"/>
            </w:pPr>
            <w:r w:rsidRPr="006900FB">
              <w:t xml:space="preserve">The species has not been recorded within the Strategic Assessment Area. Mapping of pre-1750 vegetation communities </w:t>
            </w:r>
            <w:sdt>
              <w:sdtPr>
                <w:rPr>
                  <w:color w:val="000000"/>
                </w:rPr>
                <w:tag w:val="MENDELEY_CITATION_v3_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"/>
                <w:id w:val="-1510204795"/>
                <w:placeholder>
                  <w:docPart w:val="339B7D746526864D922760336FCFE603"/>
                </w:placeholder>
              </w:sdtPr>
              <w:sdtContent>
                <w:r w:rsidRPr="002F46CE">
                  <w:rPr>
                    <w:color w:val="000000"/>
                  </w:rPr>
                  <w:t>(DELWP, 2022a)</w:t>
                </w:r>
              </w:sdtContent>
            </w:sdt>
            <w:r w:rsidRPr="006900FB">
              <w:t xml:space="preserve"> indicates that the Strategic Assessment Area is predicted to be comprised almost entirely of grassland communities. It is considered unlikely that this species would naturally occur within the Strategic Assessment Area. Direct impacts are therefore considered unlikely.</w:t>
            </w:r>
          </w:p>
          <w:p w14:paraId="023D747B" w14:textId="77777777" w:rsidR="000B173B" w:rsidRPr="00844FB8" w:rsidRDefault="000B173B" w:rsidP="00A15226">
            <w:pPr>
              <w:pStyle w:val="Tabletext"/>
            </w:pPr>
            <w:r w:rsidRPr="000F472E">
              <w:t>Potential indirect</w:t>
            </w:r>
            <w:r>
              <w:t xml:space="preserve"> impacts to natural populations of the species are also considered unlikely as the Study Area is outside of the natural range of the species. </w:t>
            </w:r>
          </w:p>
        </w:tc>
      </w:tr>
      <w:tr w:rsidR="000B173B" w14:paraId="2D3EB6F3" w14:textId="77777777" w:rsidTr="00A15226">
        <w:tc>
          <w:tcPr>
            <w:tcW w:w="1480" w:type="dxa"/>
            <w:tcBorders>
              <w:bottom w:val="single" w:sz="4" w:space="0" w:color="auto"/>
            </w:tcBorders>
            <w:shd w:val="clear" w:color="auto" w:fill="auto"/>
            <w:vAlign w:val="center"/>
          </w:tcPr>
          <w:p w14:paraId="4252390F" w14:textId="77777777" w:rsidR="000B173B" w:rsidRPr="00B83DE7" w:rsidRDefault="000B173B" w:rsidP="00A15226">
            <w:pPr>
              <w:pStyle w:val="Tabletext"/>
              <w:rPr>
                <w:i/>
                <w:iCs/>
                <w:szCs w:val="18"/>
              </w:rPr>
            </w:pPr>
            <w:r w:rsidRPr="00B83DE7">
              <w:rPr>
                <w:rFonts w:cs="Arial"/>
                <w:i/>
                <w:iCs/>
                <w:szCs w:val="18"/>
              </w:rPr>
              <w:t>Euphrasia collina subsp. muelleri</w:t>
            </w:r>
          </w:p>
        </w:tc>
        <w:tc>
          <w:tcPr>
            <w:tcW w:w="1353" w:type="dxa"/>
            <w:tcBorders>
              <w:bottom w:val="single" w:sz="4" w:space="0" w:color="auto"/>
            </w:tcBorders>
            <w:shd w:val="clear" w:color="auto" w:fill="auto"/>
            <w:vAlign w:val="center"/>
          </w:tcPr>
          <w:p w14:paraId="6763CF53" w14:textId="77777777" w:rsidR="000B173B" w:rsidRPr="00116F3A" w:rsidRDefault="000B173B" w:rsidP="00A15226">
            <w:pPr>
              <w:pStyle w:val="Tabletext"/>
              <w:rPr>
                <w:szCs w:val="18"/>
                <w:highlight w:val="yellow"/>
              </w:rPr>
            </w:pPr>
            <w:r w:rsidRPr="00B168F5">
              <w:rPr>
                <w:rFonts w:cs="Arial"/>
                <w:szCs w:val="18"/>
              </w:rPr>
              <w:t>Purple Eyebright</w:t>
            </w:r>
          </w:p>
        </w:tc>
        <w:tc>
          <w:tcPr>
            <w:tcW w:w="1235" w:type="dxa"/>
            <w:tcBorders>
              <w:bottom w:val="single" w:sz="4" w:space="0" w:color="auto"/>
            </w:tcBorders>
            <w:shd w:val="clear" w:color="auto" w:fill="auto"/>
            <w:vAlign w:val="center"/>
          </w:tcPr>
          <w:p w14:paraId="7B15A0BB" w14:textId="77777777" w:rsidR="000B173B" w:rsidRPr="00B83DE7" w:rsidRDefault="000B173B" w:rsidP="00A15226">
            <w:pPr>
              <w:pStyle w:val="Tabletext"/>
              <w:rPr>
                <w:szCs w:val="18"/>
              </w:rPr>
            </w:pPr>
            <w:r w:rsidRPr="00B83DE7">
              <w:rPr>
                <w:rFonts w:cs="Arial"/>
                <w:szCs w:val="18"/>
              </w:rPr>
              <w:t>Endangered</w:t>
            </w:r>
          </w:p>
        </w:tc>
        <w:tc>
          <w:tcPr>
            <w:tcW w:w="1177" w:type="dxa"/>
            <w:tcBorders>
              <w:bottom w:val="single" w:sz="4" w:space="0" w:color="auto"/>
            </w:tcBorders>
            <w:shd w:val="clear" w:color="auto" w:fill="auto"/>
            <w:vAlign w:val="center"/>
          </w:tcPr>
          <w:p w14:paraId="07C41043" w14:textId="77777777" w:rsidR="000B173B" w:rsidRPr="00AC3FED" w:rsidRDefault="000B173B" w:rsidP="00A15226">
            <w:pPr>
              <w:pStyle w:val="Tabletext"/>
              <w:jc w:val="center"/>
              <w:rPr>
                <w:highlight w:val="yellow"/>
              </w:rPr>
            </w:pPr>
            <w:r>
              <w:t>No</w:t>
            </w:r>
          </w:p>
        </w:tc>
        <w:tc>
          <w:tcPr>
            <w:tcW w:w="9072" w:type="dxa"/>
            <w:tcBorders>
              <w:bottom w:val="single" w:sz="4" w:space="0" w:color="auto"/>
            </w:tcBorders>
            <w:shd w:val="clear" w:color="auto" w:fill="auto"/>
            <w:vAlign w:val="center"/>
          </w:tcPr>
          <w:p w14:paraId="07B0843B" w14:textId="77777777" w:rsidR="000B173B" w:rsidRDefault="000B173B" w:rsidP="00A15226">
            <w:pPr>
              <w:pStyle w:val="Tabletext"/>
            </w:pPr>
            <w:r w:rsidRPr="00B83DE7">
              <w:rPr>
                <w:rFonts w:cs="Arial"/>
                <w:i/>
                <w:iCs/>
                <w:szCs w:val="18"/>
              </w:rPr>
              <w:t>Euphrasia collina subsp. muelleri</w:t>
            </w:r>
            <w:r>
              <w:rPr>
                <w:rFonts w:cs="Arial"/>
                <w:i/>
                <w:iCs/>
                <w:szCs w:val="18"/>
              </w:rPr>
              <w:t xml:space="preserve"> </w:t>
            </w:r>
            <w:r>
              <w:rPr>
                <w:rFonts w:cs="Arial"/>
                <w:szCs w:val="18"/>
              </w:rPr>
              <w:t>(Purple Eyebright) is a perennial herb which inhabits</w:t>
            </w:r>
            <w:r>
              <w:t xml:space="preserve"> open grassland, grassy woodland, heath in perched swamps, and heathy woodland </w:t>
            </w:r>
            <w:sdt>
              <w:sdtPr>
                <w:rPr>
                  <w:color w:val="000000"/>
                </w:rPr>
                <w:tag w:val="MENDELEY_CITATION_v3_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"/>
                <w:id w:val="910893965"/>
                <w:placeholder>
                  <w:docPart w:val="339B7D746526864D922760336FCFE603"/>
                </w:placeholder>
              </w:sdtPr>
              <w:sdtContent>
                <w:r w:rsidRPr="002F46CE">
                  <w:rPr>
                    <w:color w:val="000000"/>
                  </w:rPr>
                  <w:t>(TSSC, 2016h)</w:t>
                </w:r>
              </w:sdtContent>
            </w:sdt>
            <w:r>
              <w:rPr>
                <w:rFonts w:cs="Arial"/>
                <w:szCs w:val="18"/>
              </w:rPr>
              <w:t>.</w:t>
            </w:r>
          </w:p>
          <w:p w14:paraId="19CD6D27" w14:textId="77777777" w:rsidR="000B173B" w:rsidRDefault="000B173B" w:rsidP="00A15226">
            <w:pPr>
              <w:pStyle w:val="Tabletext"/>
              <w:rPr>
                <w:rFonts w:cs="Arial"/>
                <w:szCs w:val="18"/>
              </w:rPr>
            </w:pPr>
            <w:r>
              <w:t xml:space="preserve">Purple Eyebright was historically widespread across south-eastern Australia, from northern NSW through Victoria to SA. The </w:t>
            </w:r>
            <w:r>
              <w:rPr>
                <w:rFonts w:cs="Arial"/>
                <w:szCs w:val="18"/>
              </w:rPr>
              <w:t xml:space="preserve">species has become extinct throughout a substantial proportion of its range </w:t>
            </w:r>
            <w:sdt>
              <w:sdtPr>
                <w:rPr>
                  <w:rFonts w:cs="Arial"/>
                  <w:color w:val="000000"/>
                  <w:szCs w:val="18"/>
                </w:rPr>
                <w:tag w:val="MENDELEY_CITATION_v3_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"/>
                <w:id w:val="-486473446"/>
                <w:placeholder>
                  <w:docPart w:val="339B7D746526864D922760336FCFE603"/>
                </w:placeholder>
              </w:sdtPr>
              <w:sdtEndPr>
                <w:rPr>
                  <w:rFonts w:cs="Times New Roman"/>
                  <w:szCs w:val="20"/>
                </w:rPr>
              </w:sdtEndPr>
              <w:sdtContent>
                <w:r w:rsidRPr="002F46CE">
                  <w:rPr>
                    <w:color w:val="000000"/>
                  </w:rPr>
                  <w:t>(TSSC, 2016h)</w:t>
                </w:r>
              </w:sdtContent>
            </w:sdt>
            <w:r>
              <w:rPr>
                <w:rFonts w:cs="Arial"/>
                <w:szCs w:val="18"/>
              </w:rPr>
              <w:t>.</w:t>
            </w:r>
          </w:p>
          <w:p w14:paraId="78E140F7" w14:textId="77777777" w:rsidR="000B173B" w:rsidRDefault="000B173B" w:rsidP="00A15226">
            <w:pPr>
              <w:pStyle w:val="Tabletext"/>
              <w:rPr>
                <w:rFonts w:cs="Arial"/>
                <w:szCs w:val="18"/>
              </w:rPr>
            </w:pPr>
            <w:r>
              <w:rPr>
                <w:rFonts w:cs="Arial"/>
                <w:szCs w:val="18"/>
              </w:rPr>
              <w:t xml:space="preserve">In 2006, the species was known to occur at 11 widely separated localities in Victoria. Of these 11 localities, 3 were considered possibly destroyed or extinct. Of the 8 extant populations, 3 had uncertain taxonomy </w:t>
            </w:r>
            <w:sdt>
              <w:sdtPr>
                <w:rPr>
                  <w:rFonts w:cs="Arial"/>
                  <w:color w:val="000000"/>
                  <w:szCs w:val="18"/>
                </w:rPr>
                <w:tag w:val="MENDELEY_CITATION_v3_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"/>
                <w:id w:val="-97259787"/>
                <w:placeholder>
                  <w:docPart w:val="339B7D746526864D922760336FCFE603"/>
                </w:placeholder>
              </w:sdtPr>
              <w:sdtEndPr>
                <w:rPr>
                  <w:rFonts w:cs="Times New Roman"/>
                  <w:szCs w:val="20"/>
                </w:rPr>
              </w:sdtEndPr>
              <w:sdtContent>
                <w:r w:rsidRPr="002F46CE">
                  <w:rPr>
                    <w:color w:val="000000"/>
                  </w:rPr>
                  <w:t>(TSSC, 2016h)</w:t>
                </w:r>
              </w:sdtContent>
            </w:sdt>
            <w:r>
              <w:rPr>
                <w:rFonts w:cs="Arial"/>
                <w:szCs w:val="18"/>
              </w:rPr>
              <w:t>. None of these locations are in the vicinity of the Study Area.</w:t>
            </w:r>
          </w:p>
          <w:p w14:paraId="74862EBA" w14:textId="77777777" w:rsidR="000B173B" w:rsidRDefault="000B173B" w:rsidP="00A15226">
            <w:pPr>
              <w:pStyle w:val="Tabletext"/>
              <w:rPr>
                <w:rFonts w:cs="Arial"/>
                <w:szCs w:val="18"/>
              </w:rPr>
            </w:pPr>
            <w:r>
              <w:rPr>
                <w:rFonts w:cs="Arial"/>
                <w:szCs w:val="18"/>
              </w:rPr>
              <w:lastRenderedPageBreak/>
              <w:t xml:space="preserve">Further, the species’ Recovery Plan maps the former and current distribution of the species </w:t>
            </w:r>
            <w:sdt>
              <w:sdtPr>
                <w:rPr>
                  <w:rFonts w:cs="Arial"/>
                  <w:color w:val="000000"/>
                  <w:szCs w:val="18"/>
                </w:rPr>
                <w:tag w:val="MENDELEY_CITATION_v3_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"/>
                <w:id w:val="-1035118270"/>
                <w:placeholder>
                  <w:docPart w:val="339B7D746526864D922760336FCFE603"/>
                </w:placeholder>
              </w:sdtPr>
              <w:sdtEndPr>
                <w:rPr>
                  <w:rFonts w:cs="Times New Roman"/>
                  <w:szCs w:val="20"/>
                </w:rPr>
              </w:sdtEndPr>
              <w:sdtContent>
                <w:r w:rsidRPr="002F46CE">
                  <w:rPr>
                    <w:color w:val="000000"/>
                  </w:rPr>
                  <w:t>(Murphy and Downe, 2006)</w:t>
                </w:r>
              </w:sdtContent>
            </w:sdt>
            <w:r>
              <w:rPr>
                <w:rFonts w:cs="Arial"/>
                <w:szCs w:val="18"/>
              </w:rPr>
              <w:t>. The Study Area is not in proximity to identified current locations of the species.</w:t>
            </w:r>
          </w:p>
          <w:p w14:paraId="5ABB7E18" w14:textId="77777777" w:rsidR="000B173B" w:rsidRDefault="000B173B" w:rsidP="00A15226">
            <w:pPr>
              <w:pStyle w:val="Tabletext"/>
              <w:rPr>
                <w:rFonts w:cs="Arial"/>
                <w:szCs w:val="18"/>
              </w:rPr>
            </w:pPr>
            <w:r>
              <w:rPr>
                <w:rFonts w:cs="Arial"/>
                <w:szCs w:val="18"/>
              </w:rPr>
              <w:t xml:space="preserve">There are estimated to be fewer than 1,500 pants, of which 1,300 occur in one population (Deep Lead) </w:t>
            </w:r>
            <w:sdt>
              <w:sdtPr>
                <w:rPr>
                  <w:rFonts w:cs="Arial"/>
                  <w:color w:val="000000"/>
                  <w:szCs w:val="18"/>
                </w:rPr>
                <w:tag w:val="MENDELEY_CITATION_v3_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"/>
                <w:id w:val="-1717805186"/>
                <w:placeholder>
                  <w:docPart w:val="339B7D746526864D922760336FCFE603"/>
                </w:placeholder>
              </w:sdtPr>
              <w:sdtEndPr>
                <w:rPr>
                  <w:rFonts w:cs="Times New Roman"/>
                  <w:szCs w:val="20"/>
                </w:rPr>
              </w:sdtEndPr>
              <w:sdtContent>
                <w:r w:rsidRPr="002F46CE">
                  <w:rPr>
                    <w:color w:val="000000"/>
                  </w:rPr>
                  <w:t>(TSSC, 2016h)</w:t>
                </w:r>
              </w:sdtContent>
            </w:sdt>
            <w:r>
              <w:rPr>
                <w:rFonts w:cs="Arial"/>
                <w:szCs w:val="18"/>
              </w:rPr>
              <w:t>.</w:t>
            </w:r>
          </w:p>
          <w:p w14:paraId="65E1478B" w14:textId="77777777" w:rsidR="000B173B" w:rsidRPr="00D6603C" w:rsidRDefault="000B173B" w:rsidP="00A15226">
            <w:pPr>
              <w:pStyle w:val="Tabletext"/>
              <w:rPr>
                <w:rFonts w:cs="Arial"/>
                <w:szCs w:val="18"/>
              </w:rPr>
            </w:pPr>
            <w:r>
              <w:t xml:space="preserve">The species is threatened by altered fire regimes, habitat clearing, habitat disturbance and modification, weed invasion, and grazing by stock and rabbits </w:t>
            </w:r>
            <w:sdt>
              <w:sdtPr>
                <w:rPr>
                  <w:color w:val="000000"/>
                </w:rPr>
                <w:tag w:val="MENDELEY_CITATION_v3_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"/>
                <w:id w:val="-2080962791"/>
                <w:placeholder>
                  <w:docPart w:val="339B7D746526864D922760336FCFE603"/>
                </w:placeholder>
              </w:sdtPr>
              <w:sdtContent>
                <w:r w:rsidRPr="002F46CE">
                  <w:rPr>
                    <w:color w:val="000000"/>
                  </w:rPr>
                  <w:t>(TSSC, 2016h)</w:t>
                </w:r>
              </w:sdtContent>
            </w:sdt>
            <w:r>
              <w:rPr>
                <w:rFonts w:cs="Arial"/>
                <w:szCs w:val="18"/>
              </w:rPr>
              <w:t>.</w:t>
            </w:r>
          </w:p>
          <w:p w14:paraId="0E827DC2" w14:textId="77777777" w:rsidR="000B173B" w:rsidRDefault="000B173B" w:rsidP="00A15226">
            <w:pPr>
              <w:pStyle w:val="Tabletext"/>
            </w:pPr>
            <w:r>
              <w:t xml:space="preserve">There are two records of the species within the Study Area (observed in 1770, and 1853), occurring approximately 8.6 km away from the Growth Areas. Given the age of these records and that this locality is not recognised as a current location of the species by either the Recovery Plan or the Conservation Advice, it is unlikely that this population is extant </w:t>
            </w:r>
            <w:sdt>
              <w:sdtPr>
                <w:rPr>
                  <w:color w:val="000000"/>
                </w:rPr>
                <w:tag w:val="MENDELEY_CITATION_v3_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"/>
                <w:id w:val="-117831103"/>
                <w:placeholder>
                  <w:docPart w:val="339B7D746526864D922760336FCFE603"/>
                </w:placeholder>
              </w:sdtPr>
              <w:sdtContent>
                <w:r w:rsidRPr="002F46CE">
                  <w:rPr>
                    <w:color w:val="000000"/>
                  </w:rPr>
                  <w:t>(Murphy and Downe, 2006; TSSC, 2016h)</w:t>
                </w:r>
              </w:sdtContent>
            </w:sdt>
            <w:r>
              <w:t>.</w:t>
            </w:r>
          </w:p>
          <w:p w14:paraId="3F1F4249" w14:textId="77777777" w:rsidR="000B173B" w:rsidRPr="00AA2CF1" w:rsidRDefault="000B173B" w:rsidP="00A15226">
            <w:pPr>
              <w:pStyle w:val="Tabletext"/>
            </w:pPr>
            <w:r w:rsidRPr="00630347">
              <w:t xml:space="preserve">There are otherwise no existing records within the broader Study Area. Suitable potential habitat is limited within a largely agricultural landscape. </w:t>
            </w:r>
            <w:r>
              <w:t xml:space="preserve">It is therefore considered unlikely that the species would occur within the Strategic Assessment Area or the wider Study Area. </w:t>
            </w:r>
            <w:r w:rsidRPr="00630347">
              <w:t>Potential</w:t>
            </w:r>
            <w:r>
              <w:t xml:space="preserve"> direct and</w:t>
            </w:r>
            <w:r w:rsidRPr="00630347">
              <w:t xml:space="preserve"> indirect impacts to the species are considered unlikely.</w:t>
            </w:r>
          </w:p>
        </w:tc>
      </w:tr>
      <w:tr w:rsidR="000B173B" w14:paraId="0A25DEE0" w14:textId="77777777" w:rsidTr="00A15226">
        <w:tc>
          <w:tcPr>
            <w:tcW w:w="1480" w:type="dxa"/>
            <w:tcBorders>
              <w:bottom w:val="single" w:sz="4" w:space="0" w:color="auto"/>
            </w:tcBorders>
            <w:shd w:val="clear" w:color="auto" w:fill="auto"/>
            <w:vAlign w:val="center"/>
          </w:tcPr>
          <w:p w14:paraId="59FD463E" w14:textId="77777777" w:rsidR="000B173B" w:rsidRPr="00B83DE7" w:rsidRDefault="000B173B" w:rsidP="00A15226">
            <w:pPr>
              <w:pStyle w:val="Tabletext"/>
              <w:rPr>
                <w:szCs w:val="18"/>
              </w:rPr>
            </w:pPr>
            <w:r w:rsidRPr="00B83DE7">
              <w:rPr>
                <w:rFonts w:cs="Arial"/>
                <w:i/>
                <w:iCs/>
                <w:szCs w:val="18"/>
              </w:rPr>
              <w:lastRenderedPageBreak/>
              <w:t>Glycine latrobeana</w:t>
            </w:r>
          </w:p>
        </w:tc>
        <w:tc>
          <w:tcPr>
            <w:tcW w:w="1353" w:type="dxa"/>
            <w:tcBorders>
              <w:bottom w:val="single" w:sz="4" w:space="0" w:color="auto"/>
            </w:tcBorders>
            <w:shd w:val="clear" w:color="auto" w:fill="auto"/>
            <w:vAlign w:val="center"/>
          </w:tcPr>
          <w:p w14:paraId="647C9AAD" w14:textId="77777777" w:rsidR="000B173B" w:rsidRPr="00116F3A" w:rsidRDefault="000B173B" w:rsidP="00A15226">
            <w:pPr>
              <w:pStyle w:val="Tabletext"/>
              <w:rPr>
                <w:szCs w:val="18"/>
                <w:highlight w:val="yellow"/>
              </w:rPr>
            </w:pPr>
            <w:r w:rsidRPr="00C70924">
              <w:rPr>
                <w:rFonts w:cs="Arial"/>
                <w:szCs w:val="18"/>
              </w:rPr>
              <w:t>Clover Glycine</w:t>
            </w:r>
          </w:p>
        </w:tc>
        <w:tc>
          <w:tcPr>
            <w:tcW w:w="1235" w:type="dxa"/>
            <w:tcBorders>
              <w:bottom w:val="single" w:sz="4" w:space="0" w:color="auto"/>
            </w:tcBorders>
            <w:shd w:val="clear" w:color="auto" w:fill="auto"/>
            <w:vAlign w:val="center"/>
          </w:tcPr>
          <w:p w14:paraId="1B46DD1B"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089D0AC3" w14:textId="77777777" w:rsidR="000B173B" w:rsidRPr="00AC3FED" w:rsidRDefault="000B173B" w:rsidP="00A15226">
            <w:pPr>
              <w:pStyle w:val="Tabletext"/>
              <w:jc w:val="center"/>
              <w:rPr>
                <w:highlight w:val="yellow"/>
              </w:rPr>
            </w:pPr>
            <w:r w:rsidRPr="00D45CB7">
              <w:t>No</w:t>
            </w:r>
          </w:p>
        </w:tc>
        <w:tc>
          <w:tcPr>
            <w:tcW w:w="9072" w:type="dxa"/>
            <w:tcBorders>
              <w:bottom w:val="single" w:sz="4" w:space="0" w:color="auto"/>
            </w:tcBorders>
            <w:shd w:val="clear" w:color="auto" w:fill="auto"/>
            <w:vAlign w:val="center"/>
          </w:tcPr>
          <w:p w14:paraId="0BB285ED" w14:textId="77777777" w:rsidR="000B173B" w:rsidRDefault="000B173B" w:rsidP="00A15226">
            <w:pPr>
              <w:pStyle w:val="Tabletext"/>
            </w:pPr>
            <w:r w:rsidRPr="00E51895">
              <w:rPr>
                <w:i/>
                <w:iCs/>
              </w:rPr>
              <w:t>Glycine latrobeana</w:t>
            </w:r>
            <w:r w:rsidRPr="00E51895">
              <w:t xml:space="preserve"> (Clover Glycine) is a herb</w:t>
            </w:r>
            <w:r>
              <w:t xml:space="preserve"> which inhabits </w:t>
            </w:r>
            <w:r w:rsidRPr="00E51895">
              <w:t>grassland and grassy woodland habitat, and</w:t>
            </w:r>
            <w:r>
              <w:t xml:space="preserve"> occasionally </w:t>
            </w:r>
            <w:r w:rsidRPr="00E51895">
              <w:t>dry forests and heathlands</w:t>
            </w:r>
            <w:r>
              <w:t xml:space="preserve">. It occurs from sea level to 1,200 m altitude and is usually found on clay soils but can occur on a range of soil types </w:t>
            </w:r>
            <w:sdt>
              <w:sdtPr>
                <w:rPr>
                  <w:color w:val="000000"/>
                </w:rPr>
                <w:tag w:val="MENDELEY_CITATION_v3_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"/>
                <w:id w:val="101619090"/>
                <w:placeholder>
                  <w:docPart w:val="339B7D746526864D922760336FCFE603"/>
                </w:placeholder>
              </w:sdtPr>
              <w:sdtContent>
                <w:r w:rsidRPr="002F46CE">
                  <w:rPr>
                    <w:color w:val="000000"/>
                  </w:rPr>
                  <w:t>(Carter and Sutter, 2010)</w:t>
                </w:r>
              </w:sdtContent>
            </w:sdt>
            <w:r>
              <w:t>.</w:t>
            </w:r>
          </w:p>
          <w:p w14:paraId="5AC89995" w14:textId="77777777" w:rsidR="000B173B" w:rsidRDefault="000B173B" w:rsidP="00A15226">
            <w:pPr>
              <w:pStyle w:val="Tabletext"/>
            </w:pPr>
            <w:r>
              <w:t xml:space="preserve">It is endemic to south-eastern Australia. The species has a wide distribution from Port Pirie, through most of Victoria, to Tasmania and SA. </w:t>
            </w:r>
            <w:r w:rsidRPr="00E51895">
              <w:t>In Victoria, the species occurs in the Naracoorte Coastal Plain, the Australian Alps, the Southeastern Highlands, the South East Coastal Plain, Victorian Midlands, and the Victorian Volcanic Plains bioregion.</w:t>
            </w:r>
            <w:r>
              <w:t xml:space="preserve"> There are about 140 populations, of which 65 occur in Victoria </w:t>
            </w:r>
            <w:sdt>
              <w:sdtPr>
                <w:rPr>
                  <w:color w:val="000000"/>
                </w:rPr>
                <w:tag w:val="MENDELEY_CITATION_v3_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"/>
                <w:id w:val="-933438537"/>
                <w:placeholder>
                  <w:docPart w:val="339B7D746526864D922760336FCFE603"/>
                </w:placeholder>
              </w:sdtPr>
              <w:sdtContent>
                <w:r w:rsidRPr="002F46CE">
                  <w:rPr>
                    <w:color w:val="000000"/>
                  </w:rPr>
                  <w:t>(Carter and Sutter, 2010)</w:t>
                </w:r>
              </w:sdtContent>
            </w:sdt>
            <w:r>
              <w:t xml:space="preserve">. </w:t>
            </w:r>
          </w:p>
          <w:p w14:paraId="5CB8C3B7" w14:textId="77777777" w:rsidR="000B173B" w:rsidRDefault="000B173B" w:rsidP="00A15226">
            <w:pPr>
              <w:pStyle w:val="Tabletext"/>
            </w:pPr>
            <w:r>
              <w:t xml:space="preserve">The species is hard to locate and is generally only detected in fruit or flower </w:t>
            </w:r>
            <w:sdt>
              <w:sdtPr>
                <w:rPr>
                  <w:color w:val="000000"/>
                </w:rPr>
                <w:tag w:val="MENDELEY_CITATION_v3_eyJjaXRhdGlvbklEIjoiTUVOREVMRVlfQ0lUQVRJT05fZmM2NzZmZWUtOTFjNC00MmFjLTg0MWYtOGJjMDU4ODEzMTNm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990941997"/>
                <w:placeholder>
                  <w:docPart w:val="339B7D746526864D922760336FCFE603"/>
                </w:placeholder>
              </w:sdtPr>
              <w:sdtContent>
                <w:r w:rsidRPr="002F46CE">
                  <w:rPr>
                    <w:color w:val="000000"/>
                  </w:rPr>
                  <w:t>(DCCEEW, 2022)</w:t>
                </w:r>
              </w:sdtContent>
            </w:sdt>
            <w:r>
              <w:t>.</w:t>
            </w:r>
          </w:p>
          <w:p w14:paraId="37393479" w14:textId="77777777" w:rsidR="000B173B" w:rsidRPr="000F472E" w:rsidRDefault="000B173B" w:rsidP="00A15226">
            <w:pPr>
              <w:pStyle w:val="Tabletext"/>
            </w:pPr>
            <w:r>
              <w:t xml:space="preserve">Clover Glycine is </w:t>
            </w:r>
            <w:r w:rsidRPr="000F472E">
              <w:t xml:space="preserve">threatened by weed invasion, inappropriate fire regimes, grazing by native and introduced herbivores, and human-induced disturbance </w:t>
            </w:r>
            <w:sdt>
              <w:sdtPr>
                <w:rPr>
                  <w:color w:val="000000"/>
                </w:rPr>
                <w:tag w:val="MENDELEY_CITATION_v3_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"/>
                <w:id w:val="205377193"/>
                <w:placeholder>
                  <w:docPart w:val="339B7D746526864D922760336FCFE603"/>
                </w:placeholder>
              </w:sdtPr>
              <w:sdtContent>
                <w:r w:rsidRPr="002F46CE">
                  <w:rPr>
                    <w:color w:val="000000"/>
                  </w:rPr>
                  <w:t>(Carter and Sutter, 2010)</w:t>
                </w:r>
              </w:sdtContent>
            </w:sdt>
            <w:r w:rsidRPr="000F472E">
              <w:t>.</w:t>
            </w:r>
          </w:p>
          <w:p w14:paraId="289EDC80" w14:textId="77777777" w:rsidR="000B173B" w:rsidRDefault="000B173B" w:rsidP="00A15226">
            <w:pPr>
              <w:pStyle w:val="Tabletext"/>
            </w:pPr>
            <w:r w:rsidRPr="006900FB">
              <w:t xml:space="preserve">Targeted surveys for Clover Glycine were conducted within the Growth Areas. No specimens were identified during survey. Given the presence of known threatening processes within the Growth Areas, it is considered highly unlikely that this species would occur within the surveyed areas of the Growth Areas </w:t>
            </w:r>
            <w:sdt>
              <w:sdtPr>
                <w:rPr>
                  <w:color w:val="000000"/>
                </w:rPr>
                <w:tag w:val="MENDELEY_CITATION_v3_eyJjaXRhdGlvbklEIjoiTUVOREVMRVlfQ0lUQVRJT05fOGU1NDE3MWMtODcxNi00ODI1LTg5NGYtMjY4OTYzNTdjYTVk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452361381"/>
                <w:placeholder>
                  <w:docPart w:val="339B7D746526864D922760336FCFE603"/>
                </w:placeholder>
              </w:sdtPr>
              <w:sdtContent>
                <w:r w:rsidRPr="002F46CE">
                  <w:rPr>
                    <w:color w:val="000000"/>
                  </w:rPr>
                  <w:t>(EHP, 2021)</w:t>
                </w:r>
              </w:sdtContent>
            </w:sdt>
            <w:r w:rsidRPr="006900FB">
              <w:t>. Direct impacts to the species in these areas are considered unlikely.</w:t>
            </w:r>
          </w:p>
          <w:p w14:paraId="717DEC78" w14:textId="77777777" w:rsidR="000B173B" w:rsidRPr="00845BA7" w:rsidRDefault="000B173B" w:rsidP="00A15226">
            <w:pPr>
              <w:pStyle w:val="Tabletext"/>
            </w:pPr>
            <w:r w:rsidRPr="006900FB">
              <w:t>The unsurveyed areas of the Growth Areas are assumed to support habitat for</w:t>
            </w:r>
            <w:r>
              <w:t xml:space="preserve"> the same</w:t>
            </w:r>
            <w:r w:rsidRPr="006900FB">
              <w:t xml:space="preserve"> threatened species which were recorded within the Growth Areas (see Section 13.3.2 of Part 3 for details). Given that these areas are more modified or degraded than the surveyed areas of the Growth Areas, and the species was not recorded during targeted surveys, potential direct impacts to Clover Glycine within the unsurveyed areas are unlikely. </w:t>
            </w:r>
          </w:p>
          <w:p w14:paraId="06E5ACDC" w14:textId="77777777" w:rsidR="000B173B" w:rsidRPr="00845BA7" w:rsidRDefault="000B173B" w:rsidP="00A15226">
            <w:pPr>
              <w:pStyle w:val="Tabletext"/>
            </w:pPr>
            <w:r w:rsidRPr="006900FB">
              <w:lastRenderedPageBreak/>
              <w:t>The broader Strategic Assessment Area has not been surveyed and will be subject to development within the external infrastructure footprints. The Plan includes a Measure to undertake targeted surveys within the external infrastructure footprints for all protected matters with the potential to occur. Any potential direct impacts to the species within these areas will be addressed following field surveys.</w:t>
            </w:r>
          </w:p>
          <w:p w14:paraId="342531BD" w14:textId="77777777" w:rsidR="000B173B" w:rsidRDefault="000B173B" w:rsidP="00A15226">
            <w:pPr>
              <w:pStyle w:val="Tabletext"/>
            </w:pPr>
            <w:r w:rsidRPr="00845BA7">
              <w:t>There are twelve records of the species within the Study Area, two of which pre-date 1900</w:t>
            </w:r>
            <w:r>
              <w:t xml:space="preserve">. The remaining eight records date between 2001 and 2017. The closest recent record occurs approximately 13.7 km away from the Growth Areas. </w:t>
            </w:r>
          </w:p>
          <w:p w14:paraId="11F1F3E2" w14:textId="77777777" w:rsidR="000B173B" w:rsidRDefault="000B173B" w:rsidP="00A15226">
            <w:pPr>
              <w:pStyle w:val="Tabletext"/>
            </w:pPr>
            <w:r w:rsidRPr="00C70924">
              <w:t xml:space="preserve">Potential indirect impacts from development, such as those associated with </w:t>
            </w:r>
            <w:r>
              <w:t>weeds and disturbance,</w:t>
            </w:r>
            <w:r w:rsidRPr="00C70924">
              <w:t xml:space="preserve"> are unlikely to exacerbate existing threats to the species given the agricultural landscape context and the distance of the nearest records to proposed development.</w:t>
            </w:r>
          </w:p>
        </w:tc>
      </w:tr>
      <w:tr w:rsidR="000B173B" w14:paraId="6A3B1B3F" w14:textId="77777777" w:rsidTr="00A15226">
        <w:tc>
          <w:tcPr>
            <w:tcW w:w="1480" w:type="dxa"/>
            <w:tcBorders>
              <w:bottom w:val="single" w:sz="4" w:space="0" w:color="auto"/>
            </w:tcBorders>
            <w:shd w:val="clear" w:color="auto" w:fill="auto"/>
            <w:vAlign w:val="center"/>
          </w:tcPr>
          <w:p w14:paraId="69E3EC92" w14:textId="77777777" w:rsidR="000B173B" w:rsidRPr="00B83DE7" w:rsidRDefault="000B173B" w:rsidP="00A15226">
            <w:pPr>
              <w:pStyle w:val="Tabletext"/>
              <w:rPr>
                <w:szCs w:val="18"/>
              </w:rPr>
            </w:pPr>
            <w:r w:rsidRPr="00B83DE7">
              <w:rPr>
                <w:rFonts w:cs="Arial"/>
                <w:i/>
                <w:iCs/>
                <w:szCs w:val="18"/>
              </w:rPr>
              <w:lastRenderedPageBreak/>
              <w:t>Lachnagrostis adamsonii</w:t>
            </w:r>
          </w:p>
        </w:tc>
        <w:tc>
          <w:tcPr>
            <w:tcW w:w="1353" w:type="dxa"/>
            <w:tcBorders>
              <w:bottom w:val="single" w:sz="4" w:space="0" w:color="auto"/>
            </w:tcBorders>
            <w:shd w:val="clear" w:color="auto" w:fill="auto"/>
            <w:vAlign w:val="center"/>
          </w:tcPr>
          <w:p w14:paraId="67F79BE4" w14:textId="77777777" w:rsidR="000B173B" w:rsidRPr="00116F3A" w:rsidRDefault="000B173B" w:rsidP="00A15226">
            <w:pPr>
              <w:pStyle w:val="Tabletext"/>
              <w:rPr>
                <w:szCs w:val="18"/>
                <w:highlight w:val="yellow"/>
              </w:rPr>
            </w:pPr>
            <w:r w:rsidRPr="00B168F5">
              <w:rPr>
                <w:rFonts w:cs="Arial"/>
                <w:szCs w:val="18"/>
              </w:rPr>
              <w:t>Adamson's Blown-grass</w:t>
            </w:r>
          </w:p>
        </w:tc>
        <w:tc>
          <w:tcPr>
            <w:tcW w:w="1235" w:type="dxa"/>
            <w:tcBorders>
              <w:bottom w:val="single" w:sz="4" w:space="0" w:color="auto"/>
            </w:tcBorders>
            <w:shd w:val="clear" w:color="auto" w:fill="auto"/>
            <w:vAlign w:val="center"/>
          </w:tcPr>
          <w:p w14:paraId="21246786" w14:textId="77777777" w:rsidR="000B173B" w:rsidRPr="00B83DE7" w:rsidRDefault="000B173B" w:rsidP="00A15226">
            <w:pPr>
              <w:pStyle w:val="Tabletext"/>
              <w:rPr>
                <w:szCs w:val="18"/>
              </w:rPr>
            </w:pPr>
            <w:r w:rsidRPr="00B83DE7">
              <w:rPr>
                <w:rFonts w:cs="Arial"/>
                <w:szCs w:val="18"/>
              </w:rPr>
              <w:t xml:space="preserve">Endangered </w:t>
            </w:r>
          </w:p>
        </w:tc>
        <w:tc>
          <w:tcPr>
            <w:tcW w:w="1177" w:type="dxa"/>
            <w:tcBorders>
              <w:bottom w:val="single" w:sz="4" w:space="0" w:color="auto"/>
            </w:tcBorders>
            <w:shd w:val="clear" w:color="auto" w:fill="auto"/>
            <w:vAlign w:val="center"/>
          </w:tcPr>
          <w:p w14:paraId="0CA45686" w14:textId="77777777" w:rsidR="000B173B" w:rsidRPr="00AC3FED" w:rsidRDefault="000B173B" w:rsidP="00A15226">
            <w:pPr>
              <w:pStyle w:val="Tabletext"/>
              <w:jc w:val="center"/>
              <w:rPr>
                <w:highlight w:val="yellow"/>
              </w:rPr>
            </w:pPr>
            <w:r w:rsidRPr="00D45CB7">
              <w:t>Yes</w:t>
            </w:r>
          </w:p>
        </w:tc>
        <w:tc>
          <w:tcPr>
            <w:tcW w:w="9072" w:type="dxa"/>
            <w:tcBorders>
              <w:bottom w:val="single" w:sz="4" w:space="0" w:color="auto"/>
            </w:tcBorders>
            <w:shd w:val="clear" w:color="auto" w:fill="auto"/>
            <w:vAlign w:val="center"/>
          </w:tcPr>
          <w:p w14:paraId="17981A2A" w14:textId="77777777" w:rsidR="000B173B" w:rsidRDefault="000B173B" w:rsidP="00A15226">
            <w:pPr>
              <w:pStyle w:val="Tabletext"/>
            </w:pPr>
            <w:r w:rsidRPr="00AE0A54">
              <w:rPr>
                <w:i/>
                <w:iCs/>
              </w:rPr>
              <w:t>Lachnagrostis adamsonii</w:t>
            </w:r>
            <w:r w:rsidRPr="006C22FF">
              <w:t xml:space="preserve"> (Adamson’s Blown-grass) is a grass</w:t>
            </w:r>
            <w:r>
              <w:t xml:space="preserve"> which is confined to</w:t>
            </w:r>
            <w:r w:rsidRPr="006C22FF">
              <w:t xml:space="preserve"> slow moving creeks, depressions and drainage lines which may become waterlogged or inundated seasonally</w:t>
            </w:r>
            <w:r>
              <w:t xml:space="preserve"> </w:t>
            </w:r>
            <w:sdt>
              <w:sdtPr>
                <w:rPr>
                  <w:color w:val="000000"/>
                </w:rPr>
                <w:tag w:val="MENDELEY_CITATION_v3_eyJjaXRhdGlvbklEIjoiTUVOREVMRVlfQ0lUQVRJT05fNDE5MmVkM2QtMjNiNi00ZjdlLTllMzctMjhjZjRhNGFlNDUw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083221077"/>
                <w:placeholder>
                  <w:docPart w:val="339B7D746526864D922760336FCFE603"/>
                </w:placeholder>
              </w:sdtPr>
              <w:sdtContent>
                <w:r w:rsidRPr="002F46CE">
                  <w:rPr>
                    <w:color w:val="000000"/>
                  </w:rPr>
                  <w:t>(Murphy, 2010)</w:t>
                </w:r>
              </w:sdtContent>
            </w:sdt>
            <w:r>
              <w:t>.</w:t>
            </w:r>
          </w:p>
          <w:p w14:paraId="41307BAC" w14:textId="77777777" w:rsidR="000B173B" w:rsidRDefault="000B173B" w:rsidP="00A15226">
            <w:pPr>
              <w:pStyle w:val="Tabletext"/>
            </w:pPr>
            <w:r>
              <w:t xml:space="preserve">The species is endemic to south-western Victoria. It occurs in an area of 15,000 km² from Clifton Springs to near Coleraine in the Victorian Volcanic Plains and Victorian Midlands bioregions. It is highly likely that many historical populations of the species were lost due to extensive native vegetation loss within this area </w:t>
            </w:r>
            <w:sdt>
              <w:sdtPr>
                <w:rPr>
                  <w:color w:val="000000"/>
                </w:rPr>
                <w:tag w:val="MENDELEY_CITATION_v3_eyJjaXRhdGlvbklEIjoiTUVOREVMRVlfQ0lUQVRJT05fNzk5M2U3NDctZWQxNS00ZWEyLTk0ZDAtNDc1Y2ZhMjc3ODE5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634220108"/>
                <w:placeholder>
                  <w:docPart w:val="339B7D746526864D922760336FCFE603"/>
                </w:placeholder>
              </w:sdtPr>
              <w:sdtContent>
                <w:r w:rsidRPr="002F46CE">
                  <w:rPr>
                    <w:color w:val="000000"/>
                  </w:rPr>
                  <w:t>(Murphy, 2010)</w:t>
                </w:r>
              </w:sdtContent>
            </w:sdt>
            <w:r>
              <w:t>.</w:t>
            </w:r>
          </w:p>
          <w:p w14:paraId="7C055B15" w14:textId="77777777" w:rsidR="000B173B" w:rsidRDefault="000B173B" w:rsidP="00A15226">
            <w:pPr>
              <w:pStyle w:val="Tabletext"/>
            </w:pPr>
            <w:r>
              <w:t xml:space="preserve">In the 1990s, extensive surveying identified the species at </w:t>
            </w:r>
            <w:r w:rsidRPr="00D46F49">
              <w:t>68 locations</w:t>
            </w:r>
            <w:r w:rsidRPr="00D04B81">
              <w:t>.</w:t>
            </w:r>
            <w:r w:rsidRPr="00D46F49">
              <w:t xml:space="preserve"> </w:t>
            </w:r>
            <w:r>
              <w:t>However, t</w:t>
            </w:r>
            <w:r w:rsidRPr="00D46F49">
              <w:t>he</w:t>
            </w:r>
            <w:r>
              <w:t xml:space="preserve"> current number of populations is believed to be substantially fewer. The total number of plants is </w:t>
            </w:r>
            <w:r w:rsidRPr="00BE4D91">
              <w:t>unknown</w:t>
            </w:r>
            <w:r w:rsidRPr="00D04B81">
              <w:t xml:space="preserve">. Estimates suggest there are </w:t>
            </w:r>
            <w:r>
              <w:t xml:space="preserve">&lt;50,000 plants. Populations occupy small </w:t>
            </w:r>
            <w:r w:rsidRPr="00BE4D91">
              <w:t>areas</w:t>
            </w:r>
            <w:r w:rsidRPr="00D04B81">
              <w:t xml:space="preserve"> of</w:t>
            </w:r>
            <w:r w:rsidRPr="00BE4D91">
              <w:t xml:space="preserve"> less</w:t>
            </w:r>
            <w:r>
              <w:t xml:space="preserve"> than 1 ha </w:t>
            </w:r>
            <w:sdt>
              <w:sdtPr>
                <w:rPr>
                  <w:color w:val="000000"/>
                </w:rPr>
                <w:tag w:val="MENDELEY_CITATION_v3_eyJjaXRhdGlvbklEIjoiTUVOREVMRVlfQ0lUQVRJT05fNTIyY2ZjYTUtMzA3My00NjViLTk1YTItMjE3ODQyNWM5YzQy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31145455"/>
                <w:placeholder>
                  <w:docPart w:val="339B7D746526864D922760336FCFE603"/>
                </w:placeholder>
              </w:sdtPr>
              <w:sdtContent>
                <w:r w:rsidRPr="002F46CE">
                  <w:rPr>
                    <w:color w:val="000000"/>
                  </w:rPr>
                  <w:t>(Murphy, 2010)</w:t>
                </w:r>
              </w:sdtContent>
            </w:sdt>
            <w:r>
              <w:t>.</w:t>
            </w:r>
          </w:p>
          <w:p w14:paraId="74844084" w14:textId="77777777" w:rsidR="000B173B" w:rsidRDefault="000B173B" w:rsidP="00A15226">
            <w:pPr>
              <w:pStyle w:val="Tabletext"/>
            </w:pPr>
            <w:r>
              <w:t>The species’ Recovery Plan has identified the following threats:</w:t>
            </w:r>
            <w:r w:rsidRPr="006C22FF">
              <w:t xml:space="preserve"> alterations to hydrology, invasion and competition from weeds, disturbance and destruction of plants and habitat</w:t>
            </w:r>
            <w:r>
              <w:t>,</w:t>
            </w:r>
            <w:r w:rsidRPr="006C22FF">
              <w:t xml:space="preserve"> and grazing </w:t>
            </w:r>
            <w:sdt>
              <w:sdtPr>
                <w:rPr>
                  <w:color w:val="000000"/>
                </w:rPr>
                <w:tag w:val="MENDELEY_CITATION_v3_eyJjaXRhdGlvbklEIjoiTUVOREVMRVlfQ0lUQVRJT05fZjdhOTVmMTMtNjQ2Zi00YzgxLThhZDktNWJhYWM5YmQ2Y2I5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1060471420"/>
                <w:placeholder>
                  <w:docPart w:val="339B7D746526864D922760336FCFE603"/>
                </w:placeholder>
              </w:sdtPr>
              <w:sdtContent>
                <w:r w:rsidRPr="002F46CE">
                  <w:rPr>
                    <w:color w:val="000000"/>
                  </w:rPr>
                  <w:t>(Murphy, 2010)</w:t>
                </w:r>
              </w:sdtContent>
            </w:sdt>
            <w:r w:rsidRPr="006C22FF">
              <w:t>.</w:t>
            </w:r>
          </w:p>
          <w:p w14:paraId="10AC0CF4" w14:textId="77777777" w:rsidR="000B173B" w:rsidRDefault="000B173B" w:rsidP="00A15226">
            <w:pPr>
              <w:pStyle w:val="Tabletext"/>
            </w:pPr>
            <w:r>
              <w:t xml:space="preserve">The species’ 2010 Recovery Plan identified 16 important populations of the species. One important population occurs within the Strategic Assessment Area located at Warners Road near Cowies Creek. This population consists of up to 500 plants and is considered to be the largest population at the eastern edge of the species range </w:t>
            </w:r>
            <w:sdt>
              <w:sdtPr>
                <w:rPr>
                  <w:color w:val="000000"/>
                </w:rPr>
                <w:tag w:val="MENDELEY_CITATION_v3_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"/>
                <w:id w:val="-612749074"/>
                <w:placeholder>
                  <w:docPart w:val="339B7D746526864D922760336FCFE603"/>
                </w:placeholder>
              </w:sdtPr>
              <w:sdtContent>
                <w:r w:rsidRPr="002F46CE">
                  <w:rPr>
                    <w:color w:val="000000"/>
                  </w:rPr>
                  <w:t>(Murphy, 2010)</w:t>
                </w:r>
              </w:sdtContent>
            </w:sdt>
            <w:r>
              <w:t xml:space="preserve">. </w:t>
            </w:r>
          </w:p>
          <w:p w14:paraId="3379B001" w14:textId="77777777" w:rsidR="000B173B" w:rsidRDefault="000B173B" w:rsidP="00A15226">
            <w:pPr>
              <w:pStyle w:val="Tabletext"/>
            </w:pPr>
            <w:r w:rsidRPr="0067593B">
              <w:t>Site surveys in 2019 and 2020</w:t>
            </w:r>
            <w:r>
              <w:t xml:space="preserve"> within WGGA</w:t>
            </w:r>
            <w:r w:rsidRPr="0067593B">
              <w:t xml:space="preserve"> did not record Adamson’s Blown</w:t>
            </w:r>
            <w:r>
              <w:t>-g</w:t>
            </w:r>
            <w:r w:rsidRPr="0067593B">
              <w:t>rass along Cowies Creek</w:t>
            </w:r>
            <w:r>
              <w:t xml:space="preserve">. </w:t>
            </w:r>
            <w:r w:rsidRPr="0067593B">
              <w:t xml:space="preserve">However, the species has been assumed present </w:t>
            </w:r>
            <w:r>
              <w:t xml:space="preserve">in Cowies Creek </w:t>
            </w:r>
            <w:r w:rsidRPr="0067593B">
              <w:t>based on the presence of historical records and suitable habitat</w:t>
            </w:r>
            <w:r>
              <w:t xml:space="preserve"> </w:t>
            </w:r>
            <w:sdt>
              <w:sdtPr>
                <w:rPr>
                  <w:color w:val="000000"/>
                </w:rPr>
                <w:tag w:val="MENDELEY_CITATION_v3_eyJjaXRhdGlvbklEIjoiTUVOREVMRVlfQ0lUQVRJT05fNzkzODQ3NjEtMzNhZC00NmY2LWIyMWQtZjQ2M2NiYjQ4YjAx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908370520"/>
                <w:placeholder>
                  <w:docPart w:val="339B7D746526864D922760336FCFE603"/>
                </w:placeholder>
              </w:sdtPr>
              <w:sdtContent>
                <w:r w:rsidRPr="002F46CE">
                  <w:rPr>
                    <w:color w:val="000000"/>
                  </w:rPr>
                  <w:t>(EHP, 2021)</w:t>
                </w:r>
              </w:sdtContent>
            </w:sdt>
            <w:r>
              <w:t xml:space="preserve">. </w:t>
            </w:r>
          </w:p>
          <w:p w14:paraId="5E61D527" w14:textId="77777777" w:rsidR="000B173B" w:rsidRPr="009503E7" w:rsidRDefault="000B173B" w:rsidP="00A15226">
            <w:pPr>
              <w:pStyle w:val="Numbering2"/>
              <w:numPr>
                <w:ilvl w:val="0"/>
                <w:numId w:val="0"/>
              </w:numPr>
              <w:rPr>
                <w:i/>
                <w:iCs/>
              </w:rPr>
            </w:pPr>
            <w:r w:rsidRPr="00764804">
              <w:rPr>
                <w:lang w:eastAsia="en-AU"/>
              </w:rPr>
              <w:t>Further detailed assessment is needed to understand the potential for direct, indirect and cumulative impacts.</w:t>
            </w:r>
            <w:r>
              <w:rPr>
                <w:lang w:eastAsia="en-AU"/>
              </w:rPr>
              <w:t xml:space="preserve"> </w:t>
            </w:r>
            <w:r>
              <w:t>Refer to Section 20.1 of Part 4 for the detailed impact assessment of Adamson’s Blown-grass.</w:t>
            </w:r>
          </w:p>
        </w:tc>
      </w:tr>
      <w:tr w:rsidR="000B173B" w14:paraId="5ABFFCDB" w14:textId="77777777" w:rsidTr="00A15226">
        <w:tc>
          <w:tcPr>
            <w:tcW w:w="1480" w:type="dxa"/>
            <w:tcBorders>
              <w:bottom w:val="single" w:sz="4" w:space="0" w:color="auto"/>
            </w:tcBorders>
            <w:shd w:val="clear" w:color="auto" w:fill="auto"/>
            <w:vAlign w:val="center"/>
          </w:tcPr>
          <w:p w14:paraId="7891372B" w14:textId="77777777" w:rsidR="000B173B" w:rsidRPr="00B83DE7" w:rsidRDefault="000B173B" w:rsidP="00A15226">
            <w:pPr>
              <w:pStyle w:val="Tabletext"/>
              <w:rPr>
                <w:szCs w:val="18"/>
              </w:rPr>
            </w:pPr>
            <w:r w:rsidRPr="00B83DE7">
              <w:rPr>
                <w:rFonts w:cs="Arial"/>
                <w:i/>
                <w:iCs/>
                <w:szCs w:val="18"/>
              </w:rPr>
              <w:lastRenderedPageBreak/>
              <w:t>Lepidium aschersonii</w:t>
            </w:r>
          </w:p>
        </w:tc>
        <w:tc>
          <w:tcPr>
            <w:tcW w:w="1353" w:type="dxa"/>
            <w:tcBorders>
              <w:bottom w:val="single" w:sz="4" w:space="0" w:color="auto"/>
            </w:tcBorders>
            <w:shd w:val="clear" w:color="auto" w:fill="auto"/>
            <w:vAlign w:val="center"/>
          </w:tcPr>
          <w:p w14:paraId="75FE736A" w14:textId="77777777" w:rsidR="000B173B" w:rsidRPr="00116F3A" w:rsidRDefault="000B173B" w:rsidP="00A15226">
            <w:pPr>
              <w:pStyle w:val="Tabletext"/>
              <w:rPr>
                <w:szCs w:val="18"/>
                <w:highlight w:val="yellow"/>
              </w:rPr>
            </w:pPr>
            <w:r w:rsidRPr="0092265F">
              <w:rPr>
                <w:rFonts w:cs="Arial"/>
                <w:szCs w:val="18"/>
              </w:rPr>
              <w:t>Spiny Pepper-cress</w:t>
            </w:r>
          </w:p>
        </w:tc>
        <w:tc>
          <w:tcPr>
            <w:tcW w:w="1235" w:type="dxa"/>
            <w:tcBorders>
              <w:bottom w:val="single" w:sz="4" w:space="0" w:color="auto"/>
            </w:tcBorders>
            <w:shd w:val="clear" w:color="auto" w:fill="auto"/>
            <w:vAlign w:val="center"/>
          </w:tcPr>
          <w:p w14:paraId="3D9EA105"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09940BDF" w14:textId="77777777" w:rsidR="000B173B" w:rsidRPr="00AC3FED" w:rsidRDefault="000B173B" w:rsidP="00A15226">
            <w:pPr>
              <w:pStyle w:val="Tabletext"/>
              <w:jc w:val="center"/>
              <w:rPr>
                <w:highlight w:val="yellow"/>
              </w:rPr>
            </w:pPr>
            <w:r>
              <w:t>No</w:t>
            </w:r>
          </w:p>
        </w:tc>
        <w:tc>
          <w:tcPr>
            <w:tcW w:w="9072" w:type="dxa"/>
            <w:tcBorders>
              <w:bottom w:val="single" w:sz="4" w:space="0" w:color="auto"/>
            </w:tcBorders>
            <w:shd w:val="clear" w:color="auto" w:fill="auto"/>
            <w:vAlign w:val="center"/>
          </w:tcPr>
          <w:p w14:paraId="0F980F54" w14:textId="77777777" w:rsidR="000B173B" w:rsidRDefault="000B173B" w:rsidP="00A15226">
            <w:pPr>
              <w:pStyle w:val="Tabletext"/>
              <w:rPr>
                <w:rFonts w:cs="Arial"/>
                <w:szCs w:val="18"/>
              </w:rPr>
            </w:pPr>
            <w:r w:rsidRPr="00B83DE7">
              <w:rPr>
                <w:rFonts w:cs="Arial"/>
                <w:i/>
                <w:iCs/>
                <w:szCs w:val="18"/>
              </w:rPr>
              <w:t>Lepidium aschersonii</w:t>
            </w:r>
            <w:r>
              <w:rPr>
                <w:rFonts w:cs="Arial"/>
                <w:i/>
                <w:iCs/>
                <w:szCs w:val="18"/>
              </w:rPr>
              <w:t xml:space="preserve"> </w:t>
            </w:r>
            <w:r>
              <w:rPr>
                <w:rFonts w:cs="Arial"/>
                <w:szCs w:val="18"/>
              </w:rPr>
              <w:t>(</w:t>
            </w:r>
            <w:r w:rsidRPr="00B83DE7">
              <w:rPr>
                <w:rFonts w:cs="Arial"/>
                <w:szCs w:val="18"/>
              </w:rPr>
              <w:t>Spiny Pepper-cress</w:t>
            </w:r>
            <w:r>
              <w:rPr>
                <w:rFonts w:cs="Arial"/>
                <w:szCs w:val="18"/>
              </w:rPr>
              <w:t xml:space="preserve">) is a perennial herb that inhabits </w:t>
            </w:r>
            <w:r>
              <w:t xml:space="preserve">periodically wet sites including depressions and the margins of marshes and shallow lakes. The species is </w:t>
            </w:r>
            <w:r>
              <w:rPr>
                <w:rFonts w:cs="Arial"/>
                <w:szCs w:val="18"/>
              </w:rPr>
              <w:t xml:space="preserve">endemic to mainland Australia and is distributed patchily from NSW to Western Australia </w:t>
            </w:r>
            <w:sdt>
              <w:sdtPr>
                <w:rPr>
                  <w:rFonts w:cs="Arial"/>
                  <w:color w:val="000000"/>
                  <w:szCs w:val="18"/>
                </w:rPr>
                <w:tag w:val="MENDELEY_CITATION_v3_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"/>
                <w:id w:val="295798878"/>
                <w:placeholder>
                  <w:docPart w:val="339B7D746526864D922760336FCFE603"/>
                </w:placeholder>
              </w:sdtPr>
              <w:sdtEndPr>
                <w:rPr>
                  <w:rFonts w:cs="Times New Roman"/>
                  <w:szCs w:val="20"/>
                </w:rPr>
              </w:sdtEndPr>
              <w:sdtContent>
                <w:r w:rsidRPr="002F46CE">
                  <w:rPr>
                    <w:color w:val="000000"/>
                  </w:rPr>
                  <w:t>(Carter, 2010b)</w:t>
                </w:r>
              </w:sdtContent>
            </w:sdt>
            <w:r>
              <w:rPr>
                <w:rFonts w:cs="Arial"/>
                <w:szCs w:val="18"/>
              </w:rPr>
              <w:t>.</w:t>
            </w:r>
          </w:p>
          <w:p w14:paraId="5790CE86" w14:textId="77777777" w:rsidR="000B173B" w:rsidRDefault="000B173B" w:rsidP="00A15226">
            <w:pPr>
              <w:pStyle w:val="Tabletext"/>
              <w:rPr>
                <w:rFonts w:cs="Arial"/>
                <w:szCs w:val="18"/>
              </w:rPr>
            </w:pPr>
            <w:r>
              <w:rPr>
                <w:rFonts w:cs="Arial"/>
                <w:szCs w:val="18"/>
              </w:rPr>
              <w:t xml:space="preserve">As of 2010, there were 18 known sites in Victoria from 2 geographically separate locations. Almost all sites occur 100 – 200 km west of Melbourne in the area bordered by Mortlake, Cressy, Colac and Ararat, with an outlier near Benambra </w:t>
            </w:r>
            <w:sdt>
              <w:sdtPr>
                <w:rPr>
                  <w:rFonts w:cs="Arial"/>
                  <w:color w:val="000000"/>
                  <w:szCs w:val="18"/>
                </w:rPr>
                <w:tag w:val="MENDELEY_CITATION_v3_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"/>
                <w:id w:val="166921194"/>
                <w:placeholder>
                  <w:docPart w:val="339B7D746526864D922760336FCFE603"/>
                </w:placeholder>
              </w:sdtPr>
              <w:sdtEndPr>
                <w:rPr>
                  <w:rFonts w:cs="Times New Roman"/>
                  <w:szCs w:val="20"/>
                </w:rPr>
              </w:sdtEndPr>
              <w:sdtContent>
                <w:r w:rsidRPr="002F46CE">
                  <w:rPr>
                    <w:color w:val="000000"/>
                  </w:rPr>
                  <w:t>(Carter, 2010b)</w:t>
                </w:r>
              </w:sdtContent>
            </w:sdt>
            <w:r>
              <w:rPr>
                <w:rFonts w:cs="Arial"/>
                <w:szCs w:val="18"/>
              </w:rPr>
              <w:t>.</w:t>
            </w:r>
          </w:p>
          <w:p w14:paraId="694FCFAE" w14:textId="77777777" w:rsidR="000B173B" w:rsidRDefault="000B173B" w:rsidP="00A15226">
            <w:pPr>
              <w:pStyle w:val="Tabletext"/>
              <w:rPr>
                <w:rFonts w:cs="Arial"/>
                <w:szCs w:val="18"/>
              </w:rPr>
            </w:pPr>
            <w:r>
              <w:t>Threats to the species include weed invasion, grazing by domestic stock, altered hydrology, habitat destruction, and roadworks</w:t>
            </w:r>
            <w:r>
              <w:rPr>
                <w:rFonts w:cs="Arial"/>
                <w:szCs w:val="18"/>
              </w:rPr>
              <w:t xml:space="preserve"> </w:t>
            </w:r>
            <w:sdt>
              <w:sdtPr>
                <w:rPr>
                  <w:rFonts w:cs="Arial"/>
                  <w:color w:val="000000"/>
                  <w:szCs w:val="18"/>
                </w:rPr>
                <w:tag w:val="MENDELEY_CITATION_v3_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"/>
                <w:id w:val="-1210640781"/>
                <w:placeholder>
                  <w:docPart w:val="339B7D746526864D922760336FCFE603"/>
                </w:placeholder>
              </w:sdtPr>
              <w:sdtEndPr>
                <w:rPr>
                  <w:rFonts w:cs="Times New Roman"/>
                  <w:szCs w:val="20"/>
                </w:rPr>
              </w:sdtEndPr>
              <w:sdtContent>
                <w:r w:rsidRPr="002F46CE">
                  <w:rPr>
                    <w:color w:val="000000"/>
                  </w:rPr>
                  <w:t>(Carter, 2010b)</w:t>
                </w:r>
              </w:sdtContent>
            </w:sdt>
            <w:r>
              <w:rPr>
                <w:rFonts w:cs="Arial"/>
                <w:szCs w:val="18"/>
              </w:rPr>
              <w:t>.</w:t>
            </w:r>
          </w:p>
          <w:p w14:paraId="35DF40B8" w14:textId="77777777" w:rsidR="000B173B" w:rsidRPr="006900FB" w:rsidRDefault="000B173B" w:rsidP="00A15226">
            <w:pPr>
              <w:pStyle w:val="Tabletext"/>
            </w:pPr>
            <w:r w:rsidRPr="006900FB">
              <w:t xml:space="preserve">The species has not been recorded within the Growth Areas, and the Growth Areas are unlikely to provide suitable wetland habitat for the species. Modelling of wetland occurrence by DELWP </w:t>
            </w:r>
            <w:sdt>
              <w:sdtPr>
                <w:rPr>
                  <w:color w:val="000000"/>
                </w:rPr>
                <w:tag w:val="MENDELEY_CITATION_v3_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"/>
                <w:id w:val="-1189594125"/>
                <w:placeholder>
                  <w:docPart w:val="339B7D746526864D922760336FCFE603"/>
                </w:placeholder>
              </w:sdtPr>
              <w:sdtContent>
                <w:r w:rsidRPr="002F46CE">
                  <w:rPr>
                    <w:color w:val="000000"/>
                  </w:rPr>
                  <w:t>(DELWP, 2022b)</w:t>
                </w:r>
              </w:sdtContent>
            </w:sdt>
            <w:r w:rsidRPr="006900FB">
              <w:t xml:space="preserve"> has identified two wetland areas in the NGGA. The first of these corresponds to a wastewater treatment plant adjacent to Anakie Road. The second of these appears to be related to two small farm dams (from aerial observations) located in the NGGA Conservation Area. This area was mapped as Plains Grassland (EVC 132) by </w:t>
            </w:r>
            <w:sdt>
              <w:sdtPr>
                <w:rPr>
                  <w:color w:val="000000"/>
                </w:rPr>
                <w:tag w:val="MENDELEY_CITATION_v3_eyJjaXRhdGlvbklEIjoiTUVOREVMRVlfQ0lUQVRJT05fY2JhMzI5YmYtOGFhMC00Y2JhLWI5Y2ItOGYyMDBlMjE4MTg2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114741757"/>
                <w:placeholder>
                  <w:docPart w:val="339B7D746526864D922760336FCFE603"/>
                </w:placeholder>
              </w:sdtPr>
              <w:sdtContent>
                <w:r w:rsidRPr="002F46CE">
                  <w:rPr>
                    <w:color w:val="000000"/>
                  </w:rPr>
                  <w:t>(EHP, 2021)</w:t>
                </w:r>
              </w:sdtContent>
            </w:sdt>
            <w:r w:rsidRPr="006900FB">
              <w:t>. Overall, direct impacts are considered unlikely.</w:t>
            </w:r>
          </w:p>
          <w:p w14:paraId="50C2AC02" w14:textId="77777777" w:rsidR="000B173B" w:rsidRDefault="000B173B" w:rsidP="00A15226">
            <w:pPr>
              <w:pStyle w:val="Tabletext"/>
            </w:pPr>
            <w:r w:rsidRPr="009503E7">
              <w:t xml:space="preserve">There are </w:t>
            </w:r>
            <w:r>
              <w:t>seven records of the species within the Study Area. Of these, three occur within the Barwon River catchment downstream of the Growth Areas, while the remaining four occur within the Thompson Creek catchment (which is not hydrologically linked to the Growth Areas).</w:t>
            </w:r>
          </w:p>
          <w:p w14:paraId="574DA869" w14:textId="77777777" w:rsidR="000B173B" w:rsidRDefault="000B173B" w:rsidP="00A15226">
            <w:pPr>
              <w:pStyle w:val="Tabletext"/>
            </w:pPr>
            <w:r>
              <w:t xml:space="preserve">Of the three records within the Barwon River catchment, two occur on the western edge of the Lake Connewarre complex (located in the Lake Connewarre Wildlife Reserve). The remaining record </w:t>
            </w:r>
            <w:r w:rsidRPr="009503E7">
              <w:t>occur</w:t>
            </w:r>
            <w:r>
              <w:t>s</w:t>
            </w:r>
            <w:r w:rsidRPr="009503E7">
              <w:t xml:space="preserve"> approximately 9.4 km </w:t>
            </w:r>
            <w:r>
              <w:t>downstream</w:t>
            </w:r>
            <w:r w:rsidRPr="009503E7">
              <w:t xml:space="preserve"> from the Growth Areas</w:t>
            </w:r>
            <w:r>
              <w:t>, along the Barwon River in the locality of Marshall. This record has an accuracy of 10 km and is more likely to be associated with the records from the Lake Connewarre Complex.</w:t>
            </w:r>
          </w:p>
          <w:p w14:paraId="59429C42" w14:textId="77777777" w:rsidR="000B173B" w:rsidRDefault="000B173B" w:rsidP="00A15226">
            <w:pPr>
              <w:pStyle w:val="Tabletext"/>
            </w:pPr>
            <w:r>
              <w:t>The four records within the Thompson Creek catchment are within or adjacent to the Breamlea Flora and Fauna Reserve.</w:t>
            </w:r>
          </w:p>
          <w:p w14:paraId="6B718131" w14:textId="77777777" w:rsidR="000B173B" w:rsidRDefault="000B173B" w:rsidP="00A15226">
            <w:pPr>
              <w:pStyle w:val="Tabletext"/>
            </w:pPr>
            <w:r>
              <w:t>The records which occur within the Lake Connewarre Wildlife Reserve and the Breamlea Flora and Fauna Reserve may comprise important populations of the species, as the records occur within protected areas and therefore have a greater potential for long-term viability and recovery.</w:t>
            </w:r>
          </w:p>
          <w:p w14:paraId="7C76203F" w14:textId="77777777" w:rsidR="000B173B" w:rsidRDefault="000B173B" w:rsidP="00A15226">
            <w:pPr>
              <w:pStyle w:val="Tabletext"/>
            </w:pPr>
            <w:r>
              <w:t>Potential i</w:t>
            </w:r>
            <w:r w:rsidRPr="00764804">
              <w:t xml:space="preserve">ndirect impacts </w:t>
            </w:r>
            <w:r>
              <w:t xml:space="preserve">to the records within the Lake Connewarre Complex associated with altered hydrology are considered unlikely. The records occur in an off stream wetland within the Lake Connewarre complex which is unlikely to receive regular flows directly from the Barwon River. As a result, any potential indirect impacts via downstream pathways would be very diffuse or negligible. </w:t>
            </w:r>
          </w:p>
        </w:tc>
      </w:tr>
      <w:tr w:rsidR="000B173B" w14:paraId="3D7799DF" w14:textId="77777777" w:rsidTr="00A15226">
        <w:tc>
          <w:tcPr>
            <w:tcW w:w="1480" w:type="dxa"/>
            <w:tcBorders>
              <w:bottom w:val="single" w:sz="4" w:space="0" w:color="auto"/>
            </w:tcBorders>
            <w:shd w:val="clear" w:color="auto" w:fill="auto"/>
            <w:vAlign w:val="center"/>
          </w:tcPr>
          <w:p w14:paraId="12545406" w14:textId="77777777" w:rsidR="000B173B" w:rsidRPr="00B83DE7" w:rsidRDefault="000B173B" w:rsidP="00A15226">
            <w:pPr>
              <w:pStyle w:val="Tabletext"/>
              <w:rPr>
                <w:i/>
                <w:iCs/>
                <w:szCs w:val="18"/>
              </w:rPr>
            </w:pPr>
            <w:r w:rsidRPr="00B83DE7">
              <w:rPr>
                <w:rFonts w:cs="Arial"/>
                <w:i/>
                <w:iCs/>
                <w:szCs w:val="18"/>
              </w:rPr>
              <w:lastRenderedPageBreak/>
              <w:t>Lepidium hyssopifolium</w:t>
            </w:r>
          </w:p>
        </w:tc>
        <w:tc>
          <w:tcPr>
            <w:tcW w:w="1353" w:type="dxa"/>
            <w:tcBorders>
              <w:bottom w:val="single" w:sz="4" w:space="0" w:color="auto"/>
            </w:tcBorders>
            <w:shd w:val="clear" w:color="auto" w:fill="auto"/>
            <w:vAlign w:val="center"/>
          </w:tcPr>
          <w:p w14:paraId="48282453" w14:textId="77777777" w:rsidR="000B173B" w:rsidRPr="00116F3A" w:rsidRDefault="000B173B" w:rsidP="00A15226">
            <w:pPr>
              <w:pStyle w:val="Tabletext"/>
              <w:rPr>
                <w:szCs w:val="18"/>
                <w:highlight w:val="yellow"/>
              </w:rPr>
            </w:pPr>
            <w:r w:rsidRPr="0066101F">
              <w:rPr>
                <w:rFonts w:cs="Arial"/>
                <w:szCs w:val="18"/>
              </w:rPr>
              <w:t>Basalt Pepper-cress</w:t>
            </w:r>
          </w:p>
        </w:tc>
        <w:tc>
          <w:tcPr>
            <w:tcW w:w="1235" w:type="dxa"/>
            <w:tcBorders>
              <w:bottom w:val="single" w:sz="4" w:space="0" w:color="auto"/>
            </w:tcBorders>
            <w:shd w:val="clear" w:color="auto" w:fill="auto"/>
            <w:vAlign w:val="center"/>
          </w:tcPr>
          <w:p w14:paraId="47065C31" w14:textId="77777777" w:rsidR="000B173B" w:rsidRPr="00B83DE7" w:rsidRDefault="000B173B" w:rsidP="00A15226">
            <w:pPr>
              <w:pStyle w:val="Tabletext"/>
              <w:rPr>
                <w:szCs w:val="18"/>
              </w:rPr>
            </w:pPr>
            <w:r w:rsidRPr="00B83DE7">
              <w:rPr>
                <w:rFonts w:cs="Arial"/>
                <w:szCs w:val="18"/>
              </w:rPr>
              <w:t xml:space="preserve">Endangered </w:t>
            </w:r>
          </w:p>
        </w:tc>
        <w:tc>
          <w:tcPr>
            <w:tcW w:w="1177" w:type="dxa"/>
            <w:tcBorders>
              <w:bottom w:val="single" w:sz="4" w:space="0" w:color="auto"/>
            </w:tcBorders>
            <w:shd w:val="clear" w:color="auto" w:fill="auto"/>
            <w:vAlign w:val="center"/>
          </w:tcPr>
          <w:p w14:paraId="5A0BAE0C" w14:textId="77777777" w:rsidR="000B173B" w:rsidRPr="00AC3FED" w:rsidRDefault="000B173B" w:rsidP="00A15226">
            <w:pPr>
              <w:pStyle w:val="Tabletext"/>
              <w:jc w:val="center"/>
              <w:rPr>
                <w:highlight w:val="yellow"/>
              </w:rPr>
            </w:pPr>
            <w:r w:rsidRPr="002230EC">
              <w:t>No</w:t>
            </w:r>
          </w:p>
        </w:tc>
        <w:tc>
          <w:tcPr>
            <w:tcW w:w="9072" w:type="dxa"/>
            <w:tcBorders>
              <w:bottom w:val="single" w:sz="4" w:space="0" w:color="auto"/>
            </w:tcBorders>
            <w:shd w:val="clear" w:color="auto" w:fill="auto"/>
            <w:vAlign w:val="center"/>
          </w:tcPr>
          <w:p w14:paraId="0D20F1EE" w14:textId="77777777" w:rsidR="000B173B" w:rsidRDefault="000B173B" w:rsidP="00A15226">
            <w:pPr>
              <w:pStyle w:val="Tabletext"/>
              <w:rPr>
                <w:iCs/>
              </w:rPr>
            </w:pPr>
            <w:r w:rsidRPr="00D314D4">
              <w:rPr>
                <w:i/>
              </w:rPr>
              <w:t>Lepidium hyssopifolium</w:t>
            </w:r>
            <w:r w:rsidRPr="00D314D4">
              <w:rPr>
                <w:iCs/>
              </w:rPr>
              <w:t xml:space="preserve"> (Basalt Pepper-cress) is a perennial herb</w:t>
            </w:r>
            <w:r>
              <w:rPr>
                <w:iCs/>
              </w:rPr>
              <w:t xml:space="preserve"> which </w:t>
            </w:r>
            <w:r w:rsidRPr="000A58B3">
              <w:rPr>
                <w:iCs/>
              </w:rPr>
              <w:t xml:space="preserve">now occurs primarily in heavily modified environments among exotic pasture and weed species. Known sites occur on roadsides or the fringes of agricultural land. Original habitat is unknown, though was likely eucalypt or </w:t>
            </w:r>
            <w:r w:rsidRPr="009202B6">
              <w:rPr>
                <w:i/>
              </w:rPr>
              <w:t>Allocasuarina</w:t>
            </w:r>
            <w:r w:rsidRPr="000A58B3">
              <w:rPr>
                <w:iCs/>
              </w:rPr>
              <w:t xml:space="preserve"> woodland characterised by a grassy understory and native </w:t>
            </w:r>
            <w:r>
              <w:rPr>
                <w:iCs/>
              </w:rPr>
              <w:t>temperate</w:t>
            </w:r>
            <w:r w:rsidRPr="000A58B3">
              <w:rPr>
                <w:iCs/>
              </w:rPr>
              <w:t xml:space="preserve"> grasslands</w:t>
            </w:r>
            <w:r>
              <w:rPr>
                <w:iCs/>
              </w:rPr>
              <w:t xml:space="preserve"> </w:t>
            </w:r>
            <w:sdt>
              <w:sdtPr>
                <w:rPr>
                  <w:iCs/>
                  <w:color w:val="000000"/>
                </w:rPr>
                <w:tag w:val="MENDELEY_CITATION_v3_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"/>
                <w:id w:val="-1569490202"/>
                <w:placeholder>
                  <w:docPart w:val="339B7D746526864D922760336FCFE603"/>
                </w:placeholder>
              </w:sdtPr>
              <w:sdtEndPr>
                <w:rPr>
                  <w:iCs w:val="0"/>
                </w:rPr>
              </w:sdtEndPr>
              <w:sdtContent>
                <w:r w:rsidRPr="002F46CE">
                  <w:rPr>
                    <w:color w:val="000000"/>
                  </w:rPr>
                  <w:t>(Tumino, 2010)</w:t>
                </w:r>
              </w:sdtContent>
            </w:sdt>
            <w:r w:rsidRPr="000A58B3">
              <w:rPr>
                <w:iCs/>
              </w:rPr>
              <w:t>.</w:t>
            </w:r>
          </w:p>
          <w:p w14:paraId="43EDFCB2" w14:textId="77777777" w:rsidR="000B173B" w:rsidRDefault="000B173B" w:rsidP="00A15226">
            <w:pPr>
              <w:pStyle w:val="Tabletext"/>
              <w:rPr>
                <w:iCs/>
              </w:rPr>
            </w:pPr>
            <w:r>
              <w:rPr>
                <w:iCs/>
              </w:rPr>
              <w:t>It is</w:t>
            </w:r>
            <w:r w:rsidRPr="00D314D4">
              <w:rPr>
                <w:iCs/>
              </w:rPr>
              <w:t xml:space="preserve"> endemic to south-eastern Australia. The species has a patchy distribution from south-east NSW, Victoria, and Tasmania. In Victoria, the species occurs west of Melbourne in </w:t>
            </w:r>
            <w:r w:rsidRPr="000A58B3">
              <w:rPr>
                <w:iCs/>
              </w:rPr>
              <w:t xml:space="preserve">the Victorian Volcanic Plains and Victorian Midlands bioregions. </w:t>
            </w:r>
            <w:r>
              <w:rPr>
                <w:iCs/>
              </w:rPr>
              <w:t>As of 2010, there were</w:t>
            </w:r>
            <w:r w:rsidRPr="000A58B3">
              <w:rPr>
                <w:iCs/>
              </w:rPr>
              <w:t xml:space="preserve"> seven populations of the species within Victoria, containing ~500 plants</w:t>
            </w:r>
            <w:r>
              <w:rPr>
                <w:iCs/>
              </w:rPr>
              <w:t xml:space="preserve"> </w:t>
            </w:r>
            <w:sdt>
              <w:sdtPr>
                <w:rPr>
                  <w:iCs/>
                  <w:color w:val="000000"/>
                </w:rPr>
                <w:tag w:val="MENDELEY_CITATION_v3_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"/>
                <w:id w:val="717099661"/>
                <w:placeholder>
                  <w:docPart w:val="339B7D746526864D922760336FCFE603"/>
                </w:placeholder>
              </w:sdtPr>
              <w:sdtEndPr>
                <w:rPr>
                  <w:iCs w:val="0"/>
                </w:rPr>
              </w:sdtEndPr>
              <w:sdtContent>
                <w:r w:rsidRPr="002F46CE">
                  <w:rPr>
                    <w:color w:val="000000"/>
                  </w:rPr>
                  <w:t>(Tumino, 2010)</w:t>
                </w:r>
              </w:sdtContent>
            </w:sdt>
            <w:r w:rsidRPr="000A58B3">
              <w:rPr>
                <w:iCs/>
              </w:rPr>
              <w:t>.</w:t>
            </w:r>
          </w:p>
          <w:p w14:paraId="1C040C36" w14:textId="77777777" w:rsidR="000B173B" w:rsidRDefault="000B173B" w:rsidP="00A15226">
            <w:pPr>
              <w:pStyle w:val="Tabletext"/>
              <w:rPr>
                <w:iCs/>
              </w:rPr>
            </w:pPr>
            <w:r>
              <w:rPr>
                <w:iCs/>
              </w:rPr>
              <w:t xml:space="preserve">Microsite conditions are likely to be important for the persistence of the species. Some level of disturbance may be important for seed germination. Seedling survival then relies on the availability of open spaces with reduced competition from other plants, rather than areas with thick groundcover </w:t>
            </w:r>
            <w:sdt>
              <w:sdtPr>
                <w:rPr>
                  <w:iCs/>
                  <w:color w:val="000000"/>
                </w:rPr>
                <w:tag w:val="MENDELEY_CITATION_v3_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"/>
                <w:id w:val="1306197693"/>
                <w:placeholder>
                  <w:docPart w:val="339B7D746526864D922760336FCFE603"/>
                </w:placeholder>
              </w:sdtPr>
              <w:sdtEndPr>
                <w:rPr>
                  <w:iCs w:val="0"/>
                </w:rPr>
              </w:sdtEndPr>
              <w:sdtContent>
                <w:r w:rsidRPr="002F46CE">
                  <w:rPr>
                    <w:color w:val="000000"/>
                  </w:rPr>
                  <w:t>(Tumino, 2010)</w:t>
                </w:r>
              </w:sdtContent>
            </w:sdt>
            <w:r w:rsidRPr="000A58B3">
              <w:rPr>
                <w:iCs/>
              </w:rPr>
              <w:t>.</w:t>
            </w:r>
          </w:p>
          <w:p w14:paraId="62553B66" w14:textId="77777777" w:rsidR="000B173B" w:rsidRDefault="000B173B" w:rsidP="00A15226">
            <w:pPr>
              <w:pStyle w:val="Tabletext"/>
              <w:rPr>
                <w:iCs/>
              </w:rPr>
            </w:pPr>
            <w:r>
              <w:rPr>
                <w:iCs/>
              </w:rPr>
              <w:t xml:space="preserve">Threats to the species include </w:t>
            </w:r>
            <w:r w:rsidRPr="000A58B3">
              <w:rPr>
                <w:iCs/>
              </w:rPr>
              <w:t xml:space="preserve">competition and invasion from weeds, grazing and trampling, loss of overstory trees, habitat disturbance or destruction, and erosion </w:t>
            </w:r>
            <w:sdt>
              <w:sdtPr>
                <w:rPr>
                  <w:iCs/>
                  <w:color w:val="000000"/>
                </w:rPr>
                <w:tag w:val="MENDELEY_CITATION_v3_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"/>
                <w:id w:val="1486896271"/>
                <w:placeholder>
                  <w:docPart w:val="339B7D746526864D922760336FCFE603"/>
                </w:placeholder>
              </w:sdtPr>
              <w:sdtEndPr>
                <w:rPr>
                  <w:iCs w:val="0"/>
                </w:rPr>
              </w:sdtEndPr>
              <w:sdtContent>
                <w:r w:rsidRPr="002F46CE">
                  <w:rPr>
                    <w:color w:val="000000"/>
                  </w:rPr>
                  <w:t>(Tumino, 2010)</w:t>
                </w:r>
              </w:sdtContent>
            </w:sdt>
            <w:r w:rsidRPr="000A58B3">
              <w:rPr>
                <w:iCs/>
              </w:rPr>
              <w:t>.</w:t>
            </w:r>
          </w:p>
          <w:p w14:paraId="7AD49257" w14:textId="77777777" w:rsidR="000B173B" w:rsidRPr="000F472E" w:rsidRDefault="000B173B" w:rsidP="00A15226">
            <w:pPr>
              <w:pStyle w:val="Tabletext"/>
            </w:pPr>
            <w:r w:rsidRPr="00524239">
              <w:t xml:space="preserve">There are no existing </w:t>
            </w:r>
            <w:r w:rsidRPr="000F472E">
              <w:t xml:space="preserve">records of this species within the Strategic Assessment Area or the broader Study Area. </w:t>
            </w:r>
          </w:p>
          <w:p w14:paraId="47FF0F16" w14:textId="77777777" w:rsidR="000B173B" w:rsidRPr="006900FB" w:rsidRDefault="000B173B" w:rsidP="00A15226">
            <w:pPr>
              <w:pStyle w:val="Tabletext"/>
              <w:rPr>
                <w:iCs/>
              </w:rPr>
            </w:pPr>
            <w:r w:rsidRPr="006900FB">
              <w:rPr>
                <w:iCs/>
              </w:rPr>
              <w:t xml:space="preserve">Surveys within the Growth Areas concluded that potential habitat for the Basalt Peppercress was poor or limited </w:t>
            </w:r>
            <w:sdt>
              <w:sdtPr>
                <w:rPr>
                  <w:iCs/>
                  <w:color w:val="000000"/>
                </w:rPr>
                <w:tag w:val="MENDELEY_CITATION_v3_eyJjaXRhdGlvbklEIjoiTUVOREVMRVlfQ0lUQVRJT05fYjJiZDgwNGEtOWQzMy00MmMwLWFkMmQtMjVhZDFiZTIzMjc1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093120944"/>
                <w:placeholder>
                  <w:docPart w:val="339B7D746526864D922760336FCFE603"/>
                </w:placeholder>
              </w:sdtPr>
              <w:sdtEndPr>
                <w:rPr>
                  <w:iCs w:val="0"/>
                </w:rPr>
              </w:sdtEndPr>
              <w:sdtContent>
                <w:r w:rsidRPr="002F46CE">
                  <w:rPr>
                    <w:color w:val="000000"/>
                  </w:rPr>
                  <w:t>(EHP, 2021)</w:t>
                </w:r>
              </w:sdtContent>
            </w:sdt>
            <w:r w:rsidRPr="006900FB">
              <w:rPr>
                <w:iCs/>
              </w:rPr>
              <w:t>. This is likely due to the existing level of disturbance and threatening processes associated with agricultural practices and development in these areas. It is noted that similar disturbance regimes occur within the Strategic Assessment Area outside of the surveyed areas, alongside the surveyed areas, and so this assessment is also considered applicable to these areas.</w:t>
            </w:r>
          </w:p>
          <w:p w14:paraId="1EF2A605" w14:textId="77777777" w:rsidR="000B173B" w:rsidRDefault="000B173B" w:rsidP="00A15226">
            <w:pPr>
              <w:pStyle w:val="Tabletext"/>
              <w:rPr>
                <w:iCs/>
              </w:rPr>
            </w:pPr>
            <w:r w:rsidRPr="006900FB">
              <w:rPr>
                <w:iCs/>
              </w:rPr>
              <w:t>Given the absence of records for the species within the Study Area and the presence of existing threatening processes, it is considered unlikely that the species would be present within the Strategic Assessment Area. Subsequently, direct impacts are considered unlikely.</w:t>
            </w:r>
          </w:p>
          <w:p w14:paraId="5DD7DE4A" w14:textId="77777777" w:rsidR="000B173B" w:rsidRPr="00524239" w:rsidRDefault="000B173B" w:rsidP="00A15226">
            <w:pPr>
              <w:pStyle w:val="Tabletext"/>
            </w:pPr>
            <w:r w:rsidRPr="00524239">
              <w:t xml:space="preserve">Potential indirect impacts to the species </w:t>
            </w:r>
            <w:r>
              <w:t xml:space="preserve">due to development (such as weed invasion and habitat disturbance) </w:t>
            </w:r>
            <w:r w:rsidRPr="00524239">
              <w:t>are considered unlikely</w:t>
            </w:r>
            <w:r>
              <w:t>, given the absence of records and the agricultural landscape context where such threats are pre-existing.</w:t>
            </w:r>
          </w:p>
        </w:tc>
      </w:tr>
      <w:tr w:rsidR="000B173B" w14:paraId="5F6123FE" w14:textId="77777777" w:rsidTr="00A15226">
        <w:tc>
          <w:tcPr>
            <w:tcW w:w="1480" w:type="dxa"/>
            <w:tcBorders>
              <w:bottom w:val="single" w:sz="4" w:space="0" w:color="auto"/>
            </w:tcBorders>
            <w:shd w:val="clear" w:color="auto" w:fill="auto"/>
            <w:vAlign w:val="center"/>
          </w:tcPr>
          <w:p w14:paraId="3056C373" w14:textId="77777777" w:rsidR="000B173B" w:rsidRPr="00B83DE7" w:rsidRDefault="000B173B" w:rsidP="00A15226">
            <w:pPr>
              <w:pStyle w:val="Tabletext"/>
              <w:rPr>
                <w:szCs w:val="18"/>
              </w:rPr>
            </w:pPr>
            <w:r w:rsidRPr="00B83DE7">
              <w:rPr>
                <w:rFonts w:cs="Arial"/>
                <w:i/>
                <w:iCs/>
                <w:szCs w:val="18"/>
              </w:rPr>
              <w:t>Leucochrysum albicans subsp. tricolor</w:t>
            </w:r>
          </w:p>
        </w:tc>
        <w:tc>
          <w:tcPr>
            <w:tcW w:w="1353" w:type="dxa"/>
            <w:tcBorders>
              <w:bottom w:val="single" w:sz="4" w:space="0" w:color="auto"/>
            </w:tcBorders>
            <w:shd w:val="clear" w:color="auto" w:fill="auto"/>
            <w:vAlign w:val="center"/>
          </w:tcPr>
          <w:p w14:paraId="0B94D88A" w14:textId="77777777" w:rsidR="000B173B" w:rsidRPr="00116F3A" w:rsidRDefault="000B173B" w:rsidP="00A15226">
            <w:pPr>
              <w:pStyle w:val="Tabletext"/>
              <w:rPr>
                <w:szCs w:val="18"/>
                <w:highlight w:val="yellow"/>
              </w:rPr>
            </w:pPr>
            <w:r w:rsidRPr="005A30B7">
              <w:rPr>
                <w:rFonts w:cs="Arial"/>
                <w:szCs w:val="18"/>
              </w:rPr>
              <w:t>Hoary Sunray</w:t>
            </w:r>
          </w:p>
        </w:tc>
        <w:tc>
          <w:tcPr>
            <w:tcW w:w="1235" w:type="dxa"/>
            <w:tcBorders>
              <w:bottom w:val="single" w:sz="4" w:space="0" w:color="auto"/>
            </w:tcBorders>
            <w:shd w:val="clear" w:color="auto" w:fill="auto"/>
            <w:vAlign w:val="center"/>
          </w:tcPr>
          <w:p w14:paraId="6843DDBA" w14:textId="77777777" w:rsidR="000B173B" w:rsidRPr="00B83DE7" w:rsidRDefault="000B173B" w:rsidP="00A15226">
            <w:pPr>
              <w:pStyle w:val="Tabletext"/>
              <w:rPr>
                <w:szCs w:val="18"/>
              </w:rPr>
            </w:pPr>
            <w:r w:rsidRPr="00B83DE7">
              <w:rPr>
                <w:rFonts w:cs="Arial"/>
                <w:szCs w:val="18"/>
              </w:rPr>
              <w:t xml:space="preserve">Endangered </w:t>
            </w:r>
          </w:p>
        </w:tc>
        <w:tc>
          <w:tcPr>
            <w:tcW w:w="1177" w:type="dxa"/>
            <w:tcBorders>
              <w:bottom w:val="single" w:sz="4" w:space="0" w:color="auto"/>
            </w:tcBorders>
            <w:shd w:val="clear" w:color="auto" w:fill="auto"/>
            <w:vAlign w:val="center"/>
          </w:tcPr>
          <w:p w14:paraId="0E9E203C" w14:textId="77777777" w:rsidR="000B173B" w:rsidRPr="00AC3FED" w:rsidRDefault="000B173B" w:rsidP="00A15226">
            <w:pPr>
              <w:pStyle w:val="Tabletext"/>
              <w:jc w:val="center"/>
              <w:rPr>
                <w:highlight w:val="yellow"/>
              </w:rPr>
            </w:pPr>
            <w:r w:rsidRPr="00D45CB7">
              <w:t>No</w:t>
            </w:r>
          </w:p>
        </w:tc>
        <w:tc>
          <w:tcPr>
            <w:tcW w:w="9072" w:type="dxa"/>
            <w:tcBorders>
              <w:bottom w:val="single" w:sz="4" w:space="0" w:color="auto"/>
            </w:tcBorders>
            <w:shd w:val="clear" w:color="auto" w:fill="auto"/>
            <w:vAlign w:val="center"/>
          </w:tcPr>
          <w:p w14:paraId="63475458" w14:textId="77777777" w:rsidR="000B173B" w:rsidRDefault="000B173B" w:rsidP="00A15226">
            <w:pPr>
              <w:pStyle w:val="Tabletext"/>
            </w:pPr>
            <w:r w:rsidRPr="00DC3AC1">
              <w:rPr>
                <w:i/>
                <w:iCs/>
              </w:rPr>
              <w:t>Leucochrysum albicans susp. tricolor</w:t>
            </w:r>
            <w:r w:rsidRPr="00DC3AC1">
              <w:t xml:space="preserve"> (Hoary Sunray) is a perennial everlasting daisy </w:t>
            </w:r>
            <w:r>
              <w:t xml:space="preserve">which inhabits </w:t>
            </w:r>
            <w:r w:rsidRPr="00DC3AC1">
              <w:t xml:space="preserve">grassland, woodland and forest habitats. </w:t>
            </w:r>
            <w:r>
              <w:t xml:space="preserve">All known Victorian occurrences are in grassland or grassy woodlands, often in the spaces between grass tussocks </w:t>
            </w:r>
            <w:sdt>
              <w:sdtPr>
                <w:rPr>
                  <w:color w:val="000000"/>
                </w:rPr>
                <w:tag w:val="MENDELEY_CITATION_v3_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"/>
                <w:id w:val="-271407365"/>
                <w:placeholder>
                  <w:docPart w:val="339B7D746526864D922760336FCFE603"/>
                </w:placeholder>
              </w:sdtPr>
              <w:sdtContent>
                <w:r w:rsidRPr="002F46CE">
                  <w:rPr>
                    <w:color w:val="000000"/>
                  </w:rPr>
                  <w:t>(DAWE, 2021a)</w:t>
                </w:r>
              </w:sdtContent>
            </w:sdt>
            <w:r>
              <w:t>.</w:t>
            </w:r>
          </w:p>
          <w:p w14:paraId="427B96CD" w14:textId="77777777" w:rsidR="000B173B" w:rsidRDefault="000B173B" w:rsidP="00A15226">
            <w:pPr>
              <w:pStyle w:val="Tabletext"/>
            </w:pPr>
            <w:r>
              <w:t xml:space="preserve">The species is endemic to south-eastern Australia. It occurs in three geographically separate areas, NSW/ACT, Victoria, and Tasmania. In Victoria, the species occurs in the Victorian Volcanic Plains bioregion between Colac in the south, Inverleigh in the east, Ballarat and Ararat in the north, and Hamilton in the west </w:t>
            </w:r>
            <w:sdt>
              <w:sdtPr>
                <w:rPr>
                  <w:color w:val="000000"/>
                </w:rPr>
                <w:tag w:val="MENDELEY_CITATION_v3_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"/>
                <w:id w:val="-920950010"/>
                <w:placeholder>
                  <w:docPart w:val="339B7D746526864D922760336FCFE603"/>
                </w:placeholder>
              </w:sdtPr>
              <w:sdtContent>
                <w:r w:rsidRPr="002F46CE">
                  <w:rPr>
                    <w:color w:val="000000"/>
                  </w:rPr>
                  <w:t>(DAWE, 2021a)</w:t>
                </w:r>
              </w:sdtContent>
            </w:sdt>
            <w:r>
              <w:t xml:space="preserve">. The Strategic Assessment Area is outside of the known distribution of the species in Victoria (note that </w:t>
            </w:r>
            <w:r>
              <w:lastRenderedPageBreak/>
              <w:t>Inverleigh, the easternmost known occurrence of the species in Victoria, occurs approximately 20 km west of the Strategic Assessment Area).</w:t>
            </w:r>
          </w:p>
          <w:p w14:paraId="1A55005B" w14:textId="77777777" w:rsidR="000B173B" w:rsidRDefault="000B173B" w:rsidP="00A15226">
            <w:pPr>
              <w:pStyle w:val="Tabletext"/>
            </w:pPr>
            <w:r w:rsidRPr="00DC3AC1">
              <w:t xml:space="preserve">Threats to the species may include habitat </w:t>
            </w:r>
            <w:r>
              <w:t xml:space="preserve">loss and </w:t>
            </w:r>
            <w:r w:rsidRPr="00DC3AC1">
              <w:t>destructio</w:t>
            </w:r>
            <w:r>
              <w:t>n</w:t>
            </w:r>
            <w:r w:rsidRPr="00DC3AC1">
              <w:t xml:space="preserve">, weed invasion, poor reservation status, lack of appropriate biomass, inappropriate fire regimes, grazing by livestock, </w:t>
            </w:r>
            <w:r>
              <w:t xml:space="preserve">climate change (specifically drought) </w:t>
            </w:r>
            <w:r w:rsidRPr="00DC3AC1">
              <w:t>and small population sizes</w:t>
            </w:r>
            <w:r>
              <w:t xml:space="preserve"> </w:t>
            </w:r>
            <w:sdt>
              <w:sdtPr>
                <w:rPr>
                  <w:color w:val="000000"/>
                </w:rPr>
                <w:tag w:val="MENDELEY_CITATION_v3_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"/>
                <w:id w:val="-1106419595"/>
                <w:placeholder>
                  <w:docPart w:val="339B7D746526864D922760336FCFE603"/>
                </w:placeholder>
              </w:sdtPr>
              <w:sdtContent>
                <w:r w:rsidRPr="002F46CE">
                  <w:rPr>
                    <w:color w:val="000000"/>
                  </w:rPr>
                  <w:t>(DAWE, 2021a)</w:t>
                </w:r>
              </w:sdtContent>
            </w:sdt>
            <w:r>
              <w:t>.</w:t>
            </w:r>
          </w:p>
          <w:p w14:paraId="49FB5A48" w14:textId="77777777" w:rsidR="000B173B" w:rsidRPr="000A2467" w:rsidRDefault="000B173B" w:rsidP="00A15226">
            <w:pPr>
              <w:pStyle w:val="Tabletext"/>
            </w:pPr>
            <w:r>
              <w:t xml:space="preserve">There are 15 records of the species within the Study Area, ranging in date from 1853 to 2014. The 1853 record is the closest record to the development (occurring 9.5 km away from the Growth Areas) has no contemporary records </w:t>
            </w:r>
            <w:r w:rsidRPr="000A2467">
              <w:t>nearby. It is not clear if this population is extant.</w:t>
            </w:r>
          </w:p>
          <w:p w14:paraId="4AC350FA" w14:textId="77777777" w:rsidR="000B173B" w:rsidRPr="000A2467" w:rsidRDefault="000B173B" w:rsidP="00A15226">
            <w:pPr>
              <w:pStyle w:val="Tabletext"/>
            </w:pPr>
            <w:r w:rsidRPr="000A2467">
              <w:t>The remaining records are clustered approximately 18.1 km from the Growth Areas, in the vicinity of Inverleigh.</w:t>
            </w:r>
          </w:p>
          <w:p w14:paraId="420651F9" w14:textId="77777777" w:rsidR="000B173B" w:rsidRPr="000A2467" w:rsidRDefault="000B173B" w:rsidP="00A15226">
            <w:pPr>
              <w:pStyle w:val="Tabletext"/>
            </w:pPr>
            <w:r w:rsidRPr="006900FB">
              <w:t>It is considered unlikely that this species would be present within the Strategic Assessment Area, as the Strategic Assessment Area is outside of the known distribution of the species within Victoria. Direct impacts are therefore considered unlikely.</w:t>
            </w:r>
          </w:p>
          <w:p w14:paraId="07839E6B" w14:textId="77777777" w:rsidR="000B173B" w:rsidRDefault="000B173B" w:rsidP="00A15226">
            <w:pPr>
              <w:pStyle w:val="Tabletext"/>
            </w:pPr>
            <w:r w:rsidRPr="000A2467">
              <w:t>Potential indirect impacts from development, such</w:t>
            </w:r>
            <w:r w:rsidRPr="005A30B7">
              <w:t xml:space="preserve"> as those associated with </w:t>
            </w:r>
            <w:r>
              <w:t xml:space="preserve">weed invasion, </w:t>
            </w:r>
            <w:r w:rsidRPr="005A30B7">
              <w:t xml:space="preserve">are unlikely to exacerbate existing threats to the species given the urban </w:t>
            </w:r>
            <w:r>
              <w:t>and</w:t>
            </w:r>
            <w:r w:rsidRPr="005A30B7">
              <w:t xml:space="preserve"> agricultural landscape context</w:t>
            </w:r>
            <w:r>
              <w:t xml:space="preserve"> of the records</w:t>
            </w:r>
            <w:r w:rsidRPr="005A30B7">
              <w:t xml:space="preserve"> and the distance of the nearest records to proposed development.</w:t>
            </w:r>
          </w:p>
        </w:tc>
      </w:tr>
      <w:tr w:rsidR="000B173B" w14:paraId="5F14A067" w14:textId="77777777" w:rsidTr="00A15226">
        <w:tc>
          <w:tcPr>
            <w:tcW w:w="1480" w:type="dxa"/>
            <w:tcBorders>
              <w:bottom w:val="single" w:sz="4" w:space="0" w:color="auto"/>
            </w:tcBorders>
            <w:shd w:val="clear" w:color="auto" w:fill="auto"/>
            <w:vAlign w:val="center"/>
          </w:tcPr>
          <w:p w14:paraId="2CAEBF29" w14:textId="77777777" w:rsidR="000B173B" w:rsidRPr="00B83DE7" w:rsidRDefault="000B173B" w:rsidP="00A15226">
            <w:pPr>
              <w:pStyle w:val="Tabletext"/>
              <w:rPr>
                <w:szCs w:val="18"/>
              </w:rPr>
            </w:pPr>
            <w:r w:rsidRPr="00B83DE7">
              <w:rPr>
                <w:rFonts w:cs="Arial"/>
                <w:i/>
                <w:iCs/>
                <w:szCs w:val="18"/>
              </w:rPr>
              <w:lastRenderedPageBreak/>
              <w:t>Pimelea spinescens subsp. spinescens</w:t>
            </w:r>
          </w:p>
        </w:tc>
        <w:tc>
          <w:tcPr>
            <w:tcW w:w="1353" w:type="dxa"/>
            <w:tcBorders>
              <w:bottom w:val="single" w:sz="4" w:space="0" w:color="auto"/>
            </w:tcBorders>
            <w:shd w:val="clear" w:color="auto" w:fill="auto"/>
            <w:vAlign w:val="center"/>
          </w:tcPr>
          <w:p w14:paraId="46E85359" w14:textId="77777777" w:rsidR="000B173B" w:rsidRPr="00116F3A" w:rsidRDefault="000B173B" w:rsidP="00A15226">
            <w:pPr>
              <w:pStyle w:val="Tabletext"/>
              <w:rPr>
                <w:szCs w:val="18"/>
                <w:highlight w:val="yellow"/>
              </w:rPr>
            </w:pPr>
            <w:r w:rsidRPr="002477AF">
              <w:rPr>
                <w:rFonts w:cs="Arial"/>
                <w:szCs w:val="18"/>
              </w:rPr>
              <w:t>Spiny Rice-flower</w:t>
            </w:r>
          </w:p>
        </w:tc>
        <w:tc>
          <w:tcPr>
            <w:tcW w:w="1235" w:type="dxa"/>
            <w:tcBorders>
              <w:bottom w:val="single" w:sz="4" w:space="0" w:color="auto"/>
            </w:tcBorders>
            <w:shd w:val="clear" w:color="auto" w:fill="auto"/>
            <w:vAlign w:val="center"/>
          </w:tcPr>
          <w:p w14:paraId="59D253CC" w14:textId="77777777" w:rsidR="000B173B" w:rsidRPr="00B83DE7" w:rsidRDefault="000B173B" w:rsidP="00A15226">
            <w:pPr>
              <w:pStyle w:val="Tabletext"/>
              <w:rPr>
                <w:szCs w:val="18"/>
              </w:rPr>
            </w:pPr>
            <w:r w:rsidRPr="00B83DE7">
              <w:rPr>
                <w:rFonts w:cs="Arial"/>
                <w:szCs w:val="18"/>
              </w:rPr>
              <w:t xml:space="preserve">Critically Endangered </w:t>
            </w:r>
          </w:p>
        </w:tc>
        <w:tc>
          <w:tcPr>
            <w:tcW w:w="1177" w:type="dxa"/>
            <w:tcBorders>
              <w:bottom w:val="single" w:sz="4" w:space="0" w:color="auto"/>
            </w:tcBorders>
            <w:shd w:val="clear" w:color="auto" w:fill="auto"/>
            <w:vAlign w:val="center"/>
          </w:tcPr>
          <w:p w14:paraId="74E5AA79" w14:textId="77777777" w:rsidR="000B173B" w:rsidRPr="00AC3FED" w:rsidRDefault="000B173B" w:rsidP="00A15226">
            <w:pPr>
              <w:pStyle w:val="Tabletext"/>
              <w:jc w:val="center"/>
              <w:rPr>
                <w:highlight w:val="yellow"/>
              </w:rPr>
            </w:pPr>
            <w:r w:rsidRPr="000246EE">
              <w:t>Yes</w:t>
            </w:r>
          </w:p>
        </w:tc>
        <w:tc>
          <w:tcPr>
            <w:tcW w:w="9072" w:type="dxa"/>
            <w:tcBorders>
              <w:bottom w:val="single" w:sz="4" w:space="0" w:color="auto"/>
            </w:tcBorders>
            <w:shd w:val="clear" w:color="auto" w:fill="auto"/>
            <w:vAlign w:val="center"/>
          </w:tcPr>
          <w:p w14:paraId="29C9DD58" w14:textId="77777777" w:rsidR="000B173B" w:rsidRDefault="000B173B" w:rsidP="00A15226">
            <w:pPr>
              <w:pStyle w:val="Tabletext"/>
            </w:pPr>
            <w:r w:rsidRPr="00B83DE7">
              <w:rPr>
                <w:rFonts w:cs="Arial"/>
                <w:i/>
                <w:iCs/>
                <w:szCs w:val="18"/>
              </w:rPr>
              <w:t>Pimelea spinescens subsp. spinescens</w:t>
            </w:r>
            <w:r>
              <w:rPr>
                <w:rFonts w:cs="Arial"/>
                <w:i/>
                <w:iCs/>
                <w:szCs w:val="18"/>
              </w:rPr>
              <w:t xml:space="preserve"> </w:t>
            </w:r>
            <w:r>
              <w:rPr>
                <w:rFonts w:cs="Arial"/>
                <w:szCs w:val="18"/>
              </w:rPr>
              <w:t>(</w:t>
            </w:r>
            <w:r w:rsidRPr="00B83DE7">
              <w:rPr>
                <w:rFonts w:cs="Arial"/>
                <w:szCs w:val="18"/>
              </w:rPr>
              <w:t>Spiny Rice-flower</w:t>
            </w:r>
            <w:r>
              <w:rPr>
                <w:rFonts w:cs="Arial"/>
                <w:szCs w:val="18"/>
              </w:rPr>
              <w:t xml:space="preserve">) is a small spreading shrub which inhabits </w:t>
            </w:r>
            <w:r>
              <w:t xml:space="preserve">grasslands including native temperate grasslands, grassy woodlands and open shrublands </w:t>
            </w:r>
            <w:sdt>
              <w:sdtPr>
                <w:rPr>
                  <w:color w:val="000000"/>
                </w:rPr>
                <w:tag w:val="MENDELEY_CITATION_v3_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"/>
                <w:id w:val="-1642719925"/>
                <w:placeholder>
                  <w:docPart w:val="339B7D746526864D922760336FCFE603"/>
                </w:placeholder>
              </w:sdtPr>
              <w:sdtContent>
                <w:r w:rsidRPr="002F46CE">
                  <w:rPr>
                    <w:color w:val="000000"/>
                  </w:rPr>
                  <w:t>(DEWHA, 2009c)</w:t>
                </w:r>
              </w:sdtContent>
            </w:sdt>
            <w:r>
              <w:t xml:space="preserve"> in areas that have received low levels of disturbance </w:t>
            </w:r>
            <w:sdt>
              <w:sdtPr>
                <w:rPr>
                  <w:color w:val="000000"/>
                </w:rPr>
                <w:tag w:val="MENDELEY_CITATION_v3_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"/>
                <w:id w:val="1382828319"/>
                <w:placeholder>
                  <w:docPart w:val="339B7D746526864D922760336FCFE603"/>
                </w:placeholder>
              </w:sdtPr>
              <w:sdtContent>
                <w:r w:rsidRPr="002F46CE">
                  <w:rPr>
                    <w:color w:val="000000"/>
                  </w:rPr>
                  <w:t>(SWIFFT, 2022d)</w:t>
                </w:r>
              </w:sdtContent>
            </w:sdt>
            <w:r>
              <w:t>.</w:t>
            </w:r>
          </w:p>
          <w:p w14:paraId="403D3656" w14:textId="77777777" w:rsidR="000B173B" w:rsidRDefault="000B173B" w:rsidP="00A15226">
            <w:pPr>
              <w:pStyle w:val="Tabletext"/>
            </w:pPr>
            <w:r>
              <w:t xml:space="preserve">The Spiny Rice-flower is endemic to Victoria. It occurs predominantly in the Victorian Volcanic Plain, with a small number of populations occurring in the Victorian Midlands and Riverina IBRA Bioregions </w:t>
            </w:r>
            <w:sdt>
              <w:sdtPr>
                <w:rPr>
                  <w:color w:val="000000"/>
                </w:rPr>
                <w:tag w:val="MENDELEY_CITATION_v3_eyJjaXRhdGlvbklEIjoiTUVOREVMRVlfQ0lUQVRJT05fM2EwOTVjNmQtNzBmZS00MWVkLThjNmEtYjg0YzI1MjlhMmVlIiwicHJvcGVydGllcyI6eyJub3RlSW5kZXgiOjB9LCJpc0VkaXRlZCI6ZmFsc2UsIm1hbnVhbE92ZXJyaWRlIjp7ImNpdGVwcm9jVGV4dCI6IihUU1NDLCAyMDE2a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592309245"/>
                <w:placeholder>
                  <w:docPart w:val="339B7D746526864D922760336FCFE603"/>
                </w:placeholder>
              </w:sdtPr>
              <w:sdtContent>
                <w:r w:rsidRPr="002F46CE">
                  <w:rPr>
                    <w:color w:val="000000"/>
                  </w:rPr>
                  <w:t>(TSSC, 2016j)</w:t>
                </w:r>
              </w:sdtContent>
            </w:sdt>
            <w:r>
              <w:t>. The Growth Areas are towards the south-eastern extent of the species distribution.</w:t>
            </w:r>
          </w:p>
          <w:p w14:paraId="075A5205" w14:textId="77777777" w:rsidR="000B173B" w:rsidRDefault="000B173B" w:rsidP="00A15226">
            <w:pPr>
              <w:pStyle w:val="Tabletext"/>
            </w:pPr>
            <w:r>
              <w:t xml:space="preserve">Populations are now substantially fragmented and depleted due to land clearing </w:t>
            </w:r>
            <w:sdt>
              <w:sdtPr>
                <w:rPr>
                  <w:color w:val="000000"/>
                </w:rPr>
                <w:tag w:val="MENDELEY_CITATION_v3_eyJjaXRhdGlvbklEIjoiTUVOREVMRVlfQ0lUQVRJT05fNWY0NWRhNDgtODUzZi00ZTI1LWI5NmQtZWRkNzU3ZmZjMGQ3IiwicHJvcGVydGllcyI6eyJub3RlSW5kZXgiOjB9LCJpc0VkaXRlZCI6ZmFsc2UsIm1hbnVhbE92ZXJyaWRlIjp7ImNpdGVwcm9jVGV4dCI6IihUU1NDLCAyMDE2a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514619121"/>
                <w:placeholder>
                  <w:docPart w:val="339B7D746526864D922760336FCFE603"/>
                </w:placeholder>
              </w:sdtPr>
              <w:sdtContent>
                <w:r w:rsidRPr="002F46CE">
                  <w:rPr>
                    <w:color w:val="000000"/>
                  </w:rPr>
                  <w:t>(TSSC, 2016j)</w:t>
                </w:r>
              </w:sdtContent>
            </w:sdt>
            <w:r>
              <w:t xml:space="preserve">. Populations are often isolated with restricted gene flow </w:t>
            </w:r>
            <w:sdt>
              <w:sdtPr>
                <w:rPr>
                  <w:color w:val="000000"/>
                </w:rPr>
                <w:tag w:val="MENDELEY_CITATION_v3_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"/>
                <w:id w:val="-227997556"/>
                <w:placeholder>
                  <w:docPart w:val="339B7D746526864D922760336FCFE603"/>
                </w:placeholder>
              </w:sdtPr>
              <w:sdtContent>
                <w:r w:rsidRPr="002F46CE">
                  <w:rPr>
                    <w:color w:val="000000"/>
                  </w:rPr>
                  <w:t>(DEWHA, 2009b)</w:t>
                </w:r>
              </w:sdtContent>
            </w:sdt>
            <w:r>
              <w:t xml:space="preserve">. Populations are typically small and often occur in small remnant patches of habitat less than 1 ha in size </w:t>
            </w:r>
            <w:sdt>
              <w:sdtPr>
                <w:rPr>
                  <w:color w:val="000000"/>
                </w:rPr>
                <w:tag w:val="MENDELEY_CITATION_v3_eyJjaXRhdGlvbklEIjoiTUVOREVMRVlfQ0lUQVRJT05fOWRkY2Y3MmQtOTNhYi00MjY0LWEwYzItNDBhZmE5MTVhN2M5IiwicHJvcGVydGllcyI6eyJub3RlSW5kZXgiOjB9LCJpc0VkaXRlZCI6ZmFsc2UsIm1hbnVhbE92ZXJyaWRlIjp7ImNpdGVwcm9jVGV4dCI6IihUU1NDLCAyMDE2a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1319777672"/>
                <w:placeholder>
                  <w:docPart w:val="339B7D746526864D922760336FCFE603"/>
                </w:placeholder>
              </w:sdtPr>
              <w:sdtContent>
                <w:r w:rsidRPr="002F46CE">
                  <w:rPr>
                    <w:color w:val="000000"/>
                  </w:rPr>
                  <w:t>(TSSC, 2016j)</w:t>
                </w:r>
              </w:sdtContent>
            </w:sdt>
            <w:r>
              <w:t>.</w:t>
            </w:r>
          </w:p>
          <w:p w14:paraId="2F0935F3" w14:textId="77777777" w:rsidR="000B173B" w:rsidRDefault="000B173B" w:rsidP="00A15226">
            <w:pPr>
              <w:pStyle w:val="Tabletext"/>
            </w:pPr>
            <w:r>
              <w:t xml:space="preserve">As of 2008, the population size was estimated to be between 30,000 – 50,000 plants in 120 populations </w:t>
            </w:r>
            <w:sdt>
              <w:sdtPr>
                <w:rPr>
                  <w:color w:val="000000"/>
                </w:rPr>
                <w:tag w:val="MENDELEY_CITATION_v3_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"/>
                <w:id w:val="1982189536"/>
                <w:placeholder>
                  <w:docPart w:val="339B7D746526864D922760336FCFE603"/>
                </w:placeholder>
              </w:sdtPr>
              <w:sdtContent>
                <w:r w:rsidRPr="002F46CE">
                  <w:rPr>
                    <w:color w:val="000000"/>
                  </w:rPr>
                  <w:t>(DSE, 2008)</w:t>
                </w:r>
              </w:sdtContent>
            </w:sdt>
            <w:r>
              <w:t xml:space="preserve">. The 2016 Conservation Advice notes that based on the state-wide database, there may be 88,000 plants occurring in 208 – 275 sites. However, the record database for the Spiny Rice-flower includes multiple old and imprecise records, so this population estimate may be over-estimating the occurrence of the species </w:t>
            </w:r>
            <w:sdt>
              <w:sdtPr>
                <w:rPr>
                  <w:color w:val="000000"/>
                </w:rPr>
                <w:tag w:val="MENDELEY_CITATION_v3_eyJjaXRhdGlvbklEIjoiTUVOREVMRVlfQ0lUQVRJT05fM2RlNTI1M2UtNTg1MS00MzEwLWEzOGYtNGU0MWU5MGQ1NjdiIiwicHJvcGVydGllcyI6eyJub3RlSW5kZXgiOjB9LCJpc0VkaXRlZCI6ZmFsc2UsIm1hbnVhbE92ZXJyaWRlIjp7ImNpdGVwcm9jVGV4dCI6IihUU1NDLCAyMDE2a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399102818"/>
                <w:placeholder>
                  <w:docPart w:val="339B7D746526864D922760336FCFE603"/>
                </w:placeholder>
              </w:sdtPr>
              <w:sdtContent>
                <w:r w:rsidRPr="002F46CE">
                  <w:rPr>
                    <w:color w:val="000000"/>
                  </w:rPr>
                  <w:t>(TSSC, 2016j)</w:t>
                </w:r>
              </w:sdtContent>
            </w:sdt>
            <w:r>
              <w:t>.</w:t>
            </w:r>
          </w:p>
          <w:p w14:paraId="0F678498" w14:textId="77777777" w:rsidR="000B173B" w:rsidRPr="000A2467" w:rsidRDefault="000B173B" w:rsidP="00A15226">
            <w:pPr>
              <w:pStyle w:val="Tabletext"/>
              <w:keepNext/>
            </w:pPr>
            <w:r>
              <w:t xml:space="preserve">The species’ Conservation Advice </w:t>
            </w:r>
            <w:sdt>
              <w:sdtPr>
                <w:rPr>
                  <w:color w:val="000000"/>
                </w:rPr>
                <w:tag w:val="MENDELEY_CITATION_v3_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"/>
                <w:id w:val="-774790860"/>
                <w:placeholder>
                  <w:docPart w:val="339B7D746526864D922760336FCFE603"/>
                </w:placeholder>
              </w:sdtPr>
              <w:sdtContent>
                <w:r w:rsidRPr="002F46CE">
                  <w:rPr>
                    <w:color w:val="000000"/>
                  </w:rPr>
                  <w:t>(TSSC, 2016j)</w:t>
                </w:r>
              </w:sdtContent>
            </w:sdt>
            <w:r>
              <w:t xml:space="preserve">, Recovery Plan </w:t>
            </w:r>
            <w:sdt>
              <w:sdtPr>
                <w:rPr>
                  <w:color w:val="000000"/>
                </w:rPr>
                <w:tag w:val="MENDELEY_CITATION_v3_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"/>
                <w:id w:val="-14775583"/>
                <w:placeholder>
                  <w:docPart w:val="339B7D746526864D922760336FCFE603"/>
                </w:placeholder>
              </w:sdtPr>
              <w:sdtContent>
                <w:r w:rsidRPr="002F46CE">
                  <w:rPr>
                    <w:color w:val="000000"/>
                  </w:rPr>
                  <w:t>(Carter and Walsh, 2006)</w:t>
                </w:r>
              </w:sdtContent>
            </w:sdt>
            <w:r>
              <w:rPr>
                <w:i/>
                <w:iCs/>
              </w:rPr>
              <w:t xml:space="preserve"> </w:t>
            </w:r>
            <w:r>
              <w:t xml:space="preserve">and Significant Impact Guidelines </w:t>
            </w:r>
            <w:sdt>
              <w:sdtPr>
                <w:rPr>
                  <w:color w:val="000000"/>
                </w:rPr>
                <w:tag w:val="MENDELEY_CITATION_v3_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"/>
                <w:id w:val="1173303675"/>
                <w:placeholder>
                  <w:docPart w:val="339B7D746526864D922760336FCFE603"/>
                </w:placeholder>
              </w:sdtPr>
              <w:sdtContent>
                <w:r w:rsidRPr="002F46CE">
                  <w:rPr>
                    <w:color w:val="000000"/>
                  </w:rPr>
                  <w:t>(DEWHA, 2009c)</w:t>
                </w:r>
              </w:sdtContent>
            </w:sdt>
            <w:r>
              <w:t xml:space="preserve"> have identified the following threats: habitat loss and fragmentation, </w:t>
            </w:r>
            <w:r>
              <w:lastRenderedPageBreak/>
              <w:t xml:space="preserve">inappropriate fire regimes, weed invasion, grazing by feral herbivores and livestock, and small and declining populations </w:t>
            </w:r>
            <w:r w:rsidRPr="000A2467">
              <w:t>with limited gene flow.</w:t>
            </w:r>
          </w:p>
          <w:p w14:paraId="1156827B" w14:textId="77777777" w:rsidR="000B173B" w:rsidRPr="006900FB" w:rsidRDefault="000B173B" w:rsidP="00A15226">
            <w:pPr>
              <w:pStyle w:val="Tabletext"/>
              <w:keepNext/>
              <w:rPr>
                <w:rFonts w:cs="Arial"/>
                <w:szCs w:val="18"/>
              </w:rPr>
            </w:pPr>
            <w:r w:rsidRPr="006900FB">
              <w:t xml:space="preserve">Targeted surveys were undertaken within both Growth Areas for the Spiny Rice-flower. </w:t>
            </w:r>
            <w:r w:rsidRPr="006900FB">
              <w:rPr>
                <w:rFonts w:cs="Arial"/>
                <w:szCs w:val="18"/>
              </w:rPr>
              <w:t xml:space="preserve">No individuals of the species were identified during these surveys </w:t>
            </w:r>
            <w:sdt>
              <w:sdtPr>
                <w:rPr>
                  <w:rFonts w:cs="Arial"/>
                  <w:color w:val="000000"/>
                  <w:szCs w:val="18"/>
                </w:rPr>
                <w:tag w:val="MENDELEY_CITATION_v3_eyJjaXRhdGlvbklEIjoiTUVOREVMRVlfQ0lUQVRJT05fZTlmMTIzOTItYjFlNS00MDNmLTk4YmItMTA5OWExOWUzYTFh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347611937"/>
                <w:placeholder>
                  <w:docPart w:val="339B7D746526864D922760336FCFE603"/>
                </w:placeholder>
              </w:sdtPr>
              <w:sdtEndPr>
                <w:rPr>
                  <w:rFonts w:cs="Times New Roman"/>
                  <w:szCs w:val="20"/>
                </w:rPr>
              </w:sdtEndPr>
              <w:sdtContent>
                <w:r w:rsidRPr="002F46CE">
                  <w:rPr>
                    <w:color w:val="000000"/>
                  </w:rPr>
                  <w:t>(EHP, 2021)</w:t>
                </w:r>
              </w:sdtContent>
            </w:sdt>
            <w:r w:rsidRPr="006900FB">
              <w:rPr>
                <w:rFonts w:cs="Arial"/>
                <w:szCs w:val="18"/>
              </w:rPr>
              <w:t>.</w:t>
            </w:r>
          </w:p>
          <w:p w14:paraId="3ED85232" w14:textId="77777777" w:rsidR="000B173B" w:rsidRPr="006900FB" w:rsidRDefault="000B173B" w:rsidP="00A15226">
            <w:pPr>
              <w:pStyle w:val="Tabletext"/>
              <w:keepNext/>
              <w:rPr>
                <w:rFonts w:cs="Arial"/>
                <w:szCs w:val="18"/>
              </w:rPr>
            </w:pPr>
            <w:r w:rsidRPr="006900FB">
              <w:rPr>
                <w:rFonts w:cs="Arial"/>
                <w:szCs w:val="18"/>
              </w:rPr>
              <w:t xml:space="preserve">Further, assessment of habitat condition within the surveyed areas of the Growth Areas indicated that there is a low likelihood that the surveyed areas of the Growth Areas would support a population of the Spiny Rice-flower. This is due to the level of disturbance at surveyed sites and existing threats such as weed invasion and lack of suitable habitat features such as inter-tussock spaces </w:t>
            </w:r>
            <w:sdt>
              <w:sdtPr>
                <w:rPr>
                  <w:rFonts w:cs="Arial"/>
                  <w:color w:val="000000"/>
                  <w:szCs w:val="18"/>
                </w:rPr>
                <w:tag w:val="MENDELEY_CITATION_v3_eyJjaXRhdGlvbklEIjoiTUVOREVMRVlfQ0lUQVRJT05fNjc1M2U2ZDMtYWYyMi00MzFmLTgyOGMtODVhYjY1Yjg1Mjc3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961423415"/>
                <w:placeholder>
                  <w:docPart w:val="339B7D746526864D922760336FCFE603"/>
                </w:placeholder>
              </w:sdtPr>
              <w:sdtEndPr>
                <w:rPr>
                  <w:rFonts w:cs="Times New Roman"/>
                  <w:szCs w:val="20"/>
                </w:rPr>
              </w:sdtEndPr>
              <w:sdtContent>
                <w:r w:rsidRPr="002F46CE">
                  <w:rPr>
                    <w:color w:val="000000"/>
                  </w:rPr>
                  <w:t>(EHP, 2021)</w:t>
                </w:r>
              </w:sdtContent>
            </w:sdt>
            <w:r w:rsidRPr="006900FB">
              <w:rPr>
                <w:rFonts w:cs="Arial"/>
                <w:szCs w:val="18"/>
              </w:rPr>
              <w:t xml:space="preserve">. It is noted that the species is recognised to be most likely to occur in areas with low levels of disturbance </w:t>
            </w:r>
            <w:sdt>
              <w:sdtPr>
                <w:rPr>
                  <w:rFonts w:cs="Arial"/>
                  <w:color w:val="000000"/>
                  <w:szCs w:val="18"/>
                </w:rPr>
                <w:tag w:val="MENDELEY_CITATION_v3_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"/>
                <w:id w:val="1044708466"/>
                <w:placeholder>
                  <w:docPart w:val="339B7D746526864D922760336FCFE603"/>
                </w:placeholder>
              </w:sdtPr>
              <w:sdtEndPr>
                <w:rPr>
                  <w:rFonts w:cs="Times New Roman"/>
                  <w:szCs w:val="20"/>
                </w:rPr>
              </w:sdtEndPr>
              <w:sdtContent>
                <w:r w:rsidRPr="002F46CE">
                  <w:rPr>
                    <w:color w:val="000000"/>
                  </w:rPr>
                  <w:t>(SWIFFT, 2022d)</w:t>
                </w:r>
              </w:sdtContent>
            </w:sdt>
            <w:r w:rsidRPr="006900FB">
              <w:t>.</w:t>
            </w:r>
          </w:p>
          <w:p w14:paraId="0BD613C5" w14:textId="77777777" w:rsidR="000B173B" w:rsidRPr="006900FB" w:rsidRDefault="000B173B" w:rsidP="00A15226">
            <w:pPr>
              <w:pStyle w:val="Tabletext"/>
            </w:pPr>
            <w:r w:rsidRPr="006900FB">
              <w:t>The unsurveyed areas of the Growth Areas are assumed to support habitat for</w:t>
            </w:r>
            <w:r>
              <w:t xml:space="preserve"> the same</w:t>
            </w:r>
            <w:r w:rsidRPr="006900FB">
              <w:t xml:space="preserve"> threatened species which were recorded within the Growth Areas (see Section 13.3.2 of Part 3 for details). Given that these areas are more modified or degraded than the surveyed areas of the Growth Areas, and the species was not recorded during targeted surveys, potential direct impacts to Spiny Rice-flower within the unsurveyed areas are unlikely. </w:t>
            </w:r>
          </w:p>
          <w:p w14:paraId="2EC12A9C" w14:textId="77777777" w:rsidR="000B173B" w:rsidRDefault="000B173B" w:rsidP="00A15226">
            <w:pPr>
              <w:pStyle w:val="Tabletext"/>
            </w:pPr>
            <w:r w:rsidRPr="006900FB">
              <w:t>The broader Strategic Assessment Area has not been surveyed and will be subject to development within the external infrastructure footprints. The Plan includes a Measure to undertake targeted surveys within the external infrastructure footprints for all protected matters with the potential to occur. Any potential direct impacts to the species within these areas will be addressed following field surveys.</w:t>
            </w:r>
          </w:p>
          <w:p w14:paraId="438C656F" w14:textId="77777777" w:rsidR="000B173B" w:rsidRDefault="000B173B" w:rsidP="00A15226">
            <w:pPr>
              <w:pStyle w:val="Tabletext"/>
            </w:pPr>
            <w:r>
              <w:t>There are 648 records of the species within the Study Area, with the closest approximately 1 km from the NGGA. Remaining records occur in three broad areas, including: approximately 12 km west of the Growth Areas near Bannockburn, between Lara and the north-eastern boundary of the Study Area, and at Lake Borrie Spit, over 18 km east of the NGGA.</w:t>
            </w:r>
          </w:p>
          <w:p w14:paraId="7C1C2717" w14:textId="77777777" w:rsidR="000B173B" w:rsidRPr="007241D5" w:rsidRDefault="000B173B" w:rsidP="00A15226">
            <w:pPr>
              <w:pStyle w:val="Tabletext"/>
            </w:pPr>
            <w:r>
              <w:t>Potential indirect impacts to the species as a result of development may be possible, given the proximity of records to the Growth Areas and the density of records in the Study Area (representing 14.4 per cent of records in Victoria). Further detailed assessment is required to understand potential impacts. Refer to Section 20.2 of Part 4 for the detailed impact assessment of the Spiny Rice-flower.</w:t>
            </w:r>
          </w:p>
        </w:tc>
      </w:tr>
      <w:tr w:rsidR="000B173B" w14:paraId="5384AE45" w14:textId="77777777" w:rsidTr="00A15226">
        <w:tc>
          <w:tcPr>
            <w:tcW w:w="1480" w:type="dxa"/>
            <w:tcBorders>
              <w:bottom w:val="single" w:sz="4" w:space="0" w:color="auto"/>
            </w:tcBorders>
            <w:shd w:val="clear" w:color="auto" w:fill="auto"/>
            <w:vAlign w:val="center"/>
          </w:tcPr>
          <w:p w14:paraId="355A83C8" w14:textId="77777777" w:rsidR="000B173B" w:rsidRPr="00B83DE7" w:rsidRDefault="000B173B" w:rsidP="00A15226">
            <w:pPr>
              <w:pStyle w:val="Tabletext"/>
              <w:rPr>
                <w:szCs w:val="18"/>
              </w:rPr>
            </w:pPr>
            <w:r w:rsidRPr="00B83DE7">
              <w:rPr>
                <w:rFonts w:cs="Arial"/>
                <w:i/>
                <w:iCs/>
                <w:szCs w:val="18"/>
              </w:rPr>
              <w:lastRenderedPageBreak/>
              <w:t>Prasophyllum spicatum</w:t>
            </w:r>
          </w:p>
        </w:tc>
        <w:tc>
          <w:tcPr>
            <w:tcW w:w="1353" w:type="dxa"/>
            <w:tcBorders>
              <w:bottom w:val="single" w:sz="4" w:space="0" w:color="auto"/>
            </w:tcBorders>
            <w:shd w:val="clear" w:color="auto" w:fill="auto"/>
            <w:vAlign w:val="center"/>
          </w:tcPr>
          <w:p w14:paraId="6C7E6CDD" w14:textId="77777777" w:rsidR="000B173B" w:rsidRPr="00116F3A" w:rsidRDefault="000B173B" w:rsidP="00A15226">
            <w:pPr>
              <w:pStyle w:val="Tabletext"/>
              <w:rPr>
                <w:szCs w:val="18"/>
                <w:highlight w:val="yellow"/>
              </w:rPr>
            </w:pPr>
            <w:r w:rsidRPr="006E3CEA">
              <w:rPr>
                <w:rFonts w:cs="Arial"/>
                <w:szCs w:val="18"/>
              </w:rPr>
              <w:t>Dense Leek-orchid</w:t>
            </w:r>
          </w:p>
        </w:tc>
        <w:tc>
          <w:tcPr>
            <w:tcW w:w="1235" w:type="dxa"/>
            <w:tcBorders>
              <w:bottom w:val="single" w:sz="4" w:space="0" w:color="auto"/>
            </w:tcBorders>
            <w:shd w:val="clear" w:color="auto" w:fill="auto"/>
            <w:vAlign w:val="center"/>
          </w:tcPr>
          <w:p w14:paraId="492358FD"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6C19C1BE" w14:textId="77777777" w:rsidR="000B173B" w:rsidRPr="00AC3FED" w:rsidRDefault="000B173B" w:rsidP="00A15226">
            <w:pPr>
              <w:pStyle w:val="Tabletext"/>
              <w:jc w:val="center"/>
              <w:rPr>
                <w:highlight w:val="yellow"/>
              </w:rPr>
            </w:pPr>
            <w:r w:rsidRPr="00D45CB7">
              <w:t>No</w:t>
            </w:r>
          </w:p>
        </w:tc>
        <w:tc>
          <w:tcPr>
            <w:tcW w:w="9072" w:type="dxa"/>
            <w:tcBorders>
              <w:bottom w:val="single" w:sz="4" w:space="0" w:color="auto"/>
            </w:tcBorders>
            <w:shd w:val="clear" w:color="auto" w:fill="auto"/>
            <w:vAlign w:val="center"/>
          </w:tcPr>
          <w:p w14:paraId="332A7C14" w14:textId="77777777" w:rsidR="000B173B" w:rsidRPr="000A2467" w:rsidRDefault="000B173B" w:rsidP="00A15226">
            <w:pPr>
              <w:pStyle w:val="Tabletext"/>
              <w:rPr>
                <w:rFonts w:cs="Arial"/>
                <w:szCs w:val="18"/>
              </w:rPr>
            </w:pPr>
            <w:r w:rsidRPr="00B83DE7">
              <w:rPr>
                <w:rFonts w:cs="Arial"/>
                <w:i/>
                <w:iCs/>
                <w:szCs w:val="18"/>
              </w:rPr>
              <w:t>Prasophyllum spicatum</w:t>
            </w:r>
            <w:r>
              <w:rPr>
                <w:rFonts w:cs="Arial"/>
                <w:i/>
                <w:iCs/>
                <w:szCs w:val="18"/>
              </w:rPr>
              <w:t xml:space="preserve"> </w:t>
            </w:r>
            <w:r>
              <w:rPr>
                <w:rFonts w:cs="Arial"/>
                <w:szCs w:val="18"/>
              </w:rPr>
              <w:t>(</w:t>
            </w:r>
            <w:r w:rsidRPr="00B83DE7">
              <w:rPr>
                <w:rFonts w:cs="Arial"/>
                <w:szCs w:val="18"/>
              </w:rPr>
              <w:t>Dense Leek-orchid</w:t>
            </w:r>
            <w:r>
              <w:rPr>
                <w:rFonts w:cs="Arial"/>
                <w:szCs w:val="18"/>
              </w:rPr>
              <w:t>) is a perennial, terrestrial orchid which inhabits</w:t>
            </w:r>
            <w:r>
              <w:t xml:space="preserve"> coastal and near-coastal heathland and heathy woodland. The species is </w:t>
            </w:r>
            <w:r>
              <w:rPr>
                <w:rFonts w:cs="Arial"/>
                <w:szCs w:val="18"/>
              </w:rPr>
              <w:t xml:space="preserve">endemic to south-eastern Australia. It is distributed from Gippsland in Victoria to south-east SA. There is a wide disjunction between south Gippsland and south-west Victorian populations. It is currently known from eight populations with 80 plants, although this may underestimate the actual number of plants. None of the currently known populations are in the vicinity of Geelong. </w:t>
            </w:r>
            <w:r>
              <w:t xml:space="preserve">Threats include habitat disturbance, grazing by native and/or introduced predators, and altered fire </w:t>
            </w:r>
            <w:r>
              <w:lastRenderedPageBreak/>
              <w:t>regimes. It is likely that conditions for pollinator and fungal activity have been adversely affected at most sites</w:t>
            </w:r>
            <w:r>
              <w:rPr>
                <w:rFonts w:cs="Arial"/>
                <w:szCs w:val="18"/>
              </w:rPr>
              <w:t xml:space="preserve"> </w:t>
            </w:r>
            <w:sdt>
              <w:sdtPr>
                <w:rPr>
                  <w:rFonts w:cs="Arial"/>
                  <w:color w:val="000000"/>
                  <w:szCs w:val="18"/>
                </w:rPr>
                <w:tag w:val="MENDELEY_CITATION_v3_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"/>
                <w:id w:val="588816641"/>
                <w:placeholder>
                  <w:docPart w:val="339B7D746526864D922760336FCFE603"/>
                </w:placeholder>
              </w:sdtPr>
              <w:sdtEndPr>
                <w:rPr>
                  <w:rFonts w:cs="Times New Roman"/>
                  <w:szCs w:val="20"/>
                </w:rPr>
              </w:sdtEndPr>
              <w:sdtContent>
                <w:r w:rsidRPr="002F46CE">
                  <w:rPr>
                    <w:color w:val="000000"/>
                  </w:rPr>
                  <w:t>(Duncan, 2010a)</w:t>
                </w:r>
              </w:sdtContent>
            </w:sdt>
            <w:r w:rsidRPr="000A2467">
              <w:rPr>
                <w:rFonts w:cs="Arial"/>
                <w:szCs w:val="18"/>
              </w:rPr>
              <w:t>.</w:t>
            </w:r>
          </w:p>
          <w:p w14:paraId="7FE6CDE0" w14:textId="77777777" w:rsidR="000B173B" w:rsidRPr="000A2467" w:rsidRDefault="000B173B" w:rsidP="00A15226">
            <w:pPr>
              <w:pStyle w:val="Tabletext"/>
              <w:rPr>
                <w:rFonts w:cs="Arial"/>
                <w:szCs w:val="18"/>
              </w:rPr>
            </w:pPr>
            <w:r w:rsidRPr="006900FB">
              <w:rPr>
                <w:rFonts w:cs="Arial"/>
                <w:szCs w:val="18"/>
              </w:rPr>
              <w:t xml:space="preserve">The Strategic Assessment Area is not a coastal or near-coastal environment and does not support heathland or heathy woodland. It is considered unlikely that the species would be present within the Strategic Assessment Area. </w:t>
            </w:r>
            <w:r w:rsidRPr="006900FB">
              <w:t>Direct impacts are therefore considered unlikely.</w:t>
            </w:r>
          </w:p>
          <w:p w14:paraId="5474F692" w14:textId="77777777" w:rsidR="000B173B" w:rsidRDefault="000B173B" w:rsidP="00A15226">
            <w:pPr>
              <w:pStyle w:val="Tabletext"/>
              <w:rPr>
                <w:rFonts w:cs="Arial"/>
                <w:szCs w:val="18"/>
              </w:rPr>
            </w:pPr>
            <w:r w:rsidRPr="000A2467">
              <w:t>There are six clustered records of the speci</w:t>
            </w:r>
            <w:r>
              <w:t xml:space="preserve">es within the Study Area (observed between 1925 – 1934), the closest of which occurs 14.6 km away from the Growth Areas. Given the age of the records and that no contemporary populations of the species are known to occur in the vicinity of Geelong </w:t>
            </w:r>
            <w:sdt>
              <w:sdtPr>
                <w:rPr>
                  <w:color w:val="000000"/>
                </w:rPr>
                <w:tag w:val="MENDELEY_CITATION_v3_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"/>
                <w:id w:val="953210493"/>
                <w:placeholder>
                  <w:docPart w:val="339B7D746526864D922760336FCFE603"/>
                </w:placeholder>
              </w:sdtPr>
              <w:sdtContent>
                <w:r w:rsidRPr="002F46CE">
                  <w:rPr>
                    <w:color w:val="000000"/>
                  </w:rPr>
                  <w:t>(Duncan, 2010a)</w:t>
                </w:r>
              </w:sdtContent>
            </w:sdt>
            <w:r>
              <w:rPr>
                <w:rFonts w:cs="Arial"/>
                <w:szCs w:val="18"/>
              </w:rPr>
              <w:t>, it is unlikely that this population is extant.</w:t>
            </w:r>
          </w:p>
          <w:p w14:paraId="262423F8" w14:textId="77777777" w:rsidR="000B173B" w:rsidRPr="00053A63" w:rsidRDefault="000B173B" w:rsidP="00A15226">
            <w:pPr>
              <w:pStyle w:val="Tabletext"/>
            </w:pPr>
            <w:r w:rsidRPr="008920CB">
              <w:t>There are otherwise no existing records within the broader Study Area. Suitable potential habitat is limited within a largely agricultural landscape. Potential indirect impacts to the species are also considered unlikely.</w:t>
            </w:r>
          </w:p>
        </w:tc>
      </w:tr>
      <w:tr w:rsidR="000B173B" w14:paraId="0B5966E8" w14:textId="77777777" w:rsidTr="00A15226">
        <w:tc>
          <w:tcPr>
            <w:tcW w:w="1480" w:type="dxa"/>
            <w:tcBorders>
              <w:bottom w:val="single" w:sz="4" w:space="0" w:color="auto"/>
            </w:tcBorders>
            <w:shd w:val="clear" w:color="auto" w:fill="auto"/>
            <w:vAlign w:val="center"/>
          </w:tcPr>
          <w:p w14:paraId="241E6A5B" w14:textId="77777777" w:rsidR="000B173B" w:rsidRPr="00B83DE7" w:rsidRDefault="000B173B" w:rsidP="00A15226">
            <w:pPr>
              <w:pStyle w:val="Tabletext"/>
              <w:rPr>
                <w:i/>
                <w:iCs/>
                <w:szCs w:val="18"/>
              </w:rPr>
            </w:pPr>
            <w:r w:rsidRPr="00B83DE7">
              <w:rPr>
                <w:rFonts w:cs="Arial"/>
                <w:i/>
                <w:iCs/>
                <w:szCs w:val="18"/>
              </w:rPr>
              <w:lastRenderedPageBreak/>
              <w:t>Prasophyllum suaveolens</w:t>
            </w:r>
          </w:p>
        </w:tc>
        <w:tc>
          <w:tcPr>
            <w:tcW w:w="1353" w:type="dxa"/>
            <w:tcBorders>
              <w:bottom w:val="single" w:sz="4" w:space="0" w:color="auto"/>
            </w:tcBorders>
            <w:shd w:val="clear" w:color="auto" w:fill="auto"/>
            <w:vAlign w:val="center"/>
          </w:tcPr>
          <w:p w14:paraId="3DE2DE01" w14:textId="77777777" w:rsidR="000B173B" w:rsidRPr="00116F3A" w:rsidRDefault="000B173B" w:rsidP="00A15226">
            <w:pPr>
              <w:pStyle w:val="Tabletext"/>
              <w:rPr>
                <w:szCs w:val="18"/>
                <w:highlight w:val="yellow"/>
              </w:rPr>
            </w:pPr>
            <w:r w:rsidRPr="00811A7D">
              <w:rPr>
                <w:rFonts w:cs="Arial"/>
                <w:szCs w:val="18"/>
              </w:rPr>
              <w:t>Fragrant Leek-orchid</w:t>
            </w:r>
          </w:p>
        </w:tc>
        <w:tc>
          <w:tcPr>
            <w:tcW w:w="1235" w:type="dxa"/>
            <w:tcBorders>
              <w:bottom w:val="single" w:sz="4" w:space="0" w:color="auto"/>
            </w:tcBorders>
            <w:shd w:val="clear" w:color="auto" w:fill="auto"/>
            <w:vAlign w:val="center"/>
          </w:tcPr>
          <w:p w14:paraId="436BA800" w14:textId="77777777" w:rsidR="000B173B" w:rsidRPr="00B83DE7" w:rsidRDefault="000B173B" w:rsidP="00A15226">
            <w:pPr>
              <w:pStyle w:val="Tabletext"/>
              <w:rPr>
                <w:szCs w:val="18"/>
              </w:rPr>
            </w:pPr>
            <w:r w:rsidRPr="00B83DE7">
              <w:rPr>
                <w:rFonts w:cs="Arial"/>
                <w:szCs w:val="18"/>
              </w:rPr>
              <w:t xml:space="preserve">Critically Endangered </w:t>
            </w:r>
          </w:p>
        </w:tc>
        <w:tc>
          <w:tcPr>
            <w:tcW w:w="1177" w:type="dxa"/>
            <w:tcBorders>
              <w:bottom w:val="single" w:sz="4" w:space="0" w:color="auto"/>
            </w:tcBorders>
            <w:shd w:val="clear" w:color="auto" w:fill="auto"/>
            <w:vAlign w:val="center"/>
          </w:tcPr>
          <w:p w14:paraId="1418E776" w14:textId="77777777" w:rsidR="000B173B" w:rsidRPr="00AC3FED" w:rsidRDefault="000B173B" w:rsidP="00A15226">
            <w:pPr>
              <w:pStyle w:val="Tabletext"/>
              <w:jc w:val="center"/>
              <w:rPr>
                <w:highlight w:val="yellow"/>
              </w:rPr>
            </w:pPr>
            <w:r w:rsidRPr="000246EE">
              <w:t>No</w:t>
            </w:r>
          </w:p>
        </w:tc>
        <w:tc>
          <w:tcPr>
            <w:tcW w:w="9072" w:type="dxa"/>
            <w:tcBorders>
              <w:bottom w:val="single" w:sz="4" w:space="0" w:color="auto"/>
            </w:tcBorders>
            <w:shd w:val="clear" w:color="auto" w:fill="auto"/>
            <w:vAlign w:val="center"/>
          </w:tcPr>
          <w:p w14:paraId="1A745D15" w14:textId="77777777" w:rsidR="000B173B" w:rsidRDefault="000B173B" w:rsidP="00A15226">
            <w:pPr>
              <w:pStyle w:val="Tabletext"/>
              <w:rPr>
                <w:rFonts w:cs="Arial"/>
                <w:szCs w:val="18"/>
              </w:rPr>
            </w:pPr>
            <w:r w:rsidRPr="00B83DE7">
              <w:rPr>
                <w:rFonts w:cs="Arial"/>
                <w:i/>
                <w:iCs/>
                <w:szCs w:val="18"/>
              </w:rPr>
              <w:t>Prasophyllum suaveolens</w:t>
            </w:r>
            <w:r>
              <w:rPr>
                <w:rFonts w:cs="Arial"/>
                <w:i/>
                <w:iCs/>
                <w:szCs w:val="18"/>
              </w:rPr>
              <w:t xml:space="preserve"> </w:t>
            </w:r>
            <w:r>
              <w:rPr>
                <w:rFonts w:cs="Arial"/>
                <w:szCs w:val="18"/>
              </w:rPr>
              <w:t>(</w:t>
            </w:r>
            <w:r w:rsidRPr="00B83DE7">
              <w:rPr>
                <w:rFonts w:cs="Arial"/>
                <w:szCs w:val="18"/>
              </w:rPr>
              <w:t>Fragrant Leek-orchid</w:t>
            </w:r>
            <w:r>
              <w:rPr>
                <w:rFonts w:cs="Arial"/>
                <w:szCs w:val="18"/>
              </w:rPr>
              <w:t xml:space="preserve">) is an orchid which inhabits </w:t>
            </w:r>
            <w:r>
              <w:t xml:space="preserve">grasslands, and open grassy woodland. The habitat is usually dominated by tussock-forming perennial grasses, along with wildflowers and herbs. </w:t>
            </w:r>
            <w:r>
              <w:rPr>
                <w:rFonts w:cs="Arial"/>
                <w:szCs w:val="18"/>
              </w:rPr>
              <w:t xml:space="preserve">The species is endemic to the basalt plains of south-western Victoria. Historically the species was widespread across the basalt plains, and was recorded from Werribee, St Albans, Albion, Laverton, Lara, Tottenham and Merri Creek, and from near Creswick. As of 2010, eight populations were known, containing an estimated 1,500 plants. </w:t>
            </w:r>
            <w:r>
              <w:t>Threats to the species include weed invasion, habitat disturbance, fire and grazing by rabbits and stock</w:t>
            </w:r>
            <w:r>
              <w:rPr>
                <w:rFonts w:cs="Arial"/>
                <w:szCs w:val="18"/>
              </w:rPr>
              <w:t xml:space="preserve"> </w:t>
            </w:r>
            <w:sdt>
              <w:sdtPr>
                <w:rPr>
                  <w:rFonts w:cs="Arial"/>
                  <w:color w:val="000000"/>
                  <w:szCs w:val="18"/>
                </w:rPr>
                <w:tag w:val="MENDELEY_CITATION_v3_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"/>
                <w:id w:val="-909835996"/>
                <w:placeholder>
                  <w:docPart w:val="339B7D746526864D922760336FCFE603"/>
                </w:placeholder>
              </w:sdtPr>
              <w:sdtEndPr>
                <w:rPr>
                  <w:rFonts w:cs="Times New Roman"/>
                  <w:szCs w:val="20"/>
                </w:rPr>
              </w:sdtEndPr>
              <w:sdtContent>
                <w:r w:rsidRPr="002F46CE">
                  <w:rPr>
                    <w:color w:val="000000"/>
                  </w:rPr>
                  <w:t>(TSSC, 2016l)</w:t>
                </w:r>
              </w:sdtContent>
            </w:sdt>
            <w:r>
              <w:rPr>
                <w:rFonts w:cs="Arial"/>
                <w:szCs w:val="18"/>
              </w:rPr>
              <w:t>.</w:t>
            </w:r>
          </w:p>
          <w:p w14:paraId="7D239F7B" w14:textId="77777777" w:rsidR="000B173B" w:rsidRDefault="000B173B" w:rsidP="00A15226">
            <w:pPr>
              <w:pStyle w:val="Tabletext"/>
            </w:pPr>
            <w:r>
              <w:t>There is one record of the species within the Study Area (dated 1924) which occurs within Lara approximately 5.6 km east of the Growth Areas. This record occurs in a developed area and is unlikely to be extant.</w:t>
            </w:r>
          </w:p>
          <w:p w14:paraId="5AAA1C01" w14:textId="77777777" w:rsidR="000B173B" w:rsidRPr="006900FB" w:rsidRDefault="000B173B" w:rsidP="00A15226">
            <w:pPr>
              <w:pStyle w:val="Tabletext"/>
            </w:pPr>
            <w:r w:rsidRPr="006900FB">
              <w:t xml:space="preserve">There are no records of the species within the Strategic Assessment Area. Site surveys completed within the Growth Areas indicated that there is poor or limited habitat for the species </w:t>
            </w:r>
            <w:sdt>
              <w:sdtPr>
                <w:rPr>
                  <w:color w:val="000000"/>
                </w:rPr>
                <w:tag w:val="MENDELEY_CITATION_v3_eyJjaXRhdGlvbklEIjoiTUVOREVMRVlfQ0lUQVRJT05fMWQyMDhlYjktZmY5ZS00ZTQ3LTg0MTktNGU5NjhlMDZjYzQy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625158605"/>
                <w:placeholder>
                  <w:docPart w:val="339B7D746526864D922760336FCFE603"/>
                </w:placeholder>
              </w:sdtPr>
              <w:sdtContent>
                <w:r w:rsidRPr="002F46CE">
                  <w:rPr>
                    <w:color w:val="000000"/>
                  </w:rPr>
                  <w:t>(EHP, 2021)</w:t>
                </w:r>
              </w:sdtContent>
            </w:sdt>
            <w:r w:rsidRPr="006900FB">
              <w:rPr>
                <w:iCs/>
              </w:rPr>
              <w:t xml:space="preserve">. </w:t>
            </w:r>
            <w:r w:rsidRPr="006900FB">
              <w:t>These results combined with the lack of records and existing threatening processes suggest it is unlikely that the species would be present within the Strategic Assessment Area. Direct impacts are therefore considered unlikely.</w:t>
            </w:r>
          </w:p>
          <w:p w14:paraId="4B0148F9" w14:textId="77777777" w:rsidR="000B173B" w:rsidRPr="00811A7D" w:rsidRDefault="000B173B" w:rsidP="00A15226">
            <w:pPr>
              <w:pStyle w:val="Tabletext"/>
            </w:pPr>
            <w:r w:rsidRPr="000A2467">
              <w:t>Potential indirect impacts from development, such as those associated</w:t>
            </w:r>
            <w:r w:rsidRPr="00811A7D">
              <w:t xml:space="preserve"> with </w:t>
            </w:r>
            <w:r>
              <w:t>weed invasion and habitat disturbance,</w:t>
            </w:r>
            <w:r w:rsidRPr="00811A7D">
              <w:t xml:space="preserve"> are unlikely to exacerbate existing threats to the species given the </w:t>
            </w:r>
            <w:r>
              <w:t>urban and</w:t>
            </w:r>
            <w:r w:rsidRPr="00811A7D">
              <w:t xml:space="preserve"> agricultural landscape context and the distance of the nearest records to proposed development.</w:t>
            </w:r>
          </w:p>
        </w:tc>
      </w:tr>
      <w:tr w:rsidR="000B173B" w14:paraId="4523DD11" w14:textId="77777777" w:rsidTr="00A15226">
        <w:tc>
          <w:tcPr>
            <w:tcW w:w="1480" w:type="dxa"/>
            <w:tcBorders>
              <w:bottom w:val="single" w:sz="4" w:space="0" w:color="auto"/>
            </w:tcBorders>
            <w:shd w:val="clear" w:color="auto" w:fill="auto"/>
            <w:vAlign w:val="center"/>
          </w:tcPr>
          <w:p w14:paraId="7FCD7BB7" w14:textId="77777777" w:rsidR="000B173B" w:rsidRPr="00B83DE7" w:rsidRDefault="000B173B" w:rsidP="00A15226">
            <w:pPr>
              <w:pStyle w:val="Tabletext"/>
              <w:rPr>
                <w:szCs w:val="18"/>
              </w:rPr>
            </w:pPr>
            <w:r w:rsidRPr="00B83DE7">
              <w:rPr>
                <w:rFonts w:cs="Arial"/>
                <w:i/>
                <w:iCs/>
                <w:szCs w:val="18"/>
              </w:rPr>
              <w:t>Pterostylis chlorogramma</w:t>
            </w:r>
          </w:p>
        </w:tc>
        <w:tc>
          <w:tcPr>
            <w:tcW w:w="1353" w:type="dxa"/>
            <w:tcBorders>
              <w:bottom w:val="single" w:sz="4" w:space="0" w:color="auto"/>
            </w:tcBorders>
            <w:shd w:val="clear" w:color="auto" w:fill="auto"/>
            <w:vAlign w:val="center"/>
          </w:tcPr>
          <w:p w14:paraId="0910067B" w14:textId="77777777" w:rsidR="000B173B" w:rsidRPr="00116F3A" w:rsidRDefault="000B173B" w:rsidP="00A15226">
            <w:pPr>
              <w:pStyle w:val="Tabletext"/>
              <w:rPr>
                <w:szCs w:val="18"/>
                <w:highlight w:val="yellow"/>
              </w:rPr>
            </w:pPr>
            <w:r w:rsidRPr="003A3C82">
              <w:rPr>
                <w:rFonts w:cs="Arial"/>
                <w:szCs w:val="18"/>
              </w:rPr>
              <w:t>Green-striped Greenhood</w:t>
            </w:r>
          </w:p>
        </w:tc>
        <w:tc>
          <w:tcPr>
            <w:tcW w:w="1235" w:type="dxa"/>
            <w:tcBorders>
              <w:bottom w:val="single" w:sz="4" w:space="0" w:color="auto"/>
            </w:tcBorders>
            <w:shd w:val="clear" w:color="auto" w:fill="auto"/>
            <w:vAlign w:val="center"/>
          </w:tcPr>
          <w:p w14:paraId="46D55ED8"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02A46D39" w14:textId="77777777" w:rsidR="000B173B" w:rsidRPr="00AC3FED" w:rsidRDefault="000B173B" w:rsidP="00A15226">
            <w:pPr>
              <w:pStyle w:val="Tabletext"/>
              <w:jc w:val="center"/>
              <w:rPr>
                <w:highlight w:val="yellow"/>
              </w:rPr>
            </w:pPr>
            <w:r w:rsidRPr="00D45CB7">
              <w:t>No</w:t>
            </w:r>
          </w:p>
        </w:tc>
        <w:tc>
          <w:tcPr>
            <w:tcW w:w="9072" w:type="dxa"/>
            <w:tcBorders>
              <w:bottom w:val="single" w:sz="4" w:space="0" w:color="auto"/>
            </w:tcBorders>
            <w:shd w:val="clear" w:color="auto" w:fill="auto"/>
            <w:vAlign w:val="center"/>
          </w:tcPr>
          <w:p w14:paraId="78FED4A2" w14:textId="77777777" w:rsidR="000B173B" w:rsidRPr="000A2467" w:rsidRDefault="000B173B" w:rsidP="00A15226">
            <w:pPr>
              <w:pStyle w:val="Tabletext"/>
              <w:rPr>
                <w:rFonts w:cs="Arial"/>
                <w:szCs w:val="18"/>
              </w:rPr>
            </w:pPr>
            <w:r w:rsidRPr="00B83DE7">
              <w:rPr>
                <w:rFonts w:cs="Arial"/>
                <w:i/>
                <w:iCs/>
                <w:szCs w:val="18"/>
              </w:rPr>
              <w:t>Pterostylis chlorogramma</w:t>
            </w:r>
            <w:r>
              <w:rPr>
                <w:rFonts w:cs="Arial"/>
                <w:i/>
                <w:iCs/>
                <w:szCs w:val="18"/>
              </w:rPr>
              <w:t xml:space="preserve"> </w:t>
            </w:r>
            <w:r>
              <w:rPr>
                <w:rFonts w:cs="Arial"/>
                <w:szCs w:val="18"/>
              </w:rPr>
              <w:t>(</w:t>
            </w:r>
            <w:r w:rsidRPr="00B83DE7">
              <w:rPr>
                <w:rFonts w:cs="Arial"/>
                <w:szCs w:val="18"/>
              </w:rPr>
              <w:t>Green-striped Greenhood</w:t>
            </w:r>
            <w:r>
              <w:rPr>
                <w:rFonts w:cs="Arial"/>
                <w:szCs w:val="18"/>
              </w:rPr>
              <w:t xml:space="preserve">) is a terrestrial herb which inhabits mixed Box-Stringybark forest with a shrubby understory. The species is restricted to gaps in the shrubby understory, or on road/track verges. The species is endemic to Victoria. It has a wide, though disjunct distribution from Yarram to Edenhope. The Green-striped Greenhood occurs in the Southeast Highlands, South East Coastal Plain, and Naracoorte Coastal Plain bioregions. The species is known from nine populations, containing approximately </w:t>
            </w:r>
            <w:r>
              <w:rPr>
                <w:rFonts w:cs="Arial"/>
                <w:szCs w:val="18"/>
              </w:rPr>
              <w:lastRenderedPageBreak/>
              <w:t xml:space="preserve">1,000 plants. Threats to the species include weed invasion, grazing by native and introduced herbivores, </w:t>
            </w:r>
            <w:r w:rsidRPr="000A2467">
              <w:rPr>
                <w:rFonts w:cs="Arial"/>
                <w:szCs w:val="18"/>
              </w:rPr>
              <w:t xml:space="preserve">destruction or disturbance and extinction related to small population sizes </w:t>
            </w:r>
            <w:sdt>
              <w:sdtPr>
                <w:rPr>
                  <w:rFonts w:cs="Arial"/>
                  <w:color w:val="000000"/>
                  <w:szCs w:val="18"/>
                </w:rPr>
                <w:tag w:val="MENDELEY_CITATION_v3_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"/>
                <w:id w:val="-521012331"/>
                <w:placeholder>
                  <w:docPart w:val="339B7D746526864D922760336FCFE603"/>
                </w:placeholder>
              </w:sdtPr>
              <w:sdtEndPr>
                <w:rPr>
                  <w:rFonts w:cs="Times New Roman"/>
                  <w:szCs w:val="20"/>
                </w:rPr>
              </w:sdtEndPr>
              <w:sdtContent>
                <w:r w:rsidRPr="002F46CE">
                  <w:rPr>
                    <w:color w:val="000000"/>
                  </w:rPr>
                  <w:t>(Duncan, Pritchard and Coates, 2010)</w:t>
                </w:r>
              </w:sdtContent>
            </w:sdt>
            <w:r w:rsidRPr="000A2467">
              <w:rPr>
                <w:rFonts w:cs="Arial"/>
                <w:szCs w:val="18"/>
              </w:rPr>
              <w:t>.</w:t>
            </w:r>
          </w:p>
          <w:p w14:paraId="63303C25" w14:textId="77777777" w:rsidR="000B173B" w:rsidRPr="000A2467" w:rsidRDefault="000B173B" w:rsidP="00A15226">
            <w:pPr>
              <w:pStyle w:val="Tabletext"/>
            </w:pPr>
            <w:r w:rsidRPr="006900FB">
              <w:rPr>
                <w:rFonts w:cs="Arial"/>
                <w:szCs w:val="18"/>
              </w:rPr>
              <w:t xml:space="preserve">The Strategic Assessment Area is located within the Victorian Volcanic Plain bioregion. This is outside the range of the Green-striped Greenhood. </w:t>
            </w:r>
            <w:r w:rsidRPr="006900FB">
              <w:t>Direct impacts are therefore considered unlikely.</w:t>
            </w:r>
          </w:p>
          <w:p w14:paraId="4C803A6C" w14:textId="77777777" w:rsidR="000B173B" w:rsidRDefault="000B173B" w:rsidP="00A15226">
            <w:pPr>
              <w:pStyle w:val="Tabletext"/>
              <w:rPr>
                <w:rFonts w:cs="Arial"/>
                <w:szCs w:val="18"/>
              </w:rPr>
            </w:pPr>
            <w:r w:rsidRPr="000A2467">
              <w:rPr>
                <w:rFonts w:cs="Arial"/>
                <w:szCs w:val="18"/>
              </w:rPr>
              <w:t>There is one record of the</w:t>
            </w:r>
            <w:r>
              <w:rPr>
                <w:rFonts w:cs="Arial"/>
                <w:szCs w:val="18"/>
              </w:rPr>
              <w:t xml:space="preserve"> species within the Study Area (dated 2009), which occurs approximately 14.6 km away from the Growth Areas. This record is located on private land within the Brisbane Ranges, in a steep landscape covered with remnant vegetation. While the record is not located within the Brisbane Ranges National Park boundaries, the private land tenure and largely inaccessible nature of the landscape would afford the species protection from potential indirect impacts such as habitat disturbance.</w:t>
            </w:r>
          </w:p>
          <w:p w14:paraId="6E4E190C" w14:textId="77777777" w:rsidR="000B173B" w:rsidRPr="00DF2703" w:rsidRDefault="000B173B" w:rsidP="00A15226">
            <w:pPr>
              <w:pStyle w:val="Tabletext"/>
              <w:rPr>
                <w:rFonts w:cs="Arial"/>
                <w:szCs w:val="18"/>
              </w:rPr>
            </w:pPr>
            <w:r>
              <w:rPr>
                <w:rFonts w:cs="Arial"/>
                <w:szCs w:val="18"/>
              </w:rPr>
              <w:t>Other potential impacts from development such as weed invasion are unlikel</w:t>
            </w:r>
            <w:r w:rsidRPr="004E6F7A">
              <w:rPr>
                <w:rFonts w:cs="Arial"/>
                <w:szCs w:val="18"/>
              </w:rPr>
              <w:t xml:space="preserve">y to </w:t>
            </w:r>
            <w:r w:rsidRPr="004E6F7A">
              <w:t xml:space="preserve">exacerbate existing threats to the species given </w:t>
            </w:r>
            <w:r>
              <w:t xml:space="preserve">the </w:t>
            </w:r>
            <w:r w:rsidRPr="004E6F7A">
              <w:t xml:space="preserve">agricultural landscape context </w:t>
            </w:r>
            <w:r>
              <w:t xml:space="preserve">within which the Brisbane Ranges are located, </w:t>
            </w:r>
            <w:r w:rsidRPr="004E6F7A">
              <w:t>and the distance of the nearest records to proposed development.</w:t>
            </w:r>
          </w:p>
        </w:tc>
      </w:tr>
      <w:tr w:rsidR="000B173B" w14:paraId="58FA2151" w14:textId="77777777" w:rsidTr="00A15226">
        <w:tc>
          <w:tcPr>
            <w:tcW w:w="1480" w:type="dxa"/>
            <w:tcBorders>
              <w:bottom w:val="single" w:sz="4" w:space="0" w:color="auto"/>
            </w:tcBorders>
            <w:shd w:val="clear" w:color="auto" w:fill="auto"/>
            <w:vAlign w:val="center"/>
          </w:tcPr>
          <w:p w14:paraId="0BE4AAD3" w14:textId="77777777" w:rsidR="000B173B" w:rsidRPr="00B83DE7" w:rsidRDefault="000B173B" w:rsidP="00A15226">
            <w:pPr>
              <w:pStyle w:val="Tabletext"/>
              <w:rPr>
                <w:szCs w:val="18"/>
              </w:rPr>
            </w:pPr>
            <w:r w:rsidRPr="00B83DE7">
              <w:rPr>
                <w:rFonts w:cs="Arial"/>
                <w:i/>
                <w:iCs/>
                <w:szCs w:val="18"/>
              </w:rPr>
              <w:lastRenderedPageBreak/>
              <w:t>Pterostylis cucullata</w:t>
            </w:r>
          </w:p>
        </w:tc>
        <w:tc>
          <w:tcPr>
            <w:tcW w:w="1353" w:type="dxa"/>
            <w:tcBorders>
              <w:bottom w:val="single" w:sz="4" w:space="0" w:color="auto"/>
            </w:tcBorders>
            <w:shd w:val="clear" w:color="auto" w:fill="auto"/>
            <w:vAlign w:val="center"/>
          </w:tcPr>
          <w:p w14:paraId="5E7A055E" w14:textId="77777777" w:rsidR="000B173B" w:rsidRPr="00116F3A" w:rsidRDefault="000B173B" w:rsidP="00A15226">
            <w:pPr>
              <w:pStyle w:val="Tabletext"/>
              <w:rPr>
                <w:szCs w:val="18"/>
                <w:highlight w:val="yellow"/>
              </w:rPr>
            </w:pPr>
            <w:r w:rsidRPr="004E5F58">
              <w:rPr>
                <w:rFonts w:cs="Arial"/>
                <w:szCs w:val="18"/>
              </w:rPr>
              <w:t>Leafy Greenhood</w:t>
            </w:r>
          </w:p>
        </w:tc>
        <w:tc>
          <w:tcPr>
            <w:tcW w:w="1235" w:type="dxa"/>
            <w:tcBorders>
              <w:bottom w:val="single" w:sz="4" w:space="0" w:color="auto"/>
            </w:tcBorders>
            <w:shd w:val="clear" w:color="auto" w:fill="auto"/>
            <w:vAlign w:val="center"/>
          </w:tcPr>
          <w:p w14:paraId="0A2CC124" w14:textId="77777777" w:rsidR="000B173B" w:rsidRPr="00B83DE7" w:rsidRDefault="000B173B" w:rsidP="00A15226">
            <w:pPr>
              <w:pStyle w:val="Tabletext"/>
              <w:rPr>
                <w:szCs w:val="18"/>
              </w:rPr>
            </w:pPr>
            <w:r w:rsidRPr="00B83DE7">
              <w:rPr>
                <w:rFonts w:cs="Arial"/>
                <w:szCs w:val="18"/>
              </w:rPr>
              <w:t>Vulnerable</w:t>
            </w:r>
          </w:p>
        </w:tc>
        <w:tc>
          <w:tcPr>
            <w:tcW w:w="1177" w:type="dxa"/>
            <w:tcBorders>
              <w:bottom w:val="single" w:sz="4" w:space="0" w:color="auto"/>
            </w:tcBorders>
            <w:shd w:val="clear" w:color="auto" w:fill="auto"/>
            <w:vAlign w:val="center"/>
          </w:tcPr>
          <w:p w14:paraId="71FA3B52" w14:textId="77777777" w:rsidR="000B173B" w:rsidRPr="00AC3FED" w:rsidRDefault="000B173B" w:rsidP="00A15226">
            <w:pPr>
              <w:pStyle w:val="Tabletext"/>
              <w:jc w:val="center"/>
              <w:rPr>
                <w:highlight w:val="yellow"/>
              </w:rPr>
            </w:pPr>
            <w:r w:rsidRPr="00D45CB7">
              <w:t>No</w:t>
            </w:r>
          </w:p>
        </w:tc>
        <w:tc>
          <w:tcPr>
            <w:tcW w:w="9072" w:type="dxa"/>
            <w:tcBorders>
              <w:bottom w:val="single" w:sz="4" w:space="0" w:color="auto"/>
            </w:tcBorders>
            <w:shd w:val="clear" w:color="auto" w:fill="auto"/>
            <w:vAlign w:val="center"/>
          </w:tcPr>
          <w:p w14:paraId="27C2B04D" w14:textId="77777777" w:rsidR="000B173B" w:rsidRDefault="000B173B" w:rsidP="00A15226">
            <w:pPr>
              <w:pStyle w:val="Tabletext"/>
              <w:rPr>
                <w:rFonts w:cs="Arial"/>
                <w:szCs w:val="18"/>
              </w:rPr>
            </w:pPr>
            <w:r w:rsidRPr="00B83DE7">
              <w:rPr>
                <w:rFonts w:cs="Arial"/>
                <w:i/>
                <w:iCs/>
                <w:szCs w:val="18"/>
              </w:rPr>
              <w:t>Pterostylis cucullata</w:t>
            </w:r>
            <w:r>
              <w:rPr>
                <w:rFonts w:cs="Arial"/>
                <w:i/>
                <w:iCs/>
                <w:szCs w:val="18"/>
              </w:rPr>
              <w:t xml:space="preserve"> </w:t>
            </w:r>
            <w:r>
              <w:rPr>
                <w:rFonts w:cs="Arial"/>
                <w:szCs w:val="18"/>
              </w:rPr>
              <w:t>(</w:t>
            </w:r>
            <w:r w:rsidRPr="00B83DE7">
              <w:rPr>
                <w:rFonts w:cs="Arial"/>
                <w:szCs w:val="18"/>
              </w:rPr>
              <w:t>Leafy Greenhood</w:t>
            </w:r>
            <w:r>
              <w:rPr>
                <w:rFonts w:cs="Arial"/>
                <w:szCs w:val="18"/>
              </w:rPr>
              <w:t xml:space="preserve">) is a herbaceous perennial orchid which is endemic to south-eastern Australia, occurring in SA, Victoria, and Tasmania. The species (including both subspecies) is known from around 110 populations comprising an estimated 50,000 plants. Approximately 92 of the known populations occur in Victoria </w:t>
            </w:r>
            <w:sdt>
              <w:sdtPr>
                <w:rPr>
                  <w:rFonts w:cs="Arial"/>
                  <w:color w:val="000000"/>
                  <w:szCs w:val="18"/>
                </w:rPr>
                <w:tag w:val="MENDELEY_CITATION_v3_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"/>
                <w:id w:val="-686443455"/>
                <w:placeholder>
                  <w:docPart w:val="339B7D746526864D922760336FCFE603"/>
                </w:placeholder>
              </w:sdtPr>
              <w:sdtEndPr>
                <w:rPr>
                  <w:rFonts w:cs="Times New Roman"/>
                  <w:szCs w:val="20"/>
                </w:rPr>
              </w:sdtEndPr>
              <w:sdtContent>
                <w:r w:rsidRPr="002F46CE">
                  <w:rPr>
                    <w:color w:val="000000"/>
                  </w:rPr>
                  <w:t>(Duncan, 2010b)</w:t>
                </w:r>
              </w:sdtContent>
            </w:sdt>
            <w:r>
              <w:rPr>
                <w:rFonts w:cs="Arial"/>
                <w:szCs w:val="18"/>
              </w:rPr>
              <w:t>.</w:t>
            </w:r>
          </w:p>
          <w:p w14:paraId="72F24905" w14:textId="77777777" w:rsidR="000B173B" w:rsidRDefault="000B173B" w:rsidP="00A15226">
            <w:pPr>
              <w:pStyle w:val="Tabletext"/>
              <w:rPr>
                <w:rFonts w:cs="Arial"/>
                <w:szCs w:val="18"/>
              </w:rPr>
            </w:pPr>
            <w:r>
              <w:rPr>
                <w:rFonts w:cs="Arial"/>
                <w:szCs w:val="18"/>
              </w:rPr>
              <w:t xml:space="preserve">There are two subspecies, </w:t>
            </w:r>
            <w:r w:rsidRPr="00B83DE7">
              <w:rPr>
                <w:rFonts w:cs="Arial"/>
                <w:i/>
                <w:iCs/>
                <w:szCs w:val="18"/>
              </w:rPr>
              <w:t>Pterostylis cucullata</w:t>
            </w:r>
            <w:r>
              <w:rPr>
                <w:rFonts w:cs="Arial"/>
                <w:i/>
                <w:iCs/>
                <w:szCs w:val="18"/>
              </w:rPr>
              <w:t xml:space="preserve"> </w:t>
            </w:r>
            <w:r>
              <w:rPr>
                <w:rFonts w:cs="Arial"/>
                <w:szCs w:val="18"/>
              </w:rPr>
              <w:t xml:space="preserve">subsp. </w:t>
            </w:r>
            <w:r>
              <w:rPr>
                <w:rFonts w:cs="Arial"/>
                <w:i/>
                <w:iCs/>
                <w:szCs w:val="18"/>
              </w:rPr>
              <w:t xml:space="preserve">sylvicola, </w:t>
            </w:r>
            <w:r>
              <w:rPr>
                <w:rFonts w:cs="Arial"/>
                <w:szCs w:val="18"/>
              </w:rPr>
              <w:t xml:space="preserve">and </w:t>
            </w:r>
            <w:r w:rsidRPr="00B83DE7">
              <w:rPr>
                <w:rFonts w:cs="Arial"/>
                <w:i/>
                <w:iCs/>
                <w:szCs w:val="18"/>
              </w:rPr>
              <w:t>Pterostylis cucullata</w:t>
            </w:r>
            <w:r>
              <w:rPr>
                <w:rFonts w:cs="Arial"/>
                <w:i/>
                <w:iCs/>
                <w:szCs w:val="18"/>
              </w:rPr>
              <w:t xml:space="preserve"> </w:t>
            </w:r>
            <w:r>
              <w:rPr>
                <w:rFonts w:cs="Arial"/>
                <w:szCs w:val="18"/>
              </w:rPr>
              <w:t xml:space="preserve">subsp. </w:t>
            </w:r>
            <w:r>
              <w:rPr>
                <w:rFonts w:cs="Arial"/>
                <w:i/>
                <w:iCs/>
                <w:szCs w:val="18"/>
              </w:rPr>
              <w:t>cucullata.</w:t>
            </w:r>
            <w:r>
              <w:rPr>
                <w:rFonts w:cs="Arial"/>
                <w:szCs w:val="18"/>
              </w:rPr>
              <w:t xml:space="preserve"> The two subspecies occupy different habitats and have different ranges </w:t>
            </w:r>
            <w:sdt>
              <w:sdtPr>
                <w:rPr>
                  <w:rFonts w:cs="Arial"/>
                  <w:color w:val="000000"/>
                  <w:szCs w:val="18"/>
                </w:rPr>
                <w:tag w:val="MENDELEY_CITATION_v3_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"/>
                <w:id w:val="-542284862"/>
                <w:placeholder>
                  <w:docPart w:val="339B7D746526864D922760336FCFE603"/>
                </w:placeholder>
              </w:sdtPr>
              <w:sdtEndPr>
                <w:rPr>
                  <w:rFonts w:cs="Times New Roman"/>
                  <w:szCs w:val="20"/>
                </w:rPr>
              </w:sdtEndPr>
              <w:sdtContent>
                <w:r w:rsidRPr="002F46CE">
                  <w:rPr>
                    <w:color w:val="000000"/>
                  </w:rPr>
                  <w:t>(Duncan, 2010b)</w:t>
                </w:r>
              </w:sdtContent>
            </w:sdt>
            <w:r>
              <w:rPr>
                <w:rFonts w:cs="Arial"/>
                <w:szCs w:val="18"/>
              </w:rPr>
              <w:t>.</w:t>
            </w:r>
          </w:p>
          <w:p w14:paraId="53E836DB" w14:textId="77777777" w:rsidR="000B173B" w:rsidRPr="00A11B2F" w:rsidRDefault="000B173B" w:rsidP="00A15226">
            <w:pPr>
              <w:pStyle w:val="Tabletext"/>
              <w:rPr>
                <w:rFonts w:cs="Arial"/>
                <w:szCs w:val="18"/>
              </w:rPr>
            </w:pPr>
            <w:r>
              <w:rPr>
                <w:rFonts w:cs="Arial"/>
                <w:szCs w:val="18"/>
              </w:rPr>
              <w:t xml:space="preserve">Subsp. </w:t>
            </w:r>
            <w:r>
              <w:rPr>
                <w:rFonts w:cs="Arial"/>
                <w:i/>
                <w:iCs/>
                <w:szCs w:val="18"/>
              </w:rPr>
              <w:t xml:space="preserve">cucullata </w:t>
            </w:r>
            <w:r>
              <w:rPr>
                <w:rFonts w:cs="Arial"/>
                <w:szCs w:val="18"/>
              </w:rPr>
              <w:t xml:space="preserve">occurs in coastal scrub on stabilised sand dunes, with an open understorey and herbaceous groundcover on sandy loam soils. In Victoria, this subspecies occurs between Nelson and Bairnsdale </w:t>
            </w:r>
            <w:sdt>
              <w:sdtPr>
                <w:rPr>
                  <w:rFonts w:cs="Arial"/>
                  <w:color w:val="000000"/>
                  <w:szCs w:val="18"/>
                </w:rPr>
                <w:tag w:val="MENDELEY_CITATION_v3_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"/>
                <w:id w:val="105700828"/>
                <w:placeholder>
                  <w:docPart w:val="339B7D746526864D922760336FCFE603"/>
                </w:placeholder>
              </w:sdtPr>
              <w:sdtEndPr>
                <w:rPr>
                  <w:rFonts w:cs="Times New Roman"/>
                  <w:szCs w:val="20"/>
                </w:rPr>
              </w:sdtEndPr>
              <w:sdtContent>
                <w:r w:rsidRPr="002F46CE">
                  <w:rPr>
                    <w:color w:val="000000"/>
                  </w:rPr>
                  <w:t>(Duncan, 2010b)</w:t>
                </w:r>
              </w:sdtContent>
            </w:sdt>
            <w:r>
              <w:rPr>
                <w:rFonts w:cs="Arial"/>
                <w:szCs w:val="18"/>
              </w:rPr>
              <w:t xml:space="preserve">. The proposed development occurs within the broad distributional range of subsp. </w:t>
            </w:r>
            <w:r>
              <w:rPr>
                <w:rFonts w:cs="Arial"/>
                <w:i/>
                <w:iCs/>
                <w:szCs w:val="18"/>
              </w:rPr>
              <w:t>cucullata</w:t>
            </w:r>
            <w:r>
              <w:rPr>
                <w:rFonts w:cs="Arial"/>
                <w:szCs w:val="18"/>
              </w:rPr>
              <w:t>.</w:t>
            </w:r>
          </w:p>
          <w:p w14:paraId="0E8D5AEF" w14:textId="77777777" w:rsidR="000B173B" w:rsidRPr="00A11B2F" w:rsidRDefault="000B173B" w:rsidP="00A15226">
            <w:pPr>
              <w:pStyle w:val="Tabletext"/>
              <w:rPr>
                <w:rFonts w:cs="Arial"/>
                <w:szCs w:val="18"/>
              </w:rPr>
            </w:pPr>
            <w:r>
              <w:rPr>
                <w:rFonts w:cs="Arial"/>
                <w:szCs w:val="18"/>
              </w:rPr>
              <w:t xml:space="preserve">In Victoria, subsp. </w:t>
            </w:r>
            <w:r>
              <w:rPr>
                <w:rFonts w:cs="Arial"/>
                <w:i/>
                <w:iCs/>
                <w:szCs w:val="18"/>
              </w:rPr>
              <w:t xml:space="preserve">sylvicola </w:t>
            </w:r>
            <w:r>
              <w:rPr>
                <w:rFonts w:cs="Arial"/>
                <w:szCs w:val="18"/>
              </w:rPr>
              <w:t xml:space="preserve">occurs in the eastern highlands, on montane riverbanks or alluvial terraces under various Eucalypt species, with scattered shrubs and herbaceous and grassy groundcover </w:t>
            </w:r>
            <w:sdt>
              <w:sdtPr>
                <w:rPr>
                  <w:rFonts w:cs="Arial"/>
                  <w:color w:val="000000"/>
                  <w:szCs w:val="18"/>
                </w:rPr>
                <w:tag w:val="MENDELEY_CITATION_v3_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"/>
                <w:id w:val="-1870530370"/>
                <w:placeholder>
                  <w:docPart w:val="339B7D746526864D922760336FCFE603"/>
                </w:placeholder>
              </w:sdtPr>
              <w:sdtEndPr>
                <w:rPr>
                  <w:rFonts w:cs="Times New Roman"/>
                  <w:szCs w:val="20"/>
                </w:rPr>
              </w:sdtEndPr>
              <w:sdtContent>
                <w:r w:rsidRPr="002F46CE">
                  <w:rPr>
                    <w:color w:val="000000"/>
                  </w:rPr>
                  <w:t>(Duncan, 2010b)</w:t>
                </w:r>
              </w:sdtContent>
            </w:sdt>
            <w:r>
              <w:rPr>
                <w:rFonts w:cs="Arial"/>
                <w:szCs w:val="18"/>
              </w:rPr>
              <w:t xml:space="preserve">. The proposed development is outside the known distribution of subsp. </w:t>
            </w:r>
            <w:r>
              <w:rPr>
                <w:rFonts w:cs="Arial"/>
                <w:i/>
                <w:iCs/>
                <w:szCs w:val="18"/>
              </w:rPr>
              <w:t>sylvicola.</w:t>
            </w:r>
            <w:r>
              <w:rPr>
                <w:rFonts w:cs="Arial"/>
                <w:szCs w:val="18"/>
              </w:rPr>
              <w:t xml:space="preserve"> </w:t>
            </w:r>
          </w:p>
          <w:p w14:paraId="5FE64176" w14:textId="77777777" w:rsidR="000B173B" w:rsidRPr="000A2467" w:rsidRDefault="000B173B" w:rsidP="00A15226">
            <w:pPr>
              <w:pStyle w:val="Tabletext"/>
              <w:rPr>
                <w:rFonts w:cs="Arial"/>
                <w:szCs w:val="18"/>
              </w:rPr>
            </w:pPr>
            <w:r>
              <w:rPr>
                <w:rFonts w:cs="Arial"/>
                <w:szCs w:val="18"/>
              </w:rPr>
              <w:t xml:space="preserve">Threats to the species </w:t>
            </w:r>
            <w:r w:rsidRPr="000A2467">
              <w:rPr>
                <w:rFonts w:cs="Arial"/>
                <w:szCs w:val="18"/>
              </w:rPr>
              <w:t xml:space="preserve">include habitat loss and disturbance, weed invasion, grazing by introduced herbivores, grazing and trampling by stock, and frequent fires </w:t>
            </w:r>
            <w:sdt>
              <w:sdtPr>
                <w:rPr>
                  <w:rFonts w:cs="Arial"/>
                  <w:color w:val="000000"/>
                  <w:szCs w:val="18"/>
                </w:rPr>
                <w:tag w:val="MENDELEY_CITATION_v3_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"/>
                <w:id w:val="75566605"/>
                <w:placeholder>
                  <w:docPart w:val="339B7D746526864D922760336FCFE603"/>
                </w:placeholder>
              </w:sdtPr>
              <w:sdtEndPr>
                <w:rPr>
                  <w:rFonts w:cs="Times New Roman"/>
                  <w:szCs w:val="20"/>
                </w:rPr>
              </w:sdtEndPr>
              <w:sdtContent>
                <w:r w:rsidRPr="002F46CE">
                  <w:rPr>
                    <w:color w:val="000000"/>
                  </w:rPr>
                  <w:t>(Duncan, 2010b)</w:t>
                </w:r>
              </w:sdtContent>
            </w:sdt>
            <w:r w:rsidRPr="000A2467">
              <w:rPr>
                <w:rFonts w:cs="Arial"/>
                <w:szCs w:val="18"/>
              </w:rPr>
              <w:t>.</w:t>
            </w:r>
          </w:p>
          <w:p w14:paraId="1F6A4661" w14:textId="77777777" w:rsidR="000B173B" w:rsidRPr="000A2467" w:rsidRDefault="000B173B" w:rsidP="00A15226">
            <w:pPr>
              <w:pStyle w:val="Tabletext"/>
              <w:rPr>
                <w:rFonts w:cs="Arial"/>
                <w:szCs w:val="18"/>
              </w:rPr>
            </w:pPr>
            <w:r w:rsidRPr="006900FB">
              <w:rPr>
                <w:rFonts w:cs="Arial"/>
                <w:szCs w:val="18"/>
              </w:rPr>
              <w:t xml:space="preserve">The Strategic Assessment Area does not support coastal habitat suitable for subsp. </w:t>
            </w:r>
            <w:r w:rsidRPr="006900FB">
              <w:rPr>
                <w:rFonts w:cs="Arial"/>
                <w:i/>
                <w:iCs/>
                <w:szCs w:val="18"/>
              </w:rPr>
              <w:t xml:space="preserve">cucullata </w:t>
            </w:r>
            <w:r w:rsidRPr="006900FB">
              <w:rPr>
                <w:rFonts w:cs="Arial"/>
                <w:szCs w:val="18"/>
              </w:rPr>
              <w:t xml:space="preserve">and is outside of the range of subsp. </w:t>
            </w:r>
            <w:r w:rsidRPr="006900FB">
              <w:rPr>
                <w:rFonts w:cs="Arial"/>
                <w:i/>
                <w:iCs/>
                <w:szCs w:val="18"/>
              </w:rPr>
              <w:t xml:space="preserve">sylvicola. </w:t>
            </w:r>
            <w:r w:rsidRPr="006900FB">
              <w:rPr>
                <w:rFonts w:cs="Arial"/>
                <w:szCs w:val="18"/>
              </w:rPr>
              <w:t xml:space="preserve">It is considered unlikely that the species would be present within the Strategic Assessment Area. </w:t>
            </w:r>
            <w:r w:rsidRPr="006900FB">
              <w:t>Direct impacts are therefore considered unlikely.</w:t>
            </w:r>
          </w:p>
          <w:p w14:paraId="4B1AAA0A" w14:textId="77777777" w:rsidR="000B173B" w:rsidRPr="004E5F58" w:rsidRDefault="000B173B" w:rsidP="00A15226">
            <w:pPr>
              <w:pStyle w:val="Tabletext"/>
            </w:pPr>
            <w:r w:rsidRPr="000A2467">
              <w:lastRenderedPageBreak/>
              <w:t>There are no existing records within the broader Study Area. Suitable potential habitat for the species is limited due to the inland location of the</w:t>
            </w:r>
            <w:r>
              <w:t xml:space="preserve"> project and distance from suitable coastal environments. </w:t>
            </w:r>
            <w:r w:rsidRPr="002464C9">
              <w:t>Potential indirect impacts to the species are considered unlikely.</w:t>
            </w:r>
          </w:p>
        </w:tc>
      </w:tr>
      <w:tr w:rsidR="000B173B" w14:paraId="7FB9BCE1" w14:textId="77777777" w:rsidTr="00A15226">
        <w:tc>
          <w:tcPr>
            <w:tcW w:w="1480" w:type="dxa"/>
            <w:tcBorders>
              <w:bottom w:val="single" w:sz="4" w:space="0" w:color="auto"/>
            </w:tcBorders>
            <w:shd w:val="clear" w:color="auto" w:fill="auto"/>
            <w:vAlign w:val="center"/>
          </w:tcPr>
          <w:p w14:paraId="0EDCF88B" w14:textId="77777777" w:rsidR="000B173B" w:rsidRPr="00B83DE7" w:rsidRDefault="000B173B" w:rsidP="00A15226">
            <w:pPr>
              <w:pStyle w:val="Tabletext"/>
              <w:rPr>
                <w:szCs w:val="18"/>
              </w:rPr>
            </w:pPr>
            <w:r w:rsidRPr="00B83DE7">
              <w:rPr>
                <w:rFonts w:cs="Arial"/>
                <w:i/>
                <w:iCs/>
                <w:szCs w:val="18"/>
              </w:rPr>
              <w:lastRenderedPageBreak/>
              <w:t>Rutidosis leptorhynchoides</w:t>
            </w:r>
          </w:p>
        </w:tc>
        <w:tc>
          <w:tcPr>
            <w:tcW w:w="1353" w:type="dxa"/>
            <w:tcBorders>
              <w:bottom w:val="single" w:sz="4" w:space="0" w:color="auto"/>
            </w:tcBorders>
            <w:shd w:val="clear" w:color="auto" w:fill="auto"/>
            <w:vAlign w:val="center"/>
          </w:tcPr>
          <w:p w14:paraId="4E37B759" w14:textId="77777777" w:rsidR="000B173B" w:rsidRPr="00116F3A" w:rsidRDefault="000B173B" w:rsidP="00A15226">
            <w:pPr>
              <w:pStyle w:val="Tabletext"/>
              <w:rPr>
                <w:szCs w:val="18"/>
                <w:highlight w:val="yellow"/>
              </w:rPr>
            </w:pPr>
            <w:r w:rsidRPr="003D7B95">
              <w:rPr>
                <w:rFonts w:cs="Arial"/>
                <w:szCs w:val="18"/>
              </w:rPr>
              <w:t>Button Wrinklewort</w:t>
            </w:r>
          </w:p>
        </w:tc>
        <w:tc>
          <w:tcPr>
            <w:tcW w:w="1235" w:type="dxa"/>
            <w:tcBorders>
              <w:bottom w:val="single" w:sz="4" w:space="0" w:color="auto"/>
            </w:tcBorders>
            <w:shd w:val="clear" w:color="auto" w:fill="auto"/>
            <w:vAlign w:val="center"/>
          </w:tcPr>
          <w:p w14:paraId="4A81BCC7" w14:textId="77777777" w:rsidR="000B173B" w:rsidRPr="00B83DE7" w:rsidRDefault="000B173B" w:rsidP="00A15226">
            <w:pPr>
              <w:pStyle w:val="Tabletext"/>
              <w:rPr>
                <w:szCs w:val="18"/>
              </w:rPr>
            </w:pPr>
            <w:r w:rsidRPr="00B83DE7">
              <w:rPr>
                <w:rFonts w:cs="Arial"/>
                <w:szCs w:val="18"/>
              </w:rPr>
              <w:t xml:space="preserve">Endangered </w:t>
            </w:r>
          </w:p>
        </w:tc>
        <w:tc>
          <w:tcPr>
            <w:tcW w:w="1177" w:type="dxa"/>
            <w:tcBorders>
              <w:bottom w:val="single" w:sz="4" w:space="0" w:color="auto"/>
            </w:tcBorders>
            <w:shd w:val="clear" w:color="auto" w:fill="auto"/>
            <w:vAlign w:val="center"/>
          </w:tcPr>
          <w:p w14:paraId="6E340A43" w14:textId="77777777" w:rsidR="000B173B" w:rsidRPr="00AC3FED" w:rsidRDefault="000B173B" w:rsidP="00A15226">
            <w:pPr>
              <w:pStyle w:val="Tabletext"/>
              <w:jc w:val="center"/>
              <w:rPr>
                <w:highlight w:val="yellow"/>
              </w:rPr>
            </w:pPr>
            <w:r>
              <w:t>No</w:t>
            </w:r>
          </w:p>
        </w:tc>
        <w:tc>
          <w:tcPr>
            <w:tcW w:w="9072" w:type="dxa"/>
            <w:tcBorders>
              <w:bottom w:val="single" w:sz="4" w:space="0" w:color="auto"/>
            </w:tcBorders>
            <w:shd w:val="clear" w:color="auto" w:fill="auto"/>
            <w:vAlign w:val="center"/>
          </w:tcPr>
          <w:p w14:paraId="5D7AA2BA" w14:textId="77777777" w:rsidR="000B173B" w:rsidRDefault="000B173B" w:rsidP="00A15226">
            <w:pPr>
              <w:pStyle w:val="Tabletext"/>
              <w:rPr>
                <w:rFonts w:cs="Arial"/>
                <w:szCs w:val="18"/>
              </w:rPr>
            </w:pPr>
            <w:r w:rsidRPr="00695675">
              <w:rPr>
                <w:rFonts w:cs="Arial"/>
                <w:i/>
                <w:iCs/>
                <w:szCs w:val="18"/>
              </w:rPr>
              <w:t xml:space="preserve">Rutidosis leptorhynchoides </w:t>
            </w:r>
            <w:r w:rsidRPr="00695675">
              <w:rPr>
                <w:rFonts w:cs="Arial"/>
                <w:szCs w:val="18"/>
              </w:rPr>
              <w:t>(Button Wrinklewort) is a perennial forb producing flowering stems during spring and summer. Within Victoria, the species grows in open strands of plains grassland and grassy woodlands. Button Wrinklewort is distributed in southeast Australia with disjunct populations in the ACT/NSW and Victoria. Within Victoria, the species is now restricted to a small refuge on the outskirts of Melbourne, Bannockburn, Rokewood, Wickliffe and between Beaufort and Ararat</w:t>
            </w:r>
            <w:r>
              <w:rPr>
                <w:rFonts w:cs="Arial"/>
                <w:szCs w:val="18"/>
              </w:rPr>
              <w:t xml:space="preserve"> </w:t>
            </w:r>
            <w:sdt>
              <w:sdtPr>
                <w:rPr>
                  <w:rFonts w:cs="Arial"/>
                  <w:color w:val="000000"/>
                  <w:szCs w:val="18"/>
                </w:rPr>
                <w:tag w:val="MENDELEY_CITATION_v3_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"/>
                <w:id w:val="1329250604"/>
                <w:placeholder>
                  <w:docPart w:val="339B7D746526864D922760336FCFE603"/>
                </w:placeholder>
              </w:sdtPr>
              <w:sdtEndPr>
                <w:rPr>
                  <w:rFonts w:cs="Times New Roman"/>
                  <w:szCs w:val="20"/>
                </w:rPr>
              </w:sdtEndPr>
              <w:sdtContent>
                <w:r w:rsidRPr="002F46CE">
                  <w:rPr>
                    <w:color w:val="000000"/>
                  </w:rPr>
                  <w:t>(OEH, 2012)</w:t>
                </w:r>
              </w:sdtContent>
            </w:sdt>
            <w:r>
              <w:rPr>
                <w:rFonts w:cs="Arial"/>
                <w:szCs w:val="18"/>
              </w:rPr>
              <w:t xml:space="preserve">. </w:t>
            </w:r>
          </w:p>
          <w:p w14:paraId="44C1931C" w14:textId="77777777" w:rsidR="000B173B" w:rsidRPr="000A2467" w:rsidRDefault="000B173B" w:rsidP="00A15226">
            <w:pPr>
              <w:pStyle w:val="Tabletext"/>
              <w:rPr>
                <w:rFonts w:cs="Arial"/>
                <w:szCs w:val="18"/>
              </w:rPr>
            </w:pPr>
            <w:r>
              <w:rPr>
                <w:rFonts w:cs="Arial"/>
                <w:szCs w:val="18"/>
              </w:rPr>
              <w:t xml:space="preserve">As of 2012, there were 29 known natural populations, 11 of which occurred in Victoria. The total natural population at this time was estimated at 213,270 plants. In addition to the natural occurrences of the species, in 2012, </w:t>
            </w:r>
            <w:r w:rsidRPr="000A2467">
              <w:rPr>
                <w:rFonts w:cs="Arial"/>
                <w:szCs w:val="18"/>
              </w:rPr>
              <w:t xml:space="preserve">there were five planted populations of the species in Victoria which contained approximately 1,300 plants </w:t>
            </w:r>
            <w:sdt>
              <w:sdtPr>
                <w:rPr>
                  <w:rFonts w:cs="Arial"/>
                  <w:color w:val="000000"/>
                  <w:szCs w:val="18"/>
                </w:rPr>
                <w:tag w:val="MENDELEY_CITATION_v3_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"/>
                <w:id w:val="1122576106"/>
                <w:placeholder>
                  <w:docPart w:val="339B7D746526864D922760336FCFE603"/>
                </w:placeholder>
              </w:sdtPr>
              <w:sdtEndPr>
                <w:rPr>
                  <w:rFonts w:cs="Times New Roman"/>
                  <w:szCs w:val="20"/>
                </w:rPr>
              </w:sdtEndPr>
              <w:sdtContent>
                <w:r w:rsidRPr="002F46CE">
                  <w:rPr>
                    <w:color w:val="000000"/>
                  </w:rPr>
                  <w:t>(OEH, 2012)</w:t>
                </w:r>
              </w:sdtContent>
            </w:sdt>
            <w:r w:rsidRPr="000A2467">
              <w:rPr>
                <w:rFonts w:cs="Arial"/>
                <w:szCs w:val="18"/>
              </w:rPr>
              <w:t>.</w:t>
            </w:r>
          </w:p>
          <w:p w14:paraId="51357555" w14:textId="77777777" w:rsidR="000B173B" w:rsidRPr="000A2467" w:rsidRDefault="000B173B" w:rsidP="00A15226">
            <w:pPr>
              <w:pStyle w:val="Tabletext"/>
              <w:rPr>
                <w:rFonts w:cs="Arial"/>
                <w:szCs w:val="18"/>
              </w:rPr>
            </w:pPr>
            <w:r w:rsidRPr="006900FB">
              <w:rPr>
                <w:rFonts w:cs="Arial"/>
                <w:szCs w:val="18"/>
              </w:rPr>
              <w:t xml:space="preserve">Targeted surveys for the Button Wrinklewort were conducted within the two Growth Areas. No individuals of the species were identified during these surveys. Further, assessment of habitat condition within the surveyed areas of the Growth Areas indicated that any potential habitat for the species would be marginal due to the presence of identified threats to the species in these areas (including physical disturbance, weeds, heavy grazing and unsuitable fire regimes) </w:t>
            </w:r>
            <w:sdt>
              <w:sdtPr>
                <w:rPr>
                  <w:rFonts w:cs="Arial"/>
                  <w:color w:val="000000"/>
                  <w:szCs w:val="18"/>
                </w:rPr>
                <w:tag w:val="MENDELEY_CITATION_v3_eyJjaXRhdGlvbklEIjoiTUVOREVMRVlfQ0lUQVRJT05fYzdmMmZhODQtNWM2NS00NTk0LWIxNTQtMGE2ZmE2MDIxZTQw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606925529"/>
                <w:placeholder>
                  <w:docPart w:val="339B7D746526864D922760336FCFE603"/>
                </w:placeholder>
              </w:sdtPr>
              <w:sdtEndPr>
                <w:rPr>
                  <w:rFonts w:cs="Times New Roman"/>
                  <w:szCs w:val="20"/>
                </w:rPr>
              </w:sdtEndPr>
              <w:sdtContent>
                <w:r w:rsidRPr="002F46CE">
                  <w:rPr>
                    <w:color w:val="000000"/>
                  </w:rPr>
                  <w:t>(EHP, 2021)</w:t>
                </w:r>
              </w:sdtContent>
            </w:sdt>
            <w:r w:rsidRPr="006900FB">
              <w:rPr>
                <w:rFonts w:cs="Arial"/>
                <w:szCs w:val="18"/>
              </w:rPr>
              <w:t xml:space="preserve">. It is noted that, in Victoria, the Button Wrinklewort occurs in sites which have been subject to little or no disturbance </w:t>
            </w:r>
            <w:sdt>
              <w:sdtPr>
                <w:rPr>
                  <w:rFonts w:cs="Arial"/>
                  <w:color w:val="000000"/>
                  <w:szCs w:val="18"/>
                </w:rPr>
                <w:tag w:val="MENDELEY_CITATION_v3_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"/>
                <w:id w:val="-1209413546"/>
                <w:placeholder>
                  <w:docPart w:val="339B7D746526864D922760336FCFE603"/>
                </w:placeholder>
              </w:sdtPr>
              <w:sdtEndPr>
                <w:rPr>
                  <w:rFonts w:cs="Times New Roman"/>
                  <w:szCs w:val="20"/>
                </w:rPr>
              </w:sdtEndPr>
              <w:sdtContent>
                <w:r w:rsidRPr="002F46CE">
                  <w:rPr>
                    <w:color w:val="000000"/>
                  </w:rPr>
                  <w:t>(OEH, 2012; SWIFFT, 2022a)</w:t>
                </w:r>
              </w:sdtContent>
            </w:sdt>
            <w:r w:rsidRPr="006900FB">
              <w:rPr>
                <w:rFonts w:cs="Arial"/>
                <w:szCs w:val="18"/>
              </w:rPr>
              <w:t xml:space="preserve">. Overall, it was considered highly unlikely that the species would be present within the surveyed areas of the Growth Areas </w:t>
            </w:r>
            <w:sdt>
              <w:sdtPr>
                <w:rPr>
                  <w:rFonts w:cs="Arial"/>
                  <w:color w:val="000000"/>
                  <w:szCs w:val="18"/>
                </w:rPr>
                <w:tag w:val="MENDELEY_CITATION_v3_eyJjaXRhdGlvbklEIjoiTUVOREVMRVlfQ0lUQVRJT05fNjM1ZTc0Y2QtMDM3My00YWQ5LThmNDEtYWVjYjU0ZDg2ZjRk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889527590"/>
                <w:placeholder>
                  <w:docPart w:val="339B7D746526864D922760336FCFE603"/>
                </w:placeholder>
              </w:sdtPr>
              <w:sdtEndPr>
                <w:rPr>
                  <w:rFonts w:cs="Times New Roman"/>
                  <w:szCs w:val="20"/>
                </w:rPr>
              </w:sdtEndPr>
              <w:sdtContent>
                <w:r w:rsidRPr="002F46CE">
                  <w:rPr>
                    <w:color w:val="000000"/>
                  </w:rPr>
                  <w:t>(EHP, 2021)</w:t>
                </w:r>
              </w:sdtContent>
            </w:sdt>
            <w:r w:rsidRPr="006900FB">
              <w:rPr>
                <w:rFonts w:cs="Arial"/>
                <w:szCs w:val="18"/>
              </w:rPr>
              <w:t>.</w:t>
            </w:r>
          </w:p>
          <w:p w14:paraId="0AE327C2" w14:textId="77777777" w:rsidR="000B173B" w:rsidRPr="006900FB" w:rsidRDefault="000B173B" w:rsidP="00A15226">
            <w:pPr>
              <w:pStyle w:val="Tabletext"/>
            </w:pPr>
            <w:r w:rsidRPr="006900FB">
              <w:t xml:space="preserve">The unsurveyed areas of the Growth Areas are assumed to support habitat for </w:t>
            </w:r>
            <w:r>
              <w:t xml:space="preserve">the same </w:t>
            </w:r>
            <w:r w:rsidRPr="006900FB">
              <w:t xml:space="preserve">threatened species which were recorded within the Growth Areas (see Section 13.3.2 of Part 3 for details). Given that these areas are more modified or degraded than the surveyed areas of the Growth Areas, and the species was not recorded during targeted surveys, potential direct impacts to Button Wrinklewort within the unsurveyed areas are unlikely. </w:t>
            </w:r>
          </w:p>
          <w:p w14:paraId="4778E3D7" w14:textId="77777777" w:rsidR="000B173B" w:rsidRDefault="000B173B" w:rsidP="00A15226">
            <w:pPr>
              <w:pStyle w:val="Tabletext"/>
            </w:pPr>
            <w:r w:rsidRPr="006900FB">
              <w:t>The broader Strategic Assessment Area has not been surveyed and will be subject to development within the external infrastructure footprints. The Plan includes a Measure to undertake targeted surveys within the external infrastructure footprints for all protected matters with the potential to occur. Any potential direct impacts to the species within these areas will be addressed following field surveys.</w:t>
            </w:r>
          </w:p>
          <w:p w14:paraId="03C988F3" w14:textId="77777777" w:rsidR="000B173B" w:rsidRDefault="000B173B" w:rsidP="00A15226">
            <w:pPr>
              <w:pStyle w:val="Tabletext"/>
            </w:pPr>
            <w:r>
              <w:t xml:space="preserve">There are a total of 313 records of the species within Victoria on the VBA. Of these, </w:t>
            </w:r>
            <w:r w:rsidRPr="003D7B95">
              <w:t>8</w:t>
            </w:r>
            <w:r>
              <w:t>1</w:t>
            </w:r>
            <w:r w:rsidRPr="003D7B95">
              <w:t xml:space="preserve"> records of the species</w:t>
            </w:r>
            <w:r>
              <w:t xml:space="preserve"> occur</w:t>
            </w:r>
            <w:r w:rsidRPr="003D7B95">
              <w:t xml:space="preserve"> within the Study Area</w:t>
            </w:r>
            <w:r>
              <w:t>. While the</w:t>
            </w:r>
            <w:r w:rsidRPr="003D7B95">
              <w:t xml:space="preserve"> closest </w:t>
            </w:r>
            <w:r>
              <w:t>record</w:t>
            </w:r>
            <w:r w:rsidRPr="003D7B95">
              <w:t xml:space="preserve"> occurs approximately 4.6 km away from the Growth Areas</w:t>
            </w:r>
            <w:r>
              <w:t xml:space="preserve">, this record was made in 1923 in an area which has since been developed. The nearest records with a better likelihood of persisting today are occur 9 km away from the Growth Areas and separated by significant areas of urban and infrastructure development. </w:t>
            </w:r>
          </w:p>
          <w:p w14:paraId="65977D95" w14:textId="77777777" w:rsidR="000B173B" w:rsidRPr="00E23B54" w:rsidRDefault="000B173B" w:rsidP="00A15226">
            <w:pPr>
              <w:pStyle w:val="Tabletext"/>
            </w:pPr>
            <w:r>
              <w:lastRenderedPageBreak/>
              <w:t>Po</w:t>
            </w:r>
            <w:r w:rsidRPr="00811A7D">
              <w:t xml:space="preserve">tential indirect impacts from development, such as those associated with </w:t>
            </w:r>
            <w:r>
              <w:t>weed invasion and habitat disturbance,</w:t>
            </w:r>
            <w:r w:rsidRPr="00811A7D">
              <w:t xml:space="preserve"> are unlikely to exacerbate existing threats to the species given the </w:t>
            </w:r>
            <w:r>
              <w:t xml:space="preserve">urban and </w:t>
            </w:r>
            <w:r w:rsidRPr="00811A7D">
              <w:t xml:space="preserve">agricultural landscape context and the distance of the </w:t>
            </w:r>
            <w:r>
              <w:t>potentially extant</w:t>
            </w:r>
            <w:r w:rsidRPr="00811A7D">
              <w:t xml:space="preserve"> records to proposed development.</w:t>
            </w:r>
          </w:p>
        </w:tc>
      </w:tr>
      <w:tr w:rsidR="000B173B" w14:paraId="0CC23C02" w14:textId="77777777" w:rsidTr="00A15226">
        <w:tc>
          <w:tcPr>
            <w:tcW w:w="1480" w:type="dxa"/>
            <w:tcBorders>
              <w:bottom w:val="single" w:sz="4" w:space="0" w:color="auto"/>
            </w:tcBorders>
            <w:shd w:val="clear" w:color="auto" w:fill="auto"/>
            <w:vAlign w:val="center"/>
          </w:tcPr>
          <w:p w14:paraId="138FF854" w14:textId="77777777" w:rsidR="000B173B" w:rsidRPr="00B83DE7" w:rsidRDefault="000B173B" w:rsidP="00A15226">
            <w:pPr>
              <w:pStyle w:val="Tabletext"/>
              <w:rPr>
                <w:szCs w:val="18"/>
              </w:rPr>
            </w:pPr>
            <w:r w:rsidRPr="00B83DE7">
              <w:rPr>
                <w:rFonts w:cs="Arial"/>
                <w:i/>
                <w:iCs/>
                <w:szCs w:val="18"/>
              </w:rPr>
              <w:lastRenderedPageBreak/>
              <w:t>Senecio macrocarpus</w:t>
            </w:r>
          </w:p>
        </w:tc>
        <w:tc>
          <w:tcPr>
            <w:tcW w:w="1353" w:type="dxa"/>
            <w:tcBorders>
              <w:bottom w:val="single" w:sz="4" w:space="0" w:color="auto"/>
            </w:tcBorders>
            <w:shd w:val="clear" w:color="auto" w:fill="auto"/>
            <w:vAlign w:val="center"/>
          </w:tcPr>
          <w:p w14:paraId="15367A45" w14:textId="77777777" w:rsidR="000B173B" w:rsidRPr="00116F3A" w:rsidRDefault="000B173B" w:rsidP="00A15226">
            <w:pPr>
              <w:pStyle w:val="Tabletext"/>
              <w:rPr>
                <w:szCs w:val="18"/>
                <w:highlight w:val="yellow"/>
              </w:rPr>
            </w:pPr>
            <w:r w:rsidRPr="00FB272C">
              <w:rPr>
                <w:rFonts w:cs="Arial"/>
                <w:szCs w:val="18"/>
              </w:rPr>
              <w:t>Large-fruit Fireweed</w:t>
            </w:r>
          </w:p>
        </w:tc>
        <w:tc>
          <w:tcPr>
            <w:tcW w:w="1235" w:type="dxa"/>
            <w:tcBorders>
              <w:bottom w:val="single" w:sz="4" w:space="0" w:color="auto"/>
            </w:tcBorders>
            <w:shd w:val="clear" w:color="auto" w:fill="auto"/>
            <w:vAlign w:val="center"/>
          </w:tcPr>
          <w:p w14:paraId="65FD750B"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478007E1" w14:textId="77777777" w:rsidR="000B173B" w:rsidRPr="00AC3FED" w:rsidRDefault="000B173B" w:rsidP="00A15226">
            <w:pPr>
              <w:pStyle w:val="Tabletext"/>
              <w:jc w:val="center"/>
              <w:rPr>
                <w:highlight w:val="yellow"/>
              </w:rPr>
            </w:pPr>
            <w:r>
              <w:t>No</w:t>
            </w:r>
          </w:p>
        </w:tc>
        <w:tc>
          <w:tcPr>
            <w:tcW w:w="9072" w:type="dxa"/>
            <w:tcBorders>
              <w:bottom w:val="single" w:sz="4" w:space="0" w:color="auto"/>
            </w:tcBorders>
            <w:shd w:val="clear" w:color="auto" w:fill="auto"/>
            <w:vAlign w:val="center"/>
          </w:tcPr>
          <w:p w14:paraId="15BB1743" w14:textId="77777777" w:rsidR="000B173B" w:rsidRDefault="000B173B" w:rsidP="00A15226">
            <w:pPr>
              <w:pStyle w:val="Tabletext"/>
            </w:pPr>
            <w:r w:rsidRPr="004A08CC">
              <w:rPr>
                <w:i/>
                <w:iCs/>
              </w:rPr>
              <w:t>Senecio macrocarpus</w:t>
            </w:r>
            <w:r w:rsidRPr="004A08CC">
              <w:t xml:space="preserve"> (Large-fruit </w:t>
            </w:r>
            <w:r>
              <w:t>Fireweed</w:t>
            </w:r>
            <w:r w:rsidRPr="004A08CC">
              <w:t xml:space="preserve">) is a perennial daisy with yellow florets growing up to 70 cm in height. The species occurs in a variety of habitats including sedgelands, grasslands, shrublands and woodlands. The Large-fruit </w:t>
            </w:r>
            <w:r>
              <w:t>Fireweed</w:t>
            </w:r>
            <w:r w:rsidRPr="004A08CC">
              <w:t xml:space="preserve"> is endemic to southeast Australia, occurring in Victoria, South Australia and </w:t>
            </w:r>
            <w:r>
              <w:t xml:space="preserve">formerly in </w:t>
            </w:r>
            <w:r w:rsidRPr="004A08CC">
              <w:t>Tasmania. In Victoria, the species is recorded widel</w:t>
            </w:r>
            <w:r>
              <w:t>y,</w:t>
            </w:r>
            <w:r w:rsidRPr="004A08CC">
              <w:t xml:space="preserve"> with records in the Murray Darling Depression, Victorian Volcanic Plain, Victorian Midlands and South Eastern Highlands bioregions</w:t>
            </w:r>
            <w:r>
              <w:t xml:space="preserve"> </w:t>
            </w:r>
            <w:sdt>
              <w:sdtPr>
                <w:rPr>
                  <w:color w:val="000000"/>
                </w:rPr>
                <w:tag w:val="MENDELEY_CITATION_v3_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"/>
                <w:id w:val="1606923684"/>
                <w:placeholder>
                  <w:docPart w:val="339B7D746526864D922760336FCFE603"/>
                </w:placeholder>
              </w:sdtPr>
              <w:sdtContent>
                <w:r w:rsidRPr="002F46CE">
                  <w:rPr>
                    <w:color w:val="000000"/>
                  </w:rPr>
                  <w:t>(Sinclair, 2010)</w:t>
                </w:r>
              </w:sdtContent>
            </w:sdt>
            <w:r w:rsidRPr="004A08CC">
              <w:t>.</w:t>
            </w:r>
          </w:p>
          <w:p w14:paraId="4578149F" w14:textId="77777777" w:rsidR="000B173B" w:rsidRDefault="000B173B" w:rsidP="00A15226">
            <w:pPr>
              <w:pStyle w:val="Tabletext"/>
            </w:pPr>
            <w:r>
              <w:t>As of 2010, there were</w:t>
            </w:r>
            <w:r w:rsidRPr="004A08CC">
              <w:t xml:space="preserve"> thought to be 14 populations containing an estimated 36,000 plants. Almost all of these plants (35,000) occur</w:t>
            </w:r>
            <w:r>
              <w:t>red</w:t>
            </w:r>
            <w:r w:rsidRPr="004A08CC">
              <w:t xml:space="preserve"> in a single population in South Australia. 10 populations occur</w:t>
            </w:r>
            <w:r>
              <w:t>red</w:t>
            </w:r>
            <w:r w:rsidRPr="004A08CC">
              <w:t xml:space="preserve"> in Victoria containing less than 1,000 plants</w:t>
            </w:r>
            <w:r>
              <w:t xml:space="preserve"> </w:t>
            </w:r>
            <w:sdt>
              <w:sdtPr>
                <w:rPr>
                  <w:color w:val="000000"/>
                </w:rPr>
                <w:tag w:val="MENDELEY_CITATION_v3_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"/>
                <w:id w:val="875127027"/>
                <w:placeholder>
                  <w:docPart w:val="339B7D746526864D922760336FCFE603"/>
                </w:placeholder>
              </w:sdtPr>
              <w:sdtContent>
                <w:r w:rsidRPr="002F46CE">
                  <w:rPr>
                    <w:color w:val="000000"/>
                  </w:rPr>
                  <w:t>(Sinclair, 2010)</w:t>
                </w:r>
              </w:sdtContent>
            </w:sdt>
            <w:r w:rsidRPr="004A08CC">
              <w:t>.</w:t>
            </w:r>
          </w:p>
          <w:p w14:paraId="2ABBE2D7" w14:textId="77777777" w:rsidR="000B173B" w:rsidRPr="00460B80" w:rsidRDefault="000B173B" w:rsidP="00A15226">
            <w:pPr>
              <w:pStyle w:val="Tabletext"/>
            </w:pPr>
            <w:r w:rsidRPr="00140B15">
              <w:t xml:space="preserve">The main threats to the species include ongoing disturbance to </w:t>
            </w:r>
            <w:r>
              <w:t>and/or</w:t>
            </w:r>
            <w:r w:rsidRPr="00140B15">
              <w:t xml:space="preserve"> destruction of habitat, competition, weed invasion, </w:t>
            </w:r>
            <w:r w:rsidRPr="00460B80">
              <w:t xml:space="preserve">and potentially climate change </w:t>
            </w:r>
            <w:sdt>
              <w:sdtPr>
                <w:rPr>
                  <w:color w:val="000000"/>
                </w:rPr>
                <w:tag w:val="MENDELEY_CITATION_v3_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"/>
                <w:id w:val="-1561093099"/>
                <w:placeholder>
                  <w:docPart w:val="339B7D746526864D922760336FCFE603"/>
                </w:placeholder>
              </w:sdtPr>
              <w:sdtContent>
                <w:r w:rsidRPr="002F46CE">
                  <w:rPr>
                    <w:color w:val="000000"/>
                  </w:rPr>
                  <w:t>(Sinclair, 2010)</w:t>
                </w:r>
              </w:sdtContent>
            </w:sdt>
            <w:r w:rsidRPr="00460B80">
              <w:t>.</w:t>
            </w:r>
          </w:p>
          <w:p w14:paraId="04FA2C19" w14:textId="77777777" w:rsidR="000B173B" w:rsidRPr="00460B80" w:rsidRDefault="000B173B" w:rsidP="00A15226">
            <w:pPr>
              <w:pStyle w:val="Tabletext"/>
              <w:rPr>
                <w:rFonts w:cs="Arial"/>
                <w:szCs w:val="18"/>
              </w:rPr>
            </w:pPr>
            <w:r w:rsidRPr="006900FB">
              <w:rPr>
                <w:rFonts w:cs="Arial"/>
                <w:szCs w:val="18"/>
              </w:rPr>
              <w:t xml:space="preserve">Targeted surveys for the Large-fruit Fireweed were conducted within the two Growth Areas. No individuals of the species were identified during these surveys. Further, assessment of habitat condition within the surveyed areas of the Growth Areas indicated that any potential habitat for the species would be marginal due to low densities or absence of co-occurring species (such as Kangaroo Grass) and existing threats (including current or historical clearing and weed invasion). Subsequently, it was considered highly unlikely that the species would occur within the assessed areas of the Growth Areas </w:t>
            </w:r>
            <w:sdt>
              <w:sdtPr>
                <w:rPr>
                  <w:rFonts w:cs="Arial"/>
                  <w:color w:val="000000"/>
                  <w:szCs w:val="18"/>
                </w:rPr>
                <w:tag w:val="MENDELEY_CITATION_v3_eyJjaXRhdGlvbklEIjoiTUVOREVMRVlfQ0lUQVRJT05fZGYwYjRmODgtYTJmZS00OWI2LTlmNjMtYThlNTYzYzYxODU4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345211326"/>
                <w:placeholder>
                  <w:docPart w:val="339B7D746526864D922760336FCFE603"/>
                </w:placeholder>
              </w:sdtPr>
              <w:sdtEndPr>
                <w:rPr>
                  <w:rFonts w:cs="Times New Roman"/>
                  <w:szCs w:val="20"/>
                </w:rPr>
              </w:sdtEndPr>
              <w:sdtContent>
                <w:r w:rsidRPr="002F46CE">
                  <w:rPr>
                    <w:color w:val="000000"/>
                  </w:rPr>
                  <w:t>(EHP, 2021)</w:t>
                </w:r>
              </w:sdtContent>
            </w:sdt>
            <w:r w:rsidRPr="006900FB">
              <w:rPr>
                <w:rFonts w:cs="Arial"/>
                <w:szCs w:val="18"/>
              </w:rPr>
              <w:t>.</w:t>
            </w:r>
          </w:p>
          <w:p w14:paraId="0C7A7455" w14:textId="77777777" w:rsidR="000B173B" w:rsidRPr="006900FB" w:rsidRDefault="000B173B" w:rsidP="00A15226">
            <w:pPr>
              <w:pStyle w:val="Tabletext"/>
            </w:pPr>
            <w:r w:rsidRPr="006900FB">
              <w:t xml:space="preserve">The unsurveyed areas of the Growth Areas are assumed to support habitat for threatened species which were recorded within the Growth Areas (see Section 13.3.2 of Part 3 for details). Given that these areas are more modified or degraded than the surveyed areas of the Growth Areas, and the species was not recorded during targeted surveys, potential direct impacts to Large Fruit Fireweed are unlikely. </w:t>
            </w:r>
          </w:p>
          <w:p w14:paraId="50CD8BAA" w14:textId="77777777" w:rsidR="000B173B" w:rsidRDefault="000B173B" w:rsidP="00A15226">
            <w:pPr>
              <w:pStyle w:val="Tabletext"/>
            </w:pPr>
            <w:r w:rsidRPr="006900FB">
              <w:t>The broader Strategic Assessment Area has not been surveyed and will be subject to development within the external infrastructure footprints. The Plan includes a Measure to undertake targeted surveys within the external infrastructure footprints for all protected matters with the potential to occur. Any potential direct impacts to the species within these areas will be addressed following field surveys.</w:t>
            </w:r>
          </w:p>
          <w:p w14:paraId="7873C7BB" w14:textId="77777777" w:rsidR="000B173B" w:rsidRDefault="000B173B" w:rsidP="00A15226">
            <w:pPr>
              <w:pStyle w:val="Tabletext"/>
            </w:pPr>
            <w:r>
              <w:t>There are 115</w:t>
            </w:r>
            <w:r w:rsidRPr="003D7B95">
              <w:t xml:space="preserve"> records of the species</w:t>
            </w:r>
            <w:r>
              <w:t xml:space="preserve"> </w:t>
            </w:r>
            <w:r w:rsidRPr="003D7B95">
              <w:t>within the Study Area</w:t>
            </w:r>
            <w:r>
              <w:t>. All of these records are separated from the Growth Areas by significant urban and infrastructure development and are generally more than 8 km away. Po</w:t>
            </w:r>
            <w:r w:rsidRPr="00811A7D">
              <w:t xml:space="preserve">tential indirect impacts from development, such as those associated with </w:t>
            </w:r>
            <w:r>
              <w:t>weed invasion and habitat disturbance,</w:t>
            </w:r>
            <w:r w:rsidRPr="00811A7D">
              <w:t xml:space="preserve"> are unlikely to exacerbate existing threats to the species given the </w:t>
            </w:r>
            <w:r>
              <w:t xml:space="preserve">urban and </w:t>
            </w:r>
            <w:r w:rsidRPr="00811A7D">
              <w:t>agricultural landscape context and the distance of the records to proposed development.</w:t>
            </w:r>
          </w:p>
        </w:tc>
      </w:tr>
      <w:tr w:rsidR="000B173B" w14:paraId="0677B2B4" w14:textId="77777777" w:rsidTr="00A15226">
        <w:tc>
          <w:tcPr>
            <w:tcW w:w="1480" w:type="dxa"/>
            <w:tcBorders>
              <w:bottom w:val="single" w:sz="4" w:space="0" w:color="auto"/>
            </w:tcBorders>
            <w:shd w:val="clear" w:color="auto" w:fill="auto"/>
            <w:vAlign w:val="center"/>
          </w:tcPr>
          <w:p w14:paraId="1284E1EF" w14:textId="77777777" w:rsidR="000B173B" w:rsidRPr="00B83DE7" w:rsidRDefault="000B173B" w:rsidP="00A15226">
            <w:pPr>
              <w:pStyle w:val="Tabletext"/>
              <w:rPr>
                <w:szCs w:val="18"/>
              </w:rPr>
            </w:pPr>
            <w:r w:rsidRPr="00B83DE7">
              <w:rPr>
                <w:rFonts w:cs="Arial"/>
                <w:i/>
                <w:iCs/>
                <w:szCs w:val="18"/>
              </w:rPr>
              <w:lastRenderedPageBreak/>
              <w:t>Senecio psilocarpus</w:t>
            </w:r>
          </w:p>
        </w:tc>
        <w:tc>
          <w:tcPr>
            <w:tcW w:w="1353" w:type="dxa"/>
            <w:tcBorders>
              <w:bottom w:val="single" w:sz="4" w:space="0" w:color="auto"/>
            </w:tcBorders>
            <w:shd w:val="clear" w:color="auto" w:fill="auto"/>
            <w:vAlign w:val="center"/>
          </w:tcPr>
          <w:p w14:paraId="0EDC5310" w14:textId="77777777" w:rsidR="000B173B" w:rsidRPr="00116F3A" w:rsidRDefault="000B173B" w:rsidP="00A15226">
            <w:pPr>
              <w:pStyle w:val="Tabletext"/>
              <w:rPr>
                <w:szCs w:val="18"/>
                <w:highlight w:val="yellow"/>
              </w:rPr>
            </w:pPr>
            <w:r w:rsidRPr="008336EA">
              <w:rPr>
                <w:rFonts w:cs="Arial"/>
                <w:szCs w:val="18"/>
              </w:rPr>
              <w:t>Swamp Fireweed</w:t>
            </w:r>
          </w:p>
        </w:tc>
        <w:tc>
          <w:tcPr>
            <w:tcW w:w="1235" w:type="dxa"/>
            <w:tcBorders>
              <w:bottom w:val="single" w:sz="4" w:space="0" w:color="auto"/>
            </w:tcBorders>
            <w:shd w:val="clear" w:color="auto" w:fill="auto"/>
            <w:vAlign w:val="center"/>
          </w:tcPr>
          <w:p w14:paraId="356B39FF"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6D9CB36A" w14:textId="77777777" w:rsidR="000B173B" w:rsidRPr="00AC3FED" w:rsidRDefault="000B173B" w:rsidP="00A15226">
            <w:pPr>
              <w:pStyle w:val="Tabletext"/>
              <w:jc w:val="center"/>
              <w:rPr>
                <w:highlight w:val="yellow"/>
              </w:rPr>
            </w:pPr>
            <w:r w:rsidRPr="00D45CB7">
              <w:t>No</w:t>
            </w:r>
          </w:p>
        </w:tc>
        <w:tc>
          <w:tcPr>
            <w:tcW w:w="9072" w:type="dxa"/>
            <w:tcBorders>
              <w:bottom w:val="single" w:sz="4" w:space="0" w:color="auto"/>
            </w:tcBorders>
            <w:shd w:val="clear" w:color="auto" w:fill="auto"/>
            <w:vAlign w:val="center"/>
          </w:tcPr>
          <w:p w14:paraId="2F9BEA29" w14:textId="77777777" w:rsidR="000B173B" w:rsidRDefault="000B173B" w:rsidP="00A15226">
            <w:pPr>
              <w:pStyle w:val="Tabletext"/>
            </w:pPr>
            <w:r w:rsidRPr="00EE14E7">
              <w:rPr>
                <w:i/>
                <w:iCs/>
              </w:rPr>
              <w:t>Senecio psilocarpus</w:t>
            </w:r>
            <w:r w:rsidRPr="00EE14E7">
              <w:t xml:space="preserve"> (Swamp Fireweed) is a native perennial herb, flowering between November and March. The species occurs on</w:t>
            </w:r>
            <w:r>
              <w:t xml:space="preserve"> high-quality</w:t>
            </w:r>
            <w:r w:rsidRPr="00EE14E7">
              <w:t xml:space="preserve"> herb-rich wetlands on plains</w:t>
            </w:r>
            <w:r>
              <w:t xml:space="preserve">. Wetland sites are typically inundated during winter and then become almost dry during summer </w:t>
            </w:r>
            <w:sdt>
              <w:sdtPr>
                <w:rPr>
                  <w:color w:val="000000"/>
                </w:rPr>
                <w:tag w:val="MENDELEY_CITATION_v3_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"/>
                <w:id w:val="1820925023"/>
                <w:placeholder>
                  <w:docPart w:val="339B7D746526864D922760336FCFE603"/>
                </w:placeholder>
              </w:sdtPr>
              <w:sdtContent>
                <w:r w:rsidRPr="002F46CE">
                  <w:rPr>
                    <w:color w:val="000000"/>
                  </w:rPr>
                  <w:t>(DEWHA, 2008c)</w:t>
                </w:r>
              </w:sdtContent>
            </w:sdt>
            <w:r w:rsidRPr="00140B15">
              <w:t>.</w:t>
            </w:r>
          </w:p>
          <w:p w14:paraId="0B72FC17" w14:textId="77777777" w:rsidR="000B173B" w:rsidRDefault="000B173B" w:rsidP="00A15226">
            <w:pPr>
              <w:pStyle w:val="Tabletext"/>
            </w:pPr>
            <w:r w:rsidRPr="00EE14E7">
              <w:t>Swamp Fireweed has a scattered distributed across western Victoria and southeast South Australia</w:t>
            </w:r>
            <w:r>
              <w:t xml:space="preserve">, where it is </w:t>
            </w:r>
            <w:r w:rsidRPr="00EE14E7">
              <w:t xml:space="preserve">known from approximately 10 sites. Within Victoria, </w:t>
            </w:r>
            <w:r>
              <w:t xml:space="preserve">most </w:t>
            </w:r>
            <w:r w:rsidRPr="00EE14E7">
              <w:t>populations occur in areas of less than 0.4 ha.</w:t>
            </w:r>
            <w:r>
              <w:t xml:space="preserve"> </w:t>
            </w:r>
            <w:r w:rsidRPr="00140B15">
              <w:t>Threats to the species are not well understood, but include grazing pressure by introduced herbivores and stock, weed invasion, trampling and changes to hydrology</w:t>
            </w:r>
            <w:r>
              <w:t xml:space="preserve"> </w:t>
            </w:r>
            <w:sdt>
              <w:sdtPr>
                <w:rPr>
                  <w:color w:val="000000"/>
                </w:rPr>
                <w:tag w:val="MENDELEY_CITATION_v3_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"/>
                <w:id w:val="-125013186"/>
                <w:placeholder>
                  <w:docPart w:val="339B7D746526864D922760336FCFE603"/>
                </w:placeholder>
              </w:sdtPr>
              <w:sdtContent>
                <w:r w:rsidRPr="002F46CE">
                  <w:rPr>
                    <w:color w:val="000000"/>
                  </w:rPr>
                  <w:t>(DEWHA, 2008c)</w:t>
                </w:r>
              </w:sdtContent>
            </w:sdt>
            <w:r w:rsidRPr="00140B15">
              <w:t>.</w:t>
            </w:r>
          </w:p>
          <w:p w14:paraId="553DC5FC" w14:textId="77777777" w:rsidR="000B173B" w:rsidRPr="00845BA7" w:rsidRDefault="000B173B" w:rsidP="00A15226">
            <w:pPr>
              <w:pStyle w:val="Tabletext"/>
            </w:pPr>
            <w:r w:rsidRPr="006900FB">
              <w:t xml:space="preserve">The species has not been recorded within the Growth Areas, and the Growth Areas are unlikely to provide suitable wetland habitat for the species. </w:t>
            </w:r>
            <w:r w:rsidRPr="00845BA7">
              <w:t xml:space="preserve">Modelling of wetland occurrence by DELWP </w:t>
            </w:r>
            <w:sdt>
              <w:sdtPr>
                <w:rPr>
                  <w:color w:val="000000"/>
                </w:rPr>
                <w:tag w:val="MENDELEY_CITATION_v3_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"/>
                <w:id w:val="-932970377"/>
                <w:placeholder>
                  <w:docPart w:val="339B7D746526864D922760336FCFE603"/>
                </w:placeholder>
              </w:sdtPr>
              <w:sdtContent>
                <w:r w:rsidRPr="002F46CE">
                  <w:rPr>
                    <w:color w:val="000000"/>
                  </w:rPr>
                  <w:t>(DELWP, 2022b)</w:t>
                </w:r>
              </w:sdtContent>
            </w:sdt>
            <w:r w:rsidRPr="00845BA7">
              <w:t xml:space="preserve"> has identified two wetland areas in the NGGA. The first of these corresponds to a wastewater treatment plant adjacent to Anakie Road. The second of these appears to be related to two small farm dams (from aerial observations) located in the NGGA Conservation Area. This area was mapped as Plains Grassland (EVC 132) by </w:t>
            </w:r>
            <w:sdt>
              <w:sdtPr>
                <w:rPr>
                  <w:color w:val="000000"/>
                </w:rPr>
                <w:tag w:val="MENDELEY_CITATION_v3_eyJjaXRhdGlvbklEIjoiTUVOREVMRVlfQ0lUQVRJT05fZThiY2ZjMTUtNmEwNy00Y2ZmLWI3ZjQtNWVmMGUzNDZjMDcw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626668569"/>
                <w:placeholder>
                  <w:docPart w:val="339B7D746526864D922760336FCFE603"/>
                </w:placeholder>
              </w:sdtPr>
              <w:sdtContent>
                <w:r w:rsidRPr="002F46CE">
                  <w:rPr>
                    <w:color w:val="000000"/>
                  </w:rPr>
                  <w:t>(EHP, 2021)</w:t>
                </w:r>
              </w:sdtContent>
            </w:sdt>
            <w:r w:rsidRPr="00845BA7">
              <w:t>. Overall, d</w:t>
            </w:r>
            <w:r w:rsidRPr="006900FB">
              <w:t>irect impacts are considered unlikely.</w:t>
            </w:r>
          </w:p>
          <w:p w14:paraId="3DE14743" w14:textId="77777777" w:rsidR="000B173B" w:rsidRPr="00272A6D" w:rsidRDefault="000B173B" w:rsidP="00A15226">
            <w:pPr>
              <w:pStyle w:val="Tabletext"/>
            </w:pPr>
            <w:r w:rsidRPr="00272A6D">
              <w:t>There are no existing records within the broader Study Area. Suitable potential habitat is limited within a largely agricultural landscape. Potential indirect impacts to the species are also considered unlikely.</w:t>
            </w:r>
          </w:p>
        </w:tc>
      </w:tr>
      <w:tr w:rsidR="000B173B" w14:paraId="04813CC9" w14:textId="77777777" w:rsidTr="00A15226">
        <w:tc>
          <w:tcPr>
            <w:tcW w:w="1480" w:type="dxa"/>
            <w:tcBorders>
              <w:bottom w:val="single" w:sz="4" w:space="0" w:color="auto"/>
            </w:tcBorders>
            <w:shd w:val="clear" w:color="auto" w:fill="auto"/>
            <w:vAlign w:val="center"/>
          </w:tcPr>
          <w:p w14:paraId="390F634E" w14:textId="77777777" w:rsidR="000B173B" w:rsidRPr="00B83DE7" w:rsidRDefault="000B173B" w:rsidP="00A15226">
            <w:pPr>
              <w:pStyle w:val="Tabletext"/>
              <w:rPr>
                <w:szCs w:val="18"/>
              </w:rPr>
            </w:pPr>
            <w:r w:rsidRPr="00B83DE7">
              <w:rPr>
                <w:rFonts w:cs="Arial"/>
                <w:i/>
                <w:iCs/>
                <w:szCs w:val="18"/>
              </w:rPr>
              <w:t>Xerochrysum palustre</w:t>
            </w:r>
          </w:p>
        </w:tc>
        <w:tc>
          <w:tcPr>
            <w:tcW w:w="1353" w:type="dxa"/>
            <w:tcBorders>
              <w:bottom w:val="single" w:sz="4" w:space="0" w:color="auto"/>
            </w:tcBorders>
            <w:shd w:val="clear" w:color="auto" w:fill="auto"/>
            <w:vAlign w:val="center"/>
          </w:tcPr>
          <w:p w14:paraId="1E617EDB" w14:textId="77777777" w:rsidR="000B173B" w:rsidRPr="00116F3A" w:rsidRDefault="000B173B" w:rsidP="00A15226">
            <w:pPr>
              <w:pStyle w:val="Tabletext"/>
              <w:rPr>
                <w:szCs w:val="18"/>
                <w:highlight w:val="yellow"/>
              </w:rPr>
            </w:pPr>
            <w:r w:rsidRPr="00BC41A6">
              <w:rPr>
                <w:rFonts w:cs="Arial"/>
                <w:szCs w:val="18"/>
              </w:rPr>
              <w:t>Swamp Paper Daisy</w:t>
            </w:r>
          </w:p>
        </w:tc>
        <w:tc>
          <w:tcPr>
            <w:tcW w:w="1235" w:type="dxa"/>
            <w:tcBorders>
              <w:bottom w:val="single" w:sz="4" w:space="0" w:color="auto"/>
            </w:tcBorders>
            <w:shd w:val="clear" w:color="auto" w:fill="auto"/>
            <w:vAlign w:val="center"/>
          </w:tcPr>
          <w:p w14:paraId="1D4C5108" w14:textId="77777777" w:rsidR="000B173B" w:rsidRPr="00B83DE7" w:rsidRDefault="000B173B" w:rsidP="00A15226">
            <w:pPr>
              <w:pStyle w:val="Tabletext"/>
              <w:rPr>
                <w:szCs w:val="18"/>
              </w:rPr>
            </w:pPr>
            <w:r w:rsidRPr="00B83DE7">
              <w:rPr>
                <w:rFonts w:cs="Arial"/>
                <w:szCs w:val="18"/>
              </w:rPr>
              <w:t>Vulnerable</w:t>
            </w:r>
          </w:p>
        </w:tc>
        <w:tc>
          <w:tcPr>
            <w:tcW w:w="1177" w:type="dxa"/>
            <w:tcBorders>
              <w:bottom w:val="single" w:sz="4" w:space="0" w:color="auto"/>
            </w:tcBorders>
            <w:shd w:val="clear" w:color="auto" w:fill="auto"/>
            <w:vAlign w:val="center"/>
          </w:tcPr>
          <w:p w14:paraId="13CD5F99" w14:textId="77777777" w:rsidR="000B173B" w:rsidRPr="00AC3FED" w:rsidRDefault="000B173B" w:rsidP="00A15226">
            <w:pPr>
              <w:pStyle w:val="Tabletext"/>
              <w:jc w:val="center"/>
              <w:rPr>
                <w:highlight w:val="yellow"/>
              </w:rPr>
            </w:pPr>
            <w:r>
              <w:t>No</w:t>
            </w:r>
          </w:p>
        </w:tc>
        <w:tc>
          <w:tcPr>
            <w:tcW w:w="9072" w:type="dxa"/>
            <w:tcBorders>
              <w:bottom w:val="single" w:sz="4" w:space="0" w:color="auto"/>
            </w:tcBorders>
            <w:shd w:val="clear" w:color="auto" w:fill="auto"/>
            <w:vAlign w:val="center"/>
          </w:tcPr>
          <w:p w14:paraId="48D93331" w14:textId="77777777" w:rsidR="000B173B" w:rsidRDefault="000B173B" w:rsidP="00A15226">
            <w:pPr>
              <w:pStyle w:val="Tabletext"/>
            </w:pPr>
            <w:r w:rsidRPr="00EE14E7">
              <w:rPr>
                <w:i/>
                <w:iCs/>
              </w:rPr>
              <w:t>Xerochrysum palustre</w:t>
            </w:r>
            <w:r w:rsidRPr="00EE14E7">
              <w:t xml:space="preserve"> (Swamp Everlasting) is a perennial herb growing 30-100 cm tall with large yellow flowers. The species grows in wetlands including sedge-swamps and shallow freshwater marshes</w:t>
            </w:r>
            <w:r>
              <w:t xml:space="preserve">. It also grows in seasonally wet areas of native grassland and heath communities </w:t>
            </w:r>
            <w:sdt>
              <w:sdtPr>
                <w:rPr>
                  <w:color w:val="000000"/>
                </w:rPr>
                <w:tag w:val="MENDELEY_CITATION_v3_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"/>
                <w:id w:val="-75760635"/>
                <w:placeholder>
                  <w:docPart w:val="339B7D746526864D922760336FCFE603"/>
                </w:placeholder>
              </w:sdtPr>
              <w:sdtContent>
                <w:r w:rsidRPr="002F46CE">
                  <w:rPr>
                    <w:color w:val="000000"/>
                  </w:rPr>
                  <w:t>(DAWE, 2021d)</w:t>
                </w:r>
              </w:sdtContent>
            </w:sdt>
            <w:r w:rsidRPr="00A16ACC">
              <w:t>.</w:t>
            </w:r>
            <w:r>
              <w:t xml:space="preserve"> </w:t>
            </w:r>
          </w:p>
          <w:p w14:paraId="4F8DCAFF" w14:textId="77777777" w:rsidR="000B173B" w:rsidRDefault="000B173B" w:rsidP="00A15226">
            <w:pPr>
              <w:pStyle w:val="Tabletext"/>
            </w:pPr>
            <w:r w:rsidRPr="00EE14E7">
              <w:t>Swamp Everlasting is endemic to southeast Australia and is widely distributed from south</w:t>
            </w:r>
            <w:r>
              <w:t>-</w:t>
            </w:r>
            <w:r w:rsidRPr="00EE14E7">
              <w:t xml:space="preserve">east NSW, Victoria and north east Tasmania. In Victoria, the species has a wide though patchy distribution from Bairnsdale to the Cobberas and Nunniong Plateau. </w:t>
            </w:r>
            <w:r>
              <w:t xml:space="preserve">The species is likely to have been historically abundant in ephemeral wetlands prior to their conversion for agriculture, particularly across southern Victoria </w:t>
            </w:r>
            <w:sdt>
              <w:sdtPr>
                <w:rPr>
                  <w:color w:val="000000"/>
                </w:rPr>
                <w:tag w:val="MENDELEY_CITATION_v3_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"/>
                <w:id w:val="-1843465085"/>
                <w:placeholder>
                  <w:docPart w:val="339B7D746526864D922760336FCFE603"/>
                </w:placeholder>
              </w:sdtPr>
              <w:sdtContent>
                <w:r w:rsidRPr="002F46CE">
                  <w:rPr>
                    <w:color w:val="000000"/>
                  </w:rPr>
                  <w:t>(DAWE, 2021d)</w:t>
                </w:r>
              </w:sdtContent>
            </w:sdt>
            <w:r w:rsidRPr="00A16ACC">
              <w:t>.</w:t>
            </w:r>
            <w:r>
              <w:t xml:space="preserve"> </w:t>
            </w:r>
          </w:p>
          <w:p w14:paraId="0DB17D92" w14:textId="77777777" w:rsidR="000B173B" w:rsidRDefault="000B173B" w:rsidP="00A15226">
            <w:pPr>
              <w:pStyle w:val="Tabletext"/>
            </w:pPr>
            <w:r w:rsidRPr="00EE14E7">
              <w:t>Population</w:t>
            </w:r>
            <w:r>
              <w:t xml:space="preserve"> estimates </w:t>
            </w:r>
            <w:r w:rsidRPr="00EE14E7">
              <w:t>are approximate as the rhizomatous habitat makes estimating difficult. There are thought to be over 12,0</w:t>
            </w:r>
            <w:r>
              <w:t>0</w:t>
            </w:r>
            <w:r w:rsidRPr="00EE14E7">
              <w:t xml:space="preserve">0 plants in Victoria, </w:t>
            </w:r>
            <w:r>
              <w:t xml:space="preserve">over </w:t>
            </w:r>
            <w:r w:rsidRPr="00EE14E7">
              <w:t xml:space="preserve">15,000 in NSW, and </w:t>
            </w:r>
            <w:r>
              <w:t xml:space="preserve">fewer than </w:t>
            </w:r>
            <w:r w:rsidRPr="00EE14E7">
              <w:t>5,000 in Tasmania</w:t>
            </w:r>
            <w:r>
              <w:t xml:space="preserve"> </w:t>
            </w:r>
            <w:sdt>
              <w:sdtPr>
                <w:rPr>
                  <w:color w:val="000000"/>
                </w:rPr>
                <w:tag w:val="MENDELEY_CITATION_v3_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"/>
                <w:id w:val="-1834286331"/>
                <w:placeholder>
                  <w:docPart w:val="339B7D746526864D922760336FCFE603"/>
                </w:placeholder>
              </w:sdtPr>
              <w:sdtContent>
                <w:r w:rsidRPr="002F46CE">
                  <w:rPr>
                    <w:color w:val="000000"/>
                  </w:rPr>
                  <w:t>(DAWE, 2021d)</w:t>
                </w:r>
              </w:sdtContent>
            </w:sdt>
            <w:r w:rsidRPr="00A16ACC">
              <w:t>.</w:t>
            </w:r>
          </w:p>
          <w:p w14:paraId="6D2AF0D9" w14:textId="77777777" w:rsidR="000B173B" w:rsidRDefault="000B173B" w:rsidP="00A15226">
            <w:pPr>
              <w:pStyle w:val="Tabletext"/>
            </w:pPr>
            <w:r w:rsidRPr="00BC41A6">
              <w:t>Threats to the species include climate change, habitat loss, disturbance and modifications including changed hydrology, impacts from invasive species including browsing by introduced herbivores and competition with weeds, grazing from overabundant native fauna and genetic threats due to small and fragmented populations</w:t>
            </w:r>
            <w:r>
              <w:t xml:space="preserve"> </w:t>
            </w:r>
            <w:sdt>
              <w:sdtPr>
                <w:rPr>
                  <w:color w:val="000000"/>
                </w:rPr>
                <w:tag w:val="MENDELEY_CITATION_v3_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"/>
                <w:id w:val="-2080888798"/>
                <w:placeholder>
                  <w:docPart w:val="339B7D746526864D922760336FCFE603"/>
                </w:placeholder>
              </w:sdtPr>
              <w:sdtContent>
                <w:r w:rsidRPr="002F46CE">
                  <w:rPr>
                    <w:color w:val="000000"/>
                  </w:rPr>
                  <w:t>(DAWE, 2021d)</w:t>
                </w:r>
              </w:sdtContent>
            </w:sdt>
            <w:r w:rsidRPr="00A16ACC">
              <w:t>.</w:t>
            </w:r>
            <w:r>
              <w:t xml:space="preserve"> </w:t>
            </w:r>
          </w:p>
          <w:p w14:paraId="2366B87C" w14:textId="77777777" w:rsidR="000B173B" w:rsidRPr="006900FB" w:rsidRDefault="000B173B" w:rsidP="00A15226">
            <w:pPr>
              <w:pStyle w:val="Tabletext"/>
            </w:pPr>
            <w:r w:rsidRPr="006900FB">
              <w:t xml:space="preserve">The species has not been recorded within the Growth Areas, and the Growth Areas are unlikely to provide suitable wetland habitat for the species. Modelling of wetland occurrence by DELWP </w:t>
            </w:r>
            <w:sdt>
              <w:sdtPr>
                <w:rPr>
                  <w:color w:val="000000"/>
                </w:rPr>
                <w:tag w:val="MENDELEY_CITATION_v3_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"/>
                <w:id w:val="466708491"/>
                <w:placeholder>
                  <w:docPart w:val="339B7D746526864D922760336FCFE603"/>
                </w:placeholder>
              </w:sdtPr>
              <w:sdtContent>
                <w:r w:rsidRPr="002F46CE">
                  <w:rPr>
                    <w:color w:val="000000"/>
                  </w:rPr>
                  <w:t>(DELWP, 2022b)</w:t>
                </w:r>
              </w:sdtContent>
            </w:sdt>
            <w:r w:rsidRPr="006900FB">
              <w:t xml:space="preserve"> has identified two wetland areas in the NGGA. The first of these corresponds to a wastewater treatment plant adjacent to Anakie Road. The second of these appears to be related to two small farm dams (from aerial </w:t>
            </w:r>
            <w:r w:rsidRPr="006900FB">
              <w:lastRenderedPageBreak/>
              <w:t xml:space="preserve">observations) located in the NGGA Conservation Area. This area was mapped as Plains Grassland (EVC 132) by </w:t>
            </w:r>
            <w:sdt>
              <w:sdtPr>
                <w:rPr>
                  <w:color w:val="000000"/>
                </w:rPr>
                <w:tag w:val="MENDELEY_CITATION_v3_eyJjaXRhdGlvbklEIjoiTUVOREVMRVlfQ0lUQVRJT05fM2JmZmEzZTktYjdmMS00N2I1LThiOWYtZDNmNTRlN2VmNGZ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913131237"/>
                <w:placeholder>
                  <w:docPart w:val="339B7D746526864D922760336FCFE603"/>
                </w:placeholder>
              </w:sdtPr>
              <w:sdtContent>
                <w:r w:rsidRPr="002F46CE">
                  <w:rPr>
                    <w:color w:val="000000"/>
                  </w:rPr>
                  <w:t>(EHP, 2021)</w:t>
                </w:r>
              </w:sdtContent>
            </w:sdt>
            <w:r w:rsidRPr="006900FB">
              <w:t>. Overall, direct impacts are considered unlikely.</w:t>
            </w:r>
          </w:p>
          <w:p w14:paraId="36C02611" w14:textId="77777777" w:rsidR="000B173B" w:rsidRDefault="000B173B" w:rsidP="00A15226">
            <w:pPr>
              <w:pStyle w:val="Tabletext"/>
            </w:pPr>
            <w:r w:rsidRPr="00845BA7">
              <w:t>There is one record of the species within the Study Area (dated</w:t>
            </w:r>
            <w:r w:rsidRPr="00861096">
              <w:t xml:space="preserve"> 1995), occurring approximately 14 km </w:t>
            </w:r>
            <w:r>
              <w:t>south-east of the</w:t>
            </w:r>
            <w:r w:rsidRPr="00861096">
              <w:t xml:space="preserve"> Growth Areas. This record</w:t>
            </w:r>
            <w:r>
              <w:t xml:space="preserve"> is separated from the Growth Areas by significant areas of urban and infrastructure development. Po</w:t>
            </w:r>
            <w:r w:rsidRPr="00811A7D">
              <w:t xml:space="preserve">tential indirect impacts from development, such as those associated with </w:t>
            </w:r>
            <w:r>
              <w:t>weed invasion, habitat disturbance, or change to hydrology,</w:t>
            </w:r>
            <w:r w:rsidRPr="00811A7D">
              <w:t xml:space="preserve"> are unlikely to exacerbate existing threats to the species given the </w:t>
            </w:r>
            <w:r>
              <w:t xml:space="preserve">urban and </w:t>
            </w:r>
            <w:r w:rsidRPr="00811A7D">
              <w:t>agricultural landscape context</w:t>
            </w:r>
            <w:r>
              <w:t xml:space="preserve">, the age of the record and </w:t>
            </w:r>
            <w:r w:rsidRPr="00811A7D">
              <w:t>the distance of the</w:t>
            </w:r>
            <w:r>
              <w:t xml:space="preserve"> record to </w:t>
            </w:r>
            <w:r w:rsidRPr="00811A7D">
              <w:t>proposed development.</w:t>
            </w:r>
            <w:r>
              <w:t xml:space="preserve"> </w:t>
            </w:r>
          </w:p>
        </w:tc>
      </w:tr>
      <w:tr w:rsidR="000B173B" w14:paraId="0D442EB6" w14:textId="77777777" w:rsidTr="00A15226">
        <w:tc>
          <w:tcPr>
            <w:tcW w:w="1480" w:type="dxa"/>
            <w:tcBorders>
              <w:bottom w:val="single" w:sz="4" w:space="0" w:color="auto"/>
              <w:right w:val="nil"/>
            </w:tcBorders>
            <w:shd w:val="clear" w:color="auto" w:fill="B4C6E7" w:themeFill="accent1" w:themeFillTint="66"/>
            <w:vAlign w:val="center"/>
          </w:tcPr>
          <w:p w14:paraId="6D059FFE" w14:textId="77777777" w:rsidR="000B173B" w:rsidRPr="00B83DE7" w:rsidRDefault="000B173B" w:rsidP="00A15226">
            <w:pPr>
              <w:pStyle w:val="Tabletext"/>
              <w:rPr>
                <w:rFonts w:cs="Arial"/>
                <w:b/>
                <w:bCs/>
                <w:i/>
                <w:iCs/>
                <w:szCs w:val="18"/>
              </w:rPr>
            </w:pPr>
            <w:r w:rsidRPr="00B83DE7">
              <w:rPr>
                <w:b/>
                <w:bCs/>
                <w:szCs w:val="18"/>
              </w:rPr>
              <w:lastRenderedPageBreak/>
              <w:t>Mammals</w:t>
            </w:r>
          </w:p>
        </w:tc>
        <w:tc>
          <w:tcPr>
            <w:tcW w:w="1353" w:type="dxa"/>
            <w:tcBorders>
              <w:left w:val="nil"/>
              <w:bottom w:val="single" w:sz="4" w:space="0" w:color="auto"/>
              <w:right w:val="nil"/>
            </w:tcBorders>
            <w:shd w:val="clear" w:color="auto" w:fill="B4C6E7" w:themeFill="accent1" w:themeFillTint="66"/>
            <w:vAlign w:val="center"/>
          </w:tcPr>
          <w:p w14:paraId="0BD7BD3A" w14:textId="77777777" w:rsidR="000B173B" w:rsidRPr="00B83DE7" w:rsidRDefault="000B173B" w:rsidP="00A15226">
            <w:pPr>
              <w:pStyle w:val="Tabletext"/>
              <w:rPr>
                <w:rFonts w:cs="Arial"/>
                <w:szCs w:val="18"/>
              </w:rPr>
            </w:pPr>
          </w:p>
        </w:tc>
        <w:tc>
          <w:tcPr>
            <w:tcW w:w="1235" w:type="dxa"/>
            <w:tcBorders>
              <w:left w:val="nil"/>
              <w:bottom w:val="single" w:sz="4" w:space="0" w:color="auto"/>
              <w:right w:val="nil"/>
            </w:tcBorders>
            <w:shd w:val="clear" w:color="auto" w:fill="B4C6E7" w:themeFill="accent1" w:themeFillTint="66"/>
            <w:vAlign w:val="center"/>
          </w:tcPr>
          <w:p w14:paraId="6E830766" w14:textId="77777777" w:rsidR="000B173B" w:rsidRPr="00B83DE7" w:rsidRDefault="000B173B" w:rsidP="00A15226">
            <w:pPr>
              <w:pStyle w:val="Tabletext"/>
              <w:rPr>
                <w:rFonts w:cs="Arial"/>
                <w:szCs w:val="18"/>
              </w:rPr>
            </w:pPr>
          </w:p>
        </w:tc>
        <w:tc>
          <w:tcPr>
            <w:tcW w:w="1177" w:type="dxa"/>
            <w:tcBorders>
              <w:left w:val="nil"/>
              <w:bottom w:val="single" w:sz="4" w:space="0" w:color="auto"/>
              <w:right w:val="nil"/>
            </w:tcBorders>
            <w:shd w:val="clear" w:color="auto" w:fill="B4C6E7" w:themeFill="accent1" w:themeFillTint="66"/>
            <w:vAlign w:val="center"/>
          </w:tcPr>
          <w:p w14:paraId="33BFD023" w14:textId="77777777" w:rsidR="000B173B" w:rsidRPr="00AC3FED" w:rsidRDefault="000B173B" w:rsidP="00A15226">
            <w:pPr>
              <w:pStyle w:val="Tabletext"/>
              <w:jc w:val="center"/>
              <w:rPr>
                <w:highlight w:val="yellow"/>
              </w:rPr>
            </w:pPr>
          </w:p>
        </w:tc>
        <w:tc>
          <w:tcPr>
            <w:tcW w:w="9072" w:type="dxa"/>
            <w:tcBorders>
              <w:left w:val="nil"/>
              <w:bottom w:val="single" w:sz="4" w:space="0" w:color="auto"/>
            </w:tcBorders>
            <w:shd w:val="clear" w:color="auto" w:fill="B4C6E7" w:themeFill="accent1" w:themeFillTint="66"/>
            <w:vAlign w:val="center"/>
          </w:tcPr>
          <w:p w14:paraId="60A0A0C2" w14:textId="77777777" w:rsidR="000B173B" w:rsidRDefault="000B173B" w:rsidP="00A15226">
            <w:pPr>
              <w:pStyle w:val="Tabletext"/>
            </w:pPr>
          </w:p>
        </w:tc>
      </w:tr>
      <w:tr w:rsidR="000B173B" w14:paraId="54FEBF48" w14:textId="77777777" w:rsidTr="00A15226">
        <w:tc>
          <w:tcPr>
            <w:tcW w:w="1480" w:type="dxa"/>
            <w:tcBorders>
              <w:bottom w:val="single" w:sz="4" w:space="0" w:color="auto"/>
              <w:right w:val="single" w:sz="4" w:space="0" w:color="auto"/>
            </w:tcBorders>
            <w:shd w:val="clear" w:color="auto" w:fill="auto"/>
            <w:vAlign w:val="center"/>
          </w:tcPr>
          <w:p w14:paraId="0BC0B5BE" w14:textId="77777777" w:rsidR="000B173B" w:rsidRPr="00B83DE7" w:rsidRDefault="000B173B" w:rsidP="00A15226">
            <w:pPr>
              <w:pStyle w:val="Tabletext"/>
              <w:rPr>
                <w:rFonts w:cs="Arial"/>
                <w:i/>
                <w:iCs/>
                <w:szCs w:val="18"/>
              </w:rPr>
            </w:pPr>
            <w:r w:rsidRPr="00B83DE7">
              <w:rPr>
                <w:rFonts w:cs="Arial"/>
                <w:i/>
                <w:iCs/>
                <w:szCs w:val="18"/>
              </w:rPr>
              <w:t>Antechinus minimus maritimus</w:t>
            </w:r>
          </w:p>
        </w:tc>
        <w:tc>
          <w:tcPr>
            <w:tcW w:w="1353" w:type="dxa"/>
            <w:tcBorders>
              <w:left w:val="single" w:sz="4" w:space="0" w:color="auto"/>
              <w:bottom w:val="single" w:sz="4" w:space="0" w:color="auto"/>
              <w:right w:val="single" w:sz="4" w:space="0" w:color="auto"/>
            </w:tcBorders>
            <w:shd w:val="clear" w:color="auto" w:fill="auto"/>
            <w:vAlign w:val="center"/>
          </w:tcPr>
          <w:p w14:paraId="7B08E148" w14:textId="77777777" w:rsidR="000B173B" w:rsidRPr="00B83DE7" w:rsidRDefault="000B173B" w:rsidP="00A15226">
            <w:pPr>
              <w:pStyle w:val="Tabletext"/>
              <w:rPr>
                <w:rFonts w:cs="Arial"/>
                <w:szCs w:val="18"/>
              </w:rPr>
            </w:pPr>
            <w:r w:rsidRPr="00B83DE7">
              <w:rPr>
                <w:rFonts w:cs="Arial"/>
                <w:szCs w:val="18"/>
              </w:rPr>
              <w:t>Swamp Antechinus</w:t>
            </w:r>
          </w:p>
        </w:tc>
        <w:tc>
          <w:tcPr>
            <w:tcW w:w="1235" w:type="dxa"/>
            <w:tcBorders>
              <w:left w:val="single" w:sz="4" w:space="0" w:color="auto"/>
              <w:bottom w:val="single" w:sz="4" w:space="0" w:color="auto"/>
              <w:right w:val="single" w:sz="4" w:space="0" w:color="auto"/>
            </w:tcBorders>
            <w:shd w:val="clear" w:color="auto" w:fill="auto"/>
            <w:vAlign w:val="center"/>
          </w:tcPr>
          <w:p w14:paraId="1EB78E41" w14:textId="77777777" w:rsidR="000B173B" w:rsidRPr="00B83DE7" w:rsidRDefault="000B173B" w:rsidP="00A15226">
            <w:pPr>
              <w:pStyle w:val="Tabletext"/>
              <w:rPr>
                <w:rFonts w:cs="Arial"/>
                <w:szCs w:val="18"/>
              </w:rPr>
            </w:pPr>
            <w:r w:rsidRPr="00B83DE7">
              <w:rPr>
                <w:rFonts w:cs="Arial"/>
                <w:szCs w:val="18"/>
              </w:rPr>
              <w:t>Vulnerable</w:t>
            </w:r>
          </w:p>
        </w:tc>
        <w:tc>
          <w:tcPr>
            <w:tcW w:w="1177" w:type="dxa"/>
            <w:tcBorders>
              <w:left w:val="single" w:sz="4" w:space="0" w:color="auto"/>
              <w:bottom w:val="single" w:sz="4" w:space="0" w:color="auto"/>
              <w:right w:val="single" w:sz="4" w:space="0" w:color="auto"/>
            </w:tcBorders>
            <w:shd w:val="clear" w:color="auto" w:fill="auto"/>
            <w:vAlign w:val="center"/>
          </w:tcPr>
          <w:p w14:paraId="02D91A46" w14:textId="77777777" w:rsidR="000B173B" w:rsidRPr="00AC3FED" w:rsidRDefault="000B173B" w:rsidP="00A15226">
            <w:pPr>
              <w:pStyle w:val="Tabletext"/>
              <w:jc w:val="center"/>
              <w:rPr>
                <w:highlight w:val="yellow"/>
              </w:rPr>
            </w:pPr>
            <w:r w:rsidRPr="00D45CB7">
              <w:t>No</w:t>
            </w:r>
          </w:p>
        </w:tc>
        <w:tc>
          <w:tcPr>
            <w:tcW w:w="9072" w:type="dxa"/>
            <w:tcBorders>
              <w:left w:val="single" w:sz="4" w:space="0" w:color="auto"/>
              <w:bottom w:val="single" w:sz="4" w:space="0" w:color="auto"/>
            </w:tcBorders>
            <w:shd w:val="clear" w:color="auto" w:fill="auto"/>
            <w:vAlign w:val="center"/>
          </w:tcPr>
          <w:p w14:paraId="5DD1ADEB" w14:textId="77777777" w:rsidR="000B173B" w:rsidRDefault="000B173B" w:rsidP="00A15226">
            <w:pPr>
              <w:pStyle w:val="Tabletext"/>
            </w:pPr>
            <w:r w:rsidRPr="00B83DE7">
              <w:rPr>
                <w:rFonts w:cs="Arial"/>
                <w:i/>
                <w:iCs/>
                <w:szCs w:val="18"/>
              </w:rPr>
              <w:t>Antechinus minimus maritimus</w:t>
            </w:r>
            <w:r w:rsidRPr="00EE14E7">
              <w:t xml:space="preserve"> </w:t>
            </w:r>
            <w:r>
              <w:t>(</w:t>
            </w:r>
            <w:r w:rsidRPr="00EE14E7">
              <w:t>Swamp Antechinus</w:t>
            </w:r>
            <w:r>
              <w:t>)</w:t>
            </w:r>
            <w:r w:rsidRPr="00EE14E7">
              <w:t xml:space="preserve"> is a small, insectivorous marsupial</w:t>
            </w:r>
            <w:r>
              <w:t xml:space="preserve"> with a highly fragmented distribution in coastal areas of </w:t>
            </w:r>
            <w:r w:rsidRPr="00EE14E7">
              <w:t>Victoria and far south-eastern South Australia</w:t>
            </w:r>
            <w:r>
              <w:t xml:space="preserve"> </w:t>
            </w:r>
            <w:sdt>
              <w:sdtPr>
                <w:rPr>
                  <w:color w:val="000000"/>
                </w:rPr>
                <w:tag w:val="MENDELEY_CITATION_v3_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"/>
                <w:id w:val="943496421"/>
                <w:placeholder>
                  <w:docPart w:val="339B7D746526864D922760336FCFE603"/>
                </w:placeholder>
              </w:sdtPr>
              <w:sdtContent>
                <w:r w:rsidRPr="002F46CE">
                  <w:rPr>
                    <w:color w:val="000000"/>
                  </w:rPr>
                  <w:t>(TSSC, 2016a)</w:t>
                </w:r>
              </w:sdtContent>
            </w:sdt>
            <w:r w:rsidRPr="00EE14E7">
              <w:t>.</w:t>
            </w:r>
            <w:r>
              <w:t xml:space="preserve"> It is noted that the Strategic Assessment Area is outside of the known distribution of this species in Victoria </w:t>
            </w:r>
            <w:sdt>
              <w:sdtPr>
                <w:rPr>
                  <w:color w:val="000000"/>
                </w:rPr>
                <w:tag w:val="MENDELEY_CITATION_v3_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"/>
                <w:id w:val="-602112250"/>
                <w:placeholder>
                  <w:docPart w:val="339B7D746526864D922760336FCFE603"/>
                </w:placeholder>
              </w:sdtPr>
              <w:sdtContent>
                <w:r w:rsidRPr="002F46CE">
                  <w:rPr>
                    <w:color w:val="000000"/>
                  </w:rPr>
                  <w:t>(SWIFFT, 2022e)</w:t>
                </w:r>
              </w:sdtContent>
            </w:sdt>
            <w:r>
              <w:t>.</w:t>
            </w:r>
          </w:p>
          <w:p w14:paraId="5009FCF2" w14:textId="77777777" w:rsidR="000B173B" w:rsidRDefault="000B173B" w:rsidP="00A15226">
            <w:pPr>
              <w:pStyle w:val="Tabletext"/>
            </w:pPr>
            <w:r>
              <w:t>Habitat for the species</w:t>
            </w:r>
            <w:r w:rsidRPr="00EE14E7">
              <w:t xml:space="preserve"> consists of dense wet heathlands, tussock grasslands, sedgelands, damp gullies, swamps, and some shrubby woodlands. The species requires mature dense vegetation with thick groundcover, and population sizes are highly susceptible to variations in rainfall</w:t>
            </w:r>
            <w:r>
              <w:t xml:space="preserve"> </w:t>
            </w:r>
            <w:sdt>
              <w:sdtPr>
                <w:rPr>
                  <w:color w:val="000000"/>
                </w:rPr>
                <w:tag w:val="MENDELEY_CITATION_v3_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"/>
                <w:id w:val="-1917861879"/>
                <w:placeholder>
                  <w:docPart w:val="339B7D746526864D922760336FCFE603"/>
                </w:placeholder>
              </w:sdtPr>
              <w:sdtContent>
                <w:r w:rsidRPr="002F46CE">
                  <w:rPr>
                    <w:color w:val="000000"/>
                  </w:rPr>
                  <w:t>(TSSC, 2016a)</w:t>
                </w:r>
              </w:sdtContent>
            </w:sdt>
            <w:r w:rsidRPr="00EE14E7">
              <w:t>.</w:t>
            </w:r>
          </w:p>
          <w:p w14:paraId="2A39A1F6" w14:textId="77777777" w:rsidR="000B173B" w:rsidRDefault="000B173B" w:rsidP="00A15226">
            <w:pPr>
              <w:pStyle w:val="Tabletext"/>
            </w:pPr>
            <w:r w:rsidRPr="00EF295D">
              <w:t>The species is highly susceptible to habitat loss and fragmentation with much of its habitat either cleared or drained with severe consequences. Small remnant habitat sizes place the species at risk of local extinction</w:t>
            </w:r>
            <w:r>
              <w:t xml:space="preserve"> </w:t>
            </w:r>
            <w:sdt>
              <w:sdtPr>
                <w:rPr>
                  <w:color w:val="000000"/>
                </w:rPr>
                <w:tag w:val="MENDELEY_CITATION_v3_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"/>
                <w:id w:val="232822481"/>
                <w:placeholder>
                  <w:docPart w:val="339B7D746526864D922760336FCFE603"/>
                </w:placeholder>
              </w:sdtPr>
              <w:sdtContent>
                <w:r w:rsidRPr="002F46CE">
                  <w:rPr>
                    <w:color w:val="000000"/>
                  </w:rPr>
                  <w:t>(TSSC, 2016a)</w:t>
                </w:r>
              </w:sdtContent>
            </w:sdt>
            <w:r w:rsidRPr="00EE14E7">
              <w:t>.</w:t>
            </w:r>
          </w:p>
          <w:p w14:paraId="0007303D" w14:textId="77777777" w:rsidR="000B173B" w:rsidRPr="003A3C20" w:rsidRDefault="000B173B" w:rsidP="00A15226">
            <w:pPr>
              <w:pStyle w:val="Tabletext"/>
            </w:pPr>
            <w:r w:rsidRPr="000B4F3C">
              <w:t xml:space="preserve">The species has not been recorded within the Strategic Assessment Area. </w:t>
            </w:r>
            <w:r>
              <w:t>Further, t</w:t>
            </w:r>
            <w:r w:rsidRPr="000B4F3C">
              <w:t>he Strategic Assessment Area does not support suitable habitat for this species. Direct impacts are therefore considered unlikely.</w:t>
            </w:r>
          </w:p>
          <w:p w14:paraId="2ED24DC8" w14:textId="77777777" w:rsidR="000B173B" w:rsidRDefault="000B173B" w:rsidP="00A15226">
            <w:pPr>
              <w:pStyle w:val="Tabletext"/>
            </w:pPr>
            <w:r w:rsidRPr="009503E7">
              <w:t xml:space="preserve">There are </w:t>
            </w:r>
            <w:r>
              <w:t xml:space="preserve">also </w:t>
            </w:r>
            <w:r w:rsidRPr="009503E7">
              <w:t xml:space="preserve">no existing records within the broader Study Area. Suitable potential habitat is limited within a largely agricultural landscape. Potential indirect impacts to the species are </w:t>
            </w:r>
            <w:r>
              <w:t>therefore</w:t>
            </w:r>
            <w:r w:rsidRPr="009503E7">
              <w:t xml:space="preserve"> considered unlikely.</w:t>
            </w:r>
          </w:p>
        </w:tc>
      </w:tr>
      <w:tr w:rsidR="000B173B" w14:paraId="3FE89178" w14:textId="77777777" w:rsidTr="00A15226">
        <w:tc>
          <w:tcPr>
            <w:tcW w:w="1480" w:type="dxa"/>
            <w:tcBorders>
              <w:bottom w:val="single" w:sz="4" w:space="0" w:color="auto"/>
              <w:right w:val="single" w:sz="4" w:space="0" w:color="auto"/>
            </w:tcBorders>
            <w:shd w:val="clear" w:color="auto" w:fill="auto"/>
            <w:vAlign w:val="center"/>
          </w:tcPr>
          <w:p w14:paraId="4BFD1B86" w14:textId="77777777" w:rsidR="000B173B" w:rsidRPr="00B83DE7" w:rsidRDefault="000B173B" w:rsidP="00A15226">
            <w:pPr>
              <w:pStyle w:val="Tabletext"/>
              <w:rPr>
                <w:rFonts w:cs="Arial"/>
                <w:i/>
                <w:iCs/>
                <w:szCs w:val="18"/>
              </w:rPr>
            </w:pPr>
            <w:r w:rsidRPr="00B83DE7">
              <w:rPr>
                <w:rFonts w:cs="Arial"/>
                <w:i/>
                <w:iCs/>
                <w:szCs w:val="18"/>
              </w:rPr>
              <w:t>Balaenoptera musculus</w:t>
            </w:r>
          </w:p>
        </w:tc>
        <w:tc>
          <w:tcPr>
            <w:tcW w:w="1353" w:type="dxa"/>
            <w:tcBorders>
              <w:left w:val="single" w:sz="4" w:space="0" w:color="auto"/>
              <w:bottom w:val="single" w:sz="4" w:space="0" w:color="auto"/>
              <w:right w:val="single" w:sz="4" w:space="0" w:color="auto"/>
            </w:tcBorders>
            <w:shd w:val="clear" w:color="auto" w:fill="auto"/>
            <w:vAlign w:val="center"/>
          </w:tcPr>
          <w:p w14:paraId="4815D2E0" w14:textId="77777777" w:rsidR="000B173B" w:rsidRPr="00B83DE7" w:rsidRDefault="000B173B" w:rsidP="00A15226">
            <w:pPr>
              <w:pStyle w:val="Tabletext"/>
              <w:rPr>
                <w:rFonts w:cs="Arial"/>
                <w:szCs w:val="18"/>
              </w:rPr>
            </w:pPr>
            <w:r w:rsidRPr="00B83DE7">
              <w:rPr>
                <w:rFonts w:cs="Arial"/>
                <w:szCs w:val="18"/>
              </w:rPr>
              <w:t xml:space="preserve">Blue Whale </w:t>
            </w:r>
          </w:p>
        </w:tc>
        <w:tc>
          <w:tcPr>
            <w:tcW w:w="1235" w:type="dxa"/>
            <w:tcBorders>
              <w:left w:val="single" w:sz="4" w:space="0" w:color="auto"/>
              <w:bottom w:val="single" w:sz="4" w:space="0" w:color="auto"/>
              <w:right w:val="single" w:sz="4" w:space="0" w:color="auto"/>
            </w:tcBorders>
            <w:shd w:val="clear" w:color="auto" w:fill="auto"/>
            <w:vAlign w:val="center"/>
          </w:tcPr>
          <w:p w14:paraId="0847A422" w14:textId="77777777" w:rsidR="000B173B" w:rsidRPr="00B83DE7" w:rsidRDefault="000B173B" w:rsidP="00A15226">
            <w:pPr>
              <w:pStyle w:val="Tabletext"/>
              <w:rPr>
                <w:rFonts w:cs="Arial"/>
                <w:szCs w:val="18"/>
              </w:rPr>
            </w:pPr>
            <w:r w:rsidRPr="00B83DE7">
              <w:rPr>
                <w:rFonts w:cs="Arial"/>
                <w:szCs w:val="18"/>
              </w:rPr>
              <w:t xml:space="preserve">Endangered, migratory </w:t>
            </w:r>
          </w:p>
        </w:tc>
        <w:tc>
          <w:tcPr>
            <w:tcW w:w="1177" w:type="dxa"/>
            <w:tcBorders>
              <w:left w:val="single" w:sz="4" w:space="0" w:color="auto"/>
              <w:bottom w:val="single" w:sz="4" w:space="0" w:color="auto"/>
              <w:right w:val="single" w:sz="4" w:space="0" w:color="auto"/>
            </w:tcBorders>
            <w:shd w:val="clear" w:color="auto" w:fill="auto"/>
            <w:vAlign w:val="center"/>
          </w:tcPr>
          <w:p w14:paraId="3F706E24" w14:textId="77777777" w:rsidR="000B173B" w:rsidRPr="00AC3FED" w:rsidRDefault="000B173B" w:rsidP="00A15226">
            <w:pPr>
              <w:pStyle w:val="Tabletext"/>
              <w:jc w:val="center"/>
              <w:rPr>
                <w:highlight w:val="yellow"/>
              </w:rPr>
            </w:pPr>
            <w:r w:rsidRPr="00D45CB7">
              <w:t>No</w:t>
            </w:r>
          </w:p>
        </w:tc>
        <w:tc>
          <w:tcPr>
            <w:tcW w:w="9072" w:type="dxa"/>
            <w:tcBorders>
              <w:left w:val="single" w:sz="4" w:space="0" w:color="auto"/>
              <w:bottom w:val="single" w:sz="4" w:space="0" w:color="auto"/>
            </w:tcBorders>
            <w:shd w:val="clear" w:color="auto" w:fill="auto"/>
            <w:vAlign w:val="center"/>
          </w:tcPr>
          <w:p w14:paraId="573E20FC" w14:textId="77777777" w:rsidR="000B173B" w:rsidRDefault="000B173B" w:rsidP="00A15226">
            <w:pPr>
              <w:pStyle w:val="Tabletext"/>
            </w:pPr>
            <w:r w:rsidRPr="00B83DE7">
              <w:rPr>
                <w:rFonts w:cs="Arial"/>
                <w:i/>
                <w:iCs/>
                <w:szCs w:val="18"/>
              </w:rPr>
              <w:t>Balaenoptera musculus</w:t>
            </w:r>
            <w:r w:rsidRPr="00EE14E7">
              <w:t xml:space="preserve"> </w:t>
            </w:r>
            <w:r>
              <w:t>(</w:t>
            </w:r>
            <w:r w:rsidRPr="00EE14E7">
              <w:t>Blue Whale</w:t>
            </w:r>
            <w:r>
              <w:t>)</w:t>
            </w:r>
            <w:r w:rsidRPr="00EE14E7">
              <w:t xml:space="preserve"> occurs in all waters surrounding Australia and migrates between low-latitude breeding grounds where both mating and calving take place during the winter and high-latitude feeding grounds during the summer. The population globally and nationally is unk</w:t>
            </w:r>
            <w:r>
              <w:t>n</w:t>
            </w:r>
            <w:r w:rsidRPr="00EE14E7">
              <w:t xml:space="preserve">own. </w:t>
            </w:r>
            <w:r>
              <w:t xml:space="preserve">Threats to the species include whaling, climate change, noise interference, habitat modification, vessel disturbance, and overharvesting of prey </w:t>
            </w:r>
            <w:sdt>
              <w:sdtPr>
                <w:rPr>
                  <w:color w:val="000000"/>
                </w:rPr>
                <w:tag w:val="MENDELEY_CITATION_v3_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"/>
                <w:id w:val="-1695602655"/>
                <w:placeholder>
                  <w:docPart w:val="339B7D746526864D922760336FCFE603"/>
                </w:placeholder>
              </w:sdtPr>
              <w:sdtContent>
                <w:r w:rsidRPr="002F46CE">
                  <w:rPr>
                    <w:color w:val="000000"/>
                  </w:rPr>
                  <w:t>(DoE, 2015b)</w:t>
                </w:r>
              </w:sdtContent>
            </w:sdt>
            <w:r w:rsidRPr="00EE14E7">
              <w:t>.</w:t>
            </w:r>
          </w:p>
          <w:p w14:paraId="05844F73" w14:textId="77777777" w:rsidR="000B173B" w:rsidRDefault="000B173B" w:rsidP="00A15226">
            <w:pPr>
              <w:pStyle w:val="Tabletext"/>
            </w:pPr>
            <w:r>
              <w:t>The species has not been recorded within the marine environment of the Study Area and will not be affected by development under the Plan.</w:t>
            </w:r>
          </w:p>
        </w:tc>
      </w:tr>
      <w:tr w:rsidR="000B173B" w14:paraId="3DE03CF7" w14:textId="77777777" w:rsidTr="00A15226">
        <w:tc>
          <w:tcPr>
            <w:tcW w:w="1480" w:type="dxa"/>
            <w:tcBorders>
              <w:bottom w:val="single" w:sz="4" w:space="0" w:color="auto"/>
              <w:right w:val="single" w:sz="4" w:space="0" w:color="auto"/>
            </w:tcBorders>
            <w:shd w:val="clear" w:color="auto" w:fill="auto"/>
            <w:vAlign w:val="center"/>
          </w:tcPr>
          <w:p w14:paraId="58218641" w14:textId="77777777" w:rsidR="000B173B" w:rsidRPr="00B83DE7" w:rsidRDefault="000B173B" w:rsidP="00A15226">
            <w:pPr>
              <w:pStyle w:val="Tabletext"/>
              <w:rPr>
                <w:rFonts w:cs="Arial"/>
                <w:i/>
                <w:iCs/>
                <w:szCs w:val="18"/>
              </w:rPr>
            </w:pPr>
            <w:r w:rsidRPr="00B83DE7">
              <w:rPr>
                <w:rFonts w:cs="Arial"/>
                <w:i/>
                <w:iCs/>
                <w:szCs w:val="18"/>
              </w:rPr>
              <w:lastRenderedPageBreak/>
              <w:t>Eubalaena australis</w:t>
            </w:r>
          </w:p>
        </w:tc>
        <w:tc>
          <w:tcPr>
            <w:tcW w:w="1353" w:type="dxa"/>
            <w:tcBorders>
              <w:left w:val="single" w:sz="4" w:space="0" w:color="auto"/>
              <w:bottom w:val="single" w:sz="4" w:space="0" w:color="auto"/>
              <w:right w:val="single" w:sz="4" w:space="0" w:color="auto"/>
            </w:tcBorders>
            <w:shd w:val="clear" w:color="auto" w:fill="auto"/>
            <w:vAlign w:val="center"/>
          </w:tcPr>
          <w:p w14:paraId="19284767" w14:textId="77777777" w:rsidR="000B173B" w:rsidRPr="00B83DE7" w:rsidRDefault="000B173B" w:rsidP="00A15226">
            <w:pPr>
              <w:pStyle w:val="Tabletext"/>
              <w:rPr>
                <w:rFonts w:cs="Arial"/>
                <w:szCs w:val="18"/>
              </w:rPr>
            </w:pPr>
            <w:r w:rsidRPr="00B83DE7">
              <w:rPr>
                <w:rFonts w:cs="Arial"/>
                <w:szCs w:val="18"/>
              </w:rPr>
              <w:t>Southern Right Whale</w:t>
            </w:r>
          </w:p>
        </w:tc>
        <w:tc>
          <w:tcPr>
            <w:tcW w:w="1235" w:type="dxa"/>
            <w:tcBorders>
              <w:left w:val="single" w:sz="4" w:space="0" w:color="auto"/>
              <w:bottom w:val="single" w:sz="4" w:space="0" w:color="auto"/>
              <w:right w:val="single" w:sz="4" w:space="0" w:color="auto"/>
            </w:tcBorders>
            <w:shd w:val="clear" w:color="auto" w:fill="auto"/>
            <w:vAlign w:val="center"/>
          </w:tcPr>
          <w:p w14:paraId="39480173" w14:textId="77777777" w:rsidR="000B173B" w:rsidRPr="00B83DE7" w:rsidRDefault="000B173B" w:rsidP="00A15226">
            <w:pPr>
              <w:pStyle w:val="Tabletext"/>
              <w:rPr>
                <w:rFonts w:cs="Arial"/>
                <w:szCs w:val="18"/>
              </w:rPr>
            </w:pPr>
            <w:r w:rsidRPr="00B83DE7">
              <w:rPr>
                <w:rFonts w:cs="Arial"/>
                <w:szCs w:val="18"/>
              </w:rPr>
              <w:t xml:space="preserve">Endangered, Cetacean, migratory </w:t>
            </w:r>
          </w:p>
        </w:tc>
        <w:tc>
          <w:tcPr>
            <w:tcW w:w="1177" w:type="dxa"/>
            <w:tcBorders>
              <w:left w:val="single" w:sz="4" w:space="0" w:color="auto"/>
              <w:bottom w:val="single" w:sz="4" w:space="0" w:color="auto"/>
              <w:right w:val="single" w:sz="4" w:space="0" w:color="auto"/>
            </w:tcBorders>
            <w:shd w:val="clear" w:color="auto" w:fill="auto"/>
            <w:vAlign w:val="center"/>
          </w:tcPr>
          <w:p w14:paraId="1A6C7A1D" w14:textId="77777777" w:rsidR="000B173B" w:rsidRPr="00AC3FED" w:rsidRDefault="000B173B" w:rsidP="00A15226">
            <w:pPr>
              <w:pStyle w:val="Tabletext"/>
              <w:jc w:val="center"/>
              <w:rPr>
                <w:highlight w:val="yellow"/>
              </w:rPr>
            </w:pPr>
            <w:r w:rsidRPr="00D45CB7">
              <w:t>No</w:t>
            </w:r>
          </w:p>
        </w:tc>
        <w:tc>
          <w:tcPr>
            <w:tcW w:w="9072" w:type="dxa"/>
            <w:tcBorders>
              <w:left w:val="single" w:sz="4" w:space="0" w:color="auto"/>
              <w:bottom w:val="single" w:sz="4" w:space="0" w:color="auto"/>
            </w:tcBorders>
            <w:shd w:val="clear" w:color="auto" w:fill="auto"/>
            <w:vAlign w:val="center"/>
          </w:tcPr>
          <w:p w14:paraId="4E955C23" w14:textId="77777777" w:rsidR="000B173B" w:rsidRDefault="000B173B" w:rsidP="00A15226">
            <w:pPr>
              <w:pStyle w:val="Tabletext"/>
            </w:pPr>
            <w:r w:rsidRPr="00B83DE7">
              <w:rPr>
                <w:rFonts w:cs="Arial"/>
                <w:i/>
                <w:iCs/>
                <w:szCs w:val="18"/>
              </w:rPr>
              <w:t>Eubalaena australis</w:t>
            </w:r>
            <w:r w:rsidRPr="00D701B3">
              <w:t xml:space="preserve"> </w:t>
            </w:r>
            <w:r>
              <w:t>(</w:t>
            </w:r>
            <w:r w:rsidRPr="00D701B3">
              <w:t>Southern Right Whale</w:t>
            </w:r>
            <w:r>
              <w:t>)</w:t>
            </w:r>
            <w:r w:rsidRPr="00D701B3">
              <w:t xml:space="preserve"> only occurs in the Southern Hemisphere. In Australian coastal waters, the species is found along the southern coastline</w:t>
            </w:r>
            <w:r>
              <w:t xml:space="preserve"> from Perth to Sydney, and </w:t>
            </w:r>
            <w:r w:rsidRPr="00D701B3">
              <w:t>Tasmania. Calving takes places very close to the Australian coast, generally in waters less than 10 metres deep. Female-calf pairs generally stay within the calving ground for 2-3 months. Females demonstrate calving site fidelity. Estimates suggest that the global population exceeds 12,000 whales, and approximately 3,500 occur in Australia</w:t>
            </w:r>
            <w:r>
              <w:t>. Threats to the species include entanglement, vessel disturbance, whaling, climate change, noise interference, habitat modification, and overharvesting prey</w:t>
            </w:r>
            <w:r w:rsidRPr="00D701B3">
              <w:t xml:space="preserve"> </w:t>
            </w:r>
            <w:sdt>
              <w:sdtPr>
                <w:rPr>
                  <w:color w:val="000000"/>
                </w:rPr>
                <w:tag w:val="MENDELEY_CITATION_v3_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"/>
                <w:id w:val="1221172270"/>
                <w:placeholder>
                  <w:docPart w:val="339B7D746526864D922760336FCFE603"/>
                </w:placeholder>
              </w:sdtPr>
              <w:sdtContent>
                <w:r w:rsidRPr="002F46CE">
                  <w:rPr>
                    <w:color w:val="000000"/>
                  </w:rPr>
                  <w:t>(DSEWPaC, 2012b)</w:t>
                </w:r>
              </w:sdtContent>
            </w:sdt>
            <w:r w:rsidRPr="00D701B3">
              <w:t>.</w:t>
            </w:r>
          </w:p>
          <w:p w14:paraId="52FC8DFE" w14:textId="77777777" w:rsidR="000B173B" w:rsidRDefault="000B173B" w:rsidP="00A15226">
            <w:pPr>
              <w:pStyle w:val="Tabletext"/>
            </w:pPr>
            <w:r>
              <w:t xml:space="preserve">There are two records of the species within the marine environment of the Study Area, approximately 17.7 km away from the Growth Areas at Kirk Point. The species is a marine species with a global distribution and will not be affected by proposed development under the Plan. </w:t>
            </w:r>
          </w:p>
        </w:tc>
      </w:tr>
      <w:tr w:rsidR="000B173B" w14:paraId="712E6BCD" w14:textId="77777777" w:rsidTr="00A15226">
        <w:tc>
          <w:tcPr>
            <w:tcW w:w="1480" w:type="dxa"/>
            <w:tcBorders>
              <w:bottom w:val="single" w:sz="4" w:space="0" w:color="auto"/>
              <w:right w:val="single" w:sz="4" w:space="0" w:color="auto"/>
            </w:tcBorders>
            <w:shd w:val="clear" w:color="auto" w:fill="auto"/>
            <w:vAlign w:val="center"/>
          </w:tcPr>
          <w:p w14:paraId="5E8F9497" w14:textId="77777777" w:rsidR="000B173B" w:rsidRPr="00B83DE7" w:rsidRDefault="000B173B" w:rsidP="00A15226">
            <w:pPr>
              <w:pStyle w:val="Tabletext"/>
              <w:rPr>
                <w:rFonts w:cs="Arial"/>
                <w:i/>
                <w:iCs/>
                <w:szCs w:val="18"/>
              </w:rPr>
            </w:pPr>
            <w:r w:rsidRPr="00B83DE7">
              <w:rPr>
                <w:rFonts w:cs="Arial"/>
                <w:i/>
                <w:iCs/>
                <w:szCs w:val="18"/>
              </w:rPr>
              <w:t>Isoodon obesulus obesulus</w:t>
            </w:r>
          </w:p>
        </w:tc>
        <w:tc>
          <w:tcPr>
            <w:tcW w:w="1353" w:type="dxa"/>
            <w:tcBorders>
              <w:left w:val="single" w:sz="4" w:space="0" w:color="auto"/>
              <w:bottom w:val="single" w:sz="4" w:space="0" w:color="auto"/>
              <w:right w:val="single" w:sz="4" w:space="0" w:color="auto"/>
            </w:tcBorders>
            <w:shd w:val="clear" w:color="auto" w:fill="auto"/>
            <w:vAlign w:val="center"/>
          </w:tcPr>
          <w:p w14:paraId="45443BEC" w14:textId="77777777" w:rsidR="000B173B" w:rsidRPr="00B83DE7" w:rsidRDefault="000B173B" w:rsidP="00A15226">
            <w:pPr>
              <w:pStyle w:val="Tabletext"/>
              <w:rPr>
                <w:rFonts w:cs="Arial"/>
                <w:szCs w:val="18"/>
              </w:rPr>
            </w:pPr>
            <w:r w:rsidRPr="00B83DE7">
              <w:rPr>
                <w:rFonts w:cs="Arial"/>
                <w:szCs w:val="18"/>
              </w:rPr>
              <w:t>Southern Brown Bandicoot</w:t>
            </w:r>
          </w:p>
        </w:tc>
        <w:tc>
          <w:tcPr>
            <w:tcW w:w="1235" w:type="dxa"/>
            <w:tcBorders>
              <w:left w:val="single" w:sz="4" w:space="0" w:color="auto"/>
              <w:bottom w:val="single" w:sz="4" w:space="0" w:color="auto"/>
              <w:right w:val="single" w:sz="4" w:space="0" w:color="auto"/>
            </w:tcBorders>
            <w:shd w:val="clear" w:color="auto" w:fill="auto"/>
            <w:vAlign w:val="center"/>
          </w:tcPr>
          <w:p w14:paraId="65BBA91E" w14:textId="77777777" w:rsidR="000B173B" w:rsidRPr="00B83DE7" w:rsidRDefault="000B173B" w:rsidP="00A15226">
            <w:pPr>
              <w:pStyle w:val="Tabletext"/>
              <w:rPr>
                <w:rFonts w:cs="Arial"/>
                <w:szCs w:val="18"/>
              </w:rPr>
            </w:pPr>
            <w:r w:rsidRPr="00B83DE7">
              <w:rPr>
                <w:rFonts w:cs="Arial"/>
                <w:szCs w:val="18"/>
              </w:rPr>
              <w:t>Endangered</w:t>
            </w:r>
          </w:p>
        </w:tc>
        <w:tc>
          <w:tcPr>
            <w:tcW w:w="1177" w:type="dxa"/>
            <w:tcBorders>
              <w:left w:val="single" w:sz="4" w:space="0" w:color="auto"/>
              <w:bottom w:val="single" w:sz="4" w:space="0" w:color="auto"/>
              <w:right w:val="single" w:sz="4" w:space="0" w:color="auto"/>
            </w:tcBorders>
            <w:shd w:val="clear" w:color="auto" w:fill="auto"/>
            <w:vAlign w:val="center"/>
          </w:tcPr>
          <w:p w14:paraId="6B53E2AD" w14:textId="77777777" w:rsidR="000B173B" w:rsidRPr="00AC3FED" w:rsidRDefault="000B173B" w:rsidP="00A15226">
            <w:pPr>
              <w:pStyle w:val="Tabletext"/>
              <w:jc w:val="center"/>
              <w:rPr>
                <w:highlight w:val="yellow"/>
              </w:rPr>
            </w:pPr>
            <w:r w:rsidRPr="007366A4">
              <w:t>No</w:t>
            </w:r>
          </w:p>
        </w:tc>
        <w:tc>
          <w:tcPr>
            <w:tcW w:w="9072" w:type="dxa"/>
            <w:tcBorders>
              <w:left w:val="single" w:sz="4" w:space="0" w:color="auto"/>
              <w:bottom w:val="single" w:sz="4" w:space="0" w:color="auto"/>
            </w:tcBorders>
            <w:shd w:val="clear" w:color="auto" w:fill="auto"/>
            <w:vAlign w:val="center"/>
          </w:tcPr>
          <w:p w14:paraId="0C2BED94" w14:textId="77777777" w:rsidR="000B173B" w:rsidRDefault="000B173B" w:rsidP="00A15226">
            <w:pPr>
              <w:pStyle w:val="Tabletext"/>
            </w:pPr>
            <w:r w:rsidRPr="009A1146">
              <w:rPr>
                <w:i/>
                <w:iCs/>
              </w:rPr>
              <w:t>Isoodon obesulus obesulus</w:t>
            </w:r>
            <w:r w:rsidRPr="00125798">
              <w:t xml:space="preserve"> (Southern Brown Bandicoot) is a medium size marsupial</w:t>
            </w:r>
            <w:r>
              <w:t xml:space="preserve"> which inhabits </w:t>
            </w:r>
            <w:r w:rsidRPr="00125798">
              <w:t>dense vegetation, wetland fringes and heathland</w:t>
            </w:r>
            <w:r>
              <w:t>. T</w:t>
            </w:r>
            <w:r w:rsidRPr="00125798">
              <w:t>hey are secretive and do not venture far from cover. The species forages in leaf litter for insects, fungi, plant root nodules and bulbs.</w:t>
            </w:r>
            <w:r>
              <w:t xml:space="preserve"> </w:t>
            </w:r>
            <w:r w:rsidRPr="00125798">
              <w:t>The species home ranges are usually between 0.5 - 5 ha</w:t>
            </w:r>
            <w:r>
              <w:t xml:space="preserve">. The species occurs </w:t>
            </w:r>
            <w:r w:rsidRPr="00125798">
              <w:t xml:space="preserve">across NSW, Victoria and SA. Within Victoria, records are clustered </w:t>
            </w:r>
            <w:r>
              <w:t xml:space="preserve">in </w:t>
            </w:r>
            <w:r w:rsidRPr="00125798">
              <w:t>the East Gippsland Lowlands, Gippsland Plain, Otway Plain, Warrnambool Plain, Greater Grampians, Glenelg Plains and Wilsons Promontory bioregions. Populations in Victoria are experiencing decline, including south-east Melbourne, west Gippsland, Mornington Peninsula and Western Port</w:t>
            </w:r>
            <w:r>
              <w:t xml:space="preserve">. </w:t>
            </w:r>
            <w:r w:rsidRPr="00A96187">
              <w:t>All populations appear to be at low or very low densities</w:t>
            </w:r>
            <w:r>
              <w:t xml:space="preserve"> </w:t>
            </w:r>
            <w:sdt>
              <w:sdtPr>
                <w:rPr>
                  <w:color w:val="000000"/>
                </w:rPr>
                <w:tag w:val="MENDELEY_CITATION_v3_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"/>
                <w:id w:val="-545140348"/>
                <w:placeholder>
                  <w:docPart w:val="339B7D746526864D922760336FCFE603"/>
                </w:placeholder>
              </w:sdtPr>
              <w:sdtContent>
                <w:r w:rsidRPr="002F46CE">
                  <w:rPr>
                    <w:color w:val="000000"/>
                  </w:rPr>
                  <w:t>(TSSC, 2016m)</w:t>
                </w:r>
              </w:sdtContent>
            </w:sdt>
            <w:r w:rsidRPr="00A96187">
              <w:t>. In Victoria there is an estimated 14,700 - 264,000 indiv</w:t>
            </w:r>
            <w:r>
              <w:t>id</w:t>
            </w:r>
            <w:r w:rsidRPr="00A96187">
              <w:t>uals in east Gippsland, "very low hundreds" in Western Port and "very low thousands" in betw</w:t>
            </w:r>
            <w:r>
              <w:t>e</w:t>
            </w:r>
            <w:r w:rsidRPr="00A96187">
              <w:t>en Wilsons Promontory and Melbourne</w:t>
            </w:r>
            <w:r>
              <w:t xml:space="preserve"> </w:t>
            </w:r>
            <w:sdt>
              <w:sdtPr>
                <w:rPr>
                  <w:color w:val="000000"/>
                </w:rPr>
                <w:tag w:val="MENDELEY_CITATION_v3_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"/>
                <w:id w:val="1054656419"/>
                <w:placeholder>
                  <w:docPart w:val="339B7D746526864D922760336FCFE603"/>
                </w:placeholder>
              </w:sdtPr>
              <w:sdtContent>
                <w:r w:rsidRPr="002F46CE">
                  <w:rPr>
                    <w:color w:val="000000"/>
                  </w:rPr>
                  <w:t>(TSSC, 2016m)</w:t>
                </w:r>
              </w:sdtContent>
            </w:sdt>
            <w:r w:rsidRPr="00125798">
              <w:t>. The species is highly susceptible to habitat loss and fragmentation with evidence of population loss in cleared areas</w:t>
            </w:r>
            <w:r>
              <w:t xml:space="preserve">. The species is also threatened by predation by foxes and cats, frequent and extensive burning, and habitat degradation </w:t>
            </w:r>
            <w:sdt>
              <w:sdtPr>
                <w:rPr>
                  <w:color w:val="000000"/>
                </w:rPr>
                <w:tag w:val="MENDELEY_CITATION_v3_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"/>
                <w:id w:val="-786277667"/>
                <w:placeholder>
                  <w:docPart w:val="339B7D746526864D922760336FCFE603"/>
                </w:placeholder>
              </w:sdtPr>
              <w:sdtContent>
                <w:r w:rsidRPr="002F46CE">
                  <w:rPr>
                    <w:color w:val="000000"/>
                  </w:rPr>
                  <w:t>(TSSC, 2016m)</w:t>
                </w:r>
              </w:sdtContent>
            </w:sdt>
            <w:r w:rsidRPr="00125798">
              <w:t>.</w:t>
            </w:r>
            <w:r>
              <w:t xml:space="preserve"> </w:t>
            </w:r>
          </w:p>
          <w:p w14:paraId="0C45FB72"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73CBEC20" w14:textId="77777777" w:rsidR="000B173B" w:rsidRPr="00B83DE7" w:rsidRDefault="000B173B" w:rsidP="00A15226">
            <w:pPr>
              <w:pStyle w:val="Tabletext"/>
            </w:pPr>
            <w:r>
              <w:t>There are four records of the species within the Study Area. The closest record occurs 8.6 km to the south of the Growth Areas along the Barwon River riparian corridor. However, the record was made in 1964 and the environment is now highly urbanised. The remaining two records occur further south (between 15 km and 18 km) within an agricultural setting and both observations are also now dated (made in 1971 and 1981). It is unlikely that indirect impacts will affect the species given the lack of recent records within the Study Area and the generally unsuitable nature of the environment.</w:t>
            </w:r>
          </w:p>
        </w:tc>
      </w:tr>
      <w:tr w:rsidR="000B173B" w14:paraId="77401F9D" w14:textId="77777777" w:rsidTr="00A15226">
        <w:tc>
          <w:tcPr>
            <w:tcW w:w="1480" w:type="dxa"/>
            <w:tcBorders>
              <w:bottom w:val="single" w:sz="4" w:space="0" w:color="auto"/>
              <w:right w:val="single" w:sz="4" w:space="0" w:color="auto"/>
            </w:tcBorders>
            <w:shd w:val="clear" w:color="auto" w:fill="auto"/>
            <w:vAlign w:val="center"/>
          </w:tcPr>
          <w:p w14:paraId="1CEA9222" w14:textId="77777777" w:rsidR="000B173B" w:rsidRPr="00B83DE7" w:rsidRDefault="000B173B" w:rsidP="00A15226">
            <w:pPr>
              <w:pStyle w:val="Tabletext"/>
              <w:rPr>
                <w:i/>
                <w:iCs/>
                <w:szCs w:val="18"/>
                <w:highlight w:val="cyan"/>
              </w:rPr>
            </w:pPr>
            <w:r w:rsidRPr="00B83DE7">
              <w:rPr>
                <w:rFonts w:cs="Arial"/>
                <w:i/>
                <w:iCs/>
                <w:szCs w:val="18"/>
              </w:rPr>
              <w:t>Mirounga leonina</w:t>
            </w:r>
          </w:p>
        </w:tc>
        <w:tc>
          <w:tcPr>
            <w:tcW w:w="1353" w:type="dxa"/>
            <w:tcBorders>
              <w:left w:val="single" w:sz="4" w:space="0" w:color="auto"/>
              <w:bottom w:val="single" w:sz="4" w:space="0" w:color="auto"/>
              <w:right w:val="single" w:sz="4" w:space="0" w:color="auto"/>
            </w:tcBorders>
            <w:shd w:val="clear" w:color="auto" w:fill="auto"/>
            <w:vAlign w:val="center"/>
          </w:tcPr>
          <w:p w14:paraId="6DF4E329" w14:textId="77777777" w:rsidR="000B173B" w:rsidRPr="00B83DE7" w:rsidRDefault="000B173B" w:rsidP="00A15226">
            <w:pPr>
              <w:pStyle w:val="Tabletext"/>
              <w:rPr>
                <w:szCs w:val="18"/>
                <w:highlight w:val="cyan"/>
              </w:rPr>
            </w:pPr>
            <w:r w:rsidRPr="00B83DE7">
              <w:rPr>
                <w:rFonts w:cs="Arial"/>
                <w:szCs w:val="18"/>
              </w:rPr>
              <w:t>Southern Elephant Seal</w:t>
            </w:r>
          </w:p>
        </w:tc>
        <w:tc>
          <w:tcPr>
            <w:tcW w:w="1235" w:type="dxa"/>
            <w:tcBorders>
              <w:left w:val="single" w:sz="4" w:space="0" w:color="auto"/>
              <w:bottom w:val="single" w:sz="4" w:space="0" w:color="auto"/>
              <w:right w:val="single" w:sz="4" w:space="0" w:color="auto"/>
            </w:tcBorders>
            <w:shd w:val="clear" w:color="auto" w:fill="auto"/>
            <w:vAlign w:val="center"/>
          </w:tcPr>
          <w:p w14:paraId="66BBA0AA" w14:textId="77777777" w:rsidR="000B173B" w:rsidRPr="00B83DE7" w:rsidRDefault="000B173B" w:rsidP="00A15226">
            <w:pPr>
              <w:pStyle w:val="Tabletext"/>
              <w:rPr>
                <w:szCs w:val="18"/>
                <w:highlight w:val="cyan"/>
              </w:rPr>
            </w:pPr>
            <w:r w:rsidRPr="00B83DE7">
              <w:rPr>
                <w:rFonts w:cs="Arial"/>
                <w:szCs w:val="18"/>
              </w:rPr>
              <w:t xml:space="preserve">Vulnerable </w:t>
            </w:r>
          </w:p>
        </w:tc>
        <w:tc>
          <w:tcPr>
            <w:tcW w:w="1177" w:type="dxa"/>
            <w:tcBorders>
              <w:left w:val="single" w:sz="4" w:space="0" w:color="auto"/>
              <w:bottom w:val="single" w:sz="4" w:space="0" w:color="auto"/>
              <w:right w:val="single" w:sz="4" w:space="0" w:color="auto"/>
            </w:tcBorders>
            <w:shd w:val="clear" w:color="auto" w:fill="auto"/>
            <w:vAlign w:val="center"/>
          </w:tcPr>
          <w:p w14:paraId="470F94DD" w14:textId="77777777" w:rsidR="000B173B" w:rsidRPr="00AC3FED" w:rsidRDefault="000B173B" w:rsidP="00A15226">
            <w:pPr>
              <w:pStyle w:val="Tabletext"/>
              <w:jc w:val="center"/>
              <w:rPr>
                <w:highlight w:val="yellow"/>
              </w:rPr>
            </w:pPr>
            <w:r w:rsidRPr="00D45CB7">
              <w:t>No</w:t>
            </w:r>
          </w:p>
        </w:tc>
        <w:tc>
          <w:tcPr>
            <w:tcW w:w="9072" w:type="dxa"/>
            <w:tcBorders>
              <w:left w:val="single" w:sz="4" w:space="0" w:color="auto"/>
              <w:bottom w:val="single" w:sz="4" w:space="0" w:color="auto"/>
            </w:tcBorders>
            <w:shd w:val="clear" w:color="auto" w:fill="auto"/>
            <w:vAlign w:val="center"/>
          </w:tcPr>
          <w:p w14:paraId="3BCECCD5" w14:textId="77777777" w:rsidR="000B173B" w:rsidRDefault="000B173B" w:rsidP="00A15226">
            <w:pPr>
              <w:pStyle w:val="Tabletext"/>
            </w:pPr>
            <w:r w:rsidRPr="00B83DE7">
              <w:rPr>
                <w:rFonts w:cs="Arial"/>
                <w:i/>
                <w:iCs/>
                <w:szCs w:val="18"/>
              </w:rPr>
              <w:t>Mirounga leonina</w:t>
            </w:r>
            <w:r>
              <w:t xml:space="preserve"> (</w:t>
            </w:r>
            <w:r w:rsidRPr="00B83DE7">
              <w:rPr>
                <w:rFonts w:cs="Arial"/>
                <w:szCs w:val="18"/>
              </w:rPr>
              <w:t>Southern Elephant Seal</w:t>
            </w:r>
            <w:r>
              <w:rPr>
                <w:rFonts w:cs="Arial"/>
                <w:szCs w:val="18"/>
              </w:rPr>
              <w:t xml:space="preserve">) </w:t>
            </w:r>
            <w:r>
              <w:t xml:space="preserve">has a nearly circumpolar Southern Hemisphere distribution, with most breeding colonies occurring on sub-Antarctic islands. In Australia, the species mainly breeds on Macquarie Island and Heard Island. Some individuals disperse north to the mainland Australian coast, and </w:t>
            </w:r>
            <w:r>
              <w:lastRenderedPageBreak/>
              <w:t xml:space="preserve">some disperse south to Antarctica. The species spends most of its life at sea and can disperse thousands of kilometres from breeding colony sites. Global population is estimated at 650,000 in the mid-1990's, and currently classified as Least Concern by IUCN. Threats include climate change, fisheries bycatch and entanglement, prey depletion due to overfishing, and marine pollution </w:t>
            </w:r>
            <w:sdt>
              <w:sdtPr>
                <w:rPr>
                  <w:color w:val="000000"/>
                </w:rPr>
                <w:tag w:val="MENDELEY_CITATION_v3_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"/>
                <w:id w:val="-1821648239"/>
                <w:placeholder>
                  <w:docPart w:val="339B7D746526864D922760336FCFE603"/>
                </w:placeholder>
              </w:sdtPr>
              <w:sdtContent>
                <w:r w:rsidRPr="002F46CE">
                  <w:rPr>
                    <w:color w:val="000000"/>
                  </w:rPr>
                  <w:t>(TSSC, 2016i)</w:t>
                </w:r>
              </w:sdtContent>
            </w:sdt>
            <w:r>
              <w:t>.</w:t>
            </w:r>
          </w:p>
          <w:p w14:paraId="0794EC76" w14:textId="77777777" w:rsidR="000B173B" w:rsidRPr="00EF3131" w:rsidRDefault="000B173B" w:rsidP="00A15226">
            <w:pPr>
              <w:pStyle w:val="Tabletext"/>
              <w:rPr>
                <w:highlight w:val="cyan"/>
              </w:rPr>
            </w:pPr>
            <w:r>
              <w:t xml:space="preserve">There are ten records of the species within the marine environment of the Study Area. </w:t>
            </w:r>
            <w:r w:rsidRPr="00CE6027">
              <w:t>The species is a marine species with a global distribution and will not be affected by development under the Plan.</w:t>
            </w:r>
          </w:p>
        </w:tc>
      </w:tr>
      <w:tr w:rsidR="000B173B" w14:paraId="23D736C3" w14:textId="77777777" w:rsidTr="00A15226">
        <w:tc>
          <w:tcPr>
            <w:tcW w:w="1480" w:type="dxa"/>
            <w:tcBorders>
              <w:bottom w:val="single" w:sz="4" w:space="0" w:color="auto"/>
              <w:right w:val="single" w:sz="4" w:space="0" w:color="auto"/>
            </w:tcBorders>
            <w:shd w:val="clear" w:color="auto" w:fill="auto"/>
            <w:vAlign w:val="center"/>
          </w:tcPr>
          <w:p w14:paraId="7209C570" w14:textId="77777777" w:rsidR="000B173B" w:rsidRPr="00B83DE7" w:rsidRDefault="000B173B" w:rsidP="00A15226">
            <w:pPr>
              <w:pStyle w:val="Tabletext"/>
              <w:rPr>
                <w:i/>
                <w:iCs/>
                <w:szCs w:val="18"/>
                <w:highlight w:val="cyan"/>
              </w:rPr>
            </w:pPr>
            <w:r w:rsidRPr="00B83DE7">
              <w:rPr>
                <w:rFonts w:cs="Arial"/>
                <w:i/>
                <w:iCs/>
                <w:szCs w:val="18"/>
              </w:rPr>
              <w:lastRenderedPageBreak/>
              <w:t xml:space="preserve">Perameles gunnii </w:t>
            </w:r>
          </w:p>
        </w:tc>
        <w:tc>
          <w:tcPr>
            <w:tcW w:w="1353" w:type="dxa"/>
            <w:tcBorders>
              <w:left w:val="single" w:sz="4" w:space="0" w:color="auto"/>
              <w:bottom w:val="single" w:sz="4" w:space="0" w:color="auto"/>
              <w:right w:val="single" w:sz="4" w:space="0" w:color="auto"/>
            </w:tcBorders>
            <w:shd w:val="clear" w:color="auto" w:fill="auto"/>
            <w:vAlign w:val="center"/>
          </w:tcPr>
          <w:p w14:paraId="7BE8602E" w14:textId="77777777" w:rsidR="000B173B" w:rsidRPr="00B83DE7" w:rsidRDefault="000B173B" w:rsidP="00A15226">
            <w:pPr>
              <w:pStyle w:val="Tabletext"/>
              <w:rPr>
                <w:szCs w:val="18"/>
                <w:highlight w:val="cyan"/>
              </w:rPr>
            </w:pPr>
            <w:r w:rsidRPr="00B83DE7">
              <w:rPr>
                <w:rFonts w:cs="Arial"/>
                <w:szCs w:val="18"/>
              </w:rPr>
              <w:t>Eastern Barred Bandicoot (Mainland)</w:t>
            </w:r>
          </w:p>
        </w:tc>
        <w:tc>
          <w:tcPr>
            <w:tcW w:w="1235" w:type="dxa"/>
            <w:tcBorders>
              <w:left w:val="single" w:sz="4" w:space="0" w:color="auto"/>
              <w:bottom w:val="single" w:sz="4" w:space="0" w:color="auto"/>
              <w:right w:val="single" w:sz="4" w:space="0" w:color="auto"/>
            </w:tcBorders>
            <w:shd w:val="clear" w:color="auto" w:fill="auto"/>
            <w:vAlign w:val="center"/>
          </w:tcPr>
          <w:p w14:paraId="1CBEC6B7" w14:textId="77777777" w:rsidR="000B173B" w:rsidRPr="00B83DE7" w:rsidRDefault="000B173B" w:rsidP="00A15226">
            <w:pPr>
              <w:pStyle w:val="Tabletext"/>
              <w:rPr>
                <w:szCs w:val="18"/>
                <w:highlight w:val="cyan"/>
              </w:rPr>
            </w:pPr>
            <w:r w:rsidRPr="00B83DE7">
              <w:rPr>
                <w:rFonts w:cs="Arial"/>
                <w:szCs w:val="18"/>
              </w:rPr>
              <w:t xml:space="preserve">Endangered </w:t>
            </w:r>
          </w:p>
        </w:tc>
        <w:tc>
          <w:tcPr>
            <w:tcW w:w="1177" w:type="dxa"/>
            <w:tcBorders>
              <w:left w:val="single" w:sz="4" w:space="0" w:color="auto"/>
              <w:bottom w:val="single" w:sz="4" w:space="0" w:color="auto"/>
              <w:right w:val="single" w:sz="4" w:space="0" w:color="auto"/>
            </w:tcBorders>
            <w:shd w:val="clear" w:color="auto" w:fill="auto"/>
            <w:vAlign w:val="center"/>
          </w:tcPr>
          <w:p w14:paraId="5DDA13A6" w14:textId="77777777" w:rsidR="000B173B" w:rsidRPr="00AC3FED" w:rsidRDefault="000B173B" w:rsidP="00A15226">
            <w:pPr>
              <w:pStyle w:val="Tabletext"/>
              <w:jc w:val="center"/>
              <w:rPr>
                <w:highlight w:val="yellow"/>
              </w:rPr>
            </w:pPr>
            <w:r w:rsidRPr="00D45CB7">
              <w:t>No</w:t>
            </w:r>
          </w:p>
        </w:tc>
        <w:tc>
          <w:tcPr>
            <w:tcW w:w="9072" w:type="dxa"/>
            <w:tcBorders>
              <w:left w:val="single" w:sz="4" w:space="0" w:color="auto"/>
              <w:bottom w:val="single" w:sz="4" w:space="0" w:color="auto"/>
            </w:tcBorders>
            <w:shd w:val="clear" w:color="auto" w:fill="auto"/>
            <w:vAlign w:val="center"/>
          </w:tcPr>
          <w:p w14:paraId="1230B7DA" w14:textId="77777777" w:rsidR="000B173B" w:rsidRDefault="000B173B" w:rsidP="00A15226">
            <w:pPr>
              <w:pStyle w:val="Tabletext"/>
            </w:pPr>
            <w:r w:rsidRPr="00B83DE7">
              <w:rPr>
                <w:rFonts w:cs="Arial"/>
                <w:i/>
                <w:iCs/>
                <w:szCs w:val="18"/>
              </w:rPr>
              <w:t>Perameles gunnii</w:t>
            </w:r>
            <w:r w:rsidRPr="00540E90">
              <w:t xml:space="preserve"> </w:t>
            </w:r>
            <w:r>
              <w:t>(</w:t>
            </w:r>
            <w:r w:rsidRPr="00540E90">
              <w:t>Eastern Barred Bandicoot</w:t>
            </w:r>
            <w:r>
              <w:t xml:space="preserve"> (</w:t>
            </w:r>
            <w:r w:rsidRPr="00540E90">
              <w:t>Mainland</w:t>
            </w:r>
            <w:r>
              <w:t>)</w:t>
            </w:r>
            <w:r w:rsidRPr="00540E90">
              <w:t xml:space="preserve">) is a ground-dwelling marsupial </w:t>
            </w:r>
            <w:r>
              <w:t>that inhabits</w:t>
            </w:r>
            <w:r w:rsidRPr="00540E90">
              <w:t xml:space="preserve"> native perennial tussock grasslands and grassy woodlands with dense cover for nesting, adjacent to open areas for feeding</w:t>
            </w:r>
            <w:r>
              <w:t xml:space="preserve">. The species is </w:t>
            </w:r>
            <w:r w:rsidRPr="00540E90">
              <w:t xml:space="preserve">endemic to south-eastern Australia. All wild subpopulations have been presumed to be extinct since 2002. However, reintroductions have been attempted at eight sites within its former range and three sites outside of the historical range. These subpopulations are all enclosed by predator-barrier fences. </w:t>
            </w:r>
            <w:r>
              <w:t xml:space="preserve">Threats to the species include invasive species, small population size, habitat loss, disturbance or modification, climate change, and disease </w:t>
            </w:r>
            <w:sdt>
              <w:sdtPr>
                <w:rPr>
                  <w:color w:val="000000"/>
                </w:rPr>
                <w:tag w:val="MENDELEY_CITATION_v3_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"/>
                <w:id w:val="1729026397"/>
                <w:placeholder>
                  <w:docPart w:val="339B7D746526864D922760336FCFE603"/>
                </w:placeholder>
              </w:sdtPr>
              <w:sdtContent>
                <w:r w:rsidRPr="002F46CE">
                  <w:rPr>
                    <w:color w:val="000000"/>
                  </w:rPr>
                  <w:t>(DAWE, 2021b)</w:t>
                </w:r>
              </w:sdtContent>
            </w:sdt>
            <w:r>
              <w:t>.</w:t>
            </w:r>
          </w:p>
          <w:p w14:paraId="7209D2ED"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7DEDB8CB" w14:textId="77777777" w:rsidR="000B173B" w:rsidRPr="00EF3131" w:rsidRDefault="000B173B" w:rsidP="00A15226">
            <w:pPr>
              <w:pStyle w:val="Tabletext"/>
              <w:rPr>
                <w:highlight w:val="cyan"/>
              </w:rPr>
            </w:pPr>
            <w:r w:rsidRPr="00501B18">
              <w:t>The</w:t>
            </w:r>
            <w:r>
              <w:t>re are 36 historical records of the species within the Study Area (the most recent occurring in 1980). It is unlikely that any of these records are extant. One reintroduction site occurs within the Study Area, at Mount Rothwell Biodiversity Interpretation Centre adjacent to You Yangs Regional Park approximately 14 km from the Growth Areas. This population will not be affected indirectly as a result of development under the Plan, given the population is highly managed and located some distance from the Growth Areas.</w:t>
            </w:r>
          </w:p>
        </w:tc>
      </w:tr>
      <w:tr w:rsidR="000B173B" w14:paraId="316E38C1" w14:textId="77777777" w:rsidTr="00A15226">
        <w:tc>
          <w:tcPr>
            <w:tcW w:w="1480" w:type="dxa"/>
            <w:tcBorders>
              <w:bottom w:val="single" w:sz="4" w:space="0" w:color="auto"/>
              <w:right w:val="single" w:sz="4" w:space="0" w:color="auto"/>
            </w:tcBorders>
            <w:shd w:val="clear" w:color="auto" w:fill="auto"/>
            <w:vAlign w:val="center"/>
          </w:tcPr>
          <w:p w14:paraId="125CA9CA" w14:textId="77777777" w:rsidR="000B173B" w:rsidRPr="001640C4" w:rsidRDefault="000B173B" w:rsidP="00A15226">
            <w:pPr>
              <w:pStyle w:val="Tabletext"/>
              <w:rPr>
                <w:rFonts w:cs="Arial"/>
                <w:i/>
                <w:iCs/>
                <w:szCs w:val="18"/>
              </w:rPr>
            </w:pPr>
            <w:r w:rsidRPr="002A4173">
              <w:rPr>
                <w:i/>
                <w:iCs/>
              </w:rPr>
              <w:t>Petaurus australis australis</w:t>
            </w:r>
          </w:p>
        </w:tc>
        <w:tc>
          <w:tcPr>
            <w:tcW w:w="1353" w:type="dxa"/>
            <w:tcBorders>
              <w:left w:val="single" w:sz="4" w:space="0" w:color="auto"/>
              <w:bottom w:val="single" w:sz="4" w:space="0" w:color="auto"/>
              <w:right w:val="single" w:sz="4" w:space="0" w:color="auto"/>
            </w:tcBorders>
            <w:shd w:val="clear" w:color="auto" w:fill="auto"/>
            <w:vAlign w:val="center"/>
          </w:tcPr>
          <w:p w14:paraId="07EA60C9" w14:textId="77777777" w:rsidR="000B173B" w:rsidRPr="00B83DE7" w:rsidRDefault="000B173B" w:rsidP="00A15226">
            <w:pPr>
              <w:pStyle w:val="Tabletext"/>
              <w:rPr>
                <w:rFonts w:cs="Arial"/>
                <w:szCs w:val="18"/>
              </w:rPr>
            </w:pPr>
            <w:r w:rsidRPr="002F2128">
              <w:t>Yellow-bellied glider</w:t>
            </w:r>
          </w:p>
        </w:tc>
        <w:tc>
          <w:tcPr>
            <w:tcW w:w="1235" w:type="dxa"/>
            <w:tcBorders>
              <w:left w:val="single" w:sz="4" w:space="0" w:color="auto"/>
              <w:bottom w:val="single" w:sz="4" w:space="0" w:color="auto"/>
              <w:right w:val="single" w:sz="4" w:space="0" w:color="auto"/>
            </w:tcBorders>
            <w:shd w:val="clear" w:color="auto" w:fill="auto"/>
            <w:vAlign w:val="center"/>
          </w:tcPr>
          <w:p w14:paraId="458FAD8D" w14:textId="77777777" w:rsidR="000B173B" w:rsidRPr="00B83DE7" w:rsidRDefault="000B173B" w:rsidP="00A15226">
            <w:pPr>
              <w:pStyle w:val="Tabletext"/>
              <w:rPr>
                <w:rFonts w:cs="Arial"/>
                <w:szCs w:val="18"/>
              </w:rPr>
            </w:pPr>
            <w:r>
              <w:rPr>
                <w:rFonts w:cs="Arial"/>
                <w:szCs w:val="18"/>
              </w:rPr>
              <w:t>Vulnerable</w:t>
            </w:r>
          </w:p>
        </w:tc>
        <w:tc>
          <w:tcPr>
            <w:tcW w:w="1177" w:type="dxa"/>
            <w:tcBorders>
              <w:left w:val="single" w:sz="4" w:space="0" w:color="auto"/>
              <w:bottom w:val="single" w:sz="4" w:space="0" w:color="auto"/>
              <w:right w:val="single" w:sz="4" w:space="0" w:color="auto"/>
            </w:tcBorders>
            <w:shd w:val="clear" w:color="auto" w:fill="auto"/>
            <w:vAlign w:val="center"/>
          </w:tcPr>
          <w:p w14:paraId="3401CC58" w14:textId="77777777" w:rsidR="000B173B" w:rsidRPr="00D45CB7" w:rsidRDefault="000B173B" w:rsidP="00A15226">
            <w:pPr>
              <w:pStyle w:val="Tabletext"/>
              <w:jc w:val="center"/>
            </w:pPr>
            <w:r>
              <w:t>No</w:t>
            </w:r>
          </w:p>
        </w:tc>
        <w:tc>
          <w:tcPr>
            <w:tcW w:w="9072" w:type="dxa"/>
            <w:tcBorders>
              <w:left w:val="single" w:sz="4" w:space="0" w:color="auto"/>
              <w:bottom w:val="single" w:sz="4" w:space="0" w:color="auto"/>
            </w:tcBorders>
            <w:shd w:val="clear" w:color="auto" w:fill="auto"/>
            <w:vAlign w:val="center"/>
          </w:tcPr>
          <w:p w14:paraId="440928CE" w14:textId="77777777" w:rsidR="000B173B" w:rsidRDefault="000B173B" w:rsidP="00A15226">
            <w:pPr>
              <w:pStyle w:val="Tabletext"/>
              <w:rPr>
                <w:rFonts w:cs="Arial"/>
                <w:szCs w:val="18"/>
              </w:rPr>
            </w:pPr>
            <w:r>
              <w:rPr>
                <w:rFonts w:cs="Arial"/>
                <w:i/>
                <w:iCs/>
                <w:szCs w:val="18"/>
              </w:rPr>
              <w:t xml:space="preserve">Petaurus australis australis </w:t>
            </w:r>
            <w:r>
              <w:rPr>
                <w:rFonts w:cs="Arial"/>
                <w:szCs w:val="18"/>
              </w:rPr>
              <w:t xml:space="preserve">(Yellow-bellied glider) is a medium sized marsupial which has a widespread though patchy distribution from south-eastern Queensland through NSW and VIC to near the SA-VIC border. In Victoria, 75 per cent of the species records are in the eastern portion of the state from the east coast, to Melbourne and Port Phillip bay. The Yellow-bellied glider occurs in eucalypt dominated woodlands and forests, including both dry and wet sclerophyll forests. Habitat suitability is determined by forest age and floristics- the species demonstrates a preference for large patches of mature old growth forest which provide trees for foraging and shelter. There is no reliable estimate of the population size of the species, it is considered likely that there are less than 100,000 mature individuals. Threats to the species include habitat loss, disturbance and modification, climate change, predation and habitat degradation by introduced species, and fencing of agricultural land </w:t>
            </w:r>
            <w:sdt>
              <w:sdtPr>
                <w:rPr>
                  <w:rFonts w:cs="Arial"/>
                  <w:color w:val="000000"/>
                  <w:szCs w:val="18"/>
                </w:rPr>
                <w:tag w:val="MENDELEY_CITATION_v3_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"/>
                <w:id w:val="-304550398"/>
                <w:placeholder>
                  <w:docPart w:val="339B7D746526864D922760336FCFE603"/>
                </w:placeholder>
              </w:sdtPr>
              <w:sdtEndPr>
                <w:rPr>
                  <w:rFonts w:cs="Times New Roman"/>
                  <w:szCs w:val="20"/>
                </w:rPr>
              </w:sdtEndPr>
              <w:sdtContent>
                <w:r w:rsidRPr="002F46CE">
                  <w:rPr>
                    <w:color w:val="000000"/>
                  </w:rPr>
                  <w:t>(DAWE, 2022b)</w:t>
                </w:r>
              </w:sdtContent>
            </w:sdt>
            <w:r>
              <w:rPr>
                <w:rFonts w:cs="Arial"/>
                <w:szCs w:val="18"/>
              </w:rPr>
              <w:t xml:space="preserve">. </w:t>
            </w:r>
          </w:p>
          <w:p w14:paraId="2E6F42B3"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7D5E9B06" w14:textId="77777777" w:rsidR="000B173B" w:rsidRPr="002A4173" w:rsidRDefault="000B173B" w:rsidP="00A15226">
            <w:pPr>
              <w:pStyle w:val="Tabletext"/>
              <w:rPr>
                <w:rFonts w:cs="Arial"/>
                <w:szCs w:val="18"/>
              </w:rPr>
            </w:pPr>
            <w:r w:rsidRPr="009503E7">
              <w:lastRenderedPageBreak/>
              <w:t xml:space="preserve">There are </w:t>
            </w:r>
            <w:r>
              <w:t xml:space="preserve">also </w:t>
            </w:r>
            <w:r w:rsidRPr="009503E7">
              <w:t xml:space="preserve">no existing records within the broader Study Area. Suitable potential habitat is limited within a largely agricultural landscape. Potential indirect impacts to the species are </w:t>
            </w:r>
            <w:r>
              <w:t>therefore</w:t>
            </w:r>
            <w:r w:rsidRPr="009503E7">
              <w:t xml:space="preserve"> considered unlikely.</w:t>
            </w:r>
          </w:p>
        </w:tc>
      </w:tr>
      <w:tr w:rsidR="000B173B" w14:paraId="36CB6BF6" w14:textId="77777777" w:rsidTr="00A15226">
        <w:tc>
          <w:tcPr>
            <w:tcW w:w="1480" w:type="dxa"/>
            <w:tcBorders>
              <w:bottom w:val="single" w:sz="4" w:space="0" w:color="auto"/>
              <w:right w:val="single" w:sz="4" w:space="0" w:color="auto"/>
            </w:tcBorders>
            <w:shd w:val="clear" w:color="auto" w:fill="auto"/>
            <w:vAlign w:val="center"/>
          </w:tcPr>
          <w:p w14:paraId="6C841C74" w14:textId="77777777" w:rsidR="000B173B" w:rsidRPr="00B83DE7" w:rsidRDefault="000B173B" w:rsidP="00A15226">
            <w:pPr>
              <w:pStyle w:val="Tabletext"/>
              <w:rPr>
                <w:rFonts w:cs="Arial"/>
                <w:i/>
                <w:iCs/>
                <w:szCs w:val="18"/>
              </w:rPr>
            </w:pPr>
            <w:r w:rsidRPr="00B83DE7">
              <w:rPr>
                <w:rFonts w:cs="Arial"/>
                <w:i/>
                <w:iCs/>
                <w:szCs w:val="18"/>
              </w:rPr>
              <w:lastRenderedPageBreak/>
              <w:t>Pteropus poliocephalus</w:t>
            </w:r>
          </w:p>
        </w:tc>
        <w:tc>
          <w:tcPr>
            <w:tcW w:w="1353" w:type="dxa"/>
            <w:tcBorders>
              <w:left w:val="single" w:sz="4" w:space="0" w:color="auto"/>
              <w:bottom w:val="single" w:sz="4" w:space="0" w:color="auto"/>
              <w:right w:val="single" w:sz="4" w:space="0" w:color="auto"/>
            </w:tcBorders>
            <w:shd w:val="clear" w:color="auto" w:fill="auto"/>
            <w:vAlign w:val="center"/>
          </w:tcPr>
          <w:p w14:paraId="23446DE7" w14:textId="77777777" w:rsidR="000B173B" w:rsidRPr="00B83DE7" w:rsidRDefault="000B173B" w:rsidP="00A15226">
            <w:pPr>
              <w:pStyle w:val="Tabletext"/>
              <w:rPr>
                <w:rFonts w:cs="Arial"/>
                <w:szCs w:val="18"/>
              </w:rPr>
            </w:pPr>
            <w:r w:rsidRPr="00B83DE7">
              <w:rPr>
                <w:rFonts w:cs="Arial"/>
                <w:szCs w:val="18"/>
              </w:rPr>
              <w:t>Grey-headed Flying-fox</w:t>
            </w:r>
          </w:p>
        </w:tc>
        <w:tc>
          <w:tcPr>
            <w:tcW w:w="1235" w:type="dxa"/>
            <w:tcBorders>
              <w:left w:val="single" w:sz="4" w:space="0" w:color="auto"/>
              <w:bottom w:val="single" w:sz="4" w:space="0" w:color="auto"/>
              <w:right w:val="single" w:sz="4" w:space="0" w:color="auto"/>
            </w:tcBorders>
            <w:shd w:val="clear" w:color="auto" w:fill="auto"/>
            <w:vAlign w:val="center"/>
          </w:tcPr>
          <w:p w14:paraId="1338EFA4" w14:textId="77777777" w:rsidR="000B173B" w:rsidRPr="00B83DE7" w:rsidRDefault="000B173B" w:rsidP="00A15226">
            <w:pPr>
              <w:pStyle w:val="Tabletext"/>
              <w:rPr>
                <w:rFonts w:cs="Arial"/>
                <w:szCs w:val="18"/>
              </w:rPr>
            </w:pPr>
            <w:r w:rsidRPr="00B83DE7">
              <w:rPr>
                <w:rFonts w:cs="Arial"/>
                <w:szCs w:val="18"/>
              </w:rPr>
              <w:t>Vulnerable</w:t>
            </w:r>
          </w:p>
        </w:tc>
        <w:tc>
          <w:tcPr>
            <w:tcW w:w="1177" w:type="dxa"/>
            <w:tcBorders>
              <w:left w:val="single" w:sz="4" w:space="0" w:color="auto"/>
              <w:bottom w:val="single" w:sz="4" w:space="0" w:color="auto"/>
              <w:right w:val="single" w:sz="4" w:space="0" w:color="auto"/>
            </w:tcBorders>
            <w:shd w:val="clear" w:color="auto" w:fill="auto"/>
            <w:vAlign w:val="center"/>
          </w:tcPr>
          <w:p w14:paraId="0A4E2D50" w14:textId="77777777" w:rsidR="000B173B" w:rsidRPr="00AC3FED" w:rsidRDefault="000B173B" w:rsidP="00A15226">
            <w:pPr>
              <w:pStyle w:val="Tabletext"/>
              <w:jc w:val="center"/>
              <w:rPr>
                <w:highlight w:val="yellow"/>
              </w:rPr>
            </w:pPr>
            <w:r w:rsidRPr="007366A4">
              <w:t>No</w:t>
            </w:r>
          </w:p>
        </w:tc>
        <w:tc>
          <w:tcPr>
            <w:tcW w:w="9072" w:type="dxa"/>
            <w:tcBorders>
              <w:left w:val="single" w:sz="4" w:space="0" w:color="auto"/>
              <w:bottom w:val="single" w:sz="4" w:space="0" w:color="auto"/>
            </w:tcBorders>
            <w:shd w:val="clear" w:color="auto" w:fill="auto"/>
            <w:vAlign w:val="center"/>
          </w:tcPr>
          <w:p w14:paraId="742D1B85" w14:textId="77777777" w:rsidR="000B173B" w:rsidRDefault="000B173B" w:rsidP="00A15226">
            <w:pPr>
              <w:pStyle w:val="Tabletext"/>
            </w:pPr>
            <w:r w:rsidRPr="00B83DE7">
              <w:rPr>
                <w:rFonts w:cs="Arial"/>
                <w:i/>
                <w:iCs/>
                <w:szCs w:val="18"/>
              </w:rPr>
              <w:t>Pteropus poliocephalus</w:t>
            </w:r>
            <w:r w:rsidRPr="00540E90">
              <w:t xml:space="preserve"> </w:t>
            </w:r>
            <w:r>
              <w:t>(</w:t>
            </w:r>
            <w:r w:rsidRPr="00540E90">
              <w:t>Grey-headed Flying-fox</w:t>
            </w:r>
            <w:r>
              <w:t>)</w:t>
            </w:r>
            <w:r w:rsidRPr="00540E90">
              <w:t xml:space="preserve"> is a bat endemic to Australia, with a distribution ranging from central QLD to SA extending from the coast inland to the western slopes of NSW. The species is highly mobile and adaptable to changes in habitat</w:t>
            </w:r>
            <w:r>
              <w:t>. It is</w:t>
            </w:r>
            <w:r w:rsidRPr="00540E90">
              <w:t xml:space="preserve"> found in a wide range of vegetation communities, including rainforests, open forests, closed and open woodlands, Melaleuca swamps, and Banksia woodlands. Roost sites are typically located near water sources, such as lakes, rivers, or the coast. The species is considered to be a single mobile po</w:t>
            </w:r>
            <w:r>
              <w:t>p</w:t>
            </w:r>
            <w:r w:rsidRPr="00540E90">
              <w:t>ulation, estimated between 320,000 and 435,000 individuals</w:t>
            </w:r>
            <w:r>
              <w:t xml:space="preserve">. Threats to the species include habitat loss, camp disturbance, mortality in commercial fruit crops, heat stress, entanglement in netting and barb wire fencing, climate change, bushfires, electrocution on power lines, and public misunderstanding of disease </w:t>
            </w:r>
            <w:sdt>
              <w:sdtPr>
                <w:rPr>
                  <w:color w:val="000000"/>
                </w:rPr>
                <w:tag w:val="MENDELEY_CITATION_v3_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"/>
                <w:id w:val="1621493294"/>
                <w:placeholder>
                  <w:docPart w:val="339B7D746526864D922760336FCFE603"/>
                </w:placeholder>
              </w:sdtPr>
              <w:sdtContent>
                <w:r w:rsidRPr="002F46CE">
                  <w:rPr>
                    <w:color w:val="000000"/>
                  </w:rPr>
                  <w:t>(DAWE, 2021f)</w:t>
                </w:r>
              </w:sdtContent>
            </w:sdt>
            <w:r w:rsidRPr="00540E90">
              <w:t>.</w:t>
            </w:r>
          </w:p>
          <w:p w14:paraId="0185A5C5"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7F3531FB" w14:textId="77777777" w:rsidR="000B173B" w:rsidRDefault="000B173B" w:rsidP="00A15226">
            <w:pPr>
              <w:pStyle w:val="Tabletext"/>
            </w:pPr>
            <w:r>
              <w:t>There are 29 records of the species within the Study Area, the closest of which occurs 5.4 km from the Growth Areas. The Geelong, Eastern Park nationally important Grey-headed Flying-Fox camp occurs within the Study Area, approximately 7.7 km from the Growth Areas. Development within the Growth Areas is unlikely to impact the species indirectly or exacerbate any existing threats to the species within the region.</w:t>
            </w:r>
          </w:p>
        </w:tc>
      </w:tr>
      <w:tr w:rsidR="000B173B" w14:paraId="1BC7DEC1" w14:textId="77777777" w:rsidTr="00A15226">
        <w:tc>
          <w:tcPr>
            <w:tcW w:w="1480" w:type="dxa"/>
            <w:tcBorders>
              <w:right w:val="nil"/>
            </w:tcBorders>
            <w:shd w:val="clear" w:color="auto" w:fill="B4C6E7" w:themeFill="accent1" w:themeFillTint="66"/>
            <w:vAlign w:val="center"/>
          </w:tcPr>
          <w:p w14:paraId="34F99276" w14:textId="77777777" w:rsidR="000B173B" w:rsidRPr="00B83DE7" w:rsidRDefault="000B173B" w:rsidP="00A15226">
            <w:pPr>
              <w:pStyle w:val="Tabletext"/>
              <w:rPr>
                <w:rFonts w:cs="Arial"/>
                <w:b/>
                <w:bCs/>
                <w:i/>
                <w:iCs/>
                <w:szCs w:val="18"/>
              </w:rPr>
            </w:pPr>
            <w:r w:rsidRPr="00B83DE7">
              <w:rPr>
                <w:b/>
                <w:bCs/>
                <w:szCs w:val="18"/>
              </w:rPr>
              <w:t>Birds</w:t>
            </w:r>
          </w:p>
        </w:tc>
        <w:tc>
          <w:tcPr>
            <w:tcW w:w="1353" w:type="dxa"/>
            <w:tcBorders>
              <w:left w:val="nil"/>
              <w:right w:val="nil"/>
            </w:tcBorders>
            <w:shd w:val="clear" w:color="auto" w:fill="B4C6E7" w:themeFill="accent1" w:themeFillTint="66"/>
            <w:vAlign w:val="center"/>
          </w:tcPr>
          <w:p w14:paraId="65748764" w14:textId="77777777" w:rsidR="000B173B" w:rsidRPr="00B83DE7" w:rsidRDefault="000B173B" w:rsidP="00A15226">
            <w:pPr>
              <w:pStyle w:val="Tabletext"/>
              <w:rPr>
                <w:rFonts w:cs="Arial"/>
                <w:szCs w:val="18"/>
              </w:rPr>
            </w:pPr>
          </w:p>
        </w:tc>
        <w:tc>
          <w:tcPr>
            <w:tcW w:w="1235" w:type="dxa"/>
            <w:tcBorders>
              <w:left w:val="nil"/>
              <w:right w:val="nil"/>
            </w:tcBorders>
            <w:shd w:val="clear" w:color="auto" w:fill="B4C6E7" w:themeFill="accent1" w:themeFillTint="66"/>
            <w:vAlign w:val="center"/>
          </w:tcPr>
          <w:p w14:paraId="427AEEF4" w14:textId="77777777" w:rsidR="000B173B" w:rsidRPr="00B83DE7" w:rsidRDefault="000B173B" w:rsidP="00A15226">
            <w:pPr>
              <w:pStyle w:val="Tabletext"/>
              <w:rPr>
                <w:rFonts w:cs="Arial"/>
                <w:szCs w:val="18"/>
              </w:rPr>
            </w:pPr>
          </w:p>
        </w:tc>
        <w:tc>
          <w:tcPr>
            <w:tcW w:w="1177" w:type="dxa"/>
            <w:tcBorders>
              <w:left w:val="nil"/>
              <w:right w:val="nil"/>
            </w:tcBorders>
            <w:shd w:val="clear" w:color="auto" w:fill="B4C6E7" w:themeFill="accent1" w:themeFillTint="66"/>
            <w:vAlign w:val="center"/>
          </w:tcPr>
          <w:p w14:paraId="012DE880" w14:textId="77777777" w:rsidR="000B173B" w:rsidRPr="00AC3FED" w:rsidRDefault="000B173B" w:rsidP="00A15226">
            <w:pPr>
              <w:pStyle w:val="Tabletext"/>
              <w:jc w:val="center"/>
              <w:rPr>
                <w:highlight w:val="yellow"/>
              </w:rPr>
            </w:pPr>
          </w:p>
        </w:tc>
        <w:tc>
          <w:tcPr>
            <w:tcW w:w="9072" w:type="dxa"/>
            <w:tcBorders>
              <w:left w:val="nil"/>
            </w:tcBorders>
            <w:shd w:val="clear" w:color="auto" w:fill="B4C6E7" w:themeFill="accent1" w:themeFillTint="66"/>
            <w:vAlign w:val="center"/>
          </w:tcPr>
          <w:p w14:paraId="593D3284" w14:textId="77777777" w:rsidR="000B173B" w:rsidRDefault="000B173B" w:rsidP="00A15226">
            <w:pPr>
              <w:pStyle w:val="Tabletext"/>
            </w:pPr>
          </w:p>
        </w:tc>
      </w:tr>
      <w:tr w:rsidR="000B173B" w14:paraId="5965AB2D" w14:textId="77777777" w:rsidTr="00A15226">
        <w:tc>
          <w:tcPr>
            <w:tcW w:w="1480" w:type="dxa"/>
            <w:tcBorders>
              <w:bottom w:val="single" w:sz="4" w:space="0" w:color="auto"/>
            </w:tcBorders>
            <w:vAlign w:val="center"/>
          </w:tcPr>
          <w:p w14:paraId="5DB94729" w14:textId="77777777" w:rsidR="000B173B" w:rsidRPr="00B83DE7" w:rsidRDefault="000B173B" w:rsidP="00A15226">
            <w:pPr>
              <w:pStyle w:val="Tabletext"/>
              <w:rPr>
                <w:rFonts w:cs="Arial"/>
                <w:i/>
                <w:iCs/>
                <w:szCs w:val="18"/>
              </w:rPr>
            </w:pPr>
            <w:r w:rsidRPr="00B83DE7">
              <w:rPr>
                <w:rFonts w:cs="Arial"/>
                <w:i/>
                <w:iCs/>
                <w:szCs w:val="18"/>
              </w:rPr>
              <w:t>Anthochaera phrygia</w:t>
            </w:r>
          </w:p>
        </w:tc>
        <w:tc>
          <w:tcPr>
            <w:tcW w:w="1353" w:type="dxa"/>
            <w:tcBorders>
              <w:bottom w:val="single" w:sz="4" w:space="0" w:color="auto"/>
            </w:tcBorders>
            <w:vAlign w:val="center"/>
          </w:tcPr>
          <w:p w14:paraId="27EBE0D0" w14:textId="77777777" w:rsidR="000B173B" w:rsidRPr="00B83DE7" w:rsidRDefault="000B173B" w:rsidP="00A15226">
            <w:pPr>
              <w:pStyle w:val="Tabletext"/>
              <w:rPr>
                <w:rFonts w:cs="Arial"/>
                <w:szCs w:val="18"/>
              </w:rPr>
            </w:pPr>
            <w:r w:rsidRPr="00B83DE7">
              <w:rPr>
                <w:rFonts w:cs="Arial"/>
                <w:szCs w:val="18"/>
              </w:rPr>
              <w:t>Regent Honeyeater</w:t>
            </w:r>
          </w:p>
        </w:tc>
        <w:tc>
          <w:tcPr>
            <w:tcW w:w="1235" w:type="dxa"/>
            <w:tcBorders>
              <w:bottom w:val="single" w:sz="4" w:space="0" w:color="auto"/>
            </w:tcBorders>
            <w:vAlign w:val="center"/>
          </w:tcPr>
          <w:p w14:paraId="1F1C5B24" w14:textId="77777777" w:rsidR="000B173B" w:rsidRPr="00B83DE7" w:rsidRDefault="000B173B" w:rsidP="00A15226">
            <w:pPr>
              <w:pStyle w:val="Tabletext"/>
              <w:rPr>
                <w:rFonts w:cs="Arial"/>
                <w:szCs w:val="18"/>
              </w:rPr>
            </w:pPr>
            <w:r w:rsidRPr="00B83DE7">
              <w:rPr>
                <w:rFonts w:cs="Arial"/>
                <w:szCs w:val="18"/>
              </w:rPr>
              <w:t xml:space="preserve">Critically Endangered </w:t>
            </w:r>
          </w:p>
        </w:tc>
        <w:tc>
          <w:tcPr>
            <w:tcW w:w="1177" w:type="dxa"/>
            <w:tcBorders>
              <w:bottom w:val="single" w:sz="4" w:space="0" w:color="auto"/>
            </w:tcBorders>
            <w:vAlign w:val="center"/>
          </w:tcPr>
          <w:p w14:paraId="1DE123CF" w14:textId="77777777" w:rsidR="000B173B" w:rsidRPr="00AC3FED" w:rsidRDefault="000B173B" w:rsidP="00A15226">
            <w:pPr>
              <w:pStyle w:val="Tabletext"/>
              <w:jc w:val="center"/>
              <w:rPr>
                <w:highlight w:val="yellow"/>
              </w:rPr>
            </w:pPr>
            <w:r w:rsidRPr="007366A4">
              <w:t>No</w:t>
            </w:r>
          </w:p>
        </w:tc>
        <w:tc>
          <w:tcPr>
            <w:tcW w:w="9072" w:type="dxa"/>
            <w:tcBorders>
              <w:bottom w:val="single" w:sz="4" w:space="0" w:color="auto"/>
            </w:tcBorders>
            <w:vAlign w:val="center"/>
          </w:tcPr>
          <w:p w14:paraId="61278AB9" w14:textId="77777777" w:rsidR="000B173B" w:rsidRDefault="000B173B" w:rsidP="00A15226">
            <w:pPr>
              <w:pStyle w:val="Tabletext"/>
            </w:pPr>
            <w:r w:rsidRPr="00B83DE7">
              <w:rPr>
                <w:rFonts w:cs="Arial"/>
                <w:i/>
                <w:iCs/>
                <w:szCs w:val="18"/>
              </w:rPr>
              <w:t>Anthochaera phrygia</w:t>
            </w:r>
            <w:r w:rsidRPr="00540E90">
              <w:t xml:space="preserve"> </w:t>
            </w:r>
            <w:r>
              <w:t>(</w:t>
            </w:r>
            <w:r w:rsidRPr="00540E90">
              <w:t>Regent Honeyeater</w:t>
            </w:r>
            <w:r>
              <w:t>)</w:t>
            </w:r>
            <w:r w:rsidRPr="00540E90">
              <w:t xml:space="preserve"> is a bird </w:t>
            </w:r>
            <w:r>
              <w:t>which generally inhabits</w:t>
            </w:r>
            <w:r w:rsidRPr="00540E90">
              <w:t xml:space="preserve"> box-ironbark eucalypt woodland and dry sclerophyll forest as well as riparian vegetation. Its diet consists of nectar, invertebrates and their exudates, and occasionally fruit. Breeding territories include the nest-tree and surrounding feeding areas with nesting occurring in the canopy of mature trees with rough bark.</w:t>
            </w:r>
            <w:r>
              <w:t xml:space="preserve"> It is </w:t>
            </w:r>
            <w:r w:rsidRPr="00540E90">
              <w:t>endemic to mainland south-eastern Australia with a distribution that extends from south-east QLD to central VIC. The species primarily occurs along the inland slopes of the Great Dividing Range, in areas of low to moderate relief with moist, fertile soils. There are four known key breeding areas: three in NSW and one in VIC. The species comprises a single population, estimated at 1500 individuals in 2010</w:t>
            </w:r>
            <w:r>
              <w:t>. Threats include small population size, habitat loss and fragmentation, habitat degradation, and competition with other nectivorous birds and honeybees</w:t>
            </w:r>
            <w:r w:rsidRPr="00540E90">
              <w:t xml:space="preserve"> </w:t>
            </w:r>
            <w:sdt>
              <w:sdtPr>
                <w:rPr>
                  <w:color w:val="000000"/>
                </w:rPr>
                <w:tag w:val="MENDELEY_CITATION_v3_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"/>
                <w:id w:val="115794323"/>
                <w:placeholder>
                  <w:docPart w:val="339B7D746526864D922760336FCFE603"/>
                </w:placeholder>
              </w:sdtPr>
              <w:sdtContent>
                <w:r w:rsidRPr="002F46CE">
                  <w:rPr>
                    <w:color w:val="000000"/>
                  </w:rPr>
                  <w:t>(DoE, 2016)</w:t>
                </w:r>
              </w:sdtContent>
            </w:sdt>
            <w:r>
              <w:t>.</w:t>
            </w:r>
          </w:p>
          <w:p w14:paraId="4501C2D5"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6F9C473C" w14:textId="77777777" w:rsidR="000B173B" w:rsidRDefault="000B173B" w:rsidP="00A15226">
            <w:pPr>
              <w:pStyle w:val="Tabletext"/>
            </w:pPr>
            <w:r>
              <w:t xml:space="preserve">There are five historical records of the species (dated 1895 – 1993) within the Study Area. </w:t>
            </w:r>
            <w:r w:rsidRPr="0081405F">
              <w:t xml:space="preserve">Potential indirect impacts from development, such as those associated with </w:t>
            </w:r>
            <w:r>
              <w:t>weeds</w:t>
            </w:r>
            <w:r w:rsidRPr="0081405F">
              <w:t xml:space="preserve">, are unlikely to </w:t>
            </w:r>
            <w:r>
              <w:t>affect</w:t>
            </w:r>
            <w:r w:rsidRPr="0081405F">
              <w:t xml:space="preserve"> the species </w:t>
            </w:r>
            <w:r>
              <w:t>– especially given the lack of recent records and limited suitable habitat for the species.</w:t>
            </w:r>
          </w:p>
        </w:tc>
      </w:tr>
      <w:tr w:rsidR="000B173B" w14:paraId="4208C31D" w14:textId="77777777" w:rsidTr="00A15226">
        <w:tc>
          <w:tcPr>
            <w:tcW w:w="1480" w:type="dxa"/>
            <w:tcBorders>
              <w:bottom w:val="single" w:sz="4" w:space="0" w:color="auto"/>
            </w:tcBorders>
            <w:vAlign w:val="center"/>
          </w:tcPr>
          <w:p w14:paraId="2C64CA38" w14:textId="77777777" w:rsidR="000B173B" w:rsidRPr="00B83DE7" w:rsidRDefault="000B173B" w:rsidP="00A15226">
            <w:pPr>
              <w:pStyle w:val="Tabletext"/>
              <w:rPr>
                <w:rFonts w:cs="Arial"/>
                <w:i/>
                <w:iCs/>
                <w:szCs w:val="18"/>
              </w:rPr>
            </w:pPr>
            <w:r w:rsidRPr="00B83DE7">
              <w:rPr>
                <w:rFonts w:cs="Arial"/>
                <w:i/>
                <w:iCs/>
                <w:szCs w:val="18"/>
              </w:rPr>
              <w:lastRenderedPageBreak/>
              <w:t>Botaurus poiciloptilus</w:t>
            </w:r>
          </w:p>
        </w:tc>
        <w:tc>
          <w:tcPr>
            <w:tcW w:w="1353" w:type="dxa"/>
            <w:tcBorders>
              <w:bottom w:val="single" w:sz="4" w:space="0" w:color="auto"/>
            </w:tcBorders>
            <w:vAlign w:val="center"/>
          </w:tcPr>
          <w:p w14:paraId="31AE9D43" w14:textId="77777777" w:rsidR="000B173B" w:rsidRPr="00B83DE7" w:rsidRDefault="000B173B" w:rsidP="00A15226">
            <w:pPr>
              <w:pStyle w:val="Tabletext"/>
              <w:rPr>
                <w:rFonts w:cs="Arial"/>
                <w:szCs w:val="18"/>
              </w:rPr>
            </w:pPr>
            <w:r w:rsidRPr="00B83DE7">
              <w:rPr>
                <w:rFonts w:cs="Arial"/>
                <w:szCs w:val="18"/>
              </w:rPr>
              <w:t>Australasian Bittern</w:t>
            </w:r>
          </w:p>
        </w:tc>
        <w:tc>
          <w:tcPr>
            <w:tcW w:w="1235" w:type="dxa"/>
            <w:tcBorders>
              <w:bottom w:val="single" w:sz="4" w:space="0" w:color="auto"/>
            </w:tcBorders>
            <w:vAlign w:val="center"/>
          </w:tcPr>
          <w:p w14:paraId="12D3E1CB" w14:textId="77777777" w:rsidR="000B173B" w:rsidRPr="00B83DE7" w:rsidRDefault="000B173B" w:rsidP="00A15226">
            <w:pPr>
              <w:pStyle w:val="Tabletext"/>
              <w:rPr>
                <w:rFonts w:cs="Arial"/>
                <w:szCs w:val="18"/>
              </w:rPr>
            </w:pPr>
            <w:r w:rsidRPr="00B83DE7">
              <w:rPr>
                <w:rFonts w:cs="Arial"/>
                <w:szCs w:val="18"/>
              </w:rPr>
              <w:t xml:space="preserve">Endangered </w:t>
            </w:r>
          </w:p>
        </w:tc>
        <w:tc>
          <w:tcPr>
            <w:tcW w:w="1177" w:type="dxa"/>
            <w:tcBorders>
              <w:bottom w:val="single" w:sz="4" w:space="0" w:color="auto"/>
            </w:tcBorders>
            <w:vAlign w:val="center"/>
          </w:tcPr>
          <w:p w14:paraId="6589E30A" w14:textId="77777777" w:rsidR="000B173B" w:rsidRPr="00AC3FED" w:rsidRDefault="000B173B" w:rsidP="00A15226">
            <w:pPr>
              <w:pStyle w:val="Tabletext"/>
              <w:jc w:val="center"/>
              <w:rPr>
                <w:highlight w:val="yellow"/>
              </w:rPr>
            </w:pPr>
            <w:r w:rsidRPr="00BC6F8D">
              <w:t>Yes</w:t>
            </w:r>
          </w:p>
        </w:tc>
        <w:tc>
          <w:tcPr>
            <w:tcW w:w="9072" w:type="dxa"/>
            <w:tcBorders>
              <w:bottom w:val="single" w:sz="4" w:space="0" w:color="auto"/>
            </w:tcBorders>
            <w:vAlign w:val="center"/>
          </w:tcPr>
          <w:p w14:paraId="75D7DC9B" w14:textId="77777777" w:rsidR="000B173B" w:rsidRDefault="000B173B" w:rsidP="00A15226">
            <w:pPr>
              <w:pStyle w:val="Tabletext"/>
            </w:pPr>
            <w:r w:rsidRPr="00B83DE7">
              <w:rPr>
                <w:rFonts w:cs="Arial"/>
                <w:i/>
                <w:iCs/>
                <w:szCs w:val="18"/>
              </w:rPr>
              <w:t>Botaurus poiciloptilus</w:t>
            </w:r>
            <w:r w:rsidRPr="00540E90">
              <w:t xml:space="preserve"> </w:t>
            </w:r>
            <w:r>
              <w:t>(</w:t>
            </w:r>
            <w:r w:rsidRPr="00540E90">
              <w:t>Australasian Bittern</w:t>
            </w:r>
            <w:r>
              <w:t>)</w:t>
            </w:r>
            <w:r w:rsidRPr="00540E90">
              <w:t xml:space="preserve"> </w:t>
            </w:r>
            <w:r>
              <w:t xml:space="preserve">is a bird which occurs mainly in freshwater wetlands, and more rarely in estuaries or tidal environments. Wetlands with tall, dense vegetation are favoured. Foraging occurs in still, shallow water, or from vegetation platforms over deeper water </w:t>
            </w:r>
            <w:sdt>
              <w:sdtPr>
                <w:rPr>
                  <w:color w:val="000000"/>
                </w:rPr>
                <w:tag w:val="MENDELEY_CITATION_v3_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"/>
                <w:id w:val="-707487888"/>
                <w:placeholder>
                  <w:docPart w:val="339B7D746526864D922760336FCFE603"/>
                </w:placeholder>
              </w:sdtPr>
              <w:sdtContent>
                <w:r w:rsidRPr="002F46CE">
                  <w:rPr>
                    <w:color w:val="000000"/>
                  </w:rPr>
                  <w:t>(TSSC, 2011a)</w:t>
                </w:r>
              </w:sdtContent>
            </w:sdt>
            <w:r>
              <w:t>.</w:t>
            </w:r>
            <w:r w:rsidRPr="00540E90">
              <w:t xml:space="preserve"> Nesting occurs in deep, densely vegetated freshwater swamps and pools</w:t>
            </w:r>
            <w:r>
              <w:t xml:space="preserve"> </w:t>
            </w:r>
            <w:sdt>
              <w:sdtPr>
                <w:rPr>
                  <w:color w:val="000000"/>
                </w:rPr>
                <w:tag w:val="MENDELEY_CITATION_v3_eyJjaXRhdGlvbklEIjoiTUVOREVMRVlfQ0lUQVRJT05fMTVkMjMyOTYtNWNhYi00YzcxLWEwMmQtYWY3Mzc0ZmM5MTQz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2090890154"/>
                <w:placeholder>
                  <w:docPart w:val="339B7D746526864D922760336FCFE603"/>
                </w:placeholder>
              </w:sdtPr>
              <w:sdtContent>
                <w:r w:rsidRPr="002F46CE">
                  <w:rPr>
                    <w:color w:val="000000"/>
                  </w:rPr>
                  <w:t>(TSSC, 2019a)</w:t>
                </w:r>
              </w:sdtContent>
            </w:sdt>
            <w:r w:rsidRPr="000172F8">
              <w:t>.</w:t>
            </w:r>
          </w:p>
          <w:p w14:paraId="75372EAD" w14:textId="77777777" w:rsidR="000B173B" w:rsidRDefault="000B173B" w:rsidP="00A15226">
            <w:pPr>
              <w:pStyle w:val="Tabletext"/>
            </w:pPr>
            <w:r w:rsidRPr="00080D02">
              <w:t>The Australasian Bittern occurs in New Zealand, New Caledonia, and Australia. In Australia the species occurs in south-eastern Australia</w:t>
            </w:r>
            <w:r>
              <w:t xml:space="preserve">, including southern Queensland, NSW, Victoria, SA, and Tasmania. It also occurs in the south-west of WA. In Victoria, the species is recorded mostly in the southern coastal areas and in the Murray River region of central northern Victoria </w:t>
            </w:r>
            <w:sdt>
              <w:sdtPr>
                <w:rPr>
                  <w:color w:val="000000"/>
                </w:rPr>
                <w:tag w:val="MENDELEY_CITATION_v3_eyJjaXRhdGlvbklEIjoiTUVOREVMRVlfQ0lUQVRJT05fMTk0NWRkZTYtODc1Mi00MDk4LTliNWYtOTk2MWUzYzg3ZTQ4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154414275"/>
                <w:placeholder>
                  <w:docPart w:val="339B7D746526864D922760336FCFE603"/>
                </w:placeholder>
              </w:sdtPr>
              <w:sdtContent>
                <w:r w:rsidRPr="002F46CE">
                  <w:rPr>
                    <w:color w:val="000000"/>
                  </w:rPr>
                  <w:t>(TSSC, 2019a)</w:t>
                </w:r>
              </w:sdtContent>
            </w:sdt>
            <w:r w:rsidRPr="000172F8">
              <w:t>.</w:t>
            </w:r>
          </w:p>
          <w:p w14:paraId="6106932A" w14:textId="77777777" w:rsidR="000B173B" w:rsidRDefault="000B173B" w:rsidP="00A15226">
            <w:pPr>
              <w:pStyle w:val="Tabletext"/>
            </w:pPr>
            <w:r w:rsidRPr="00080D02">
              <w:t xml:space="preserve">The Australasian Bittern occurs as two sub-populations: one in south-eastern Australia and the other in south-western Australia </w:t>
            </w:r>
            <w:sdt>
              <w:sdtPr>
                <w:rPr>
                  <w:color w:val="000000"/>
                </w:rPr>
                <w:tag w:val="MENDELEY_CITATION_v3_eyJjaXRhdGlvbklEIjoiTUVOREVMRVlfQ0lUQVRJT05fOWFjMTQ3NTMtNzNmOC00ODQxLWIwYjQtMTVjZTA0NmJjNmM2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495562153"/>
                <w:placeholder>
                  <w:docPart w:val="339B7D746526864D922760336FCFE603"/>
                </w:placeholder>
              </w:sdtPr>
              <w:sdtContent>
                <w:r w:rsidRPr="002F46CE">
                  <w:rPr>
                    <w:color w:val="000000"/>
                  </w:rPr>
                  <w:t>(TSSC, 2019a)</w:t>
                </w:r>
              </w:sdtContent>
            </w:sdt>
            <w:r w:rsidRPr="00080D02">
              <w:t>.</w:t>
            </w:r>
            <w:r>
              <w:t xml:space="preserve"> In 2011, the</w:t>
            </w:r>
            <w:r w:rsidRPr="00080D02">
              <w:t xml:space="preserve"> total Australian population </w:t>
            </w:r>
            <w:r>
              <w:t>was</w:t>
            </w:r>
            <w:r w:rsidRPr="00080D02">
              <w:t xml:space="preserve"> estimated at 1,000 mature individuals </w:t>
            </w:r>
            <w:sdt>
              <w:sdtPr>
                <w:rPr>
                  <w:color w:val="000000"/>
                </w:rPr>
                <w:tag w:val="MENDELEY_CITATION_v3_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"/>
                <w:id w:val="-820342321"/>
                <w:placeholder>
                  <w:docPart w:val="339B7D746526864D922760336FCFE603"/>
                </w:placeholder>
              </w:sdtPr>
              <w:sdtContent>
                <w:r w:rsidRPr="002F46CE">
                  <w:rPr>
                    <w:color w:val="000000"/>
                  </w:rPr>
                  <w:t>(Garnett, Szabo and Dutson, 2011)</w:t>
                </w:r>
              </w:sdtContent>
            </w:sdt>
          </w:p>
          <w:p w14:paraId="544896E3" w14:textId="77777777" w:rsidR="000B173B" w:rsidRDefault="000B173B" w:rsidP="00A15226">
            <w:pPr>
              <w:pStyle w:val="Tabletext"/>
            </w:pPr>
            <w:r>
              <w:t xml:space="preserve">Threats to the species include habitat loss, habitat degradation, climate change, inappropriate placement of infrastructure (such as fence lines and powerlines), water quality impacts, disturbance, and introduced animals </w:t>
            </w:r>
            <w:sdt>
              <w:sdtPr>
                <w:rPr>
                  <w:color w:val="000000"/>
                </w:rPr>
                <w:tag w:val="MENDELEY_CITATION_v3_eyJjaXRhdGlvbklEIjoiTUVOREVMRVlfQ0lUQVRJT05fMTI3OGY0NWMtNDU3ZC00Y2UwLWE4ODEtMzg0Y2E2ZmY4NDhi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345243134"/>
                <w:placeholder>
                  <w:docPart w:val="339B7D746526864D922760336FCFE603"/>
                </w:placeholder>
              </w:sdtPr>
              <w:sdtContent>
                <w:r w:rsidRPr="002F46CE">
                  <w:rPr>
                    <w:color w:val="000000"/>
                  </w:rPr>
                  <w:t>(TSSC, 2019a)</w:t>
                </w:r>
              </w:sdtContent>
            </w:sdt>
            <w:r w:rsidRPr="00540E90">
              <w:t>.</w:t>
            </w:r>
          </w:p>
          <w:p w14:paraId="7FD15A21"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1D7B91C3" w14:textId="77777777" w:rsidR="000B173B" w:rsidRPr="00AA1973" w:rsidRDefault="000B173B" w:rsidP="00A15226">
            <w:pPr>
              <w:pStyle w:val="Tabletext"/>
            </w:pPr>
            <w:r>
              <w:t xml:space="preserve">There are 179 records of the species, with numerous records occurring downstream in the Lake Connewarre Complex. </w:t>
            </w:r>
            <w:r w:rsidRPr="00AA1973">
              <w:t xml:space="preserve">The </w:t>
            </w:r>
            <w:r>
              <w:t>Australasian Bittern</w:t>
            </w:r>
            <w:r w:rsidRPr="00AA1973">
              <w:t xml:space="preserve"> is identified as part of the Ramsar listing criteria for </w:t>
            </w:r>
            <w:r>
              <w:t>this</w:t>
            </w:r>
            <w:r w:rsidRPr="00AA1973">
              <w:t xml:space="preserve"> </w:t>
            </w:r>
            <w:r>
              <w:t>s</w:t>
            </w:r>
            <w:r w:rsidRPr="00AA1973">
              <w:t>ite</w:t>
            </w:r>
            <w:r>
              <w:t xml:space="preserve"> </w:t>
            </w:r>
            <w:sdt>
              <w:sdtPr>
                <w:rPr>
                  <w:color w:val="000000"/>
                </w:rPr>
                <w:tag w:val="MENDELEY_CITATION_v3_eyJjaXRhdGlvbklEIjoiTUVOREVMRVlfQ0lUQVRJT05fNjg2NjM3ZjgtMDk5ZS00NDJjLWI3YWEtZmZlMmUxN2YzOGNi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480809954"/>
                <w:placeholder>
                  <w:docPart w:val="339B7D746526864D922760336FCFE603"/>
                </w:placeholder>
              </w:sdtPr>
              <w:sdtContent>
                <w:r w:rsidRPr="002F46CE">
                  <w:rPr>
                    <w:color w:val="000000"/>
                  </w:rPr>
                  <w:t>(DELWP, 2020)</w:t>
                </w:r>
              </w:sdtContent>
            </w:sdt>
            <w:r w:rsidRPr="00AA1973">
              <w:t xml:space="preserve">. </w:t>
            </w:r>
            <w:r>
              <w:t>Multiple records also occur along the coastline near Port Wilson.</w:t>
            </w:r>
          </w:p>
          <w:p w14:paraId="28939D5D" w14:textId="77777777" w:rsidR="000B173B" w:rsidRDefault="000B173B" w:rsidP="00A15226">
            <w:pPr>
              <w:pStyle w:val="Tabletext"/>
            </w:pPr>
            <w:r w:rsidRPr="00596550">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Australasian Bittern.</w:t>
            </w:r>
          </w:p>
        </w:tc>
      </w:tr>
      <w:tr w:rsidR="000B173B" w14:paraId="4150A3CD" w14:textId="77777777" w:rsidTr="00A15226">
        <w:tc>
          <w:tcPr>
            <w:tcW w:w="1480" w:type="dxa"/>
            <w:tcBorders>
              <w:bottom w:val="single" w:sz="4" w:space="0" w:color="auto"/>
            </w:tcBorders>
            <w:vAlign w:val="center"/>
          </w:tcPr>
          <w:p w14:paraId="65321091" w14:textId="77777777" w:rsidR="000B173B" w:rsidRPr="00B83DE7" w:rsidRDefault="000B173B" w:rsidP="00A15226">
            <w:pPr>
              <w:pStyle w:val="Tabletext"/>
              <w:rPr>
                <w:rFonts w:cs="Arial"/>
                <w:i/>
                <w:iCs/>
                <w:szCs w:val="18"/>
              </w:rPr>
            </w:pPr>
            <w:r w:rsidRPr="00B83DE7">
              <w:rPr>
                <w:rFonts w:cs="Arial"/>
                <w:i/>
                <w:iCs/>
                <w:szCs w:val="18"/>
              </w:rPr>
              <w:t>Calidris canutus</w:t>
            </w:r>
          </w:p>
        </w:tc>
        <w:tc>
          <w:tcPr>
            <w:tcW w:w="1353" w:type="dxa"/>
            <w:tcBorders>
              <w:bottom w:val="single" w:sz="4" w:space="0" w:color="auto"/>
            </w:tcBorders>
            <w:vAlign w:val="center"/>
          </w:tcPr>
          <w:p w14:paraId="4CB26D22" w14:textId="77777777" w:rsidR="000B173B" w:rsidRPr="00B83DE7" w:rsidRDefault="000B173B" w:rsidP="00A15226">
            <w:pPr>
              <w:pStyle w:val="Tabletext"/>
              <w:rPr>
                <w:rFonts w:cs="Arial"/>
                <w:szCs w:val="18"/>
              </w:rPr>
            </w:pPr>
            <w:r w:rsidRPr="00B83DE7">
              <w:rPr>
                <w:rFonts w:cs="Arial"/>
                <w:szCs w:val="18"/>
              </w:rPr>
              <w:t>Red Knot</w:t>
            </w:r>
          </w:p>
        </w:tc>
        <w:tc>
          <w:tcPr>
            <w:tcW w:w="1235" w:type="dxa"/>
            <w:tcBorders>
              <w:bottom w:val="single" w:sz="4" w:space="0" w:color="auto"/>
            </w:tcBorders>
            <w:vAlign w:val="center"/>
          </w:tcPr>
          <w:p w14:paraId="74117EC0" w14:textId="77777777" w:rsidR="000B173B" w:rsidRPr="00B83DE7" w:rsidRDefault="000B173B" w:rsidP="00A15226">
            <w:pPr>
              <w:pStyle w:val="Tabletext"/>
              <w:rPr>
                <w:rFonts w:cs="Arial"/>
                <w:szCs w:val="18"/>
              </w:rPr>
            </w:pPr>
            <w:r w:rsidRPr="00B83DE7">
              <w:rPr>
                <w:rFonts w:cs="Arial"/>
                <w:szCs w:val="18"/>
              </w:rPr>
              <w:t xml:space="preserve">Endangered, marine, migratory </w:t>
            </w:r>
          </w:p>
        </w:tc>
        <w:tc>
          <w:tcPr>
            <w:tcW w:w="1177" w:type="dxa"/>
            <w:tcBorders>
              <w:bottom w:val="single" w:sz="4" w:space="0" w:color="auto"/>
            </w:tcBorders>
            <w:vAlign w:val="center"/>
          </w:tcPr>
          <w:p w14:paraId="5E387DF0" w14:textId="77777777" w:rsidR="000B173B" w:rsidRPr="00AC3FED" w:rsidRDefault="000B173B" w:rsidP="00A15226">
            <w:pPr>
              <w:pStyle w:val="Tabletext"/>
              <w:jc w:val="center"/>
              <w:rPr>
                <w:highlight w:val="yellow"/>
              </w:rPr>
            </w:pPr>
            <w:r w:rsidRPr="00BC6F8D">
              <w:t>Yes</w:t>
            </w:r>
          </w:p>
        </w:tc>
        <w:tc>
          <w:tcPr>
            <w:tcW w:w="9072" w:type="dxa"/>
            <w:tcBorders>
              <w:bottom w:val="single" w:sz="4" w:space="0" w:color="auto"/>
            </w:tcBorders>
            <w:vAlign w:val="center"/>
          </w:tcPr>
          <w:p w14:paraId="3844597F" w14:textId="77777777" w:rsidR="000B173B" w:rsidRDefault="000B173B" w:rsidP="00A15226">
            <w:pPr>
              <w:pStyle w:val="Tabletext"/>
              <w:rPr>
                <w:szCs w:val="18"/>
              </w:rPr>
            </w:pPr>
            <w:r w:rsidRPr="00B83DE7">
              <w:rPr>
                <w:rFonts w:cs="Arial"/>
                <w:i/>
                <w:iCs/>
                <w:szCs w:val="18"/>
              </w:rPr>
              <w:t>Calidris canutus</w:t>
            </w:r>
            <w:r>
              <w:t xml:space="preserve"> (</w:t>
            </w:r>
            <w:r w:rsidRPr="00540E90">
              <w:t>Red Knot</w:t>
            </w:r>
            <w:r>
              <w:t>)</w:t>
            </w:r>
            <w:r w:rsidRPr="00540E90">
              <w:t xml:space="preserve"> is a migratory shorebird</w:t>
            </w:r>
            <w:r>
              <w:t xml:space="preserve"> which breeds in the Arctic and </w:t>
            </w:r>
            <w:r w:rsidRPr="00540E90">
              <w:t xml:space="preserve">migrates to Australia during the non-breeding period. </w:t>
            </w:r>
            <w:r>
              <w:rPr>
                <w:szCs w:val="18"/>
              </w:rPr>
              <w:t xml:space="preserve">The species occurs around the entire coastline of Australia. However, it is less numerous in south-western Australia and very large numbers occur in north-west Australia </w:t>
            </w:r>
            <w:sdt>
              <w:sdtPr>
                <w:rPr>
                  <w:color w:val="000000"/>
                  <w:szCs w:val="18"/>
                </w:rPr>
                <w:tag w:val="MENDELEY_CITATION_v3_eyJjaXRhdGlvbklEIjoiTUVOREVMRVlfQ0lUQVRJT05fYTA3ODkzMzQtMDJjNy00NTczLWE5NDctNTBkOTQwOTRjOWUy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702739601"/>
                <w:placeholder>
                  <w:docPart w:val="339B7D746526864D922760336FCFE603"/>
                </w:placeholder>
              </w:sdtPr>
              <w:sdtEndPr>
                <w:rPr>
                  <w:szCs w:val="20"/>
                </w:rPr>
              </w:sdtEndPr>
              <w:sdtContent>
                <w:r w:rsidRPr="002F46CE">
                  <w:rPr>
                    <w:color w:val="000000"/>
                  </w:rPr>
                  <w:t>(TSSC, 2016b)</w:t>
                </w:r>
              </w:sdtContent>
            </w:sdt>
            <w:r>
              <w:t>.</w:t>
            </w:r>
          </w:p>
          <w:p w14:paraId="312A39E6" w14:textId="77777777" w:rsidR="000B173B" w:rsidRPr="009C1E11" w:rsidRDefault="000B173B" w:rsidP="00A15226">
            <w:pPr>
              <w:pStyle w:val="Tabletext"/>
              <w:rPr>
                <w:szCs w:val="18"/>
              </w:rPr>
            </w:pPr>
            <w:r>
              <w:rPr>
                <w:szCs w:val="18"/>
              </w:rPr>
              <w:t>T</w:t>
            </w:r>
            <w:r w:rsidRPr="00E75A02">
              <w:rPr>
                <w:szCs w:val="18"/>
              </w:rPr>
              <w:t>he species mainly inhabits coastal environments and saline wetlands near the coast</w:t>
            </w:r>
            <w:r>
              <w:rPr>
                <w:szCs w:val="18"/>
              </w:rPr>
              <w:t xml:space="preserve"> where it is common in all the main suitable habitats. </w:t>
            </w:r>
            <w:r w:rsidRPr="00E75A02">
              <w:rPr>
                <w:szCs w:val="18"/>
              </w:rPr>
              <w:t>The Red Knot is rarely observed in or around freshwater swamps or inland aquatic habitats</w:t>
            </w:r>
            <w:r>
              <w:rPr>
                <w:szCs w:val="18"/>
              </w:rPr>
              <w:t>.</w:t>
            </w:r>
            <w:r w:rsidRPr="00540E90">
              <w:t xml:space="preserve"> Foraging generally occurs in soft substrate near the water edge on intertidal mudflats or sand flats exposed by low tide or nearby lakes, s</w:t>
            </w:r>
            <w:r>
              <w:t>ewerage</w:t>
            </w:r>
            <w:r w:rsidRPr="00540E90">
              <w:t xml:space="preserve"> ponds, and flood waters during high tide</w:t>
            </w:r>
            <w:r>
              <w:t xml:space="preserve">. It roosts in open areas close to foraging areas </w:t>
            </w:r>
            <w:sdt>
              <w:sdtPr>
                <w:rPr>
                  <w:color w:val="000000"/>
                </w:rPr>
                <w:tag w:val="MENDELEY_CITATION_v3_eyJjaXRhdGlvbklEIjoiTUVOREVMRVlfQ0lUQVRJT05fZDdlNWY5YjctMTY1ZS00MmEwLTllY2QtN2U5NjE3NmYwZWU5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402369166"/>
                <w:placeholder>
                  <w:docPart w:val="339B7D746526864D922760336FCFE603"/>
                </w:placeholder>
              </w:sdtPr>
              <w:sdtContent>
                <w:r w:rsidRPr="002F46CE">
                  <w:rPr>
                    <w:color w:val="000000"/>
                  </w:rPr>
                  <w:t>(TSSC, 2016b)</w:t>
                </w:r>
              </w:sdtContent>
            </w:sdt>
            <w:r>
              <w:t>.</w:t>
            </w:r>
          </w:p>
          <w:p w14:paraId="3BFC0173" w14:textId="77777777" w:rsidR="000B173B" w:rsidRPr="008164C4" w:rsidRDefault="000B173B" w:rsidP="00A15226">
            <w:pPr>
              <w:pStyle w:val="Tabletext"/>
              <w:rPr>
                <w:szCs w:val="18"/>
              </w:rPr>
            </w:pPr>
            <w:r>
              <w:lastRenderedPageBreak/>
              <w:t xml:space="preserve">The global population of the Red Knot was estimated at 1,090,000 in 2008. It is estimated that 68,000 individuals occur in Australia. </w:t>
            </w:r>
            <w:r w:rsidRPr="00E75A02">
              <w:rPr>
                <w:szCs w:val="18"/>
              </w:rPr>
              <w:t>There are six recognised subspecies of the Red Knot, of which three have been recorded in Australia</w:t>
            </w:r>
            <w:r>
              <w:rPr>
                <w:szCs w:val="18"/>
              </w:rPr>
              <w:t xml:space="preserve"> (one occurring almost exclusively in the north-west, one occurring mostly in the east, and one as a vagrant) </w:t>
            </w:r>
            <w:sdt>
              <w:sdtPr>
                <w:rPr>
                  <w:color w:val="000000"/>
                  <w:szCs w:val="18"/>
                </w:rPr>
                <w:tag w:val="MENDELEY_CITATION_v3_eyJjaXRhdGlvbklEIjoiTUVOREVMRVlfQ0lUQVRJT05fZmM2YjQ0MTQtNjk1My00NjI2LWJmZGMtOGRjNmI2YmEzMDFl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393704104"/>
                <w:placeholder>
                  <w:docPart w:val="339B7D746526864D922760336FCFE603"/>
                </w:placeholder>
              </w:sdtPr>
              <w:sdtEndPr>
                <w:rPr>
                  <w:szCs w:val="20"/>
                </w:rPr>
              </w:sdtEndPr>
              <w:sdtContent>
                <w:r w:rsidRPr="002F46CE">
                  <w:rPr>
                    <w:color w:val="000000"/>
                  </w:rPr>
                  <w:t>(TSSC, 2016b)</w:t>
                </w:r>
              </w:sdtContent>
            </w:sdt>
            <w:r>
              <w:t>.</w:t>
            </w:r>
          </w:p>
          <w:p w14:paraId="4DD06AE6"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4FA1D664" w14:textId="77777777" w:rsidR="000B173B" w:rsidRPr="00AA1973" w:rsidRDefault="000B173B" w:rsidP="00A15226">
            <w:pPr>
              <w:pStyle w:val="Tabletext"/>
            </w:pPr>
            <w:r>
              <w:t xml:space="preserve">There are 552 records of the species within the Study Area, scattered along the coastline of Port Phillip and downstream associated with the Lake Connewarre Complex (part of the Port Philip Bay (Western Shoreline) and Bellarine Peninsula Ramsar site). </w:t>
            </w:r>
            <w:r w:rsidRPr="00AA1973">
              <w:t>Th</w:t>
            </w:r>
            <w:r>
              <w:t>e Red Knot</w:t>
            </w:r>
            <w:r w:rsidRPr="00AA1973">
              <w:t xml:space="preserve"> is identified as part of the Ramsar listing criteria for </w:t>
            </w:r>
            <w:r>
              <w:t>this</w:t>
            </w:r>
            <w:r w:rsidRPr="00AA1973">
              <w:t xml:space="preserve"> </w:t>
            </w:r>
            <w:r>
              <w:t>s</w:t>
            </w:r>
            <w:r w:rsidRPr="00AA1973">
              <w:t>ite</w:t>
            </w:r>
            <w:r>
              <w:t xml:space="preserve"> </w:t>
            </w:r>
            <w:sdt>
              <w:sdtPr>
                <w:rPr>
                  <w:color w:val="000000"/>
                </w:rPr>
                <w:tag w:val="MENDELEY_CITATION_v3_eyJjaXRhdGlvbklEIjoiTUVOREVMRVlfQ0lUQVRJT05fZTdhMTAzN2QtYjdhMi00YWY1LTgxYTYtYzBjYTY0NTkyYzg2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459986763"/>
                <w:placeholder>
                  <w:docPart w:val="339B7D746526864D922760336FCFE603"/>
                </w:placeholder>
              </w:sdtPr>
              <w:sdtContent>
                <w:r w:rsidRPr="002F46CE">
                  <w:rPr>
                    <w:color w:val="000000"/>
                  </w:rPr>
                  <w:t>(DELWP, 2020)</w:t>
                </w:r>
              </w:sdtContent>
            </w:sdt>
            <w:r w:rsidRPr="00AA1973">
              <w:t xml:space="preserve">. </w:t>
            </w:r>
          </w:p>
          <w:p w14:paraId="0EAA9632" w14:textId="77777777" w:rsidR="000B173B" w:rsidRPr="00AA1973" w:rsidRDefault="000B173B" w:rsidP="00A15226">
            <w:pPr>
              <w:pStyle w:val="Tabletext"/>
            </w:pPr>
            <w:r w:rsidRPr="00596550">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Red Knot.</w:t>
            </w:r>
          </w:p>
        </w:tc>
      </w:tr>
      <w:tr w:rsidR="000B173B" w14:paraId="101F292B" w14:textId="77777777" w:rsidTr="00A15226">
        <w:tc>
          <w:tcPr>
            <w:tcW w:w="1480" w:type="dxa"/>
            <w:tcBorders>
              <w:bottom w:val="single" w:sz="4" w:space="0" w:color="auto"/>
            </w:tcBorders>
            <w:vAlign w:val="center"/>
          </w:tcPr>
          <w:p w14:paraId="4DA8CCAF" w14:textId="77777777" w:rsidR="000B173B" w:rsidRPr="00B83DE7" w:rsidRDefault="000B173B" w:rsidP="00A15226">
            <w:pPr>
              <w:pStyle w:val="Tabletext"/>
              <w:rPr>
                <w:rFonts w:cs="Arial"/>
                <w:i/>
                <w:iCs/>
                <w:szCs w:val="18"/>
              </w:rPr>
            </w:pPr>
            <w:r w:rsidRPr="00B83DE7">
              <w:rPr>
                <w:rFonts w:cs="Arial"/>
                <w:i/>
                <w:iCs/>
                <w:szCs w:val="18"/>
              </w:rPr>
              <w:lastRenderedPageBreak/>
              <w:t>Calidris ferruginea</w:t>
            </w:r>
          </w:p>
        </w:tc>
        <w:tc>
          <w:tcPr>
            <w:tcW w:w="1353" w:type="dxa"/>
            <w:tcBorders>
              <w:bottom w:val="single" w:sz="4" w:space="0" w:color="auto"/>
            </w:tcBorders>
            <w:vAlign w:val="center"/>
          </w:tcPr>
          <w:p w14:paraId="5FC12DEA" w14:textId="77777777" w:rsidR="000B173B" w:rsidRPr="00B83DE7" w:rsidRDefault="000B173B" w:rsidP="00A15226">
            <w:pPr>
              <w:pStyle w:val="Tabletext"/>
              <w:rPr>
                <w:rFonts w:cs="Arial"/>
                <w:szCs w:val="18"/>
              </w:rPr>
            </w:pPr>
            <w:r w:rsidRPr="00B83DE7">
              <w:rPr>
                <w:rFonts w:cs="Arial"/>
                <w:szCs w:val="18"/>
              </w:rPr>
              <w:t>Curlew Sandpiper</w:t>
            </w:r>
          </w:p>
        </w:tc>
        <w:tc>
          <w:tcPr>
            <w:tcW w:w="1235" w:type="dxa"/>
            <w:tcBorders>
              <w:bottom w:val="single" w:sz="4" w:space="0" w:color="auto"/>
            </w:tcBorders>
            <w:vAlign w:val="center"/>
          </w:tcPr>
          <w:p w14:paraId="110B49C5" w14:textId="77777777" w:rsidR="000B173B" w:rsidRPr="00B83DE7" w:rsidRDefault="000B173B" w:rsidP="00A15226">
            <w:pPr>
              <w:pStyle w:val="Tabletext"/>
              <w:rPr>
                <w:rFonts w:cs="Arial"/>
                <w:szCs w:val="18"/>
              </w:rPr>
            </w:pPr>
            <w:r w:rsidRPr="00B83DE7">
              <w:rPr>
                <w:rFonts w:cs="Arial"/>
                <w:szCs w:val="18"/>
              </w:rPr>
              <w:t xml:space="preserve">Critically Endangered, marine, migratory </w:t>
            </w:r>
          </w:p>
        </w:tc>
        <w:tc>
          <w:tcPr>
            <w:tcW w:w="1177" w:type="dxa"/>
            <w:tcBorders>
              <w:bottom w:val="single" w:sz="4" w:space="0" w:color="auto"/>
            </w:tcBorders>
            <w:vAlign w:val="center"/>
          </w:tcPr>
          <w:p w14:paraId="7919C349" w14:textId="77777777" w:rsidR="000B173B" w:rsidRPr="00AC3FED" w:rsidRDefault="000B173B" w:rsidP="00A15226">
            <w:pPr>
              <w:pStyle w:val="Tabletext"/>
              <w:jc w:val="center"/>
              <w:rPr>
                <w:highlight w:val="yellow"/>
              </w:rPr>
            </w:pPr>
            <w:r w:rsidRPr="00BC6F8D">
              <w:t>Yes</w:t>
            </w:r>
          </w:p>
        </w:tc>
        <w:tc>
          <w:tcPr>
            <w:tcW w:w="9072" w:type="dxa"/>
            <w:tcBorders>
              <w:bottom w:val="single" w:sz="4" w:space="0" w:color="auto"/>
            </w:tcBorders>
            <w:vAlign w:val="center"/>
          </w:tcPr>
          <w:p w14:paraId="6C65B49D" w14:textId="77777777" w:rsidR="000B173B" w:rsidRDefault="000B173B" w:rsidP="00A15226">
            <w:pPr>
              <w:pStyle w:val="Tabletext"/>
            </w:pPr>
            <w:r w:rsidRPr="00B83DE7">
              <w:rPr>
                <w:rFonts w:cs="Arial"/>
                <w:i/>
                <w:iCs/>
                <w:szCs w:val="18"/>
              </w:rPr>
              <w:t>Calidris ferruginea</w:t>
            </w:r>
            <w:r w:rsidRPr="00540E90">
              <w:t xml:space="preserve"> </w:t>
            </w:r>
            <w:r>
              <w:t>(</w:t>
            </w:r>
            <w:r w:rsidRPr="00540E90">
              <w:t>Curlew Sandpiper</w:t>
            </w:r>
            <w:r>
              <w:t>)</w:t>
            </w:r>
            <w:r w:rsidRPr="00540E90">
              <w:t xml:space="preserve"> is </w:t>
            </w:r>
            <w:r>
              <w:t>a migratory shorebird. The species visits Australia during the non-breeding season</w:t>
            </w:r>
            <w:r w:rsidRPr="00540E90">
              <w:t xml:space="preserve">, </w:t>
            </w:r>
            <w:r>
              <w:t>where it</w:t>
            </w:r>
            <w:r w:rsidRPr="00540E90">
              <w:t xml:space="preserve"> primarily </w:t>
            </w:r>
            <w:r>
              <w:t xml:space="preserve">occurs </w:t>
            </w:r>
            <w:r w:rsidRPr="00540E90">
              <w:t>along the coastline and occasionally inland.</w:t>
            </w:r>
            <w:r>
              <w:t xml:space="preserve"> The species has been recorded in all states </w:t>
            </w:r>
            <w:sdt>
              <w:sdtPr>
                <w:rPr>
                  <w:color w:val="000000"/>
                </w:rPr>
                <w:tag w:val="MENDELEY_CITATION_v3_eyJjaXRhdGlvbklEIjoiTUVOREVMRVlfQ0lUQVRJT05fMzYzNGRlY2QtMzQyZS00NGY2LThmOGQtNTU4MDIzOWE3ZDYx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765348680"/>
                <w:placeholder>
                  <w:docPart w:val="339B7D746526864D922760336FCFE603"/>
                </w:placeholder>
              </w:sdtPr>
              <w:sdtContent>
                <w:r w:rsidRPr="002F46CE">
                  <w:rPr>
                    <w:color w:val="000000"/>
                  </w:rPr>
                  <w:t>(TSSC, 2015a)</w:t>
                </w:r>
              </w:sdtContent>
            </w:sdt>
            <w:r w:rsidRPr="00540E90">
              <w:t>.</w:t>
            </w:r>
          </w:p>
          <w:p w14:paraId="14CED6DC" w14:textId="77777777" w:rsidR="000B173B" w:rsidRDefault="000B173B" w:rsidP="00A15226">
            <w:pPr>
              <w:pStyle w:val="Tabletext"/>
            </w:pPr>
            <w:r>
              <w:t xml:space="preserve">The Curlew Sandpiper uses a range of freshwater and brackish coastal, estuarine, and inland waterbodies. It forages </w:t>
            </w:r>
            <w:r w:rsidRPr="00540E90">
              <w:t>on mudflats and nearby shallow water. Roosting generally occurs in open environments with damp substrate</w:t>
            </w:r>
            <w:r>
              <w:t xml:space="preserve"> The species’</w:t>
            </w:r>
            <w:r w:rsidRPr="00540E90">
              <w:t xml:space="preserve"> diet primarily consists of invertebrat</w:t>
            </w:r>
            <w:r>
              <w:t xml:space="preserve">es, but it will also eat seeds </w:t>
            </w:r>
            <w:sdt>
              <w:sdtPr>
                <w:rPr>
                  <w:color w:val="000000"/>
                </w:rPr>
                <w:tag w:val="MENDELEY_CITATION_v3_eyJjaXRhdGlvbklEIjoiTUVOREVMRVlfQ0lUQVRJT05fZGVkMjIwODAtYjFkZi00MDdmLWFjNjItOTA2ZWM0NjRjZGRm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1600609231"/>
                <w:placeholder>
                  <w:docPart w:val="339B7D746526864D922760336FCFE603"/>
                </w:placeholder>
              </w:sdtPr>
              <w:sdtContent>
                <w:r w:rsidRPr="002F46CE">
                  <w:rPr>
                    <w:color w:val="000000"/>
                  </w:rPr>
                  <w:t>(TSSC, 2015a)</w:t>
                </w:r>
              </w:sdtContent>
            </w:sdt>
            <w:r w:rsidRPr="00540E90">
              <w:t>.</w:t>
            </w:r>
          </w:p>
          <w:p w14:paraId="5E157815" w14:textId="77777777" w:rsidR="000B173B" w:rsidRDefault="000B173B" w:rsidP="00A15226">
            <w:pPr>
              <w:pStyle w:val="Tabletext"/>
            </w:pPr>
            <w:r>
              <w:t xml:space="preserve">Threats to the species include ongoing human disturbance, habitat loss and degradation, changes to water regimes, and invasive plants </w:t>
            </w:r>
            <w:sdt>
              <w:sdtPr>
                <w:rPr>
                  <w:color w:val="000000"/>
                </w:rPr>
                <w:tag w:val="MENDELEY_CITATION_v3_eyJjaXRhdGlvbklEIjoiTUVOREVMRVlfQ0lUQVRJT05fZjQxZWUyNTItYWY4ZC00MjFhLWE3NDctNWZhYzkyZWQxZjRj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510107668"/>
                <w:placeholder>
                  <w:docPart w:val="339B7D746526864D922760336FCFE603"/>
                </w:placeholder>
              </w:sdtPr>
              <w:sdtContent>
                <w:r w:rsidRPr="002F46CE">
                  <w:rPr>
                    <w:color w:val="000000"/>
                  </w:rPr>
                  <w:t>(TSSC, 2015a)</w:t>
                </w:r>
              </w:sdtContent>
            </w:sdt>
            <w:r w:rsidRPr="00540E90">
              <w:t>.</w:t>
            </w:r>
          </w:p>
          <w:p w14:paraId="78ACA660"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1277AE88" w14:textId="77777777" w:rsidR="000B173B" w:rsidRDefault="000B173B" w:rsidP="00A15226">
            <w:pPr>
              <w:pStyle w:val="Tabletext"/>
            </w:pPr>
            <w:r>
              <w:t xml:space="preserve">There are 2,941 records of the species within the Study Area. Records occur along the coastline of Port Phillip and downstream associated with the Lake Connewarre. </w:t>
            </w:r>
            <w:r w:rsidRPr="00AA1973">
              <w:t xml:space="preserve">The </w:t>
            </w:r>
            <w:r>
              <w:t>Curlew Sandpiper</w:t>
            </w:r>
            <w:r w:rsidRPr="00AA1973">
              <w:t xml:space="preserve"> is identified as part of the Ramsar listing criteria for </w:t>
            </w:r>
            <w:r>
              <w:t>the Port Philip Bay (Western Shoreline) and Bellarine Peninsula Ramsar site</w:t>
            </w:r>
            <w:r w:rsidRPr="00AA1973">
              <w:t xml:space="preserve">. </w:t>
            </w:r>
            <w:r>
              <w:t xml:space="preserve">The site is also known to regularly support over 1 per cent of the total population of the Curlew Sandpiper </w:t>
            </w:r>
            <w:sdt>
              <w:sdtPr>
                <w:rPr>
                  <w:color w:val="000000"/>
                </w:rPr>
                <w:tag w:val="MENDELEY_CITATION_v3_eyJjaXRhdGlvbklEIjoiTUVOREVMRVlfQ0lUQVRJT05fMmFmMDFhMGYtNjg3NC00Njk4LTlmMTYtYTcxZjUwN2NiZGY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847458153"/>
                <w:placeholder>
                  <w:docPart w:val="339B7D746526864D922760336FCFE603"/>
                </w:placeholder>
              </w:sdtPr>
              <w:sdtContent>
                <w:r w:rsidRPr="002F46CE">
                  <w:rPr>
                    <w:color w:val="000000"/>
                  </w:rPr>
                  <w:t>(DELWP, 2020)</w:t>
                </w:r>
              </w:sdtContent>
            </w:sdt>
            <w:r>
              <w:t>.</w:t>
            </w:r>
          </w:p>
          <w:p w14:paraId="146F626A" w14:textId="77777777" w:rsidR="000B173B" w:rsidRDefault="000B173B" w:rsidP="00A15226">
            <w:pPr>
              <w:pStyle w:val="Tabletext"/>
            </w:pPr>
            <w:r w:rsidRPr="00596550">
              <w:lastRenderedPageBreak/>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Curlew Sandpiper.</w:t>
            </w:r>
          </w:p>
        </w:tc>
      </w:tr>
      <w:tr w:rsidR="000B173B" w14:paraId="02CECBCF" w14:textId="77777777" w:rsidTr="00A15226">
        <w:tc>
          <w:tcPr>
            <w:tcW w:w="1480" w:type="dxa"/>
            <w:tcBorders>
              <w:bottom w:val="single" w:sz="4" w:space="0" w:color="auto"/>
            </w:tcBorders>
            <w:vAlign w:val="center"/>
          </w:tcPr>
          <w:p w14:paraId="167B13FD" w14:textId="77777777" w:rsidR="000B173B" w:rsidRPr="00B83DE7" w:rsidRDefault="000B173B" w:rsidP="00A15226">
            <w:pPr>
              <w:pStyle w:val="Tabletext"/>
              <w:rPr>
                <w:rFonts w:cs="Arial"/>
                <w:i/>
                <w:iCs/>
                <w:szCs w:val="18"/>
              </w:rPr>
            </w:pPr>
            <w:r w:rsidRPr="00B83DE7">
              <w:rPr>
                <w:rFonts w:cs="Arial"/>
                <w:i/>
                <w:iCs/>
                <w:szCs w:val="18"/>
              </w:rPr>
              <w:lastRenderedPageBreak/>
              <w:t>Calidris tenuirostris</w:t>
            </w:r>
          </w:p>
        </w:tc>
        <w:tc>
          <w:tcPr>
            <w:tcW w:w="1353" w:type="dxa"/>
            <w:tcBorders>
              <w:bottom w:val="single" w:sz="4" w:space="0" w:color="auto"/>
            </w:tcBorders>
            <w:vAlign w:val="center"/>
          </w:tcPr>
          <w:p w14:paraId="0ABAA1B0" w14:textId="77777777" w:rsidR="000B173B" w:rsidRPr="00B83DE7" w:rsidRDefault="000B173B" w:rsidP="00A15226">
            <w:pPr>
              <w:pStyle w:val="Tabletext"/>
              <w:rPr>
                <w:rFonts w:cs="Arial"/>
                <w:szCs w:val="18"/>
              </w:rPr>
            </w:pPr>
            <w:r w:rsidRPr="00B83DE7">
              <w:rPr>
                <w:rFonts w:cs="Arial"/>
                <w:szCs w:val="18"/>
              </w:rPr>
              <w:t>Great Knot</w:t>
            </w:r>
          </w:p>
        </w:tc>
        <w:tc>
          <w:tcPr>
            <w:tcW w:w="1235" w:type="dxa"/>
            <w:tcBorders>
              <w:bottom w:val="single" w:sz="4" w:space="0" w:color="auto"/>
            </w:tcBorders>
            <w:vAlign w:val="center"/>
          </w:tcPr>
          <w:p w14:paraId="34D98912" w14:textId="77777777" w:rsidR="000B173B" w:rsidRPr="00B83DE7" w:rsidRDefault="000B173B" w:rsidP="00A15226">
            <w:pPr>
              <w:pStyle w:val="Tabletext"/>
              <w:rPr>
                <w:rFonts w:cs="Arial"/>
                <w:szCs w:val="18"/>
              </w:rPr>
            </w:pPr>
            <w:r w:rsidRPr="00B83DE7">
              <w:rPr>
                <w:rFonts w:cs="Arial"/>
                <w:szCs w:val="18"/>
              </w:rPr>
              <w:t xml:space="preserve">Critically Endangered, marine, migratory </w:t>
            </w:r>
          </w:p>
        </w:tc>
        <w:tc>
          <w:tcPr>
            <w:tcW w:w="1177" w:type="dxa"/>
            <w:tcBorders>
              <w:bottom w:val="single" w:sz="4" w:space="0" w:color="auto"/>
            </w:tcBorders>
            <w:vAlign w:val="center"/>
          </w:tcPr>
          <w:p w14:paraId="186C50DB" w14:textId="77777777" w:rsidR="000B173B" w:rsidRPr="00AC3FED" w:rsidRDefault="000B173B" w:rsidP="00A15226">
            <w:pPr>
              <w:pStyle w:val="Tabletext"/>
              <w:jc w:val="center"/>
              <w:rPr>
                <w:highlight w:val="yellow"/>
              </w:rPr>
            </w:pPr>
            <w:r w:rsidRPr="00BC6F8D">
              <w:t>Yes</w:t>
            </w:r>
          </w:p>
        </w:tc>
        <w:tc>
          <w:tcPr>
            <w:tcW w:w="9072" w:type="dxa"/>
            <w:tcBorders>
              <w:bottom w:val="single" w:sz="4" w:space="0" w:color="auto"/>
            </w:tcBorders>
            <w:vAlign w:val="center"/>
          </w:tcPr>
          <w:p w14:paraId="0E66A8D2" w14:textId="77777777" w:rsidR="000B173B" w:rsidRDefault="000B173B" w:rsidP="00A15226">
            <w:pPr>
              <w:pStyle w:val="Tabletext"/>
            </w:pPr>
            <w:r w:rsidRPr="00B83DE7">
              <w:rPr>
                <w:rFonts w:cs="Arial"/>
                <w:i/>
                <w:iCs/>
                <w:szCs w:val="18"/>
              </w:rPr>
              <w:t>Calidris tenuirostris</w:t>
            </w:r>
            <w:r w:rsidRPr="00540E90">
              <w:t xml:space="preserve"> </w:t>
            </w:r>
            <w:r>
              <w:t>(</w:t>
            </w:r>
            <w:r w:rsidRPr="00540E90">
              <w:t>Great Knot</w:t>
            </w:r>
            <w:r>
              <w:t>)</w:t>
            </w:r>
            <w:r w:rsidRPr="00540E90">
              <w:t xml:space="preserve"> is a </w:t>
            </w:r>
            <w:r>
              <w:t xml:space="preserve">migratory </w:t>
            </w:r>
            <w:r w:rsidRPr="00540E90">
              <w:t>shorebird that</w:t>
            </w:r>
            <w:r>
              <w:t xml:space="preserve"> breeds in the Northern Hemisphere and</w:t>
            </w:r>
            <w:r w:rsidRPr="00540E90">
              <w:t xml:space="preserve"> </w:t>
            </w:r>
            <w:r>
              <w:t xml:space="preserve">migrates south during the non-breeding period </w:t>
            </w:r>
            <w:r w:rsidRPr="00540E90">
              <w:t>with most of the population in Australia</w:t>
            </w:r>
            <w:r>
              <w:t xml:space="preserve"> </w:t>
            </w:r>
            <w:sdt>
              <w:sdtPr>
                <w:rPr>
                  <w:color w:val="000000"/>
                </w:rPr>
                <w:tag w:val="MENDELEY_CITATION_v3_eyJjaXRhdGlvbklEIjoiTUVOREVMRVlfQ0lUQVRJT05fMTVmMWU2ZmMtNzJhYy00OWU3LWI0ZjYtMzI3M2U1NTIxNzhk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1670705987"/>
                <w:placeholder>
                  <w:docPart w:val="339B7D746526864D922760336FCFE603"/>
                </w:placeholder>
              </w:sdtPr>
              <w:sdtContent>
                <w:r w:rsidRPr="002F46CE">
                  <w:rPr>
                    <w:color w:val="000000"/>
                  </w:rPr>
                  <w:t>(TSSC, 2016c)</w:t>
                </w:r>
              </w:sdtContent>
            </w:sdt>
            <w:r>
              <w:t>.</w:t>
            </w:r>
          </w:p>
          <w:p w14:paraId="136729CD" w14:textId="77777777" w:rsidR="000B173B" w:rsidRDefault="000B173B" w:rsidP="00A15226">
            <w:pPr>
              <w:pStyle w:val="Tabletext"/>
            </w:pPr>
            <w:r>
              <w:t>It occurs a</w:t>
            </w:r>
            <w:r w:rsidRPr="00540E90">
              <w:t xml:space="preserve">long the entirety of the Australian coast with a few records scattered inland. </w:t>
            </w:r>
            <w:r>
              <w:t xml:space="preserve">The greatest numbers have been recorded in northern WA, and the NT. The species is much less common in south-west Australia, SA, Victoria and Tasmania </w:t>
            </w:r>
            <w:sdt>
              <w:sdtPr>
                <w:rPr>
                  <w:color w:val="000000"/>
                </w:rPr>
                <w:tag w:val="MENDELEY_CITATION_v3_eyJjaXRhdGlvbklEIjoiTUVOREVMRVlfQ0lUQVRJT05fNTM0N2FhZGQtODJlZC00YTM2LTliNWUtMjRhZGM1ZjU4MzI5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517747003"/>
                <w:placeholder>
                  <w:docPart w:val="339B7D746526864D922760336FCFE603"/>
                </w:placeholder>
              </w:sdtPr>
              <w:sdtContent>
                <w:r w:rsidRPr="002F46CE">
                  <w:rPr>
                    <w:color w:val="000000"/>
                  </w:rPr>
                  <w:t>(TSSC, 2016c)</w:t>
                </w:r>
              </w:sdtContent>
            </w:sdt>
            <w:r>
              <w:t>.</w:t>
            </w:r>
          </w:p>
          <w:p w14:paraId="77BB6912" w14:textId="77777777" w:rsidR="000B173B" w:rsidRDefault="000B173B" w:rsidP="00A15226">
            <w:pPr>
              <w:pStyle w:val="Tabletext"/>
            </w:pPr>
            <w:r>
              <w:t xml:space="preserve">Within Australia, the species prefers sheltered coastal habitats with large intertidal mudflats or sandflats, including inlets, bays, harbours, estuaries and lagoons. It is occasionally found in other coastal environments. Roosting occurs in open areas, often at the water’s edge or on shallow water close to foraging areas </w:t>
            </w:r>
            <w:sdt>
              <w:sdtPr>
                <w:rPr>
                  <w:color w:val="000000"/>
                </w:rPr>
                <w:tag w:val="MENDELEY_CITATION_v3_eyJjaXRhdGlvbklEIjoiTUVOREVMRVlfQ0lUQVRJT05fMTIwZWRjZWUtNWNhOC00NjJhLTk3MTUtMzdhY2IyMmE5ZjMz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745734832"/>
                <w:placeholder>
                  <w:docPart w:val="339B7D746526864D922760336FCFE603"/>
                </w:placeholder>
              </w:sdtPr>
              <w:sdtContent>
                <w:r w:rsidRPr="002F46CE">
                  <w:rPr>
                    <w:color w:val="000000"/>
                  </w:rPr>
                  <w:t>(TSSC, 2016c)</w:t>
                </w:r>
              </w:sdtContent>
            </w:sdt>
            <w:r>
              <w:t>.</w:t>
            </w:r>
          </w:p>
          <w:p w14:paraId="6BBAE24E" w14:textId="77777777" w:rsidR="000B173B" w:rsidRDefault="000B173B" w:rsidP="00A15226">
            <w:pPr>
              <w:pStyle w:val="Tabletext"/>
            </w:pPr>
            <w:r>
              <w:t xml:space="preserve">The number of individuals using the East Asian-Australasian Flyway is approximately 425,000 </w:t>
            </w:r>
            <w:sdt>
              <w:sdtPr>
                <w:tag w:val="MENDELEY_CITATION_v3_eyJjaXRhdGlvbklEIjoiTUVOREVMRVlfQ0lUQVRJT05fZDMyNmQ5MWEtNjhmNy00Nzc5LWEwMzMtOTQ2ZTcyMTdmMmJiIiwicHJvcGVydGllcyI6eyJub3RlSW5kZXgiOjB9LCJpc0VkaXRlZCI6ZmFsc2UsIm1hbnVhbE92ZXJyaWRlIjp7ImNpdGVwcm9jVGV4dCI6IihIYW5zZW4gPGk+ZXQgYWwuPC9pPiwgMjAxNikiLCJpc01hbnVhbGx5T3ZlcnJpZGRlbiI6ZmFsc2UsIm1hbnVhbE92ZXJyaWRlVGV4dCI6IiJ9LCJjaXRhdGlvbkl0ZW1zIjpb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2109105588"/>
                <w:placeholder>
                  <w:docPart w:val="339B7D746526864D922760336FCFE603"/>
                </w:placeholder>
              </w:sdtPr>
              <w:sdtContent>
                <w:r>
                  <w:rPr>
                    <w:rFonts w:eastAsia="Times New Roman"/>
                  </w:rPr>
                  <w:t xml:space="preserve">(Hansen </w:t>
                </w:r>
                <w:r>
                  <w:rPr>
                    <w:rFonts w:eastAsia="Times New Roman"/>
                    <w:i/>
                    <w:iCs/>
                  </w:rPr>
                  <w:t>et al.</w:t>
                </w:r>
                <w:r>
                  <w:rPr>
                    <w:rFonts w:eastAsia="Times New Roman"/>
                  </w:rPr>
                  <w:t>, 2016)</w:t>
                </w:r>
              </w:sdtContent>
            </w:sdt>
            <w:r>
              <w:t>.</w:t>
            </w:r>
          </w:p>
          <w:p w14:paraId="7B88B375" w14:textId="77777777" w:rsidR="000B173B" w:rsidRDefault="000B173B" w:rsidP="00A15226">
            <w:pPr>
              <w:pStyle w:val="Tabletext"/>
            </w:pPr>
            <w:r>
              <w:t xml:space="preserve">Threats to the species include habitat loss and degradation, pollution, disturbance, diseases, direct mortality, and climate change impacts </w:t>
            </w:r>
            <w:sdt>
              <w:sdtPr>
                <w:rPr>
                  <w:color w:val="000000"/>
                </w:rPr>
                <w:tag w:val="MENDELEY_CITATION_v3_eyJjaXRhdGlvbklEIjoiTUVOREVMRVlfQ0lUQVRJT05fM2YxZTNkYmMtZDEzMy00ODE5LTk5MGMtNTMzNDJkYWMwNDVm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1503399257"/>
                <w:placeholder>
                  <w:docPart w:val="339B7D746526864D922760336FCFE603"/>
                </w:placeholder>
              </w:sdtPr>
              <w:sdtContent>
                <w:r w:rsidRPr="002F46CE">
                  <w:rPr>
                    <w:color w:val="000000"/>
                  </w:rPr>
                  <w:t>(TSSC, 2016c)</w:t>
                </w:r>
              </w:sdtContent>
            </w:sdt>
            <w:r>
              <w:t>.</w:t>
            </w:r>
          </w:p>
          <w:p w14:paraId="465989B6"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7404EED8" w14:textId="77777777" w:rsidR="000B173B" w:rsidRDefault="000B173B" w:rsidP="00A15226">
            <w:pPr>
              <w:pStyle w:val="Tabletext"/>
            </w:pPr>
            <w:r>
              <w:t xml:space="preserve">There are 87 records of the species within the Study Area, scattered along the coastline of Port Phillip and downstream associated with the Lake Connewarre Complex (part of the Port Philip Bay (Western Shoreline) and Bellarine Peninsula Ramsar site). </w:t>
            </w:r>
            <w:r w:rsidRPr="00AA1973">
              <w:t xml:space="preserve">The </w:t>
            </w:r>
            <w:r>
              <w:t>Great Knot</w:t>
            </w:r>
            <w:r w:rsidRPr="00AA1973">
              <w:t xml:space="preserve"> is identified as part of the Ramsar listing criteria for </w:t>
            </w:r>
            <w:r>
              <w:t xml:space="preserve">this site </w:t>
            </w:r>
            <w:sdt>
              <w:sdtPr>
                <w:rPr>
                  <w:color w:val="000000"/>
                </w:rPr>
                <w:tag w:val="MENDELEY_CITATION_v3_eyJjaXRhdGlvbklEIjoiTUVOREVMRVlfQ0lUQVRJT05fYTY5YzlhNjEtOGI3MC00NmI3LWJhODctMmRlOTA4NDkxYTZl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308157085"/>
                <w:placeholder>
                  <w:docPart w:val="339B7D746526864D922760336FCFE603"/>
                </w:placeholder>
              </w:sdtPr>
              <w:sdtContent>
                <w:r w:rsidRPr="002F46CE">
                  <w:rPr>
                    <w:color w:val="000000"/>
                  </w:rPr>
                  <w:t>(DELWP, 2020)</w:t>
                </w:r>
              </w:sdtContent>
            </w:sdt>
            <w:r>
              <w:t>.</w:t>
            </w:r>
          </w:p>
          <w:p w14:paraId="7C4BCB9A" w14:textId="77777777" w:rsidR="000B173B" w:rsidRDefault="000B173B" w:rsidP="00A15226">
            <w:pPr>
              <w:pStyle w:val="Tabletext"/>
            </w:pPr>
            <w:r w:rsidRPr="00596550">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Great Knot.</w:t>
            </w:r>
          </w:p>
        </w:tc>
      </w:tr>
      <w:tr w:rsidR="000B173B" w14:paraId="4CDB5398" w14:textId="77777777" w:rsidTr="00A15226">
        <w:tc>
          <w:tcPr>
            <w:tcW w:w="1480" w:type="dxa"/>
            <w:tcBorders>
              <w:bottom w:val="single" w:sz="4" w:space="0" w:color="auto"/>
            </w:tcBorders>
            <w:vAlign w:val="center"/>
          </w:tcPr>
          <w:p w14:paraId="526D7739" w14:textId="77777777" w:rsidR="000B173B" w:rsidRPr="00DA5FB5" w:rsidRDefault="000B173B" w:rsidP="00A15226">
            <w:pPr>
              <w:pStyle w:val="Tabletext"/>
              <w:rPr>
                <w:rFonts w:cs="Arial"/>
                <w:i/>
                <w:iCs/>
                <w:szCs w:val="18"/>
              </w:rPr>
            </w:pPr>
            <w:r w:rsidRPr="002A4173">
              <w:rPr>
                <w:i/>
                <w:iCs/>
              </w:rPr>
              <w:t>Callocephalon fimbriatum</w:t>
            </w:r>
          </w:p>
        </w:tc>
        <w:tc>
          <w:tcPr>
            <w:tcW w:w="1353" w:type="dxa"/>
            <w:tcBorders>
              <w:bottom w:val="single" w:sz="4" w:space="0" w:color="auto"/>
            </w:tcBorders>
            <w:vAlign w:val="center"/>
          </w:tcPr>
          <w:p w14:paraId="4C83BA4C" w14:textId="77777777" w:rsidR="000B173B" w:rsidRPr="00B83DE7" w:rsidRDefault="000B173B" w:rsidP="00A15226">
            <w:pPr>
              <w:pStyle w:val="Tabletext"/>
              <w:rPr>
                <w:rFonts w:cs="Arial"/>
                <w:szCs w:val="18"/>
              </w:rPr>
            </w:pPr>
            <w:r w:rsidRPr="00D84363">
              <w:t>Gang-Gang Cockatoo</w:t>
            </w:r>
          </w:p>
        </w:tc>
        <w:tc>
          <w:tcPr>
            <w:tcW w:w="1235" w:type="dxa"/>
            <w:tcBorders>
              <w:bottom w:val="single" w:sz="4" w:space="0" w:color="auto"/>
            </w:tcBorders>
            <w:vAlign w:val="center"/>
          </w:tcPr>
          <w:p w14:paraId="748ED85D" w14:textId="77777777" w:rsidR="000B173B" w:rsidRPr="00B83DE7" w:rsidRDefault="000B173B" w:rsidP="00A15226">
            <w:pPr>
              <w:pStyle w:val="Tabletext"/>
              <w:jc w:val="center"/>
              <w:rPr>
                <w:rFonts w:cs="Arial"/>
                <w:szCs w:val="18"/>
              </w:rPr>
            </w:pPr>
            <w:r>
              <w:rPr>
                <w:rFonts w:cs="Arial"/>
                <w:szCs w:val="18"/>
              </w:rPr>
              <w:t>Endangered</w:t>
            </w:r>
          </w:p>
        </w:tc>
        <w:tc>
          <w:tcPr>
            <w:tcW w:w="1177" w:type="dxa"/>
            <w:tcBorders>
              <w:bottom w:val="single" w:sz="4" w:space="0" w:color="auto"/>
            </w:tcBorders>
            <w:vAlign w:val="center"/>
          </w:tcPr>
          <w:p w14:paraId="270F5110" w14:textId="77777777" w:rsidR="000B173B" w:rsidRPr="00BC6F8D" w:rsidRDefault="000B173B" w:rsidP="00A15226">
            <w:pPr>
              <w:pStyle w:val="Tabletext"/>
              <w:jc w:val="center"/>
            </w:pPr>
            <w:r>
              <w:t>No</w:t>
            </w:r>
          </w:p>
        </w:tc>
        <w:tc>
          <w:tcPr>
            <w:tcW w:w="9072" w:type="dxa"/>
            <w:tcBorders>
              <w:bottom w:val="single" w:sz="4" w:space="0" w:color="auto"/>
            </w:tcBorders>
            <w:vAlign w:val="center"/>
          </w:tcPr>
          <w:p w14:paraId="11A58E3C" w14:textId="77777777" w:rsidR="000B173B" w:rsidRPr="00EA3900" w:rsidRDefault="000B173B" w:rsidP="00A15226">
            <w:pPr>
              <w:pStyle w:val="Tabletext"/>
              <w:rPr>
                <w:rFonts w:cs="Arial"/>
                <w:szCs w:val="18"/>
              </w:rPr>
            </w:pPr>
            <w:r w:rsidRPr="00EA3900">
              <w:rPr>
                <w:rFonts w:cs="Arial"/>
                <w:i/>
                <w:iCs/>
                <w:szCs w:val="18"/>
              </w:rPr>
              <w:t xml:space="preserve">Callocephalon fimbriatum </w:t>
            </w:r>
            <w:r w:rsidRPr="00EA3900">
              <w:rPr>
                <w:rFonts w:cs="Arial"/>
                <w:szCs w:val="18"/>
              </w:rPr>
              <w:t xml:space="preserve">(Gang-Gang Cockatoo) is a small, stocky cockatoo endemic to south-eastern Australia. The species occurs in NSW, ACT, and Victoria. In Victoria, the Gang-gang cockatoo is widespread throughout southern and north-east regions. Records occur in east Melbourne, Mornington Peninsula, and south-western Gippsland. The total population of mature individuals was estimated at 25,200 in 2021 </w:t>
            </w:r>
            <w:sdt>
              <w:sdtPr>
                <w:rPr>
                  <w:rFonts w:cs="Arial"/>
                  <w:color w:val="000000"/>
                  <w:szCs w:val="18"/>
                </w:rPr>
                <w:tag w:val="MENDELEY_CITATION_v3_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"/>
                <w:id w:val="-942452068"/>
                <w:placeholder>
                  <w:docPart w:val="339B7D746526864D922760336FCFE603"/>
                </w:placeholder>
              </w:sdtPr>
              <w:sdtEndPr>
                <w:rPr>
                  <w:rFonts w:cs="Times New Roman"/>
                  <w:szCs w:val="20"/>
                </w:rPr>
              </w:sdtEndPr>
              <w:sdtContent>
                <w:r w:rsidRPr="002F46CE">
                  <w:rPr>
                    <w:color w:val="000000"/>
                  </w:rPr>
                  <w:t>(DAWE, 2022a)</w:t>
                </w:r>
              </w:sdtContent>
            </w:sdt>
            <w:r w:rsidRPr="00EA3900">
              <w:rPr>
                <w:rFonts w:cs="Arial"/>
                <w:szCs w:val="18"/>
              </w:rPr>
              <w:t>.</w:t>
            </w:r>
          </w:p>
          <w:p w14:paraId="174E48D9" w14:textId="77777777" w:rsidR="000B173B" w:rsidRPr="00EA3900" w:rsidRDefault="000B173B" w:rsidP="00A15226">
            <w:pPr>
              <w:pStyle w:val="Tabletext"/>
              <w:rPr>
                <w:rFonts w:cs="Arial"/>
                <w:szCs w:val="18"/>
              </w:rPr>
            </w:pPr>
            <w:r w:rsidRPr="00EA3900">
              <w:rPr>
                <w:rFonts w:cs="Arial"/>
                <w:szCs w:val="18"/>
              </w:rPr>
              <w:lastRenderedPageBreak/>
              <w:t xml:space="preserve">The species primarily occurs within temperate eucalypt forests and woodlands. In the summer, Gang-Gang Cockatoos inhabit mature, wet sclerophyll forests, along with more open eucalypt assemblages, subalpine snow gum woodland, temperate rainforests, and regenerating forests. In winter, the species inhabits woodlands at drier, lower altitudes- often occurring in more open eucalypt assemblages, along with suburban city areas. Foraging is mainly arboreal, and rarely occurs at shrub or ground level. The species feeds on flower buds, seed pods, and other plant matter from a wide range of native and introduced species </w:t>
            </w:r>
            <w:sdt>
              <w:sdtPr>
                <w:rPr>
                  <w:rFonts w:cs="Arial"/>
                  <w:color w:val="000000"/>
                  <w:szCs w:val="18"/>
                </w:rPr>
                <w:tag w:val="MENDELEY_CITATION_v3_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"/>
                <w:id w:val="-894277837"/>
                <w:placeholder>
                  <w:docPart w:val="339B7D746526864D922760336FCFE603"/>
                </w:placeholder>
              </w:sdtPr>
              <w:sdtEndPr>
                <w:rPr>
                  <w:rFonts w:cs="Times New Roman"/>
                  <w:szCs w:val="20"/>
                </w:rPr>
              </w:sdtEndPr>
              <w:sdtContent>
                <w:r w:rsidRPr="002F46CE">
                  <w:rPr>
                    <w:color w:val="000000"/>
                  </w:rPr>
                  <w:t>(DAWE, 2022a)</w:t>
                </w:r>
              </w:sdtContent>
            </w:sdt>
            <w:r w:rsidRPr="00EA3900">
              <w:rPr>
                <w:rFonts w:cs="Arial"/>
                <w:szCs w:val="18"/>
              </w:rPr>
              <w:t>.</w:t>
            </w:r>
          </w:p>
          <w:p w14:paraId="314D7763" w14:textId="77777777" w:rsidR="000B173B" w:rsidRPr="00EA3900" w:rsidRDefault="000B173B" w:rsidP="00A15226">
            <w:pPr>
              <w:pStyle w:val="Tabletext"/>
              <w:rPr>
                <w:rFonts w:cs="Arial"/>
                <w:szCs w:val="18"/>
              </w:rPr>
            </w:pPr>
            <w:r w:rsidRPr="00EA3900">
              <w:rPr>
                <w:rFonts w:cs="Arial"/>
                <w:szCs w:val="18"/>
              </w:rPr>
              <w:t xml:space="preserve">Threats to the species include inappropriate fire regimes, climate change (including warmer weather and altered rainfall), competition for nest follows with other species, nest predation by the Common Brushtail Possum, Psittacine beak and feather disease, and habitat loss and degradation </w:t>
            </w:r>
            <w:sdt>
              <w:sdtPr>
                <w:rPr>
                  <w:rFonts w:cs="Arial"/>
                  <w:color w:val="000000"/>
                  <w:szCs w:val="18"/>
                </w:rPr>
                <w:tag w:val="MENDELEY_CITATION_v3_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"/>
                <w:id w:val="1099366039"/>
                <w:placeholder>
                  <w:docPart w:val="339B7D746526864D922760336FCFE603"/>
                </w:placeholder>
              </w:sdtPr>
              <w:sdtEndPr>
                <w:rPr>
                  <w:rFonts w:cs="Times New Roman"/>
                  <w:szCs w:val="20"/>
                </w:rPr>
              </w:sdtEndPr>
              <w:sdtContent>
                <w:r w:rsidRPr="002F46CE">
                  <w:rPr>
                    <w:color w:val="000000"/>
                  </w:rPr>
                  <w:t>(DAWE, 2022a)</w:t>
                </w:r>
              </w:sdtContent>
            </w:sdt>
            <w:r w:rsidRPr="00EA3900">
              <w:rPr>
                <w:rFonts w:cs="Arial"/>
                <w:szCs w:val="18"/>
              </w:rPr>
              <w:t xml:space="preserve">. </w:t>
            </w:r>
          </w:p>
          <w:p w14:paraId="03E9E08B" w14:textId="77777777" w:rsidR="000B173B" w:rsidRPr="00EA3900" w:rsidRDefault="000B173B" w:rsidP="00A15226">
            <w:pPr>
              <w:pStyle w:val="Tabletext"/>
            </w:pPr>
            <w:r w:rsidRPr="00EA3900">
              <w:t>The species has not been recorded within the Growth Areas. Given that the species</w:t>
            </w:r>
            <w:r w:rsidRPr="00EA3900">
              <w:rPr>
                <w:rFonts w:cs="Arial"/>
                <w:szCs w:val="18"/>
              </w:rPr>
              <w:t xml:space="preserve"> is strongly associated with woodlands and forests</w:t>
            </w:r>
            <w:r w:rsidRPr="00EA3900">
              <w:t>, nesting in tree hollows and foraging mainly arboreally, it is considered unlikely that the species would utilise grassland habitat of the Growth Areas. Direct impacts are therefore considered unlikely.</w:t>
            </w:r>
          </w:p>
          <w:p w14:paraId="3E57E43A" w14:textId="77777777" w:rsidR="000B173B" w:rsidRPr="00494A18" w:rsidRDefault="000B173B" w:rsidP="00A15226">
            <w:pPr>
              <w:pStyle w:val="Tabletext"/>
              <w:rPr>
                <w:rFonts w:cs="Arial"/>
                <w:szCs w:val="18"/>
                <w:highlight w:val="yellow"/>
              </w:rPr>
            </w:pPr>
            <w:r w:rsidRPr="00EA3900">
              <w:rPr>
                <w:rFonts w:cs="Arial"/>
                <w:szCs w:val="18"/>
              </w:rPr>
              <w:t>There are 514 records of the species within the Study Area, most of which occur near to the Barwon River in the centre of Geelong in urban areas. Urban-based threats are already present within this environment. It is considered unlikely that development under the Plan would exacerbate existing landscape threats to the species which are present in these environments.</w:t>
            </w:r>
          </w:p>
        </w:tc>
      </w:tr>
      <w:tr w:rsidR="000B173B" w14:paraId="4B9957FE" w14:textId="77777777" w:rsidTr="00A15226">
        <w:tc>
          <w:tcPr>
            <w:tcW w:w="1480" w:type="dxa"/>
            <w:tcBorders>
              <w:bottom w:val="single" w:sz="4" w:space="0" w:color="auto"/>
            </w:tcBorders>
            <w:vAlign w:val="center"/>
          </w:tcPr>
          <w:p w14:paraId="1522D5D9" w14:textId="77777777" w:rsidR="000B173B" w:rsidRPr="00B83DE7" w:rsidRDefault="000B173B" w:rsidP="00A15226">
            <w:pPr>
              <w:pStyle w:val="Tabletext"/>
              <w:rPr>
                <w:rFonts w:cs="Arial"/>
                <w:i/>
                <w:iCs/>
                <w:szCs w:val="18"/>
              </w:rPr>
            </w:pPr>
            <w:r w:rsidRPr="00B83DE7">
              <w:rPr>
                <w:rFonts w:cs="Arial"/>
                <w:i/>
                <w:iCs/>
                <w:szCs w:val="18"/>
              </w:rPr>
              <w:lastRenderedPageBreak/>
              <w:t>Charadrius leschenaultii</w:t>
            </w:r>
          </w:p>
        </w:tc>
        <w:tc>
          <w:tcPr>
            <w:tcW w:w="1353" w:type="dxa"/>
            <w:tcBorders>
              <w:bottom w:val="single" w:sz="4" w:space="0" w:color="auto"/>
            </w:tcBorders>
            <w:vAlign w:val="center"/>
          </w:tcPr>
          <w:p w14:paraId="7472A152" w14:textId="77777777" w:rsidR="000B173B" w:rsidRPr="00B83DE7" w:rsidRDefault="000B173B" w:rsidP="00A15226">
            <w:pPr>
              <w:pStyle w:val="Tabletext"/>
              <w:rPr>
                <w:rFonts w:cs="Arial"/>
                <w:szCs w:val="18"/>
              </w:rPr>
            </w:pPr>
            <w:r w:rsidRPr="00B83DE7">
              <w:rPr>
                <w:rFonts w:cs="Arial"/>
                <w:szCs w:val="18"/>
              </w:rPr>
              <w:t>Greater Sand Plover</w:t>
            </w:r>
          </w:p>
        </w:tc>
        <w:tc>
          <w:tcPr>
            <w:tcW w:w="1235" w:type="dxa"/>
            <w:tcBorders>
              <w:bottom w:val="single" w:sz="4" w:space="0" w:color="auto"/>
            </w:tcBorders>
            <w:vAlign w:val="center"/>
          </w:tcPr>
          <w:p w14:paraId="6CA3CF88"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635D8146" w14:textId="77777777" w:rsidR="000B173B" w:rsidRPr="00AC3FED" w:rsidRDefault="000B173B" w:rsidP="00A15226">
            <w:pPr>
              <w:pStyle w:val="Tabletext"/>
              <w:jc w:val="center"/>
              <w:rPr>
                <w:highlight w:val="yellow"/>
              </w:rPr>
            </w:pPr>
            <w:r w:rsidRPr="007366A4">
              <w:t>Yes</w:t>
            </w:r>
          </w:p>
        </w:tc>
        <w:tc>
          <w:tcPr>
            <w:tcW w:w="9072" w:type="dxa"/>
            <w:tcBorders>
              <w:bottom w:val="single" w:sz="4" w:space="0" w:color="auto"/>
            </w:tcBorders>
            <w:vAlign w:val="center"/>
          </w:tcPr>
          <w:p w14:paraId="153557CA" w14:textId="77777777" w:rsidR="000B173B" w:rsidRDefault="000B173B" w:rsidP="00A15226">
            <w:pPr>
              <w:pStyle w:val="Tabletext"/>
            </w:pPr>
            <w:r w:rsidRPr="00B83DE7">
              <w:rPr>
                <w:rFonts w:cs="Arial"/>
                <w:i/>
                <w:iCs/>
                <w:szCs w:val="18"/>
              </w:rPr>
              <w:t>Charadrius leschenaultii</w:t>
            </w:r>
            <w:r w:rsidRPr="004B39E0">
              <w:t xml:space="preserve"> </w:t>
            </w:r>
            <w:r>
              <w:t>(</w:t>
            </w:r>
            <w:r w:rsidRPr="004B39E0">
              <w:t>Greater Sand Plover</w:t>
            </w:r>
            <w:r>
              <w:t>)</w:t>
            </w:r>
            <w:r w:rsidRPr="004B39E0">
              <w:t xml:space="preserve"> is a shorebird that breeds in the Northern Hemisphere and migrates south during non-breeding periods. </w:t>
            </w:r>
          </w:p>
          <w:p w14:paraId="3A758F70" w14:textId="77777777" w:rsidR="000B173B" w:rsidRDefault="000B173B" w:rsidP="00A15226">
            <w:pPr>
              <w:pStyle w:val="Tabletext"/>
              <w:rPr>
                <w:szCs w:val="18"/>
              </w:rPr>
            </w:pPr>
            <w:r>
              <w:t>The</w:t>
            </w:r>
            <w:r w:rsidRPr="004B39E0">
              <w:t xml:space="preserve"> </w:t>
            </w:r>
            <w:r>
              <w:t>species</w:t>
            </w:r>
            <w:r w:rsidRPr="004B39E0">
              <w:t xml:space="preserve"> is widespread across Australia</w:t>
            </w:r>
            <w:r>
              <w:t xml:space="preserve"> and is most common in </w:t>
            </w:r>
            <w:r w:rsidRPr="004B39E0">
              <w:t>northern Australia</w:t>
            </w:r>
            <w:r>
              <w:t xml:space="preserve"> </w:t>
            </w:r>
            <w:sdt>
              <w:sdtPr>
                <w:rPr>
                  <w:color w:val="000000"/>
                </w:rPr>
                <w:tag w:val="MENDELEY_CITATION_v3_eyJjaXRhdGlvbklEIjoiTUVOREVMRVlfQ0lUQVRJT05fMjAzNzFkZmQtZWNhYy00MTkyLTgxZTgtZThiZmFhNzNiYTcz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1989198635"/>
                <w:placeholder>
                  <w:docPart w:val="339B7D746526864D922760336FCFE603"/>
                </w:placeholder>
              </w:sdtPr>
              <w:sdtContent>
                <w:r w:rsidRPr="002F46CE">
                  <w:rPr>
                    <w:color w:val="000000"/>
                  </w:rPr>
                  <w:t>(TSSC, 2016d)</w:t>
                </w:r>
              </w:sdtContent>
            </w:sdt>
            <w:r w:rsidRPr="0023049C">
              <w:rPr>
                <w:szCs w:val="18"/>
              </w:rPr>
              <w:t>.</w:t>
            </w:r>
          </w:p>
          <w:p w14:paraId="4B0C9839" w14:textId="77777777" w:rsidR="000B173B" w:rsidRDefault="000B173B" w:rsidP="00A15226">
            <w:pPr>
              <w:pStyle w:val="Tabletext"/>
            </w:pPr>
            <w:r>
              <w:rPr>
                <w:szCs w:val="18"/>
              </w:rPr>
              <w:t xml:space="preserve">In Australia, the species is almost entirely coastal. </w:t>
            </w:r>
            <w:r w:rsidRPr="0023049C">
              <w:t xml:space="preserve">It inhabits sheltered beaches, intertidal mudflats, sandbanks, salt marshes, estuaries, coral reefs, rocky islands or platforms, tidal lagoons and dunes near the coast. </w:t>
            </w:r>
            <w:r>
              <w:t>Foraging typically occurs</w:t>
            </w:r>
            <w:r w:rsidRPr="0023049C">
              <w:t xml:space="preserve"> in wet sand or mud, and roost on sand-spits or high on banks near beaches </w:t>
            </w:r>
            <w:sdt>
              <w:sdtPr>
                <w:rPr>
                  <w:color w:val="000000"/>
                </w:rPr>
                <w:tag w:val="MENDELEY_CITATION_v3_eyJjaXRhdGlvbklEIjoiTUVOREVMRVlfQ0lUQVRJT05fNWU0Y2Y0ZjgtMjUxMS00YTc3LTkzZTItMzFmY2MxMjRkOWRh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377745129"/>
                <w:placeholder>
                  <w:docPart w:val="339B7D746526864D922760336FCFE603"/>
                </w:placeholder>
              </w:sdtPr>
              <w:sdtContent>
                <w:r w:rsidRPr="002F46CE">
                  <w:rPr>
                    <w:color w:val="000000"/>
                  </w:rPr>
                  <w:t>(TSSC, 2016d)</w:t>
                </w:r>
              </w:sdtContent>
            </w:sdt>
            <w:r w:rsidRPr="0023049C">
              <w:t>.</w:t>
            </w:r>
          </w:p>
          <w:p w14:paraId="3D38A90F" w14:textId="77777777" w:rsidR="000B173B" w:rsidRDefault="000B173B" w:rsidP="00A15226">
            <w:pPr>
              <w:pStyle w:val="Tabletext"/>
            </w:pPr>
            <w:r>
              <w:t xml:space="preserve">The most recent estimate of the </w:t>
            </w:r>
            <w:r w:rsidRPr="0023049C">
              <w:t>East Asian-Australasia Flyway</w:t>
            </w:r>
            <w:r>
              <w:t xml:space="preserve"> population of the Greater Sand Plover is between 200,000 – 300,000 individuals </w:t>
            </w:r>
            <w:sdt>
              <w:sdtPr>
                <w:tag w:val="MENDELEY_CITATION_v3_eyJjaXRhdGlvbklEIjoiTUVOREVMRVlfQ0lUQVRJT05fZDU1NTkxMTItMzVjNS00MThiLThkYWMtMGM2ODNhZTUxYWRlIiwicHJvcGVydGllcyI6eyJub3RlSW5kZXgiOjB9LCJpc0VkaXRlZCI6ZmFsc2UsIm1hbnVhbE92ZXJyaWRlIjp7ImNpdGVwcm9jVGV4dCI6IihIYW5zZW4gPGk+ZXQgYWwuPC9pPiwgMjAxNikiLCJpc01hbnVhbGx5T3ZlcnJpZGRlbiI6ZmFsc2UsIm1hbnVhbE92ZXJyaWRlVGV4dCI6IiJ9LCJjaXRhdGlvbkl0ZW1zIjpb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310257441"/>
                <w:placeholder>
                  <w:docPart w:val="339B7D746526864D922760336FCFE603"/>
                </w:placeholder>
              </w:sdtPr>
              <w:sdtContent>
                <w:r>
                  <w:rPr>
                    <w:rFonts w:eastAsia="Times New Roman"/>
                  </w:rPr>
                  <w:t xml:space="preserve">(Hansen </w:t>
                </w:r>
                <w:r>
                  <w:rPr>
                    <w:rFonts w:eastAsia="Times New Roman"/>
                    <w:i/>
                    <w:iCs/>
                  </w:rPr>
                  <w:t>et al.</w:t>
                </w:r>
                <w:r>
                  <w:rPr>
                    <w:rFonts w:eastAsia="Times New Roman"/>
                  </w:rPr>
                  <w:t>, 2016)</w:t>
                </w:r>
              </w:sdtContent>
            </w:sdt>
            <w:r>
              <w:t>.</w:t>
            </w:r>
            <w:r w:rsidRPr="0023049C">
              <w:rPr>
                <w:szCs w:val="18"/>
              </w:rPr>
              <w:t xml:space="preserve"> Only the subspecies </w:t>
            </w:r>
            <w:r w:rsidRPr="0023049C">
              <w:rPr>
                <w:i/>
                <w:iCs/>
                <w:szCs w:val="18"/>
              </w:rPr>
              <w:t>C. l. leschenaulti</w:t>
            </w:r>
            <w:r>
              <w:rPr>
                <w:i/>
                <w:iCs/>
                <w:szCs w:val="18"/>
              </w:rPr>
              <w:t>i</w:t>
            </w:r>
            <w:r w:rsidRPr="0023049C">
              <w:rPr>
                <w:i/>
                <w:iCs/>
                <w:szCs w:val="18"/>
              </w:rPr>
              <w:t xml:space="preserve"> </w:t>
            </w:r>
            <w:r w:rsidRPr="0023049C">
              <w:rPr>
                <w:szCs w:val="18"/>
              </w:rPr>
              <w:t>occurs in Australia. Almost three quarters of th</w:t>
            </w:r>
            <w:r>
              <w:rPr>
                <w:szCs w:val="18"/>
              </w:rPr>
              <w:t>is</w:t>
            </w:r>
            <w:r w:rsidRPr="0023049C">
              <w:rPr>
                <w:szCs w:val="18"/>
              </w:rPr>
              <w:t xml:space="preserve"> subspecies </w:t>
            </w:r>
            <w:r>
              <w:rPr>
                <w:szCs w:val="18"/>
              </w:rPr>
              <w:t>migrates to Australia when not breeding</w:t>
            </w:r>
            <w:r w:rsidRPr="0023049C">
              <w:rPr>
                <w:iCs/>
              </w:rPr>
              <w:t xml:space="preserve"> </w:t>
            </w:r>
            <w:sdt>
              <w:sdtPr>
                <w:rPr>
                  <w:iCs/>
                  <w:color w:val="000000"/>
                </w:rPr>
                <w:tag w:val="MENDELEY_CITATION_v3_eyJjaXRhdGlvbklEIjoiTUVOREVMRVlfQ0lUQVRJT05fMmQ5MDg2NDMtOWQ1YS00MzEwLWFmOTAtYjVlMmUzZjY5Yzlk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1056307851"/>
                <w:placeholder>
                  <w:docPart w:val="339B7D746526864D922760336FCFE603"/>
                </w:placeholder>
              </w:sdtPr>
              <w:sdtEndPr>
                <w:rPr>
                  <w:iCs w:val="0"/>
                </w:rPr>
              </w:sdtEndPr>
              <w:sdtContent>
                <w:r w:rsidRPr="002F46CE">
                  <w:rPr>
                    <w:color w:val="000000"/>
                  </w:rPr>
                  <w:t>(TSSC, 2016d)</w:t>
                </w:r>
              </w:sdtContent>
            </w:sdt>
            <w:r w:rsidRPr="0023049C">
              <w:rPr>
                <w:szCs w:val="18"/>
              </w:rPr>
              <w:t>.</w:t>
            </w:r>
          </w:p>
          <w:p w14:paraId="41BA82EF" w14:textId="77777777" w:rsidR="000B173B" w:rsidRDefault="000B173B" w:rsidP="00A15226">
            <w:pPr>
              <w:pStyle w:val="Tabletext"/>
            </w:pPr>
            <w:r>
              <w:t xml:space="preserve">Threats to the species within Australia include human disturbance, pollution and changes to the water regime, and invasive plants </w:t>
            </w:r>
            <w:sdt>
              <w:sdtPr>
                <w:rPr>
                  <w:color w:val="000000"/>
                </w:rPr>
                <w:tag w:val="MENDELEY_CITATION_v3_eyJjaXRhdGlvbklEIjoiTUVOREVMRVlfQ0lUQVRJT05fYThiNjA0M2ItZjk0ZS00NDU4LWFlNmEtYmVkOTcxZGYzNjIy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1797337518"/>
                <w:placeholder>
                  <w:docPart w:val="339B7D746526864D922760336FCFE603"/>
                </w:placeholder>
              </w:sdtPr>
              <w:sdtContent>
                <w:r w:rsidRPr="002F46CE">
                  <w:rPr>
                    <w:color w:val="000000"/>
                  </w:rPr>
                  <w:t>(TSSC, 2016d)</w:t>
                </w:r>
              </w:sdtContent>
            </w:sdt>
            <w:r>
              <w:t>.</w:t>
            </w:r>
          </w:p>
          <w:p w14:paraId="2B3DE68A"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00C1FC33" w14:textId="77777777" w:rsidR="000B173B" w:rsidRDefault="000B173B" w:rsidP="00A15226">
            <w:pPr>
              <w:pStyle w:val="Tabletext"/>
            </w:pPr>
            <w:r>
              <w:lastRenderedPageBreak/>
              <w:t xml:space="preserve">There are 15 records of the species within the Study Area, scattered along the coastline of Port Phillip and downstream associated with the Lake Connewarre Complex (part of the Port Philip Bay (Western Shoreline) and Bellarine Peninsula Ramsar site). </w:t>
            </w:r>
            <w:r w:rsidRPr="00AA1973">
              <w:t xml:space="preserve">The </w:t>
            </w:r>
            <w:r>
              <w:t>Greater Sand Plover</w:t>
            </w:r>
            <w:r w:rsidRPr="00AA1973">
              <w:t xml:space="preserve"> is identified as part of the Ramsar listing criteria for the Ramsar </w:t>
            </w:r>
            <w:r>
              <w:t>s</w:t>
            </w:r>
            <w:r w:rsidRPr="00AA1973">
              <w:t>ite</w:t>
            </w:r>
            <w:r>
              <w:t xml:space="preserve"> </w:t>
            </w:r>
            <w:sdt>
              <w:sdtPr>
                <w:rPr>
                  <w:color w:val="000000"/>
                </w:rPr>
                <w:tag w:val="MENDELEY_CITATION_v3_eyJjaXRhdGlvbklEIjoiTUVOREVMRVlfQ0lUQVRJT05fOTdjZDYzYWUtZTg2ZC00NWI0LWJhY2ItOTlkZTEzMzM1M2M3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066487570"/>
                <w:placeholder>
                  <w:docPart w:val="339B7D746526864D922760336FCFE603"/>
                </w:placeholder>
              </w:sdtPr>
              <w:sdtContent>
                <w:r w:rsidRPr="002F46CE">
                  <w:rPr>
                    <w:color w:val="000000"/>
                  </w:rPr>
                  <w:t>(DELWP, 2020)</w:t>
                </w:r>
              </w:sdtContent>
            </w:sdt>
            <w:r>
              <w:t>.</w:t>
            </w:r>
          </w:p>
          <w:p w14:paraId="2CF4EF9E" w14:textId="77777777" w:rsidR="000B173B" w:rsidRDefault="000B173B" w:rsidP="00A15226">
            <w:pPr>
              <w:pStyle w:val="Tabletext"/>
            </w:pPr>
            <w:r w:rsidRPr="00596550">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Greater Sand Plover.</w:t>
            </w:r>
          </w:p>
        </w:tc>
      </w:tr>
      <w:tr w:rsidR="000B173B" w14:paraId="5F55A715" w14:textId="77777777" w:rsidTr="00A15226">
        <w:tc>
          <w:tcPr>
            <w:tcW w:w="1480" w:type="dxa"/>
            <w:tcBorders>
              <w:bottom w:val="single" w:sz="4" w:space="0" w:color="auto"/>
            </w:tcBorders>
            <w:vAlign w:val="center"/>
          </w:tcPr>
          <w:p w14:paraId="54D17736" w14:textId="77777777" w:rsidR="000B173B" w:rsidRPr="00B83DE7" w:rsidRDefault="000B173B" w:rsidP="00A15226">
            <w:pPr>
              <w:pStyle w:val="Tabletext"/>
              <w:rPr>
                <w:rFonts w:cs="Arial"/>
                <w:i/>
                <w:iCs/>
                <w:szCs w:val="18"/>
              </w:rPr>
            </w:pPr>
            <w:r w:rsidRPr="00B83DE7">
              <w:rPr>
                <w:rFonts w:cs="Arial"/>
                <w:i/>
                <w:iCs/>
                <w:szCs w:val="18"/>
              </w:rPr>
              <w:lastRenderedPageBreak/>
              <w:t>Charadrius mongolus</w:t>
            </w:r>
          </w:p>
        </w:tc>
        <w:tc>
          <w:tcPr>
            <w:tcW w:w="1353" w:type="dxa"/>
            <w:tcBorders>
              <w:bottom w:val="single" w:sz="4" w:space="0" w:color="auto"/>
            </w:tcBorders>
            <w:vAlign w:val="center"/>
          </w:tcPr>
          <w:p w14:paraId="02D7433D" w14:textId="77777777" w:rsidR="000B173B" w:rsidRPr="00B83DE7" w:rsidRDefault="000B173B" w:rsidP="00A15226">
            <w:pPr>
              <w:pStyle w:val="Tabletext"/>
              <w:rPr>
                <w:rFonts w:cs="Arial"/>
                <w:szCs w:val="18"/>
              </w:rPr>
            </w:pPr>
            <w:r w:rsidRPr="00B83DE7">
              <w:rPr>
                <w:rFonts w:cs="Arial"/>
                <w:szCs w:val="18"/>
              </w:rPr>
              <w:t>Lesser Sand Plover</w:t>
            </w:r>
          </w:p>
        </w:tc>
        <w:tc>
          <w:tcPr>
            <w:tcW w:w="1235" w:type="dxa"/>
            <w:tcBorders>
              <w:bottom w:val="single" w:sz="4" w:space="0" w:color="auto"/>
            </w:tcBorders>
            <w:vAlign w:val="center"/>
          </w:tcPr>
          <w:p w14:paraId="173B2EDD" w14:textId="77777777" w:rsidR="000B173B" w:rsidRPr="00B83DE7" w:rsidRDefault="000B173B" w:rsidP="00A15226">
            <w:pPr>
              <w:pStyle w:val="Tabletext"/>
              <w:rPr>
                <w:rFonts w:cs="Arial"/>
                <w:szCs w:val="18"/>
              </w:rPr>
            </w:pPr>
            <w:r w:rsidRPr="00B83DE7">
              <w:rPr>
                <w:rFonts w:cs="Arial"/>
                <w:szCs w:val="18"/>
              </w:rPr>
              <w:t xml:space="preserve">Endangered, marine, migratory </w:t>
            </w:r>
          </w:p>
        </w:tc>
        <w:tc>
          <w:tcPr>
            <w:tcW w:w="1177" w:type="dxa"/>
            <w:tcBorders>
              <w:bottom w:val="single" w:sz="4" w:space="0" w:color="auto"/>
            </w:tcBorders>
            <w:vAlign w:val="center"/>
          </w:tcPr>
          <w:p w14:paraId="54819480" w14:textId="77777777" w:rsidR="000B173B" w:rsidRPr="00AC3FED" w:rsidRDefault="000B173B" w:rsidP="00A15226">
            <w:pPr>
              <w:pStyle w:val="Tabletext"/>
              <w:jc w:val="center"/>
              <w:rPr>
                <w:highlight w:val="yellow"/>
              </w:rPr>
            </w:pPr>
            <w:r w:rsidRPr="00BC6F8D">
              <w:t>Yes</w:t>
            </w:r>
          </w:p>
        </w:tc>
        <w:tc>
          <w:tcPr>
            <w:tcW w:w="9072" w:type="dxa"/>
            <w:tcBorders>
              <w:bottom w:val="single" w:sz="4" w:space="0" w:color="auto"/>
            </w:tcBorders>
            <w:vAlign w:val="center"/>
          </w:tcPr>
          <w:p w14:paraId="0A2AD688" w14:textId="77777777" w:rsidR="000B173B" w:rsidRDefault="000B173B" w:rsidP="00A15226">
            <w:pPr>
              <w:pStyle w:val="Tabletext"/>
            </w:pPr>
            <w:r w:rsidRPr="00B83DE7">
              <w:rPr>
                <w:rFonts w:cs="Arial"/>
                <w:i/>
                <w:iCs/>
                <w:szCs w:val="18"/>
              </w:rPr>
              <w:t>Charadrius mongolus</w:t>
            </w:r>
            <w:r w:rsidRPr="004B39E0">
              <w:t xml:space="preserve"> </w:t>
            </w:r>
            <w:r>
              <w:t>(</w:t>
            </w:r>
            <w:r w:rsidRPr="004B39E0">
              <w:t>Lesser Sand Plover</w:t>
            </w:r>
            <w:r>
              <w:t>)</w:t>
            </w:r>
            <w:r w:rsidRPr="004B39E0">
              <w:t xml:space="preserve"> is a shorebird that breeds in the Northern Hemisphere and migrates south during non-breeding periods. </w:t>
            </w:r>
            <w:r>
              <w:t xml:space="preserve">Within Australia, the Lesser Sand Plover has been recorded in all states, although it mostly occurs in northern and eastern Australia </w:t>
            </w:r>
            <w:sdt>
              <w:sdtPr>
                <w:rPr>
                  <w:color w:val="000000"/>
                </w:rPr>
                <w:tag w:val="MENDELEY_CITATION_v3_eyJjaXRhdGlvbklEIjoiTUVOREVMRVlfQ0lUQVRJT05fNTNiYWJlYjEtOWViNi00ZThkLTgxMWYtNzMzM2EyNmQ0NDRj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2045888645"/>
                <w:placeholder>
                  <w:docPart w:val="339B7D746526864D922760336FCFE603"/>
                </w:placeholder>
              </w:sdtPr>
              <w:sdtContent>
                <w:r w:rsidRPr="002F46CE">
                  <w:rPr>
                    <w:color w:val="000000"/>
                  </w:rPr>
                  <w:t>(TSSC, 2016e)</w:t>
                </w:r>
              </w:sdtContent>
            </w:sdt>
            <w:r>
              <w:t>.</w:t>
            </w:r>
          </w:p>
          <w:p w14:paraId="2874E5B1" w14:textId="77777777" w:rsidR="000B173B" w:rsidRDefault="000B173B" w:rsidP="00A15226">
            <w:pPr>
              <w:pStyle w:val="Tabletext"/>
            </w:pPr>
            <w:r>
              <w:t xml:space="preserve">In Australia, the species is almost strictly coastal and prefers sandy beaches, mudflats of coastal bays and estuaries, sand flats and dunes near the coast, and occasionally mangrove mudflats. Foraging mostly occurs at intertidal sandflats and mudflats in estuaries or beaches or in shallow ponds. Occasional foraging may occur in other coastal and aquatic habitats. Roosting occurs on beaches, banks, spits and banks of sand or shells </w:t>
            </w:r>
            <w:sdt>
              <w:sdtPr>
                <w:rPr>
                  <w:color w:val="000000"/>
                </w:rPr>
                <w:tag w:val="MENDELEY_CITATION_v3_eyJjaXRhdGlvbklEIjoiTUVOREVMRVlfQ0lUQVRJT05fZDdmM2Q2YTgtNjJiZS00NjQ3LWE3MGUtYjFhZGI0MGM4MzJl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666625254"/>
                <w:placeholder>
                  <w:docPart w:val="339B7D746526864D922760336FCFE603"/>
                </w:placeholder>
              </w:sdtPr>
              <w:sdtContent>
                <w:r w:rsidRPr="002F46CE">
                  <w:rPr>
                    <w:color w:val="000000"/>
                  </w:rPr>
                  <w:t>(TSSC, 2016e)</w:t>
                </w:r>
              </w:sdtContent>
            </w:sdt>
            <w:r>
              <w:t>.</w:t>
            </w:r>
          </w:p>
          <w:p w14:paraId="279C7950" w14:textId="77777777" w:rsidR="000B173B" w:rsidRDefault="000B173B" w:rsidP="00A15226">
            <w:pPr>
              <w:pStyle w:val="Tabletext"/>
            </w:pPr>
            <w:r>
              <w:t xml:space="preserve">The most recent population estimate of the species present in the East Asian-Australasian Flyway is 180,000 – 275,000 </w:t>
            </w:r>
            <w:sdt>
              <w:sdtPr>
                <w:tag w:val="MENDELEY_CITATION_v3_eyJjaXRhdGlvbklEIjoiTUVOREVMRVlfQ0lUQVRJT05fZTJhMTY0YzgtYjE1Yi00ZmRkLWFmYjAtNmRmNDcyZWQyNTJhIiwicHJvcGVydGllcyI6eyJub3RlSW5kZXgiOjB9LCJpc0VkaXRlZCI6ZmFsc2UsIm1hbnVhbE92ZXJyaWRlIjp7ImNpdGVwcm9jVGV4dCI6IihIYW5zZW4gPGk+ZXQgYWwuPC9pPiwgMjAxNikiLCJpc01hbnVhbGx5T3ZlcnJpZGRlbiI6ZmFsc2UsIm1hbnVhbE92ZXJyaWRlVGV4dCI6IiJ9LCJjaXRhdGlvbkl0ZW1zIjpb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859736855"/>
                <w:placeholder>
                  <w:docPart w:val="339B7D746526864D922760336FCFE603"/>
                </w:placeholder>
              </w:sdtPr>
              <w:sdtContent>
                <w:r>
                  <w:rPr>
                    <w:rFonts w:eastAsia="Times New Roman"/>
                  </w:rPr>
                  <w:t xml:space="preserve">(Hansen </w:t>
                </w:r>
                <w:r>
                  <w:rPr>
                    <w:rFonts w:eastAsia="Times New Roman"/>
                    <w:i/>
                    <w:iCs/>
                  </w:rPr>
                  <w:t>et al.</w:t>
                </w:r>
                <w:r>
                  <w:rPr>
                    <w:rFonts w:eastAsia="Times New Roman"/>
                  </w:rPr>
                  <w:t>, 2016)</w:t>
                </w:r>
              </w:sdtContent>
            </w:sdt>
            <w:r>
              <w:t xml:space="preserve">. Four of the five subspecies occur in the East Asian-Australasian Flyway, of these, two occur in Australia during the non-breeding season including </w:t>
            </w:r>
            <w:r>
              <w:rPr>
                <w:i/>
                <w:iCs/>
              </w:rPr>
              <w:t xml:space="preserve">Charadrius mongolus </w:t>
            </w:r>
            <w:r>
              <w:t xml:space="preserve">subsp. </w:t>
            </w:r>
            <w:r>
              <w:rPr>
                <w:i/>
                <w:iCs/>
              </w:rPr>
              <w:t>mongolus</w:t>
            </w:r>
            <w:r>
              <w:t xml:space="preserve">, and </w:t>
            </w:r>
            <w:r>
              <w:rPr>
                <w:i/>
                <w:iCs/>
              </w:rPr>
              <w:t xml:space="preserve">Charadrius mongolus </w:t>
            </w:r>
            <w:r>
              <w:t xml:space="preserve">subsp. </w:t>
            </w:r>
            <w:r>
              <w:rPr>
                <w:i/>
                <w:iCs/>
              </w:rPr>
              <w:t xml:space="preserve">stegmanni </w:t>
            </w:r>
            <w:sdt>
              <w:sdtPr>
                <w:rPr>
                  <w:iCs/>
                  <w:color w:val="000000"/>
                </w:rPr>
                <w:tag w:val="MENDELEY_CITATION_v3_eyJjaXRhdGlvbklEIjoiTUVOREVMRVlfQ0lUQVRJT05fYTM0YjEzMjAtMWI1Yi00MDZhLWFiOTUtMDM5YjY5YTM0OWQ4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277533109"/>
                <w:placeholder>
                  <w:docPart w:val="339B7D746526864D922760336FCFE603"/>
                </w:placeholder>
              </w:sdtPr>
              <w:sdtEndPr>
                <w:rPr>
                  <w:iCs w:val="0"/>
                </w:rPr>
              </w:sdtEndPr>
              <w:sdtContent>
                <w:r w:rsidRPr="002F46CE">
                  <w:rPr>
                    <w:color w:val="000000"/>
                  </w:rPr>
                  <w:t>(TSSC, 2016e)</w:t>
                </w:r>
              </w:sdtContent>
            </w:sdt>
            <w:r>
              <w:t>.</w:t>
            </w:r>
          </w:p>
          <w:p w14:paraId="38E6CCE0" w14:textId="77777777" w:rsidR="000B173B" w:rsidRDefault="000B173B" w:rsidP="00A15226">
            <w:pPr>
              <w:pStyle w:val="Tabletext"/>
            </w:pPr>
            <w:r>
              <w:t xml:space="preserve">Threats to the species in Australia include human disturbance, pollution and changes to the water regime, and invasive plants </w:t>
            </w:r>
            <w:sdt>
              <w:sdtPr>
                <w:rPr>
                  <w:color w:val="000000"/>
                </w:rPr>
                <w:tag w:val="MENDELEY_CITATION_v3_eyJjaXRhdGlvbklEIjoiTUVOREVMRVlfQ0lUQVRJT05fNzFhYjVlMjAtMWVkYi00MTk5LThkM2MtM2RhOGE2N2JjYmIz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019550293"/>
                <w:placeholder>
                  <w:docPart w:val="339B7D746526864D922760336FCFE603"/>
                </w:placeholder>
              </w:sdtPr>
              <w:sdtContent>
                <w:r w:rsidRPr="002F46CE">
                  <w:rPr>
                    <w:color w:val="000000"/>
                  </w:rPr>
                  <w:t>(TSSC, 2016e)</w:t>
                </w:r>
              </w:sdtContent>
            </w:sdt>
            <w:r w:rsidRPr="004B39E0">
              <w:t>.</w:t>
            </w:r>
          </w:p>
          <w:p w14:paraId="094E8CEA"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258090D3" w14:textId="77777777" w:rsidR="000B173B" w:rsidRDefault="000B173B" w:rsidP="00A15226">
            <w:pPr>
              <w:pStyle w:val="Tabletext"/>
            </w:pPr>
            <w:r>
              <w:t>There are 58 records of the species within the Study Area, associated with Port Phillip (including the coastline of the bay in addition to the body of the bay itself). The Lesser Sand Plover</w:t>
            </w:r>
            <w:r w:rsidRPr="00AA1973">
              <w:t xml:space="preserve"> is identified as part of the Ramsar listing criteria for the Port Phillip Bay (Western Shoreline) &amp; Bellarine Peninsula Ramsar Site</w:t>
            </w:r>
            <w:r>
              <w:t xml:space="preserve"> </w:t>
            </w:r>
            <w:sdt>
              <w:sdtPr>
                <w:rPr>
                  <w:color w:val="000000"/>
                </w:rPr>
                <w:tag w:val="MENDELEY_CITATION_v3_eyJjaXRhdGlvbklEIjoiTUVOREVMRVlfQ0lUQVRJT05fOGJkOTc2NzUtMzMzNC00NTkyLWFmNjYtYzdkNDVhMjg0ZTEy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232237292"/>
                <w:placeholder>
                  <w:docPart w:val="339B7D746526864D922760336FCFE603"/>
                </w:placeholder>
              </w:sdtPr>
              <w:sdtContent>
                <w:r w:rsidRPr="002F46CE">
                  <w:rPr>
                    <w:color w:val="000000"/>
                  </w:rPr>
                  <w:t>(DELWP, 2020)</w:t>
                </w:r>
              </w:sdtContent>
            </w:sdt>
            <w:r>
              <w:t>.</w:t>
            </w:r>
          </w:p>
          <w:p w14:paraId="5040C1BF" w14:textId="77777777" w:rsidR="000B173B" w:rsidRDefault="000B173B" w:rsidP="00A15226">
            <w:pPr>
              <w:pStyle w:val="Tabletext"/>
            </w:pPr>
            <w:r w:rsidRPr="00596550">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Lesser Sand Plover.</w:t>
            </w:r>
          </w:p>
        </w:tc>
      </w:tr>
      <w:tr w:rsidR="000B173B" w14:paraId="2B3E8DC4" w14:textId="77777777" w:rsidTr="00A15226">
        <w:tc>
          <w:tcPr>
            <w:tcW w:w="1480" w:type="dxa"/>
            <w:tcBorders>
              <w:bottom w:val="single" w:sz="4" w:space="0" w:color="auto"/>
            </w:tcBorders>
            <w:vAlign w:val="center"/>
          </w:tcPr>
          <w:p w14:paraId="73F7C3A4" w14:textId="77777777" w:rsidR="000B173B" w:rsidRPr="00B83DE7" w:rsidRDefault="000B173B" w:rsidP="00A15226">
            <w:pPr>
              <w:pStyle w:val="Tabletext"/>
              <w:rPr>
                <w:rFonts w:cs="Arial"/>
                <w:i/>
                <w:iCs/>
                <w:szCs w:val="18"/>
              </w:rPr>
            </w:pPr>
            <w:r w:rsidRPr="00B83DE7">
              <w:rPr>
                <w:rFonts w:cs="Arial"/>
                <w:i/>
                <w:iCs/>
                <w:szCs w:val="18"/>
              </w:rPr>
              <w:lastRenderedPageBreak/>
              <w:t>Diomedea antipodensis</w:t>
            </w:r>
          </w:p>
        </w:tc>
        <w:tc>
          <w:tcPr>
            <w:tcW w:w="1353" w:type="dxa"/>
            <w:tcBorders>
              <w:bottom w:val="single" w:sz="4" w:space="0" w:color="auto"/>
            </w:tcBorders>
            <w:vAlign w:val="center"/>
          </w:tcPr>
          <w:p w14:paraId="031963D1" w14:textId="77777777" w:rsidR="000B173B" w:rsidRPr="00B83DE7" w:rsidRDefault="000B173B" w:rsidP="00A15226">
            <w:pPr>
              <w:pStyle w:val="Tabletext"/>
              <w:rPr>
                <w:rFonts w:cs="Arial"/>
                <w:szCs w:val="18"/>
              </w:rPr>
            </w:pPr>
            <w:r w:rsidRPr="00B83DE7">
              <w:rPr>
                <w:rFonts w:cs="Arial"/>
                <w:szCs w:val="18"/>
              </w:rPr>
              <w:t>Antipodean Albatross</w:t>
            </w:r>
          </w:p>
        </w:tc>
        <w:tc>
          <w:tcPr>
            <w:tcW w:w="1235" w:type="dxa"/>
            <w:tcBorders>
              <w:bottom w:val="single" w:sz="4" w:space="0" w:color="auto"/>
            </w:tcBorders>
            <w:vAlign w:val="center"/>
          </w:tcPr>
          <w:p w14:paraId="0016F85C"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0C429414" w14:textId="77777777" w:rsidR="000B173B" w:rsidRPr="00AC3FED" w:rsidRDefault="000B173B" w:rsidP="00A15226">
            <w:pPr>
              <w:pStyle w:val="Tabletext"/>
              <w:jc w:val="center"/>
              <w:rPr>
                <w:highlight w:val="yellow"/>
              </w:rPr>
            </w:pPr>
            <w:r w:rsidRPr="00BC6F8D">
              <w:t>No</w:t>
            </w:r>
          </w:p>
        </w:tc>
        <w:tc>
          <w:tcPr>
            <w:tcW w:w="9072" w:type="dxa"/>
            <w:tcBorders>
              <w:bottom w:val="single" w:sz="4" w:space="0" w:color="auto"/>
            </w:tcBorders>
            <w:vAlign w:val="center"/>
          </w:tcPr>
          <w:p w14:paraId="713785A5" w14:textId="77777777" w:rsidR="000B173B" w:rsidRDefault="000B173B" w:rsidP="00A15226">
            <w:pPr>
              <w:pStyle w:val="Tabletext"/>
            </w:pPr>
            <w:r w:rsidRPr="00B83DE7">
              <w:rPr>
                <w:rFonts w:cs="Arial"/>
                <w:i/>
                <w:iCs/>
                <w:szCs w:val="18"/>
              </w:rPr>
              <w:t>Diomedea antipodensis</w:t>
            </w:r>
            <w:r w:rsidRPr="004B39E0">
              <w:t xml:space="preserve"> </w:t>
            </w:r>
            <w:r>
              <w:t>(</w:t>
            </w:r>
            <w:r w:rsidRPr="004B39E0">
              <w:t>Antipodean Albatross</w:t>
            </w:r>
            <w:r>
              <w:t>)</w:t>
            </w:r>
            <w:r w:rsidRPr="004B39E0">
              <w:t xml:space="preserve"> is considered a foraging species in that the bird forages, but does not breed, within areas under Australian jurisdiction. The species is endemic to New Zealand but forages widely off the coast of NSW. The albatross is marine, pelagic, and aerial. During non-breeding periods, the species rests and sleeps on the ocean. Its diet primarily consists of cephalopods, fish, and crustaceans. The population is estimated at 25,260</w:t>
            </w:r>
            <w:r>
              <w:t>. Main threats to the species include incidental catch (due to longline fishing, trawl fishing, and trolling operations and intentional shooting</w:t>
            </w:r>
            <w:r w:rsidRPr="004B39E0">
              <w:t xml:space="preserve"> </w:t>
            </w:r>
            <w:sdt>
              <w:sdtPr>
                <w:rPr>
                  <w:color w:val="000000"/>
                </w:rPr>
                <w:tag w:val="MENDELEY_CITATION_v3_eyJjaXRhdGlvbklEIjoiTUVOREVMRVlfQ0lUQVRJT05fNDlhMjE5ODQtN2Y1YS00ZDBkLWJkMDQtZmU5N2Y0OTNhZTk2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261528829"/>
                <w:placeholder>
                  <w:docPart w:val="339B7D746526864D922760336FCFE603"/>
                </w:placeholder>
              </w:sdtPr>
              <w:sdtContent>
                <w:r w:rsidRPr="002F46CE">
                  <w:rPr>
                    <w:color w:val="000000"/>
                  </w:rPr>
                  <w:t>(DCCEEW, 2022)</w:t>
                </w:r>
              </w:sdtContent>
            </w:sdt>
            <w:r w:rsidRPr="004B39E0">
              <w:t>.</w:t>
            </w:r>
          </w:p>
          <w:p w14:paraId="7A0EF79F" w14:textId="77777777" w:rsidR="000B173B" w:rsidRDefault="000B173B" w:rsidP="00A15226">
            <w:pPr>
              <w:pStyle w:val="Tabletext"/>
            </w:pPr>
            <w:r>
              <w:t>The species has not been recorded within the Study Area and will not be affected by development under the Plan.</w:t>
            </w:r>
          </w:p>
        </w:tc>
      </w:tr>
      <w:tr w:rsidR="000B173B" w14:paraId="08CA120E" w14:textId="77777777" w:rsidTr="00A15226">
        <w:tc>
          <w:tcPr>
            <w:tcW w:w="1480" w:type="dxa"/>
            <w:tcBorders>
              <w:bottom w:val="single" w:sz="4" w:space="0" w:color="auto"/>
            </w:tcBorders>
            <w:vAlign w:val="center"/>
          </w:tcPr>
          <w:p w14:paraId="19D16D8D" w14:textId="77777777" w:rsidR="000B173B" w:rsidRPr="00B83DE7" w:rsidRDefault="000B173B" w:rsidP="00A15226">
            <w:pPr>
              <w:pStyle w:val="Tabletext"/>
              <w:rPr>
                <w:rFonts w:cs="Arial"/>
                <w:i/>
                <w:iCs/>
                <w:szCs w:val="18"/>
              </w:rPr>
            </w:pPr>
            <w:r w:rsidRPr="00B83DE7">
              <w:rPr>
                <w:rFonts w:cs="Arial"/>
                <w:i/>
                <w:iCs/>
                <w:szCs w:val="18"/>
              </w:rPr>
              <w:t>Diomedea epomophora</w:t>
            </w:r>
          </w:p>
        </w:tc>
        <w:tc>
          <w:tcPr>
            <w:tcW w:w="1353" w:type="dxa"/>
            <w:tcBorders>
              <w:bottom w:val="single" w:sz="4" w:space="0" w:color="auto"/>
            </w:tcBorders>
            <w:vAlign w:val="center"/>
          </w:tcPr>
          <w:p w14:paraId="1264696E" w14:textId="77777777" w:rsidR="000B173B" w:rsidRPr="00B83DE7" w:rsidRDefault="000B173B" w:rsidP="00A15226">
            <w:pPr>
              <w:pStyle w:val="Tabletext"/>
              <w:rPr>
                <w:rFonts w:cs="Arial"/>
                <w:szCs w:val="18"/>
              </w:rPr>
            </w:pPr>
            <w:r w:rsidRPr="00B83DE7">
              <w:rPr>
                <w:rFonts w:cs="Arial"/>
                <w:szCs w:val="18"/>
              </w:rPr>
              <w:t>Southern Royal Albatross</w:t>
            </w:r>
          </w:p>
        </w:tc>
        <w:tc>
          <w:tcPr>
            <w:tcW w:w="1235" w:type="dxa"/>
            <w:tcBorders>
              <w:bottom w:val="single" w:sz="4" w:space="0" w:color="auto"/>
            </w:tcBorders>
            <w:vAlign w:val="center"/>
          </w:tcPr>
          <w:p w14:paraId="312D6512"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358B41A6" w14:textId="77777777" w:rsidR="000B173B" w:rsidRPr="00AC3FED" w:rsidRDefault="000B173B" w:rsidP="00A15226">
            <w:pPr>
              <w:pStyle w:val="Tabletext"/>
              <w:jc w:val="center"/>
              <w:rPr>
                <w:highlight w:val="yellow"/>
              </w:rPr>
            </w:pPr>
            <w:r w:rsidRPr="00BC6F8D">
              <w:t>No</w:t>
            </w:r>
          </w:p>
        </w:tc>
        <w:tc>
          <w:tcPr>
            <w:tcW w:w="9072" w:type="dxa"/>
            <w:tcBorders>
              <w:bottom w:val="single" w:sz="4" w:space="0" w:color="auto"/>
            </w:tcBorders>
            <w:vAlign w:val="center"/>
          </w:tcPr>
          <w:p w14:paraId="3A625C8A" w14:textId="77777777" w:rsidR="000B173B" w:rsidRDefault="000B173B" w:rsidP="00A15226">
            <w:pPr>
              <w:pStyle w:val="Tabletext"/>
            </w:pPr>
            <w:r w:rsidRPr="00B83DE7">
              <w:rPr>
                <w:rFonts w:cs="Arial"/>
                <w:i/>
                <w:iCs/>
                <w:szCs w:val="18"/>
              </w:rPr>
              <w:t>Diomedea epomophora</w:t>
            </w:r>
            <w:r w:rsidRPr="004B39E0">
              <w:t xml:space="preserve"> </w:t>
            </w:r>
            <w:r>
              <w:t>(</w:t>
            </w:r>
            <w:r w:rsidRPr="004B39E0">
              <w:t>Southern Royal Albatross</w:t>
            </w:r>
            <w:r>
              <w:t>)</w:t>
            </w:r>
            <w:r w:rsidRPr="004B39E0">
              <w:t xml:space="preserve"> is endemic to New Zealand with 99 per cent breeding on Campbell Island and the remaining 1 per cent in the Auckland Islands. In Australia, the albatross is distributed along the southern coastline </w:t>
            </w:r>
            <w:sdt>
              <w:sdtPr>
                <w:rPr>
                  <w:color w:val="000000"/>
                </w:rPr>
                <w:tag w:val="MENDELEY_CITATION_v3_eyJjaXRhdGlvbklEIjoiTUVOREVMRVlfQ0lUQVRJT05fY2Q0ZjgzYTYtYTVkNy00ODYzLTkyYzYtNzRhNmY3NzBkZGZk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915445446"/>
                <w:placeholder>
                  <w:docPart w:val="339B7D746526864D922760336FCFE603"/>
                </w:placeholder>
              </w:sdtPr>
              <w:sdtContent>
                <w:r w:rsidRPr="002F46CE">
                  <w:rPr>
                    <w:color w:val="000000"/>
                  </w:rPr>
                  <w:t>(DCCEEW, 2022)</w:t>
                </w:r>
              </w:sdtContent>
            </w:sdt>
            <w:r w:rsidRPr="004B39E0">
              <w:t>. The species does not breed in Australia. Its diet primarily consists of cephalopods, fish, and tunicates</w:t>
            </w:r>
            <w:r>
              <w:t xml:space="preserve"> </w:t>
            </w:r>
            <w:sdt>
              <w:sdtPr>
                <w:rPr>
                  <w:color w:val="000000"/>
                </w:rPr>
                <w:tag w:val="MENDELEY_CITATION_v3_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"/>
                <w:id w:val="-242883952"/>
                <w:placeholder>
                  <w:docPart w:val="339B7D746526864D922760336FCFE603"/>
                </w:placeholder>
              </w:sdtPr>
              <w:sdtContent>
                <w:r w:rsidRPr="002F46CE">
                  <w:rPr>
                    <w:color w:val="000000"/>
                  </w:rPr>
                  <w:t>(ACAP, 2004)</w:t>
                </w:r>
              </w:sdtContent>
            </w:sdt>
            <w:r w:rsidRPr="004B39E0">
              <w:t xml:space="preserve">. The Campbell population is estimated at 7,800 breeding pairs </w:t>
            </w:r>
            <w:r>
              <w:t xml:space="preserve">between 2004- 2008. Threats to the species may include incidental catch and invasive native species  </w:t>
            </w:r>
            <w:sdt>
              <w:sdtPr>
                <w:rPr>
                  <w:color w:val="000000"/>
                </w:rPr>
                <w:tag w:val="MENDELEY_CITATION_v3_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"/>
                <w:id w:val="-1396571166"/>
                <w:placeholder>
                  <w:docPart w:val="339B7D746526864D922760336FCFE603"/>
                </w:placeholder>
              </w:sdtPr>
              <w:sdtContent>
                <w:r w:rsidRPr="002F46CE">
                  <w:rPr>
                    <w:color w:val="000000"/>
                  </w:rPr>
                  <w:t>(BirdLife International, 2022b)</w:t>
                </w:r>
              </w:sdtContent>
            </w:sdt>
            <w:r w:rsidRPr="004B39E0">
              <w:t>.</w:t>
            </w:r>
          </w:p>
          <w:p w14:paraId="6A84EECD" w14:textId="77777777" w:rsidR="000B173B" w:rsidRDefault="000B173B" w:rsidP="00A15226">
            <w:pPr>
              <w:pStyle w:val="Tabletext"/>
            </w:pPr>
            <w:r>
              <w:t>The species has not been recorded within the Study Area and will not be affected by development under the Plan.</w:t>
            </w:r>
          </w:p>
        </w:tc>
      </w:tr>
      <w:tr w:rsidR="000B173B" w14:paraId="01095BFA" w14:textId="77777777" w:rsidTr="00A15226">
        <w:tc>
          <w:tcPr>
            <w:tcW w:w="1480" w:type="dxa"/>
            <w:tcBorders>
              <w:bottom w:val="single" w:sz="4" w:space="0" w:color="auto"/>
            </w:tcBorders>
            <w:vAlign w:val="center"/>
          </w:tcPr>
          <w:p w14:paraId="4B2365EC" w14:textId="77777777" w:rsidR="000B173B" w:rsidRPr="00B83DE7" w:rsidRDefault="000B173B" w:rsidP="00A15226">
            <w:pPr>
              <w:pStyle w:val="Tabletext"/>
              <w:rPr>
                <w:rFonts w:cs="Arial"/>
                <w:i/>
                <w:iCs/>
                <w:szCs w:val="18"/>
              </w:rPr>
            </w:pPr>
            <w:r w:rsidRPr="00B83DE7">
              <w:rPr>
                <w:rFonts w:cs="Arial"/>
                <w:i/>
                <w:iCs/>
                <w:szCs w:val="18"/>
              </w:rPr>
              <w:t>Diomedea exulans</w:t>
            </w:r>
          </w:p>
        </w:tc>
        <w:tc>
          <w:tcPr>
            <w:tcW w:w="1353" w:type="dxa"/>
            <w:tcBorders>
              <w:bottom w:val="single" w:sz="4" w:space="0" w:color="auto"/>
            </w:tcBorders>
            <w:vAlign w:val="center"/>
          </w:tcPr>
          <w:p w14:paraId="2809E979" w14:textId="77777777" w:rsidR="000B173B" w:rsidRPr="00B83DE7" w:rsidRDefault="000B173B" w:rsidP="00A15226">
            <w:pPr>
              <w:pStyle w:val="Tabletext"/>
              <w:rPr>
                <w:rFonts w:cs="Arial"/>
                <w:szCs w:val="18"/>
              </w:rPr>
            </w:pPr>
            <w:r w:rsidRPr="00B83DE7">
              <w:rPr>
                <w:rFonts w:cs="Arial"/>
                <w:szCs w:val="18"/>
              </w:rPr>
              <w:t>Wandering Albatross</w:t>
            </w:r>
          </w:p>
        </w:tc>
        <w:tc>
          <w:tcPr>
            <w:tcW w:w="1235" w:type="dxa"/>
            <w:tcBorders>
              <w:bottom w:val="single" w:sz="4" w:space="0" w:color="auto"/>
            </w:tcBorders>
            <w:vAlign w:val="center"/>
          </w:tcPr>
          <w:p w14:paraId="1F4E9F86"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264AA5FB" w14:textId="77777777" w:rsidR="000B173B" w:rsidRPr="00AC3FED" w:rsidRDefault="000B173B" w:rsidP="00A15226">
            <w:pPr>
              <w:pStyle w:val="Tabletext"/>
              <w:jc w:val="center"/>
              <w:rPr>
                <w:highlight w:val="yellow"/>
              </w:rPr>
            </w:pPr>
            <w:r w:rsidRPr="00BC6F8D">
              <w:t>No</w:t>
            </w:r>
          </w:p>
        </w:tc>
        <w:tc>
          <w:tcPr>
            <w:tcW w:w="9072" w:type="dxa"/>
            <w:tcBorders>
              <w:bottom w:val="single" w:sz="4" w:space="0" w:color="auto"/>
            </w:tcBorders>
            <w:vAlign w:val="center"/>
          </w:tcPr>
          <w:p w14:paraId="18CE60E8" w14:textId="77777777" w:rsidR="000B173B" w:rsidRDefault="000B173B" w:rsidP="00A15226">
            <w:pPr>
              <w:pStyle w:val="Tabletext"/>
            </w:pPr>
            <w:r w:rsidRPr="00B83DE7">
              <w:rPr>
                <w:rFonts w:cs="Arial"/>
                <w:i/>
                <w:iCs/>
                <w:szCs w:val="18"/>
              </w:rPr>
              <w:t>Diomedea exulans</w:t>
            </w:r>
            <w:r w:rsidRPr="004B39E0">
              <w:t xml:space="preserve"> </w:t>
            </w:r>
            <w:r>
              <w:t>(</w:t>
            </w:r>
            <w:r w:rsidRPr="004B39E0">
              <w:t>Wandering Albatross</w:t>
            </w:r>
            <w:r>
              <w:t>)</w:t>
            </w:r>
            <w:r w:rsidRPr="004B39E0">
              <w:t xml:space="preserve"> is solitary or gregarious at sea and breeds in colonies. In Australia, the species breeds on Macquarie Island and forages in the Australian portions of the Southern Ocean. The albatross is marine, pelagic, and aerial. Its diet primarily consists of squid and fish followed by crustaceans and carrion </w:t>
            </w:r>
            <w:sdt>
              <w:sdtPr>
                <w:rPr>
                  <w:color w:val="000000"/>
                </w:rPr>
                <w:tag w:val="MENDELEY_CITATION_v3_eyJjaXRhdGlvbklEIjoiTUVOREVMRVlfQ0lUQVRJT05fNTM0NTYwM2ItNTk1OC00YzFjLWI5ZWMtOTk5ODhkMzViMzE2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2086905531"/>
                <w:placeholder>
                  <w:docPart w:val="339B7D746526864D922760336FCFE603"/>
                </w:placeholder>
              </w:sdtPr>
              <w:sdtContent>
                <w:r w:rsidRPr="002F46CE">
                  <w:rPr>
                    <w:color w:val="000000"/>
                  </w:rPr>
                  <w:t>(DCCEEW, 2022)</w:t>
                </w:r>
              </w:sdtContent>
            </w:sdt>
            <w:r w:rsidRPr="004B39E0">
              <w:t>. There are an estimated 20,100 birds globally</w:t>
            </w:r>
            <w:r>
              <w:t>. Threats to the species may include incidental catch, predation by invasive species, and shifts in the oceanic habitat</w:t>
            </w:r>
            <w:r w:rsidRPr="004B39E0">
              <w:t xml:space="preserve"> </w:t>
            </w:r>
            <w:sdt>
              <w:sdtPr>
                <w:rPr>
                  <w:color w:val="000000"/>
                </w:rPr>
                <w:tag w:val="MENDELEY_CITATION_v3_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"/>
                <w:id w:val="-1465181671"/>
                <w:placeholder>
                  <w:docPart w:val="339B7D746526864D922760336FCFE603"/>
                </w:placeholder>
              </w:sdtPr>
              <w:sdtContent>
                <w:r w:rsidRPr="002F46CE">
                  <w:rPr>
                    <w:color w:val="000000"/>
                  </w:rPr>
                  <w:t>(BirdLife International, 2022c)</w:t>
                </w:r>
              </w:sdtContent>
            </w:sdt>
            <w:r>
              <w:t>.</w:t>
            </w:r>
          </w:p>
          <w:p w14:paraId="40686C23" w14:textId="77777777" w:rsidR="000B173B" w:rsidRDefault="000B173B" w:rsidP="00A15226">
            <w:pPr>
              <w:pStyle w:val="Tabletext"/>
            </w:pPr>
            <w:r>
              <w:t>There are 15 historical records of the species within the Study Area (observed 1951 – 1979). The species will not be affected by development under the Plan.</w:t>
            </w:r>
          </w:p>
        </w:tc>
      </w:tr>
      <w:tr w:rsidR="000B173B" w14:paraId="52FC85E6" w14:textId="77777777" w:rsidTr="00A15226">
        <w:tc>
          <w:tcPr>
            <w:tcW w:w="1480" w:type="dxa"/>
            <w:tcBorders>
              <w:bottom w:val="single" w:sz="4" w:space="0" w:color="auto"/>
            </w:tcBorders>
            <w:vAlign w:val="center"/>
          </w:tcPr>
          <w:p w14:paraId="5F1A3074" w14:textId="77777777" w:rsidR="000B173B" w:rsidRPr="00B83DE7" w:rsidRDefault="000B173B" w:rsidP="00A15226">
            <w:pPr>
              <w:pStyle w:val="Tabletext"/>
              <w:rPr>
                <w:rFonts w:cs="Arial"/>
                <w:i/>
                <w:iCs/>
                <w:szCs w:val="18"/>
              </w:rPr>
            </w:pPr>
            <w:r w:rsidRPr="00B83DE7">
              <w:rPr>
                <w:rFonts w:cs="Arial"/>
                <w:i/>
                <w:iCs/>
                <w:szCs w:val="18"/>
              </w:rPr>
              <w:t>Diomedea sanfordi</w:t>
            </w:r>
          </w:p>
        </w:tc>
        <w:tc>
          <w:tcPr>
            <w:tcW w:w="1353" w:type="dxa"/>
            <w:tcBorders>
              <w:bottom w:val="single" w:sz="4" w:space="0" w:color="auto"/>
            </w:tcBorders>
            <w:vAlign w:val="center"/>
          </w:tcPr>
          <w:p w14:paraId="0AC1B98C" w14:textId="77777777" w:rsidR="000B173B" w:rsidRPr="00B83DE7" w:rsidRDefault="000B173B" w:rsidP="00A15226">
            <w:pPr>
              <w:pStyle w:val="Tabletext"/>
              <w:rPr>
                <w:rFonts w:cs="Arial"/>
                <w:szCs w:val="18"/>
              </w:rPr>
            </w:pPr>
            <w:r w:rsidRPr="00B83DE7">
              <w:rPr>
                <w:rFonts w:cs="Arial"/>
                <w:szCs w:val="18"/>
              </w:rPr>
              <w:t>Northern Royal Albatross</w:t>
            </w:r>
          </w:p>
        </w:tc>
        <w:tc>
          <w:tcPr>
            <w:tcW w:w="1235" w:type="dxa"/>
            <w:tcBorders>
              <w:bottom w:val="single" w:sz="4" w:space="0" w:color="auto"/>
            </w:tcBorders>
            <w:vAlign w:val="center"/>
          </w:tcPr>
          <w:p w14:paraId="44F7E1E9" w14:textId="77777777" w:rsidR="000B173B" w:rsidRPr="00B83DE7" w:rsidRDefault="000B173B" w:rsidP="00A15226">
            <w:pPr>
              <w:pStyle w:val="Tabletext"/>
              <w:rPr>
                <w:rFonts w:cs="Arial"/>
                <w:szCs w:val="18"/>
              </w:rPr>
            </w:pPr>
            <w:r w:rsidRPr="00B83DE7">
              <w:rPr>
                <w:rFonts w:cs="Arial"/>
                <w:szCs w:val="18"/>
              </w:rPr>
              <w:t xml:space="preserve">Endangered, marine, migratory </w:t>
            </w:r>
          </w:p>
        </w:tc>
        <w:tc>
          <w:tcPr>
            <w:tcW w:w="1177" w:type="dxa"/>
            <w:tcBorders>
              <w:bottom w:val="single" w:sz="4" w:space="0" w:color="auto"/>
            </w:tcBorders>
            <w:vAlign w:val="center"/>
          </w:tcPr>
          <w:p w14:paraId="74A28E5E" w14:textId="77777777" w:rsidR="000B173B" w:rsidRPr="00AC3FED" w:rsidRDefault="000B173B" w:rsidP="00A15226">
            <w:pPr>
              <w:pStyle w:val="Tabletext"/>
              <w:jc w:val="center"/>
              <w:rPr>
                <w:highlight w:val="yellow"/>
              </w:rPr>
            </w:pPr>
            <w:r w:rsidRPr="00BC6F8D">
              <w:t>No</w:t>
            </w:r>
          </w:p>
        </w:tc>
        <w:tc>
          <w:tcPr>
            <w:tcW w:w="9072" w:type="dxa"/>
            <w:tcBorders>
              <w:bottom w:val="single" w:sz="4" w:space="0" w:color="auto"/>
            </w:tcBorders>
            <w:vAlign w:val="center"/>
          </w:tcPr>
          <w:p w14:paraId="1B3CAD7A" w14:textId="77777777" w:rsidR="000B173B" w:rsidRDefault="000B173B" w:rsidP="00A15226">
            <w:pPr>
              <w:pStyle w:val="Tabletext"/>
            </w:pPr>
            <w:r w:rsidRPr="00B83DE7">
              <w:rPr>
                <w:rFonts w:cs="Arial"/>
                <w:i/>
                <w:iCs/>
                <w:szCs w:val="18"/>
              </w:rPr>
              <w:t>Diomedea sanfordi</w:t>
            </w:r>
            <w:r w:rsidRPr="004B39E0">
              <w:t xml:space="preserve"> </w:t>
            </w:r>
            <w:r>
              <w:t>(</w:t>
            </w:r>
            <w:r w:rsidRPr="004B39E0">
              <w:t>Northern Royal Albatross</w:t>
            </w:r>
            <w:r>
              <w:t>)</w:t>
            </w:r>
            <w:r w:rsidRPr="004B39E0">
              <w:t xml:space="preserve"> is marine, pelagic, and aerial and inhabits subantarctic, subtropical, and occasionally Antarctic waters. Its diet primarily consists of cephalopods, fish, crustaceans, and salps (i.e., pelagic tunicates). In Australia, the albatross has been sighted in Australian waters off south-eastern Australia. There is a total population of approximately 20,000 individuals</w:t>
            </w:r>
            <w:r>
              <w:t xml:space="preserve">. Threats to the species include mortality related to longline fishing and collisions, loss of food stock, ingestion, or marine debris and pollution </w:t>
            </w:r>
            <w:sdt>
              <w:sdtPr>
                <w:rPr>
                  <w:color w:val="000000"/>
                </w:rPr>
                <w:tag w:val="MENDELEY_CITATION_v3_eyJjaXRhdGlvbklEIjoiTUVOREVMRVlfQ0lUQVRJT05fYjkyOTllMGEtOWY2Ny00YWM3LWE4YjEtMTBlZjMyODg2ZTkz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876546128"/>
                <w:placeholder>
                  <w:docPart w:val="339B7D746526864D922760336FCFE603"/>
                </w:placeholder>
              </w:sdtPr>
              <w:sdtContent>
                <w:r w:rsidRPr="002F46CE">
                  <w:rPr>
                    <w:color w:val="000000"/>
                  </w:rPr>
                  <w:t>(DCCEEW, 2022)</w:t>
                </w:r>
              </w:sdtContent>
            </w:sdt>
            <w:r w:rsidRPr="004B39E0">
              <w:t>.</w:t>
            </w:r>
          </w:p>
          <w:p w14:paraId="01D7E86E" w14:textId="77777777" w:rsidR="000B173B" w:rsidRDefault="000B173B" w:rsidP="00A15226">
            <w:pPr>
              <w:pStyle w:val="Tabletext"/>
            </w:pPr>
            <w:r>
              <w:t>The species has not been recorded within the Study Area and will not be affected by development under the Plan.</w:t>
            </w:r>
          </w:p>
        </w:tc>
      </w:tr>
      <w:tr w:rsidR="000B173B" w14:paraId="31741043" w14:textId="77777777" w:rsidTr="00A15226">
        <w:tc>
          <w:tcPr>
            <w:tcW w:w="1480" w:type="dxa"/>
            <w:tcBorders>
              <w:bottom w:val="single" w:sz="4" w:space="0" w:color="auto"/>
            </w:tcBorders>
            <w:vAlign w:val="center"/>
          </w:tcPr>
          <w:p w14:paraId="3CA99C67" w14:textId="77777777" w:rsidR="000B173B" w:rsidRPr="00B83DE7" w:rsidRDefault="000B173B" w:rsidP="00A15226">
            <w:pPr>
              <w:pStyle w:val="Tabletext"/>
              <w:rPr>
                <w:rFonts w:cs="Arial"/>
                <w:i/>
                <w:iCs/>
                <w:szCs w:val="18"/>
              </w:rPr>
            </w:pPr>
            <w:r w:rsidRPr="00B83DE7">
              <w:rPr>
                <w:rFonts w:cs="Arial"/>
                <w:i/>
                <w:iCs/>
                <w:szCs w:val="18"/>
              </w:rPr>
              <w:lastRenderedPageBreak/>
              <w:t>Falco hypoleucos</w:t>
            </w:r>
          </w:p>
        </w:tc>
        <w:tc>
          <w:tcPr>
            <w:tcW w:w="1353" w:type="dxa"/>
            <w:tcBorders>
              <w:bottom w:val="single" w:sz="4" w:space="0" w:color="auto"/>
            </w:tcBorders>
            <w:vAlign w:val="center"/>
          </w:tcPr>
          <w:p w14:paraId="51E1EFB6" w14:textId="77777777" w:rsidR="000B173B" w:rsidRPr="00B83DE7" w:rsidRDefault="000B173B" w:rsidP="00A15226">
            <w:pPr>
              <w:pStyle w:val="Tabletext"/>
              <w:rPr>
                <w:rFonts w:cs="Arial"/>
                <w:szCs w:val="18"/>
              </w:rPr>
            </w:pPr>
            <w:r w:rsidRPr="00B83DE7">
              <w:rPr>
                <w:rFonts w:cs="Arial"/>
                <w:szCs w:val="18"/>
              </w:rPr>
              <w:t>Grey Falcon</w:t>
            </w:r>
          </w:p>
        </w:tc>
        <w:tc>
          <w:tcPr>
            <w:tcW w:w="1235" w:type="dxa"/>
            <w:tcBorders>
              <w:bottom w:val="single" w:sz="4" w:space="0" w:color="auto"/>
            </w:tcBorders>
            <w:vAlign w:val="center"/>
          </w:tcPr>
          <w:p w14:paraId="63B60037"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tcBorders>
              <w:bottom w:val="single" w:sz="4" w:space="0" w:color="auto"/>
            </w:tcBorders>
            <w:vAlign w:val="center"/>
          </w:tcPr>
          <w:p w14:paraId="58333BC9" w14:textId="77777777" w:rsidR="000B173B" w:rsidRPr="00AC3FED" w:rsidRDefault="000B173B" w:rsidP="00A15226">
            <w:pPr>
              <w:pStyle w:val="Tabletext"/>
              <w:jc w:val="center"/>
              <w:rPr>
                <w:highlight w:val="yellow"/>
              </w:rPr>
            </w:pPr>
            <w:r w:rsidRPr="00BC6F8D">
              <w:t>No</w:t>
            </w:r>
          </w:p>
        </w:tc>
        <w:tc>
          <w:tcPr>
            <w:tcW w:w="9072" w:type="dxa"/>
            <w:tcBorders>
              <w:bottom w:val="single" w:sz="4" w:space="0" w:color="auto"/>
            </w:tcBorders>
            <w:vAlign w:val="center"/>
          </w:tcPr>
          <w:p w14:paraId="408966E3" w14:textId="77777777" w:rsidR="000B173B" w:rsidRDefault="000B173B" w:rsidP="00A15226">
            <w:pPr>
              <w:pStyle w:val="Tabletext"/>
            </w:pPr>
            <w:r w:rsidRPr="00B83DE7">
              <w:rPr>
                <w:rFonts w:cs="Arial"/>
                <w:i/>
                <w:iCs/>
                <w:szCs w:val="18"/>
              </w:rPr>
              <w:t>Falco hypoleucos</w:t>
            </w:r>
            <w:r w:rsidRPr="004B39E0">
              <w:t xml:space="preserve"> </w:t>
            </w:r>
            <w:r>
              <w:t>(</w:t>
            </w:r>
            <w:r w:rsidRPr="004B39E0">
              <w:t>Grey Falcon</w:t>
            </w:r>
            <w:r>
              <w:t>)</w:t>
            </w:r>
            <w:r w:rsidRPr="004B39E0">
              <w:t xml:space="preserve"> is endemic to mainland Australia and occurs in arid and semi-arid Australia. In V</w:t>
            </w:r>
            <w:r>
              <w:t>ictoria</w:t>
            </w:r>
            <w:r w:rsidRPr="004B39E0">
              <w:t xml:space="preserve">, the species appears to be absent from south of the Great Dividing Range. </w:t>
            </w:r>
            <w:r>
              <w:t>Habitat for the species</w:t>
            </w:r>
            <w:r w:rsidRPr="004B39E0">
              <w:t xml:space="preserve"> consists of timbered lowland plains, particularly acacia shrublands that are crossed by tree-lined water courses. While breeding, the species’ diet consists almost exclusively of birds, including doves, pigeons, small parrots and cockatoos, and finches. Nesting generally occurs in the tallest trees along watercourses, particularly Red River Gum and Coolibah. The estimated number of mature individuals is less than 1,000</w:t>
            </w:r>
            <w:r>
              <w:t xml:space="preserve">. Threats to the species include predation by cats, climate change impacts, demographic and genetic stochastic events, habitat loss and fragmentation, nest shortage, disturbance, direct mortality, and harvesting </w:t>
            </w:r>
            <w:sdt>
              <w:sdtPr>
                <w:rPr>
                  <w:color w:val="000000"/>
                </w:rPr>
                <w:tag w:val="MENDELEY_CITATION_v3_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"/>
                <w:id w:val="1012642798"/>
                <w:placeholder>
                  <w:docPart w:val="339B7D746526864D922760336FCFE603"/>
                </w:placeholder>
              </w:sdtPr>
              <w:sdtContent>
                <w:r w:rsidRPr="002F46CE">
                  <w:rPr>
                    <w:color w:val="000000"/>
                  </w:rPr>
                  <w:t>(TSSC, 2020b)</w:t>
                </w:r>
              </w:sdtContent>
            </w:sdt>
            <w:r>
              <w:t>.</w:t>
            </w:r>
          </w:p>
          <w:p w14:paraId="723CD646"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22F52408" w14:textId="77777777" w:rsidR="000B173B" w:rsidRDefault="000B173B" w:rsidP="00A15226">
            <w:pPr>
              <w:pStyle w:val="Tabletext"/>
            </w:pPr>
            <w:r w:rsidRPr="009503E7">
              <w:t xml:space="preserve">There are </w:t>
            </w:r>
            <w:r>
              <w:t xml:space="preserve">also </w:t>
            </w:r>
            <w:r w:rsidRPr="009503E7">
              <w:t>no existing records within the broader Study Area.</w:t>
            </w:r>
            <w:r>
              <w:t xml:space="preserve"> P</w:t>
            </w:r>
            <w:r w:rsidRPr="009503E7">
              <w:t xml:space="preserve">otential </w:t>
            </w:r>
            <w:r>
              <w:t>for occurrence</w:t>
            </w:r>
            <w:r w:rsidRPr="009503E7">
              <w:t xml:space="preserve"> is limited</w:t>
            </w:r>
            <w:r>
              <w:t>. I</w:t>
            </w:r>
            <w:r w:rsidRPr="009503E7">
              <w:t>ndirect impacts to the species are considered unlikely.</w:t>
            </w:r>
          </w:p>
        </w:tc>
      </w:tr>
      <w:tr w:rsidR="000B173B" w14:paraId="1748E8E6" w14:textId="77777777" w:rsidTr="00A15226">
        <w:tc>
          <w:tcPr>
            <w:tcW w:w="1480" w:type="dxa"/>
            <w:tcBorders>
              <w:bottom w:val="single" w:sz="4" w:space="0" w:color="auto"/>
            </w:tcBorders>
            <w:vAlign w:val="center"/>
          </w:tcPr>
          <w:p w14:paraId="4CA0AD83" w14:textId="77777777" w:rsidR="000B173B" w:rsidRPr="00B83DE7" w:rsidRDefault="000B173B" w:rsidP="00A15226">
            <w:pPr>
              <w:pStyle w:val="Tabletext"/>
              <w:rPr>
                <w:rFonts w:cs="Arial"/>
                <w:i/>
                <w:iCs/>
                <w:szCs w:val="18"/>
              </w:rPr>
            </w:pPr>
            <w:r w:rsidRPr="00B83DE7">
              <w:rPr>
                <w:rFonts w:cs="Arial"/>
                <w:i/>
                <w:iCs/>
                <w:szCs w:val="18"/>
              </w:rPr>
              <w:t>Grantiella picta</w:t>
            </w:r>
          </w:p>
        </w:tc>
        <w:tc>
          <w:tcPr>
            <w:tcW w:w="1353" w:type="dxa"/>
            <w:tcBorders>
              <w:bottom w:val="single" w:sz="4" w:space="0" w:color="auto"/>
            </w:tcBorders>
            <w:vAlign w:val="center"/>
          </w:tcPr>
          <w:p w14:paraId="4B2D45E4" w14:textId="77777777" w:rsidR="000B173B" w:rsidRPr="00B83DE7" w:rsidRDefault="000B173B" w:rsidP="00A15226">
            <w:pPr>
              <w:pStyle w:val="Tabletext"/>
              <w:rPr>
                <w:rFonts w:cs="Arial"/>
                <w:szCs w:val="18"/>
              </w:rPr>
            </w:pPr>
            <w:r w:rsidRPr="00B83DE7">
              <w:rPr>
                <w:rFonts w:cs="Arial"/>
                <w:szCs w:val="18"/>
              </w:rPr>
              <w:t>Painted Honeyeater</w:t>
            </w:r>
          </w:p>
        </w:tc>
        <w:tc>
          <w:tcPr>
            <w:tcW w:w="1235" w:type="dxa"/>
            <w:tcBorders>
              <w:bottom w:val="single" w:sz="4" w:space="0" w:color="auto"/>
            </w:tcBorders>
            <w:vAlign w:val="center"/>
          </w:tcPr>
          <w:p w14:paraId="22DF2AB9"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tcBorders>
              <w:bottom w:val="single" w:sz="4" w:space="0" w:color="auto"/>
            </w:tcBorders>
            <w:vAlign w:val="center"/>
          </w:tcPr>
          <w:p w14:paraId="6676CE73" w14:textId="77777777" w:rsidR="000B173B" w:rsidRPr="00AC3FED" w:rsidRDefault="000B173B" w:rsidP="00A15226">
            <w:pPr>
              <w:pStyle w:val="Tabletext"/>
              <w:jc w:val="center"/>
              <w:rPr>
                <w:highlight w:val="yellow"/>
              </w:rPr>
            </w:pPr>
            <w:r w:rsidRPr="00BC6F8D">
              <w:t>No</w:t>
            </w:r>
          </w:p>
        </w:tc>
        <w:tc>
          <w:tcPr>
            <w:tcW w:w="9072" w:type="dxa"/>
            <w:tcBorders>
              <w:bottom w:val="single" w:sz="4" w:space="0" w:color="auto"/>
            </w:tcBorders>
            <w:vAlign w:val="center"/>
          </w:tcPr>
          <w:p w14:paraId="76DB0A69" w14:textId="77777777" w:rsidR="000B173B" w:rsidRDefault="000B173B" w:rsidP="00A15226">
            <w:pPr>
              <w:pStyle w:val="Tabletext"/>
            </w:pPr>
            <w:r w:rsidRPr="00B83DE7">
              <w:rPr>
                <w:rFonts w:cs="Arial"/>
                <w:i/>
                <w:iCs/>
                <w:szCs w:val="18"/>
              </w:rPr>
              <w:t>Grantiella picta</w:t>
            </w:r>
            <w:r w:rsidRPr="004B39E0">
              <w:t xml:space="preserve"> </w:t>
            </w:r>
            <w:r>
              <w:t>(</w:t>
            </w:r>
            <w:r w:rsidRPr="004B39E0">
              <w:t>Painted Honeyeater</w:t>
            </w:r>
            <w:r>
              <w:t>)</w:t>
            </w:r>
            <w:r w:rsidRPr="004B39E0">
              <w:t xml:space="preserve"> is sparsely distributed from south-eastern Australia to north-western Queensland and eastern Northern Territory. Breeding occurs on the inland slopes of the Great Dividing Range between the Grampians, VIC and Roma, QLD. The species has a specialised diet consisting of primarily mistletoe fruits as well as nectar and arthropods. The honeyeater exhibits a preference for woodlands with a high composition of mature trees since these host more mistletoes. Nesting also occurs primarily </w:t>
            </w:r>
            <w:r>
              <w:t xml:space="preserve">in </w:t>
            </w:r>
            <w:r w:rsidRPr="004B39E0">
              <w:t>areas with a high concentration of mistletoes. The population was estimated at &lt;10,000 individuals in 2011</w:t>
            </w:r>
            <w:r>
              <w:t>.</w:t>
            </w:r>
            <w:r w:rsidRPr="004B39E0">
              <w:t xml:space="preserve"> </w:t>
            </w:r>
            <w:r>
              <w:t xml:space="preserve">Threats to the species include habitat loss, competition with the aggressive noisy miner, predation by invasive species, deliberate destruction of mistletoe, exacerbation of tree decline, collision with road vehicles, and nest predation </w:t>
            </w:r>
            <w:sdt>
              <w:sdtPr>
                <w:rPr>
                  <w:color w:val="000000"/>
                </w:rPr>
                <w:tag w:val="MENDELEY_CITATION_v3_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"/>
                <w:id w:val="-167948020"/>
                <w:placeholder>
                  <w:docPart w:val="339B7D746526864D922760336FCFE603"/>
                </w:placeholder>
              </w:sdtPr>
              <w:sdtContent>
                <w:r w:rsidRPr="002F46CE">
                  <w:rPr>
                    <w:color w:val="000000"/>
                  </w:rPr>
                  <w:t>(DoE, 2015d)</w:t>
                </w:r>
              </w:sdtContent>
            </w:sdt>
            <w:r>
              <w:t>.</w:t>
            </w:r>
          </w:p>
          <w:p w14:paraId="4C2B48EB"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33993311" w14:textId="77777777" w:rsidR="000B173B" w:rsidRDefault="000B173B" w:rsidP="00A15226">
            <w:pPr>
              <w:pStyle w:val="Tabletext"/>
            </w:pPr>
            <w:r>
              <w:t>There are 36 records of the species within the Study Area, associated with the limited areas of remnant woodland. The closest record occurs 8 km from the Growth Areas. The potential indirect impacts of development are unlikely to affect the species or exacerbate threats given the sparsity of suitable habitat within the landscape and the distance of the nearest records to proposed development.</w:t>
            </w:r>
          </w:p>
        </w:tc>
      </w:tr>
      <w:tr w:rsidR="000B173B" w14:paraId="49B1B3F7" w14:textId="77777777" w:rsidTr="00A15226">
        <w:tc>
          <w:tcPr>
            <w:tcW w:w="1480" w:type="dxa"/>
            <w:tcBorders>
              <w:bottom w:val="single" w:sz="4" w:space="0" w:color="auto"/>
            </w:tcBorders>
            <w:shd w:val="clear" w:color="auto" w:fill="auto"/>
            <w:vAlign w:val="center"/>
          </w:tcPr>
          <w:p w14:paraId="631B6B3C" w14:textId="77777777" w:rsidR="000B173B" w:rsidRPr="00B83DE7" w:rsidRDefault="000B173B" w:rsidP="00A15226">
            <w:pPr>
              <w:pStyle w:val="Tabletext"/>
              <w:rPr>
                <w:i/>
                <w:iCs/>
                <w:szCs w:val="18"/>
              </w:rPr>
            </w:pPr>
            <w:r w:rsidRPr="00B83DE7">
              <w:rPr>
                <w:rFonts w:cs="Arial"/>
                <w:i/>
                <w:iCs/>
                <w:szCs w:val="18"/>
              </w:rPr>
              <w:t>Halobaena caerulea</w:t>
            </w:r>
          </w:p>
        </w:tc>
        <w:tc>
          <w:tcPr>
            <w:tcW w:w="1353" w:type="dxa"/>
            <w:tcBorders>
              <w:bottom w:val="single" w:sz="4" w:space="0" w:color="auto"/>
            </w:tcBorders>
            <w:shd w:val="clear" w:color="auto" w:fill="auto"/>
            <w:vAlign w:val="center"/>
          </w:tcPr>
          <w:p w14:paraId="2DEDD908" w14:textId="77777777" w:rsidR="000B173B" w:rsidRPr="00B83DE7" w:rsidRDefault="000B173B" w:rsidP="00A15226">
            <w:pPr>
              <w:pStyle w:val="Tabletext"/>
              <w:rPr>
                <w:szCs w:val="18"/>
              </w:rPr>
            </w:pPr>
            <w:r w:rsidRPr="00B83DE7">
              <w:rPr>
                <w:rFonts w:cs="Arial"/>
                <w:szCs w:val="18"/>
              </w:rPr>
              <w:t>Blue Petrel</w:t>
            </w:r>
          </w:p>
        </w:tc>
        <w:tc>
          <w:tcPr>
            <w:tcW w:w="1235" w:type="dxa"/>
            <w:tcBorders>
              <w:bottom w:val="single" w:sz="4" w:space="0" w:color="auto"/>
            </w:tcBorders>
            <w:shd w:val="clear" w:color="auto" w:fill="auto"/>
            <w:vAlign w:val="center"/>
          </w:tcPr>
          <w:p w14:paraId="18ABC187" w14:textId="77777777" w:rsidR="000B173B" w:rsidRPr="00B83DE7" w:rsidRDefault="000B173B" w:rsidP="00A15226">
            <w:pPr>
              <w:pStyle w:val="Tabletext"/>
              <w:rPr>
                <w:szCs w:val="18"/>
              </w:rPr>
            </w:pPr>
            <w:r w:rsidRPr="00B83DE7">
              <w:rPr>
                <w:rFonts w:cs="Arial"/>
                <w:szCs w:val="18"/>
              </w:rPr>
              <w:t xml:space="preserve">Vulnerable </w:t>
            </w:r>
          </w:p>
        </w:tc>
        <w:tc>
          <w:tcPr>
            <w:tcW w:w="1177" w:type="dxa"/>
            <w:tcBorders>
              <w:bottom w:val="single" w:sz="4" w:space="0" w:color="auto"/>
            </w:tcBorders>
            <w:shd w:val="clear" w:color="auto" w:fill="auto"/>
            <w:vAlign w:val="center"/>
          </w:tcPr>
          <w:p w14:paraId="102C25AC"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shd w:val="clear" w:color="auto" w:fill="auto"/>
            <w:vAlign w:val="center"/>
          </w:tcPr>
          <w:p w14:paraId="08ADF1DB" w14:textId="77777777" w:rsidR="000B173B" w:rsidRDefault="000B173B" w:rsidP="00A15226">
            <w:pPr>
              <w:pStyle w:val="Tabletext"/>
            </w:pPr>
            <w:r w:rsidRPr="00B83DE7">
              <w:rPr>
                <w:rFonts w:cs="Arial"/>
                <w:i/>
                <w:iCs/>
                <w:szCs w:val="18"/>
              </w:rPr>
              <w:t>Halobaena caerulea</w:t>
            </w:r>
            <w:r>
              <w:rPr>
                <w:rFonts w:cs="Arial"/>
                <w:i/>
                <w:iCs/>
                <w:szCs w:val="18"/>
              </w:rPr>
              <w:t xml:space="preserve"> </w:t>
            </w:r>
            <w:r>
              <w:rPr>
                <w:rFonts w:cs="Arial"/>
                <w:szCs w:val="18"/>
              </w:rPr>
              <w:t>(</w:t>
            </w:r>
            <w:r w:rsidRPr="00B83DE7">
              <w:rPr>
                <w:rFonts w:cs="Arial"/>
                <w:szCs w:val="18"/>
              </w:rPr>
              <w:t>Blue Petrel</w:t>
            </w:r>
            <w:r>
              <w:rPr>
                <w:rFonts w:cs="Arial"/>
                <w:szCs w:val="18"/>
              </w:rPr>
              <w:t xml:space="preserve">) </w:t>
            </w:r>
            <w:r>
              <w:t xml:space="preserve">breeds on numerous subantarctic islands. In Australia, breeding is restricted to offshore stacks near Macquarie Island. The main factor that is the cause of the species' Vulnerable listing is its small EOO due to its limited breeding habitat. The species forages in Antarctica and subantarctic waters for pelagic crustaceans, fish, cephalopods and insects. The population at Macquarie Island (Australian population) </w:t>
            </w:r>
            <w:r>
              <w:lastRenderedPageBreak/>
              <w:t xml:space="preserve">estimated to be 500-600 pairs in 1979. In 2011, the global population was estimated to be 80,000 individuals. Threats to the species include nest destruction by invasive species </w:t>
            </w:r>
            <w:sdt>
              <w:sdtPr>
                <w:rPr>
                  <w:color w:val="000000"/>
                </w:rPr>
                <w:tag w:val="MENDELEY_CITATION_v3_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"/>
                <w:id w:val="-83614007"/>
                <w:placeholder>
                  <w:docPart w:val="339B7D746526864D922760336FCFE603"/>
                </w:placeholder>
              </w:sdtPr>
              <w:sdtContent>
                <w:r w:rsidRPr="002F46CE">
                  <w:rPr>
                    <w:color w:val="000000"/>
                  </w:rPr>
                  <w:t>(TSSC, 2015b)</w:t>
                </w:r>
              </w:sdtContent>
            </w:sdt>
            <w:r>
              <w:t>.</w:t>
            </w:r>
          </w:p>
          <w:p w14:paraId="14242525" w14:textId="77777777" w:rsidR="000B173B" w:rsidRPr="00D50ED7" w:rsidRDefault="000B173B" w:rsidP="00A15226">
            <w:pPr>
              <w:pStyle w:val="Tabletext"/>
            </w:pPr>
            <w:r>
              <w:t>There is one historical record of the species within the Study Area (dated 1980), occurring approximately 18 km from the Growth Areas. The species will not be affected by development under the Plan.</w:t>
            </w:r>
          </w:p>
        </w:tc>
      </w:tr>
      <w:tr w:rsidR="000B173B" w14:paraId="7484284C" w14:textId="77777777" w:rsidTr="00A15226">
        <w:tc>
          <w:tcPr>
            <w:tcW w:w="1480" w:type="dxa"/>
            <w:tcBorders>
              <w:bottom w:val="single" w:sz="4" w:space="0" w:color="auto"/>
            </w:tcBorders>
            <w:vAlign w:val="center"/>
          </w:tcPr>
          <w:p w14:paraId="4151D50F" w14:textId="77777777" w:rsidR="000B173B" w:rsidRPr="00B83DE7" w:rsidRDefault="000B173B" w:rsidP="00A15226">
            <w:pPr>
              <w:pStyle w:val="Tabletext"/>
              <w:rPr>
                <w:rFonts w:cs="Arial"/>
                <w:i/>
                <w:iCs/>
                <w:szCs w:val="18"/>
              </w:rPr>
            </w:pPr>
            <w:r w:rsidRPr="00B83DE7">
              <w:rPr>
                <w:rFonts w:cs="Arial"/>
                <w:i/>
                <w:iCs/>
                <w:szCs w:val="18"/>
              </w:rPr>
              <w:lastRenderedPageBreak/>
              <w:t>Hirundapus caudacutus</w:t>
            </w:r>
          </w:p>
        </w:tc>
        <w:tc>
          <w:tcPr>
            <w:tcW w:w="1353" w:type="dxa"/>
            <w:tcBorders>
              <w:bottom w:val="single" w:sz="4" w:space="0" w:color="auto"/>
            </w:tcBorders>
            <w:vAlign w:val="center"/>
          </w:tcPr>
          <w:p w14:paraId="7B67817A" w14:textId="77777777" w:rsidR="000B173B" w:rsidRPr="00B83DE7" w:rsidRDefault="000B173B" w:rsidP="00A15226">
            <w:pPr>
              <w:pStyle w:val="Tabletext"/>
              <w:rPr>
                <w:rFonts w:cs="Arial"/>
                <w:szCs w:val="18"/>
              </w:rPr>
            </w:pPr>
            <w:r w:rsidRPr="00B83DE7">
              <w:rPr>
                <w:rFonts w:cs="Arial"/>
                <w:szCs w:val="18"/>
              </w:rPr>
              <w:t>White-throated Needletail</w:t>
            </w:r>
          </w:p>
        </w:tc>
        <w:tc>
          <w:tcPr>
            <w:tcW w:w="1235" w:type="dxa"/>
            <w:tcBorders>
              <w:bottom w:val="single" w:sz="4" w:space="0" w:color="auto"/>
            </w:tcBorders>
            <w:vAlign w:val="center"/>
          </w:tcPr>
          <w:p w14:paraId="4CDF2E24"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28F9E87B" w14:textId="77777777" w:rsidR="000B173B" w:rsidRPr="00AC3FED" w:rsidRDefault="000B173B" w:rsidP="00A15226">
            <w:pPr>
              <w:pStyle w:val="Tabletext"/>
              <w:jc w:val="center"/>
              <w:rPr>
                <w:highlight w:val="yellow"/>
              </w:rPr>
            </w:pPr>
            <w:r w:rsidRPr="007366A4">
              <w:t>No</w:t>
            </w:r>
          </w:p>
        </w:tc>
        <w:tc>
          <w:tcPr>
            <w:tcW w:w="9072" w:type="dxa"/>
            <w:tcBorders>
              <w:bottom w:val="single" w:sz="4" w:space="0" w:color="auto"/>
            </w:tcBorders>
            <w:vAlign w:val="center"/>
          </w:tcPr>
          <w:p w14:paraId="16588284" w14:textId="77777777" w:rsidR="000B173B" w:rsidRPr="004F0CC5" w:rsidRDefault="000B173B" w:rsidP="00A15226">
            <w:pPr>
              <w:pStyle w:val="Tabletext"/>
            </w:pPr>
            <w:r w:rsidRPr="004F0CC5">
              <w:rPr>
                <w:rFonts w:cs="Arial"/>
                <w:i/>
                <w:iCs/>
                <w:szCs w:val="18"/>
              </w:rPr>
              <w:t>Hirundapus caudacutus</w:t>
            </w:r>
            <w:r w:rsidRPr="004F0CC5">
              <w:t xml:space="preserve"> (White-throated Needletail) is a large swift with a breeding distribution in Asia and a non-breeding distribution in Australasia, primarily in Australia (DAWE, 2021b). In Australia, the species is widespread in eastern and south-eastern Australia. The swift is mostly aerial, generally recorded above wooded areas. Roosting occurs in trees among dense foliage in the canopy or in hollows. Its diet consists of a wide variety of insects, including beetles, cicadas, flying ants, bees, wasps, flies, termites, moths, locusts, and grasshoppers. The global and national population has not been estimated. Threats to the species include collision with wind turbines, overhead wires, windows, and lighthouses. Habitat loss, particularly in roosting or foraging areas, may lead to population decline </w:t>
            </w:r>
            <w:sdt>
              <w:sdtPr>
                <w:rPr>
                  <w:color w:val="000000"/>
                </w:rPr>
                <w:tag w:val="MENDELEY_CITATION_v3_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"/>
                <w:id w:val="1074855198"/>
                <w:placeholder>
                  <w:docPart w:val="339B7D746526864D922760336FCFE603"/>
                </w:placeholder>
              </w:sdtPr>
              <w:sdtContent>
                <w:r w:rsidRPr="002F46CE">
                  <w:rPr>
                    <w:color w:val="000000"/>
                  </w:rPr>
                  <w:t>(TSSC, 2019b)</w:t>
                </w:r>
              </w:sdtContent>
            </w:sdt>
            <w:r w:rsidRPr="004F0CC5">
              <w:t>.</w:t>
            </w:r>
          </w:p>
          <w:p w14:paraId="5C93AE89" w14:textId="77777777" w:rsidR="000B173B" w:rsidRPr="006533F2" w:rsidRDefault="000B173B" w:rsidP="00A15226">
            <w:pPr>
              <w:pStyle w:val="Tabletext"/>
            </w:pPr>
            <w:r w:rsidRPr="006533F2">
              <w:t>This species is primarily an aerial species and is unlikely to utilise habitat within the Strategic Assessment Area. Direct impacts are therefore considered unlikely.</w:t>
            </w:r>
          </w:p>
          <w:p w14:paraId="289B9A88" w14:textId="77777777" w:rsidR="000B173B" w:rsidRPr="004F0CC5" w:rsidRDefault="000B173B" w:rsidP="00A15226">
            <w:pPr>
              <w:pStyle w:val="Tabletext"/>
            </w:pPr>
            <w:r w:rsidRPr="004F0CC5">
              <w:t>There are 10</w:t>
            </w:r>
            <w:r>
              <w:t>7</w:t>
            </w:r>
            <w:r w:rsidRPr="004F0CC5">
              <w:t xml:space="preserve"> records of the species scattered across the Study Area.</w:t>
            </w:r>
            <w:r>
              <w:t xml:space="preserve"> The Growth Areas and surrounds are likely to represent more marginal foraging habitat for the species. Development under the Plan is unlikely to affect the species or contribute to any recognised threats. </w:t>
            </w:r>
          </w:p>
        </w:tc>
      </w:tr>
      <w:tr w:rsidR="000B173B" w14:paraId="4F4C2263" w14:textId="77777777" w:rsidTr="00A15226">
        <w:tc>
          <w:tcPr>
            <w:tcW w:w="1480" w:type="dxa"/>
            <w:tcBorders>
              <w:bottom w:val="single" w:sz="4" w:space="0" w:color="auto"/>
            </w:tcBorders>
            <w:vAlign w:val="center"/>
          </w:tcPr>
          <w:p w14:paraId="0D0AE419" w14:textId="77777777" w:rsidR="000B173B" w:rsidRPr="00B83DE7" w:rsidRDefault="000B173B" w:rsidP="00A15226">
            <w:pPr>
              <w:pStyle w:val="Tabletext"/>
              <w:rPr>
                <w:rFonts w:cs="Arial"/>
                <w:i/>
                <w:iCs/>
                <w:szCs w:val="18"/>
              </w:rPr>
            </w:pPr>
            <w:r w:rsidRPr="00B83DE7">
              <w:rPr>
                <w:rFonts w:cs="Arial"/>
                <w:i/>
                <w:iCs/>
                <w:szCs w:val="18"/>
              </w:rPr>
              <w:t>Lathamus discolor</w:t>
            </w:r>
          </w:p>
        </w:tc>
        <w:tc>
          <w:tcPr>
            <w:tcW w:w="1353" w:type="dxa"/>
            <w:tcBorders>
              <w:bottom w:val="single" w:sz="4" w:space="0" w:color="auto"/>
            </w:tcBorders>
            <w:vAlign w:val="center"/>
          </w:tcPr>
          <w:p w14:paraId="75DD498D" w14:textId="77777777" w:rsidR="000B173B" w:rsidRPr="00B83DE7" w:rsidRDefault="000B173B" w:rsidP="00A15226">
            <w:pPr>
              <w:pStyle w:val="Tabletext"/>
              <w:rPr>
                <w:rFonts w:cs="Arial"/>
                <w:szCs w:val="18"/>
              </w:rPr>
            </w:pPr>
            <w:r w:rsidRPr="00B83DE7">
              <w:rPr>
                <w:rFonts w:cs="Arial"/>
                <w:szCs w:val="18"/>
              </w:rPr>
              <w:t xml:space="preserve">Swift Parrot </w:t>
            </w:r>
          </w:p>
        </w:tc>
        <w:tc>
          <w:tcPr>
            <w:tcW w:w="1235" w:type="dxa"/>
            <w:tcBorders>
              <w:bottom w:val="single" w:sz="4" w:space="0" w:color="auto"/>
            </w:tcBorders>
            <w:vAlign w:val="center"/>
          </w:tcPr>
          <w:p w14:paraId="455BA873" w14:textId="77777777" w:rsidR="000B173B" w:rsidRPr="00B83DE7" w:rsidRDefault="000B173B" w:rsidP="00A15226">
            <w:pPr>
              <w:pStyle w:val="Tabletext"/>
              <w:rPr>
                <w:rFonts w:cs="Arial"/>
                <w:szCs w:val="18"/>
              </w:rPr>
            </w:pPr>
            <w:r w:rsidRPr="00B83DE7">
              <w:rPr>
                <w:rFonts w:cs="Arial"/>
                <w:szCs w:val="18"/>
              </w:rPr>
              <w:t xml:space="preserve">Critically Endangered, marine </w:t>
            </w:r>
          </w:p>
        </w:tc>
        <w:tc>
          <w:tcPr>
            <w:tcW w:w="1177" w:type="dxa"/>
            <w:tcBorders>
              <w:bottom w:val="single" w:sz="4" w:space="0" w:color="auto"/>
            </w:tcBorders>
            <w:vAlign w:val="center"/>
          </w:tcPr>
          <w:p w14:paraId="685A11C7" w14:textId="77777777" w:rsidR="000B173B" w:rsidRPr="00AC3FED" w:rsidRDefault="000B173B" w:rsidP="00A15226">
            <w:pPr>
              <w:pStyle w:val="Tabletext"/>
              <w:jc w:val="center"/>
              <w:rPr>
                <w:highlight w:val="yellow"/>
              </w:rPr>
            </w:pPr>
            <w:r w:rsidRPr="0015628F">
              <w:t>No</w:t>
            </w:r>
          </w:p>
        </w:tc>
        <w:tc>
          <w:tcPr>
            <w:tcW w:w="9072" w:type="dxa"/>
            <w:tcBorders>
              <w:bottom w:val="single" w:sz="4" w:space="0" w:color="auto"/>
            </w:tcBorders>
            <w:vAlign w:val="center"/>
          </w:tcPr>
          <w:p w14:paraId="6268DC81" w14:textId="77777777" w:rsidR="000B173B" w:rsidRDefault="000B173B" w:rsidP="00A15226">
            <w:pPr>
              <w:pStyle w:val="Tabletext"/>
            </w:pPr>
            <w:r w:rsidRPr="00B83DE7">
              <w:rPr>
                <w:rFonts w:cs="Arial"/>
                <w:i/>
                <w:iCs/>
                <w:szCs w:val="18"/>
              </w:rPr>
              <w:t>Lathamus discolor</w:t>
            </w:r>
            <w:r>
              <w:t xml:space="preserve"> (Swift Parrot) is endemic to south-eastern Australia. The species breeds in Tasmania during the summer and migrates to mainland Australia during the winter. During the non-breeding season, foraging occurs in inland box-ironbark and grassy woodlands, and coastal swamp mahogany and spotted gum woodland or, alternatively, in coastal forest from eastern Victoria to the central coast of NSW. In Victoria, the species is primarily found in the dry forest and woodlands of the box-ironbark region on the inland slopes of the Great Dividing Range. The total population is less than 2,000 individuals. Threats to the species include l</w:t>
            </w:r>
            <w:r w:rsidRPr="00582C51">
              <w:t>and clearing</w:t>
            </w:r>
            <w:r>
              <w:t xml:space="preserve">. </w:t>
            </w:r>
            <w:r w:rsidRPr="00582C51">
              <w:t>In urban areas, the bird is susceptible to mortality due to collision with wire netting, mesh fences, windows, and cars</w:t>
            </w:r>
            <w:r>
              <w:t xml:space="preserve"> </w:t>
            </w:r>
            <w:sdt>
              <w:sdtPr>
                <w:rPr>
                  <w:color w:val="000000"/>
                </w:rPr>
                <w:tag w:val="MENDELEY_CITATION_v3_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"/>
                <w:id w:val="1755622236"/>
                <w:placeholder>
                  <w:docPart w:val="339B7D746526864D922760336FCFE603"/>
                </w:placeholder>
              </w:sdtPr>
              <w:sdtContent>
                <w:r w:rsidRPr="002F46CE">
                  <w:rPr>
                    <w:color w:val="000000"/>
                  </w:rPr>
                  <w:t>(TSSC, 2016n)</w:t>
                </w:r>
              </w:sdtContent>
            </w:sdt>
            <w:r w:rsidRPr="00582C51">
              <w:t>.</w:t>
            </w:r>
          </w:p>
          <w:p w14:paraId="6BE01934"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0F33BFA7" w14:textId="77777777" w:rsidR="000B173B" w:rsidRDefault="000B173B" w:rsidP="00A15226">
            <w:pPr>
              <w:pStyle w:val="Tabletext"/>
            </w:pPr>
            <w:r>
              <w:t>There are 215 records of the species scattered across the Study Area, with a number concentrated on the limited areas of remnant woodland located some distance from the Growth Areas. The Growth Areas and surrounds provide very limited foraging habitat. Development under the Plan is unlikely to affect the species or contribute to any recognised threats.</w:t>
            </w:r>
          </w:p>
        </w:tc>
      </w:tr>
      <w:tr w:rsidR="000B173B" w14:paraId="1A2239EE" w14:textId="77777777" w:rsidTr="00A15226">
        <w:tc>
          <w:tcPr>
            <w:tcW w:w="1480" w:type="dxa"/>
            <w:tcBorders>
              <w:bottom w:val="single" w:sz="4" w:space="0" w:color="auto"/>
            </w:tcBorders>
            <w:vAlign w:val="center"/>
          </w:tcPr>
          <w:p w14:paraId="36D01D10" w14:textId="77777777" w:rsidR="000B173B" w:rsidRPr="00B83DE7" w:rsidRDefault="000B173B" w:rsidP="00A15226">
            <w:pPr>
              <w:pStyle w:val="Tabletext"/>
              <w:rPr>
                <w:rFonts w:cs="Arial"/>
                <w:i/>
                <w:iCs/>
                <w:szCs w:val="18"/>
              </w:rPr>
            </w:pPr>
            <w:r w:rsidRPr="00B83DE7">
              <w:rPr>
                <w:rFonts w:cs="Arial"/>
                <w:i/>
                <w:iCs/>
                <w:szCs w:val="18"/>
              </w:rPr>
              <w:lastRenderedPageBreak/>
              <w:t>Limosa lapponica baueri</w:t>
            </w:r>
          </w:p>
        </w:tc>
        <w:tc>
          <w:tcPr>
            <w:tcW w:w="1353" w:type="dxa"/>
            <w:tcBorders>
              <w:bottom w:val="single" w:sz="4" w:space="0" w:color="auto"/>
            </w:tcBorders>
            <w:vAlign w:val="center"/>
          </w:tcPr>
          <w:p w14:paraId="68F7B445" w14:textId="77777777" w:rsidR="000B173B" w:rsidRPr="00B83DE7" w:rsidRDefault="000B173B" w:rsidP="00A15226">
            <w:pPr>
              <w:pStyle w:val="Tabletext"/>
              <w:rPr>
                <w:rFonts w:cs="Arial"/>
                <w:szCs w:val="18"/>
              </w:rPr>
            </w:pPr>
            <w:r w:rsidRPr="00B83DE7">
              <w:rPr>
                <w:rFonts w:cs="Arial"/>
                <w:szCs w:val="18"/>
              </w:rPr>
              <w:t>Western Alaskan Bar-tailed Godwit</w:t>
            </w:r>
          </w:p>
        </w:tc>
        <w:tc>
          <w:tcPr>
            <w:tcW w:w="1235" w:type="dxa"/>
            <w:tcBorders>
              <w:bottom w:val="single" w:sz="4" w:space="0" w:color="auto"/>
            </w:tcBorders>
            <w:vAlign w:val="center"/>
          </w:tcPr>
          <w:p w14:paraId="01CBA385"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tcBorders>
              <w:bottom w:val="single" w:sz="4" w:space="0" w:color="auto"/>
            </w:tcBorders>
            <w:vAlign w:val="center"/>
          </w:tcPr>
          <w:p w14:paraId="7C4CE0BB" w14:textId="77777777" w:rsidR="000B173B" w:rsidRPr="00AC3FED" w:rsidRDefault="000B173B" w:rsidP="00A15226">
            <w:pPr>
              <w:pStyle w:val="Tabletext"/>
              <w:jc w:val="center"/>
              <w:rPr>
                <w:highlight w:val="yellow"/>
              </w:rPr>
            </w:pPr>
            <w:r>
              <w:t>Yes</w:t>
            </w:r>
          </w:p>
        </w:tc>
        <w:tc>
          <w:tcPr>
            <w:tcW w:w="9072" w:type="dxa"/>
            <w:tcBorders>
              <w:bottom w:val="single" w:sz="4" w:space="0" w:color="auto"/>
            </w:tcBorders>
            <w:vAlign w:val="center"/>
          </w:tcPr>
          <w:p w14:paraId="2C5667B7" w14:textId="77777777" w:rsidR="000B173B" w:rsidRDefault="000B173B" w:rsidP="00A15226">
            <w:pPr>
              <w:pStyle w:val="Tabletext"/>
            </w:pPr>
            <w:r>
              <w:rPr>
                <w:i/>
                <w:iCs/>
              </w:rPr>
              <w:t xml:space="preserve">Limosa lapponica baueri </w:t>
            </w:r>
            <w:r>
              <w:t xml:space="preserve">(Western Alaskan Bar-tailed Godwit) breeds in the Northern Hemisphere then migrates south. In Australia, it mainly occurs along the north and east coasts </w:t>
            </w:r>
            <w:sdt>
              <w:sdtPr>
                <w:rPr>
                  <w:color w:val="000000"/>
                </w:rPr>
                <w:tag w:val="MENDELEY_CITATION_v3_eyJjaXRhdGlvbklEIjoiTUVOREVMRVlfQ0lUQVRJT05fMGQ5ZjZiYjMtYTgxNy00OTYzLTg5NmEtNDgxZjVjN2U5NzU2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531562493"/>
                <w:placeholder>
                  <w:docPart w:val="339B7D746526864D922760336FCFE603"/>
                </w:placeholder>
              </w:sdtPr>
              <w:sdtContent>
                <w:r w:rsidRPr="002F46CE">
                  <w:rPr>
                    <w:color w:val="000000"/>
                  </w:rPr>
                  <w:t>(TSSC, 2016o)</w:t>
                </w:r>
              </w:sdtContent>
            </w:sdt>
            <w:r>
              <w:t>.</w:t>
            </w:r>
          </w:p>
          <w:p w14:paraId="09D5929A" w14:textId="77777777" w:rsidR="000B173B" w:rsidRPr="00D016F8" w:rsidRDefault="000B173B" w:rsidP="00A15226">
            <w:pPr>
              <w:pStyle w:val="Tabletext"/>
            </w:pPr>
            <w:r>
              <w:t xml:space="preserve">In Australia, the subspecies typically forages in coastal habitats such as large intertidal sand flats, banks, mudflats, estuaries, inlets, harbours, coastal lagoons, and bays. Roosting generally occurs on sandy beaches, sandbars, spits and also in near-coastal saltmarsh. The species is thought to have high site fidelity outside of the breeding season </w:t>
            </w:r>
            <w:sdt>
              <w:sdtPr>
                <w:rPr>
                  <w:color w:val="000000"/>
                </w:rPr>
                <w:tag w:val="MENDELEY_CITATION_v3_eyJjaXRhdGlvbklEIjoiTUVOREVMRVlfQ0lUQVRJT05fNjRmMzc4YTgtMmJlYS00Mjg0LWEyOTAtNjAyN2IxZjZkZGQx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961389546"/>
                <w:placeholder>
                  <w:docPart w:val="339B7D746526864D922760336FCFE603"/>
                </w:placeholder>
              </w:sdtPr>
              <w:sdtContent>
                <w:r w:rsidRPr="002F46CE">
                  <w:rPr>
                    <w:color w:val="000000"/>
                  </w:rPr>
                  <w:t>(TSSC, 2016o)</w:t>
                </w:r>
              </w:sdtContent>
            </w:sdt>
            <w:r w:rsidRPr="001F3C7E">
              <w:t>.</w:t>
            </w:r>
          </w:p>
          <w:p w14:paraId="6165DD7C" w14:textId="77777777" w:rsidR="000B173B" w:rsidRDefault="000B173B" w:rsidP="00A15226">
            <w:pPr>
              <w:pStyle w:val="Tabletext"/>
              <w:jc w:val="both"/>
            </w:pPr>
            <w:r w:rsidRPr="001F3C7E">
              <w:t>The global population</w:t>
            </w:r>
            <w:r>
              <w:t xml:space="preserve"> of </w:t>
            </w:r>
            <w:r>
              <w:rPr>
                <w:i/>
                <w:iCs/>
              </w:rPr>
              <w:t xml:space="preserve">Limosa lapponica </w:t>
            </w:r>
            <w:r>
              <w:t>(at a species level)</w:t>
            </w:r>
            <w:r w:rsidRPr="001F3C7E">
              <w:t xml:space="preserve"> has been estimated to be between 1,100,000 – 1,200,000 individuals, of which it is estimated that 325,000 occur within the East Asian-Australasian Flyway</w:t>
            </w:r>
            <w:r>
              <w:t xml:space="preserve">. Based on the hypothesised distribution of different subspecies of </w:t>
            </w:r>
            <w:r>
              <w:rPr>
                <w:i/>
                <w:iCs/>
              </w:rPr>
              <w:t>Limosa lapponica</w:t>
            </w:r>
            <w:r>
              <w:t xml:space="preserve">, it is thought that the </w:t>
            </w:r>
            <w:r w:rsidRPr="001F3C7E">
              <w:t>East Asian-Australasian Flyway</w:t>
            </w:r>
            <w:r>
              <w:t xml:space="preserve"> population of </w:t>
            </w:r>
            <w:r>
              <w:rPr>
                <w:i/>
                <w:iCs/>
              </w:rPr>
              <w:t xml:space="preserve">L. lapponica baueri </w:t>
            </w:r>
            <w:r>
              <w:t xml:space="preserve">is 155,000 individuals (of which 61,000 individuals are thought to occur in Australia, while the remaining 94,000 individuals occur in New Zealand) </w:t>
            </w:r>
            <w:sdt>
              <w:sdtPr>
                <w:rPr>
                  <w:color w:val="000000"/>
                </w:rPr>
                <w:tag w:val="MENDELEY_CITATION_v3_eyJjaXRhdGlvbklEIjoiTUVOREVMRVlfQ0lUQVRJT05fMzcwOTNmZDgtZmM2OC00MzU2LWI2NmQtNmY4OGZkM2Q3OGU1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856619997"/>
                <w:placeholder>
                  <w:docPart w:val="339B7D746526864D922760336FCFE603"/>
                </w:placeholder>
              </w:sdtPr>
              <w:sdtContent>
                <w:r w:rsidRPr="002F46CE">
                  <w:rPr>
                    <w:color w:val="000000"/>
                  </w:rPr>
                  <w:t>(TSSC, 2016o)</w:t>
                </w:r>
              </w:sdtContent>
            </w:sdt>
            <w:r w:rsidRPr="001F3C7E">
              <w:t>.</w:t>
            </w:r>
          </w:p>
          <w:p w14:paraId="1BEEB916" w14:textId="77777777" w:rsidR="000B173B" w:rsidRDefault="000B173B" w:rsidP="00A15226">
            <w:pPr>
              <w:pStyle w:val="Tabletext"/>
              <w:jc w:val="both"/>
            </w:pPr>
            <w:r>
              <w:t xml:space="preserve">In Australia, the species is threatened by ongoing human disturbance, habitat loss and degradation from pollution, changes to the water regime, and invasive plants </w:t>
            </w:r>
            <w:sdt>
              <w:sdtPr>
                <w:rPr>
                  <w:color w:val="000000"/>
                </w:rPr>
                <w:tag w:val="MENDELEY_CITATION_v3_eyJjaXRhdGlvbklEIjoiTUVOREVMRVlfQ0lUQVRJT05fYjFjZWFjMGQtOGY2Zi00OTgwLTg4MzItYjdmMTJhMTc4NzEx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492828547"/>
                <w:placeholder>
                  <w:docPart w:val="339B7D746526864D922760336FCFE603"/>
                </w:placeholder>
              </w:sdtPr>
              <w:sdtContent>
                <w:r w:rsidRPr="002F46CE">
                  <w:rPr>
                    <w:color w:val="000000"/>
                  </w:rPr>
                  <w:t>(TSSC, 2016o)</w:t>
                </w:r>
              </w:sdtContent>
            </w:sdt>
            <w:r w:rsidRPr="001F3C7E">
              <w:t>.</w:t>
            </w:r>
          </w:p>
          <w:p w14:paraId="303F4F12"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07C9235C" w14:textId="77777777" w:rsidR="000B173B" w:rsidRDefault="000B173B" w:rsidP="00A15226">
            <w:pPr>
              <w:pStyle w:val="Tabletext"/>
            </w:pPr>
            <w:r>
              <w:t>There are 151 records of the species within the Study Area. Records are located along the shoreline of Port Phillip and in associated with the Lake Connewarre Complex. T</w:t>
            </w:r>
            <w:r w:rsidRPr="00AA1973">
              <w:t xml:space="preserve">he </w:t>
            </w:r>
            <w:r w:rsidRPr="00B83DE7">
              <w:rPr>
                <w:rFonts w:cs="Arial"/>
                <w:szCs w:val="18"/>
              </w:rPr>
              <w:t>Western Alaskan Bar-tailed Godwit</w:t>
            </w:r>
            <w:r w:rsidRPr="00AA1973">
              <w:t xml:space="preserve"> is identified as part of the Ramsar listing criteria for the Port Phillip Bay (Western Shoreline) &amp; Bellarine Peninsula Ramsar Site</w:t>
            </w:r>
            <w:r>
              <w:t xml:space="preserve"> </w:t>
            </w:r>
            <w:sdt>
              <w:sdtPr>
                <w:rPr>
                  <w:color w:val="000000"/>
                </w:rPr>
                <w:tag w:val="MENDELEY_CITATION_v3_eyJjaXRhdGlvbklEIjoiTUVOREVMRVlfQ0lUQVRJT05fNTI1NmU2ZjgtZjdmNy00MGUzLTllZGEtOThkM2MyY2YwMWZj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296946758"/>
                <w:placeholder>
                  <w:docPart w:val="339B7D746526864D922760336FCFE603"/>
                </w:placeholder>
              </w:sdtPr>
              <w:sdtContent>
                <w:r w:rsidRPr="002F46CE">
                  <w:rPr>
                    <w:color w:val="000000"/>
                  </w:rPr>
                  <w:t>(DELWP, 2020)</w:t>
                </w:r>
              </w:sdtContent>
            </w:sdt>
            <w:r>
              <w:t>.</w:t>
            </w:r>
          </w:p>
          <w:p w14:paraId="4A5E2E47" w14:textId="77777777" w:rsidR="000B173B" w:rsidRDefault="000B173B" w:rsidP="00A15226">
            <w:pPr>
              <w:pStyle w:val="Tabletext"/>
            </w:pPr>
            <w:r w:rsidRPr="00596550">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Western Alaskan Bar-tailed Godwit.</w:t>
            </w:r>
          </w:p>
        </w:tc>
      </w:tr>
      <w:tr w:rsidR="000B173B" w14:paraId="70D2253C" w14:textId="77777777" w:rsidTr="00A15226">
        <w:tc>
          <w:tcPr>
            <w:tcW w:w="1480" w:type="dxa"/>
            <w:tcBorders>
              <w:bottom w:val="single" w:sz="4" w:space="0" w:color="auto"/>
            </w:tcBorders>
            <w:vAlign w:val="center"/>
          </w:tcPr>
          <w:p w14:paraId="2E1514A9" w14:textId="77777777" w:rsidR="000B173B" w:rsidRPr="00B83DE7" w:rsidRDefault="000B173B" w:rsidP="00A15226">
            <w:pPr>
              <w:pStyle w:val="Tabletext"/>
              <w:rPr>
                <w:rFonts w:cs="Arial"/>
                <w:i/>
                <w:iCs/>
                <w:szCs w:val="18"/>
              </w:rPr>
            </w:pPr>
            <w:r w:rsidRPr="00B83DE7">
              <w:rPr>
                <w:rFonts w:cs="Arial"/>
                <w:i/>
                <w:iCs/>
                <w:szCs w:val="18"/>
              </w:rPr>
              <w:t>Macronectes giganteus</w:t>
            </w:r>
          </w:p>
        </w:tc>
        <w:tc>
          <w:tcPr>
            <w:tcW w:w="1353" w:type="dxa"/>
            <w:tcBorders>
              <w:bottom w:val="single" w:sz="4" w:space="0" w:color="auto"/>
            </w:tcBorders>
            <w:vAlign w:val="center"/>
          </w:tcPr>
          <w:p w14:paraId="79C66FE2" w14:textId="77777777" w:rsidR="000B173B" w:rsidRPr="00B83DE7" w:rsidRDefault="000B173B" w:rsidP="00A15226">
            <w:pPr>
              <w:pStyle w:val="Tabletext"/>
              <w:rPr>
                <w:rFonts w:cs="Arial"/>
                <w:szCs w:val="18"/>
              </w:rPr>
            </w:pPr>
            <w:r w:rsidRPr="00B83DE7">
              <w:rPr>
                <w:rFonts w:cs="Arial"/>
                <w:szCs w:val="18"/>
              </w:rPr>
              <w:t>Southern Giant-Petrel</w:t>
            </w:r>
          </w:p>
        </w:tc>
        <w:tc>
          <w:tcPr>
            <w:tcW w:w="1235" w:type="dxa"/>
            <w:tcBorders>
              <w:bottom w:val="single" w:sz="4" w:space="0" w:color="auto"/>
            </w:tcBorders>
            <w:vAlign w:val="center"/>
          </w:tcPr>
          <w:p w14:paraId="4CBF1ECC" w14:textId="77777777" w:rsidR="000B173B" w:rsidRPr="00B83DE7" w:rsidRDefault="000B173B" w:rsidP="00A15226">
            <w:pPr>
              <w:pStyle w:val="Tabletext"/>
              <w:rPr>
                <w:rFonts w:cs="Arial"/>
                <w:szCs w:val="18"/>
              </w:rPr>
            </w:pPr>
            <w:r w:rsidRPr="00B83DE7">
              <w:rPr>
                <w:rFonts w:cs="Arial"/>
                <w:szCs w:val="18"/>
              </w:rPr>
              <w:t xml:space="preserve">Endangered, marine, migratory </w:t>
            </w:r>
          </w:p>
        </w:tc>
        <w:tc>
          <w:tcPr>
            <w:tcW w:w="1177" w:type="dxa"/>
            <w:tcBorders>
              <w:bottom w:val="single" w:sz="4" w:space="0" w:color="auto"/>
            </w:tcBorders>
            <w:vAlign w:val="center"/>
          </w:tcPr>
          <w:p w14:paraId="5B0D4EF3"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289AAE20" w14:textId="77777777" w:rsidR="000B173B" w:rsidRDefault="000B173B" w:rsidP="00A15226">
            <w:pPr>
              <w:pStyle w:val="Tabletext"/>
            </w:pPr>
            <w:r w:rsidRPr="00B83DE7">
              <w:rPr>
                <w:rFonts w:cs="Arial"/>
                <w:i/>
                <w:iCs/>
                <w:szCs w:val="18"/>
              </w:rPr>
              <w:t>Macronectes giganteus</w:t>
            </w:r>
            <w:r>
              <w:t xml:space="preserve"> (Southern Giant-Petrel) is a marine bird with a widespread distribution throughout the Southern Ocean. The species is often found in both pelagic and inshore waters. Breeding occurs on the Antarctic Continent, Antarctic Peninsula and islands, on subantartic islands and in South America. Nesting occurs in exposed areas of open vegetation. The bird is both an opportunist scavenger and predator. Its diet consists of live birds, penguin carcasses, seal and whale carrion, cephalopods, euphausiids, and other crustaceans. The global population is estimated at 62,000 individuals, with a trend of rapid decline. In Australian jurisdictions, the population was estimated at 7090 breeding pairs as of 2001 (note breeding occurs </w:t>
            </w:r>
            <w:r>
              <w:lastRenderedPageBreak/>
              <w:t xml:space="preserve">on islands under Australian jurisdiction). Threats to the species include mortality due to longline fishing and trawling, and disturbance of breeding sites </w:t>
            </w:r>
            <w:sdt>
              <w:sdtPr>
                <w:rPr>
                  <w:color w:val="000000"/>
                </w:rPr>
                <w:tag w:val="MENDELEY_CITATION_v3_eyJjaXRhdGlvbklEIjoiTUVOREVMRVlfQ0lUQVRJT05fYzgyMGE0MDQtYThhMS00ZTI4LWI2ODctOTQyM2NkZTQzYzYw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2108310007"/>
                <w:placeholder>
                  <w:docPart w:val="339B7D746526864D922760336FCFE603"/>
                </w:placeholder>
              </w:sdtPr>
              <w:sdtContent>
                <w:r w:rsidRPr="002F46CE">
                  <w:rPr>
                    <w:color w:val="000000"/>
                  </w:rPr>
                  <w:t>(DCCEEW, 2022)</w:t>
                </w:r>
              </w:sdtContent>
            </w:sdt>
            <w:r>
              <w:t xml:space="preserve">. </w:t>
            </w:r>
          </w:p>
          <w:p w14:paraId="5116C00A" w14:textId="77777777" w:rsidR="000B173B" w:rsidRDefault="000B173B" w:rsidP="00A15226">
            <w:pPr>
              <w:pStyle w:val="Tabletext"/>
            </w:pPr>
            <w:r>
              <w:t>There are 27 historical records of the species within the near coastal areas of the Study Area (observed between 1958 – 1988). The species will not be affected by development under the Plan.</w:t>
            </w:r>
          </w:p>
        </w:tc>
      </w:tr>
      <w:tr w:rsidR="000B173B" w14:paraId="5F8BEB2A" w14:textId="77777777" w:rsidTr="00A15226">
        <w:tc>
          <w:tcPr>
            <w:tcW w:w="1480" w:type="dxa"/>
            <w:tcBorders>
              <w:bottom w:val="single" w:sz="4" w:space="0" w:color="auto"/>
            </w:tcBorders>
            <w:shd w:val="clear" w:color="auto" w:fill="auto"/>
            <w:vAlign w:val="center"/>
          </w:tcPr>
          <w:p w14:paraId="48EB5453" w14:textId="77777777" w:rsidR="000B173B" w:rsidRPr="00B83DE7" w:rsidRDefault="000B173B" w:rsidP="00A15226">
            <w:pPr>
              <w:pStyle w:val="Tabletext"/>
              <w:rPr>
                <w:rFonts w:cs="Arial"/>
                <w:i/>
                <w:iCs/>
                <w:szCs w:val="18"/>
              </w:rPr>
            </w:pPr>
            <w:r w:rsidRPr="00B83DE7">
              <w:rPr>
                <w:rFonts w:cs="Arial"/>
                <w:i/>
                <w:iCs/>
                <w:szCs w:val="18"/>
              </w:rPr>
              <w:lastRenderedPageBreak/>
              <w:t>Macronectes halli</w:t>
            </w:r>
          </w:p>
        </w:tc>
        <w:tc>
          <w:tcPr>
            <w:tcW w:w="1353" w:type="dxa"/>
            <w:tcBorders>
              <w:bottom w:val="single" w:sz="4" w:space="0" w:color="auto"/>
            </w:tcBorders>
            <w:shd w:val="clear" w:color="auto" w:fill="auto"/>
            <w:vAlign w:val="center"/>
          </w:tcPr>
          <w:p w14:paraId="070ED2CA" w14:textId="77777777" w:rsidR="000B173B" w:rsidRPr="00B83DE7" w:rsidRDefault="000B173B" w:rsidP="00A15226">
            <w:pPr>
              <w:pStyle w:val="Tabletext"/>
              <w:rPr>
                <w:rFonts w:cs="Arial"/>
                <w:szCs w:val="18"/>
              </w:rPr>
            </w:pPr>
            <w:r w:rsidRPr="00B83DE7">
              <w:rPr>
                <w:rFonts w:cs="Arial"/>
                <w:szCs w:val="18"/>
              </w:rPr>
              <w:t>Northern Giant Petrel</w:t>
            </w:r>
          </w:p>
        </w:tc>
        <w:tc>
          <w:tcPr>
            <w:tcW w:w="1235" w:type="dxa"/>
            <w:tcBorders>
              <w:bottom w:val="single" w:sz="4" w:space="0" w:color="auto"/>
            </w:tcBorders>
            <w:shd w:val="clear" w:color="auto" w:fill="auto"/>
            <w:vAlign w:val="center"/>
          </w:tcPr>
          <w:p w14:paraId="5EB952AB"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shd w:val="clear" w:color="auto" w:fill="auto"/>
            <w:vAlign w:val="center"/>
          </w:tcPr>
          <w:p w14:paraId="06A5484F"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shd w:val="clear" w:color="auto" w:fill="auto"/>
            <w:vAlign w:val="center"/>
          </w:tcPr>
          <w:p w14:paraId="0DD3BE8B" w14:textId="77777777" w:rsidR="000B173B" w:rsidRDefault="000B173B" w:rsidP="00A15226">
            <w:pPr>
              <w:pStyle w:val="Tabletext"/>
            </w:pPr>
            <w:r w:rsidRPr="00B83DE7">
              <w:rPr>
                <w:rFonts w:cs="Arial"/>
                <w:i/>
                <w:iCs/>
                <w:szCs w:val="18"/>
              </w:rPr>
              <w:t>Macronectes halli</w:t>
            </w:r>
            <w:r>
              <w:t xml:space="preserve"> (Northern Giant-Petrel) is a marine bird distributed across the Antarctic Polar Front. In Australia, the species is commonly found in offshore and inshore waters from Fremantle, WA to Sydney, NSW. The bird primarily occurs in sub-Antarctic and Antarctic waters. Breeding occurs on sub-Antarctic islands. Its diet consists of seal, whale, penguin carrion, seal placentae, birds, cephalopods, fish, euphausiids, and other crustaceans. The global breeding population is likely 10,700 pairs. In Australian jurisdictions, approximately 1,500 pairs breed at Macquarie Island. Estimates suggest the global population may be increasing, although there is a lack of comprehensive survey data. Threats to the species include mortality related to longline fishing, trawling, and disturbance of breeding sites </w:t>
            </w:r>
            <w:sdt>
              <w:sdtPr>
                <w:rPr>
                  <w:color w:val="000000"/>
                </w:rPr>
                <w:tag w:val="MENDELEY_CITATION_v3_eyJjaXRhdGlvbklEIjoiTUVOREVMRVlfQ0lUQVRJT05fZjRkM2E3YWYtMjU3MC00MGMxLTg4ZGUtNDgyYmE3MDYyOGQy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70702193"/>
                <w:placeholder>
                  <w:docPart w:val="339B7D746526864D922760336FCFE603"/>
                </w:placeholder>
              </w:sdtPr>
              <w:sdtContent>
                <w:r w:rsidRPr="002F46CE">
                  <w:rPr>
                    <w:color w:val="000000"/>
                  </w:rPr>
                  <w:t>(DCCEEW, 2022)</w:t>
                </w:r>
              </w:sdtContent>
            </w:sdt>
            <w:r>
              <w:t>.</w:t>
            </w:r>
          </w:p>
          <w:p w14:paraId="0F4184AF" w14:textId="77777777" w:rsidR="000B173B" w:rsidRDefault="000B173B" w:rsidP="00A15226">
            <w:pPr>
              <w:pStyle w:val="Tabletext"/>
            </w:pPr>
            <w:r>
              <w:t>There are 10 records of the species within the near coastal areas of the Study Area. The species will not be affected by development under the Plan.</w:t>
            </w:r>
          </w:p>
        </w:tc>
      </w:tr>
      <w:tr w:rsidR="000B173B" w14:paraId="00A07F8E" w14:textId="77777777" w:rsidTr="00A15226">
        <w:tc>
          <w:tcPr>
            <w:tcW w:w="1480" w:type="dxa"/>
            <w:tcBorders>
              <w:bottom w:val="single" w:sz="4" w:space="0" w:color="auto"/>
            </w:tcBorders>
            <w:vAlign w:val="center"/>
          </w:tcPr>
          <w:p w14:paraId="15C98FF0" w14:textId="77777777" w:rsidR="000B173B" w:rsidRPr="00B83DE7" w:rsidRDefault="000B173B" w:rsidP="00A15226">
            <w:pPr>
              <w:pStyle w:val="Tabletext"/>
              <w:rPr>
                <w:rFonts w:cs="Arial"/>
                <w:i/>
                <w:iCs/>
                <w:szCs w:val="18"/>
              </w:rPr>
            </w:pPr>
            <w:r w:rsidRPr="00B83DE7">
              <w:rPr>
                <w:rFonts w:cs="Arial"/>
                <w:i/>
                <w:iCs/>
                <w:szCs w:val="18"/>
              </w:rPr>
              <w:t>Neophema chrysogaster</w:t>
            </w:r>
          </w:p>
        </w:tc>
        <w:tc>
          <w:tcPr>
            <w:tcW w:w="1353" w:type="dxa"/>
            <w:tcBorders>
              <w:bottom w:val="single" w:sz="4" w:space="0" w:color="auto"/>
            </w:tcBorders>
            <w:vAlign w:val="center"/>
          </w:tcPr>
          <w:p w14:paraId="70A3B051" w14:textId="77777777" w:rsidR="000B173B" w:rsidRPr="00B83DE7" w:rsidRDefault="000B173B" w:rsidP="00A15226">
            <w:pPr>
              <w:pStyle w:val="Tabletext"/>
              <w:rPr>
                <w:rFonts w:cs="Arial"/>
                <w:szCs w:val="18"/>
              </w:rPr>
            </w:pPr>
            <w:r w:rsidRPr="00B83DE7">
              <w:rPr>
                <w:rFonts w:cs="Arial"/>
                <w:szCs w:val="18"/>
              </w:rPr>
              <w:t>Orange-bellied Parrot</w:t>
            </w:r>
          </w:p>
        </w:tc>
        <w:tc>
          <w:tcPr>
            <w:tcW w:w="1235" w:type="dxa"/>
            <w:tcBorders>
              <w:bottom w:val="single" w:sz="4" w:space="0" w:color="auto"/>
            </w:tcBorders>
            <w:vAlign w:val="center"/>
          </w:tcPr>
          <w:p w14:paraId="52B0143A" w14:textId="77777777" w:rsidR="000B173B" w:rsidRPr="00B83DE7" w:rsidRDefault="000B173B" w:rsidP="00A15226">
            <w:pPr>
              <w:pStyle w:val="Tabletext"/>
              <w:rPr>
                <w:rFonts w:cs="Arial"/>
                <w:szCs w:val="18"/>
              </w:rPr>
            </w:pPr>
            <w:r w:rsidRPr="00B83DE7">
              <w:rPr>
                <w:rFonts w:cs="Arial"/>
                <w:szCs w:val="18"/>
              </w:rPr>
              <w:t xml:space="preserve">Critically Endangered, Marine </w:t>
            </w:r>
          </w:p>
        </w:tc>
        <w:tc>
          <w:tcPr>
            <w:tcW w:w="1177" w:type="dxa"/>
            <w:tcBorders>
              <w:bottom w:val="single" w:sz="4" w:space="0" w:color="auto"/>
            </w:tcBorders>
            <w:vAlign w:val="center"/>
          </w:tcPr>
          <w:p w14:paraId="4804D833" w14:textId="77777777" w:rsidR="000B173B" w:rsidRPr="00AC3FED" w:rsidRDefault="000B173B" w:rsidP="00A15226">
            <w:pPr>
              <w:pStyle w:val="Tabletext"/>
              <w:jc w:val="center"/>
              <w:rPr>
                <w:highlight w:val="yellow"/>
              </w:rPr>
            </w:pPr>
            <w:r w:rsidRPr="00290828">
              <w:t>Yes</w:t>
            </w:r>
          </w:p>
        </w:tc>
        <w:tc>
          <w:tcPr>
            <w:tcW w:w="9072" w:type="dxa"/>
            <w:tcBorders>
              <w:bottom w:val="single" w:sz="4" w:space="0" w:color="auto"/>
            </w:tcBorders>
            <w:vAlign w:val="center"/>
          </w:tcPr>
          <w:p w14:paraId="7CE70247" w14:textId="77777777" w:rsidR="000B173B" w:rsidRDefault="000B173B" w:rsidP="00A15226">
            <w:pPr>
              <w:pStyle w:val="Tabletext"/>
            </w:pPr>
            <w:r w:rsidRPr="00B83DE7">
              <w:rPr>
                <w:rFonts w:cs="Arial"/>
                <w:i/>
                <w:iCs/>
                <w:szCs w:val="18"/>
              </w:rPr>
              <w:t>Neophema chrysogaster</w:t>
            </w:r>
            <w:r>
              <w:t xml:space="preserve"> (Orange-bellied Parrot) is endemic to south-eastern Australia. The species migrates between distinct breeding and non-breeding ranges. Breeding occurs in south-west Tasmania and overwintering occurs on the south-east coast of mainland Australia. Non-breeding birds are found along the coast of Victoria and South Australia, and occasionally in NSW(although sightings in NSW are now very rare) </w:t>
            </w:r>
            <w:sdt>
              <w:sdtPr>
                <w:rPr>
                  <w:color w:val="000000"/>
                </w:rPr>
                <w:tag w:val="MENDELEY_CITATION_v3_eyJjaXRhdGlvbklEIjoiTUVOREVMRVlfQ0lUQVRJT05fNjQzZWVkOTctMzAyOC00YWIyLTk2YjEtZDUzOWUwNjE3NzI0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865054412"/>
                <w:placeholder>
                  <w:docPart w:val="339B7D746526864D922760336FCFE603"/>
                </w:placeholder>
              </w:sdtPr>
              <w:sdtContent>
                <w:r w:rsidRPr="002F46CE">
                  <w:rPr>
                    <w:color w:val="000000"/>
                  </w:rPr>
                  <w:t>(DELWP, 2016)</w:t>
                </w:r>
              </w:sdtContent>
            </w:sdt>
            <w:r>
              <w:t>.</w:t>
            </w:r>
          </w:p>
          <w:p w14:paraId="454F5142" w14:textId="77777777" w:rsidR="000B173B" w:rsidRPr="005613D1" w:rsidRDefault="000B173B" w:rsidP="00A15226">
            <w:pPr>
              <w:pStyle w:val="Tabletext"/>
            </w:pPr>
            <w:r>
              <w:t xml:space="preserve">During the non-breeding season, the species forages in low shrubs or prostrate vegetation 10 km of the coast. When migrating, the Orange-bellied Parrot is found in locations associated with saltmarshes and adjacent pastures that are close to free-standing water bodes. It is likely that the species requires a range of winter feeding locations in different catchments, at different elevations and with a variety of food plant species to sustain them throughout winter. Roosting occurs in dense shrubs within a few kilometres of foraging sites </w:t>
            </w:r>
            <w:sdt>
              <w:sdtPr>
                <w:rPr>
                  <w:color w:val="000000"/>
                </w:rPr>
                <w:tag w:val="MENDELEY_CITATION_v3_eyJjaXRhdGlvbklEIjoiTUVOREVMRVlfQ0lUQVRJT05fMGY3NDlhMmUtZjE1MS00ZTJiLWIxODctNWZhNWU0N2UyYzZm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316307304"/>
                <w:placeholder>
                  <w:docPart w:val="339B7D746526864D922760336FCFE603"/>
                </w:placeholder>
              </w:sdtPr>
              <w:sdtContent>
                <w:r w:rsidRPr="002F46CE">
                  <w:rPr>
                    <w:color w:val="000000"/>
                  </w:rPr>
                  <w:t>(DELWP, 2016)</w:t>
                </w:r>
              </w:sdtContent>
            </w:sdt>
            <w:r>
              <w:t>.</w:t>
            </w:r>
          </w:p>
          <w:p w14:paraId="0EED275F" w14:textId="77777777" w:rsidR="000B173B" w:rsidRDefault="000B173B" w:rsidP="00A15226">
            <w:pPr>
              <w:pStyle w:val="Tabletext"/>
            </w:pPr>
            <w:r>
              <w:t xml:space="preserve">Until 1920 the Orange-bellied Parrot was reported as common or locally abundant. The species has experienced a significant reduction in abundance since that time </w:t>
            </w:r>
            <w:sdt>
              <w:sdtPr>
                <w:rPr>
                  <w:color w:val="000000"/>
                </w:rPr>
                <w:tag w:val="MENDELEY_CITATION_v3_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"/>
                <w:id w:val="209001638"/>
                <w:placeholder>
                  <w:docPart w:val="339B7D746526864D922760336FCFE603"/>
                </w:placeholder>
              </w:sdtPr>
              <w:sdtContent>
                <w:r w:rsidRPr="002F46CE">
                  <w:rPr>
                    <w:color w:val="000000"/>
                  </w:rPr>
                  <w:t>(TSSC, 2006)</w:t>
                </w:r>
              </w:sdtContent>
            </w:sdt>
            <w:r>
              <w:t xml:space="preserve">. 70 adult Orange-bellied Parrots were recorded returning to breeding grounds in Melaleuca (in Tasmania) at the beginning of the 2021/22 breeding season. As of May 2022, there are over 500 Orange-bellied Parrots in captivity </w:t>
            </w:r>
            <w:sdt>
              <w:sdtPr>
                <w:rPr>
                  <w:color w:val="000000"/>
                </w:rPr>
                <w:tag w:val="MENDELEY_CITATION_v3_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"/>
                <w:id w:val="-1033962616"/>
                <w:placeholder>
                  <w:docPart w:val="339B7D746526864D922760336FCFE603"/>
                </w:placeholder>
              </w:sdtPr>
              <w:sdtContent>
                <w:r w:rsidRPr="002F46CE">
                  <w:rPr>
                    <w:color w:val="000000"/>
                  </w:rPr>
                  <w:t>(Birdlife Australia, 2022)</w:t>
                </w:r>
              </w:sdtContent>
            </w:sdt>
            <w:r>
              <w:t>.</w:t>
            </w:r>
          </w:p>
          <w:p w14:paraId="3B0C2B8C" w14:textId="77777777" w:rsidR="000B173B" w:rsidRDefault="000B173B" w:rsidP="00A15226">
            <w:pPr>
              <w:pStyle w:val="Tabletext"/>
            </w:pPr>
            <w:r>
              <w:t xml:space="preserve">Threats to the species include degradation and loss of habitat, loss of genetic diversity and inbreeding, disease, stochastic environmental events, climate change, predators and competitors, barriers to migration, </w:t>
            </w:r>
            <w:r>
              <w:lastRenderedPageBreak/>
              <w:t xml:space="preserve">consumption of toxic food and plants, hybridisation with Blue-winged Parrots, and negative effects of management activities </w:t>
            </w:r>
            <w:sdt>
              <w:sdtPr>
                <w:rPr>
                  <w:color w:val="000000"/>
                </w:rPr>
                <w:tag w:val="MENDELEY_CITATION_v3_eyJjaXRhdGlvbklEIjoiTUVOREVMRVlfQ0lUQVRJT05fYTg3MzU0YTEtOGQ5Ni00NjY4LWFjNGUtNTA5MjdjMzFiNmZk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069351710"/>
                <w:placeholder>
                  <w:docPart w:val="339B7D746526864D922760336FCFE603"/>
                </w:placeholder>
              </w:sdtPr>
              <w:sdtContent>
                <w:r w:rsidRPr="002F46CE">
                  <w:rPr>
                    <w:color w:val="000000"/>
                  </w:rPr>
                  <w:t>(DELWP, 2016)</w:t>
                </w:r>
              </w:sdtContent>
            </w:sdt>
            <w:r>
              <w:t>.</w:t>
            </w:r>
          </w:p>
          <w:p w14:paraId="5CEF7100" w14:textId="77777777" w:rsidR="000B173B" w:rsidRPr="00C61D8A" w:rsidRDefault="000B173B" w:rsidP="00A15226">
            <w:pPr>
              <w:pStyle w:val="Tabletext"/>
            </w:pPr>
            <w:r w:rsidRPr="00C61D8A">
              <w:t>There are no records or potential habitat for the species within the</w:t>
            </w:r>
            <w:r>
              <w:t xml:space="preserve"> Strategic Assessment Area. </w:t>
            </w:r>
            <w:r w:rsidRPr="00C61D8A">
              <w:t xml:space="preserve">Direct impacts are considered to be unlikely. </w:t>
            </w:r>
          </w:p>
          <w:p w14:paraId="68CEF05A" w14:textId="77777777" w:rsidR="000B173B" w:rsidRDefault="000B173B" w:rsidP="00A15226">
            <w:pPr>
              <w:pStyle w:val="Tabletext"/>
            </w:pPr>
            <w:r>
              <w:t>There are 844 records of the species within the Study Area (the most recent observed in 2020), the closest of which occurs approximately 4.5 km away from the Growth Areas. A large number of records occur along the northern shoreline of Port Phillip Bay. Records also occur at the Lake Connewarre Complex.</w:t>
            </w:r>
          </w:p>
          <w:p w14:paraId="65E7A75A" w14:textId="77777777" w:rsidR="000B173B" w:rsidRDefault="000B173B" w:rsidP="00A15226">
            <w:pPr>
              <w:pStyle w:val="Tabletext"/>
            </w:pPr>
            <w:r>
              <w:t xml:space="preserve">The Bellarine Peninsula at Port Phillip Bay is a commonly used over-wintering site for the species </w:t>
            </w:r>
            <w:sdt>
              <w:sdtPr>
                <w:rPr>
                  <w:color w:val="000000"/>
                </w:rPr>
                <w:tag w:val="MENDELEY_CITATION_v3_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"/>
                <w:id w:val="-810012237"/>
                <w:placeholder>
                  <w:docPart w:val="339B7D746526864D922760336FCFE603"/>
                </w:placeholder>
              </w:sdtPr>
              <w:sdtContent>
                <w:r w:rsidRPr="002F46CE">
                  <w:rPr>
                    <w:color w:val="000000"/>
                  </w:rPr>
                  <w:t>(TSSC, 2006)</w:t>
                </w:r>
              </w:sdtContent>
            </w:sdt>
            <w:r>
              <w:t xml:space="preserve">. Further, the species is identified as part of the Ramsar listing for the Port Phillip Bay (Western Shoreline) &amp; Bellarine Peninsula Ramsar site </w:t>
            </w:r>
            <w:sdt>
              <w:sdtPr>
                <w:rPr>
                  <w:color w:val="000000"/>
                </w:rPr>
                <w:tag w:val="MENDELEY_CITATION_v3_eyJjaXRhdGlvbklEIjoiTUVOREVMRVlfQ0lUQVRJT05fY2UxMTVlYzYtYWU0Yy00MzI4LWE3MWQtNTlkOWI3NTQzYTI4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480836052"/>
                <w:placeholder>
                  <w:docPart w:val="339B7D746526864D922760336FCFE603"/>
                </w:placeholder>
              </w:sdtPr>
              <w:sdtContent>
                <w:r w:rsidRPr="002F46CE">
                  <w:rPr>
                    <w:color w:val="000000"/>
                  </w:rPr>
                  <w:t>(DELWP, 2020)</w:t>
                </w:r>
              </w:sdtContent>
            </w:sdt>
            <w:r>
              <w:t xml:space="preserve">. </w:t>
            </w:r>
          </w:p>
          <w:p w14:paraId="030C0ECD" w14:textId="77777777" w:rsidR="000B173B" w:rsidRDefault="000B173B" w:rsidP="00A15226">
            <w:pPr>
              <w:pStyle w:val="Tabletext"/>
            </w:pPr>
            <w:r>
              <w:t>Further detailed assessment is required to understand the potential for indirect impacts to the species associated with development under the Plan. Refer to Section 19.4 of Part 4 for the detailed impact assessment of the Orange-bellied Parrot.</w:t>
            </w:r>
          </w:p>
        </w:tc>
      </w:tr>
      <w:tr w:rsidR="000B173B" w14:paraId="3D9F0690" w14:textId="77777777" w:rsidTr="00A15226">
        <w:tc>
          <w:tcPr>
            <w:tcW w:w="1480" w:type="dxa"/>
            <w:tcBorders>
              <w:bottom w:val="single" w:sz="4" w:space="0" w:color="auto"/>
            </w:tcBorders>
            <w:vAlign w:val="center"/>
          </w:tcPr>
          <w:p w14:paraId="284A1D17" w14:textId="77777777" w:rsidR="000B173B" w:rsidRPr="00B83DE7" w:rsidRDefault="000B173B" w:rsidP="00A15226">
            <w:pPr>
              <w:pStyle w:val="Tabletext"/>
              <w:rPr>
                <w:rFonts w:cs="Arial"/>
                <w:i/>
                <w:iCs/>
                <w:szCs w:val="18"/>
              </w:rPr>
            </w:pPr>
            <w:r>
              <w:rPr>
                <w:rFonts w:cs="Arial"/>
                <w:i/>
                <w:iCs/>
                <w:szCs w:val="18"/>
              </w:rPr>
              <w:lastRenderedPageBreak/>
              <w:t>Neophema chrysostoma</w:t>
            </w:r>
          </w:p>
        </w:tc>
        <w:tc>
          <w:tcPr>
            <w:tcW w:w="1353" w:type="dxa"/>
            <w:tcBorders>
              <w:bottom w:val="single" w:sz="4" w:space="0" w:color="auto"/>
            </w:tcBorders>
            <w:vAlign w:val="center"/>
          </w:tcPr>
          <w:p w14:paraId="3E4AD62A" w14:textId="77777777" w:rsidR="000B173B" w:rsidRPr="00B83DE7" w:rsidRDefault="000B173B" w:rsidP="00A15226">
            <w:pPr>
              <w:pStyle w:val="Tabletext"/>
              <w:rPr>
                <w:rFonts w:cs="Arial"/>
                <w:szCs w:val="18"/>
              </w:rPr>
            </w:pPr>
            <w:r>
              <w:rPr>
                <w:rFonts w:cs="Arial"/>
                <w:szCs w:val="18"/>
              </w:rPr>
              <w:t>Blue-winged Parrot</w:t>
            </w:r>
          </w:p>
        </w:tc>
        <w:tc>
          <w:tcPr>
            <w:tcW w:w="1235" w:type="dxa"/>
            <w:tcBorders>
              <w:bottom w:val="single" w:sz="4" w:space="0" w:color="auto"/>
            </w:tcBorders>
            <w:vAlign w:val="center"/>
          </w:tcPr>
          <w:p w14:paraId="5806D5AF" w14:textId="77777777" w:rsidR="000B173B" w:rsidRPr="00B83DE7" w:rsidRDefault="000B173B" w:rsidP="00A15226">
            <w:pPr>
              <w:pStyle w:val="Tabletext"/>
              <w:rPr>
                <w:rFonts w:cs="Arial"/>
                <w:szCs w:val="18"/>
              </w:rPr>
            </w:pPr>
            <w:r>
              <w:rPr>
                <w:rFonts w:cs="Arial"/>
                <w:szCs w:val="18"/>
              </w:rPr>
              <w:t>Vulnerable</w:t>
            </w:r>
          </w:p>
        </w:tc>
        <w:tc>
          <w:tcPr>
            <w:tcW w:w="1177" w:type="dxa"/>
            <w:tcBorders>
              <w:bottom w:val="single" w:sz="4" w:space="0" w:color="auto"/>
            </w:tcBorders>
            <w:vAlign w:val="center"/>
          </w:tcPr>
          <w:p w14:paraId="19407EE8" w14:textId="77777777" w:rsidR="000B173B" w:rsidRPr="00290828" w:rsidRDefault="000B173B" w:rsidP="00A15226">
            <w:pPr>
              <w:pStyle w:val="Tabletext"/>
              <w:jc w:val="center"/>
            </w:pPr>
            <w:r>
              <w:t>Yes</w:t>
            </w:r>
          </w:p>
        </w:tc>
        <w:tc>
          <w:tcPr>
            <w:tcW w:w="9072" w:type="dxa"/>
            <w:tcBorders>
              <w:bottom w:val="single" w:sz="4" w:space="0" w:color="auto"/>
            </w:tcBorders>
            <w:vAlign w:val="bottom"/>
          </w:tcPr>
          <w:p w14:paraId="5A514613" w14:textId="77777777" w:rsidR="000B173B" w:rsidRDefault="000B173B" w:rsidP="00A15226">
            <w:pPr>
              <w:pStyle w:val="Tabletext"/>
            </w:pPr>
            <w:r>
              <w:t xml:space="preserve">The Blue-winged Parrot is a partial migrant, with variable numbers of the species migrating across the Bass Strait to Tasmania in winter. Breeding has been recorded to occur on mainland Australia south of the Great Dividing Range in southern Victoria, occasionally in the far south-east of South Australia, and in a range of locations in Tasmania. During the non-breeding period, the birds are recorded from northern Victoria, eastern South Australia, south-eastern Queensland and western NSW </w:t>
            </w:r>
            <w:sdt>
              <w:sdtPr>
                <w:rPr>
                  <w:color w:val="000000"/>
                </w:rPr>
                <w:tag w:val="MENDELEY_CITATION_v3_eyJjaXRhdGlvbklEIjoiTUVOREVMRVlfQ0lUQVRJT05fOTkzOWMxYjEtYWRhYS00ZGIyLTk0MDMtYTMzYjc2MmQ5M2IyIiwicHJvcGVydGllcyI6eyJub3RlSW5kZXgiOjB9LCJpc0VkaXRlZCI6ZmFsc2UsIm1hbnVhbE92ZXJyaWRlIjp7ImlzTWFudWFsbHlPdmVycmlkZGVuIjpmYWxzZSwiY2l0ZXByb2NUZXh0IjoiKERDQ0VFVywgMjAyMyki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2060004565"/>
                <w:placeholder>
                  <w:docPart w:val="7A87483195E49548AABB39FF484A13FE"/>
                </w:placeholder>
              </w:sdtPr>
              <w:sdtContent>
                <w:r w:rsidRPr="002F46CE">
                  <w:rPr>
                    <w:color w:val="000000"/>
                  </w:rPr>
                  <w:t>(DCCEEW, 2023)</w:t>
                </w:r>
              </w:sdtContent>
            </w:sdt>
            <w:r>
              <w:t>.</w:t>
            </w:r>
          </w:p>
          <w:p w14:paraId="7AFA1ECA" w14:textId="77777777" w:rsidR="000B173B" w:rsidRDefault="000B173B" w:rsidP="00A15226">
            <w:pPr>
              <w:pStyle w:val="Tabletext"/>
            </w:pPr>
            <w:r>
              <w:t xml:space="preserve">The species occurs in a range of habitats, including coastal, sub-coastal and inland areas. The species favours grasslands and grassy woodlands, and often occur near wetlands both near the coast and further inland. The species occurs in altered habitats, such as airfields, paddocks and golf courses, and forages mainly near or on the ground on seeds from a wide variety of native and introduced grasses, shrubs and herbs </w:t>
            </w:r>
            <w:sdt>
              <w:sdtPr>
                <w:rPr>
                  <w:color w:val="000000"/>
                </w:rPr>
                <w:tag w:val="MENDELEY_CITATION_v3_eyJjaXRhdGlvbklEIjoiTUVOREVMRVlfQ0lUQVRJT05fZTlkYzQwNjgtNjFlYi00NDRiLTlmOWYtY2RiZDYxOGM5OTI0IiwicHJvcGVydGllcyI6eyJub3RlSW5kZXgiOjB9LCJpc0VkaXRlZCI6ZmFsc2UsIm1hbnVhbE92ZXJyaWRlIjp7ImlzTWFudWFsbHlPdmVycmlkZGVuIjpmYWxzZSwiY2l0ZXByb2NUZXh0IjoiKERDQ0VFVywgMjAyMyki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793595249"/>
                <w:placeholder>
                  <w:docPart w:val="7A87483195E49548AABB39FF484A13FE"/>
                </w:placeholder>
              </w:sdtPr>
              <w:sdtContent>
                <w:r w:rsidRPr="002F46CE">
                  <w:rPr>
                    <w:color w:val="000000"/>
                  </w:rPr>
                  <w:t>(DCCEEW, 2023)</w:t>
                </w:r>
              </w:sdtContent>
            </w:sdt>
            <w:r>
              <w:t>.</w:t>
            </w:r>
          </w:p>
          <w:p w14:paraId="687C2E0E" w14:textId="77777777" w:rsidR="000B173B" w:rsidRDefault="000B173B" w:rsidP="00A15226">
            <w:pPr>
              <w:pStyle w:val="Tabletext"/>
            </w:pPr>
            <w:r>
              <w:t xml:space="preserve">Many aspects of the movements of the Blue-winged Parrot are poorly understood, with detailed information about migratory movements not known. It is known that, prior to migrating from Tasmania, the species congregates on saltmarshes and agricultural land prior to departing north. On the mainland, mobile flocks occur in saltmarsh and pasture in coastal Victoria </w:t>
            </w:r>
            <w:sdt>
              <w:sdtPr>
                <w:rPr>
                  <w:color w:val="000000"/>
                </w:rPr>
                <w:tag w:val="MENDELEY_CITATION_v3_eyJjaXRhdGlvbklEIjoiTUVOREVMRVlfQ0lUQVRJT05fYTJiM2Y4NDgtM2YzMS00NmFlLTkwM2EtNTNmYTE5ZmI3ZGJjIiwicHJvcGVydGllcyI6eyJub3RlSW5kZXgiOjB9LCJpc0VkaXRlZCI6ZmFsc2UsIm1hbnVhbE92ZXJyaWRlIjp7ImNpdGVwcm9jVGV4dCI6IihEQ0NFRVcsIDIwMjMpIiwiaXNNYW51YWxseU92ZXJyaWRkZW4iOmZhbHNl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1577715311"/>
                <w:placeholder>
                  <w:docPart w:val="5B3E7DA2BF40C5488334A95F4C458904"/>
                </w:placeholder>
              </w:sdtPr>
              <w:sdtContent>
                <w:r w:rsidRPr="002F46CE">
                  <w:rPr>
                    <w:color w:val="000000"/>
                  </w:rPr>
                  <w:t>(DCCEEW, 2023)</w:t>
                </w:r>
              </w:sdtContent>
            </w:sdt>
            <w:r>
              <w:t>.</w:t>
            </w:r>
          </w:p>
          <w:p w14:paraId="7EFFC6E5" w14:textId="77777777" w:rsidR="000B173B" w:rsidRDefault="000B173B" w:rsidP="00A15226">
            <w:pPr>
              <w:pStyle w:val="Tabletext"/>
            </w:pPr>
            <w:r>
              <w:t xml:space="preserve">The proposed definition of habitat critical to the survival of the species includes </w:t>
            </w:r>
            <w:sdt>
              <w:sdtPr>
                <w:rPr>
                  <w:color w:val="000000"/>
                </w:rPr>
                <w:tag w:val="MENDELEY_CITATION_v3_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"/>
                <w:id w:val="-260847570"/>
                <w:placeholder>
                  <w:docPart w:val="7A87483195E49548AABB39FF484A13FE"/>
                </w:placeholder>
              </w:sdtPr>
              <w:sdtContent>
                <w:r w:rsidRPr="002F46CE">
                  <w:rPr>
                    <w:color w:val="000000"/>
                  </w:rPr>
                  <w:t>(DCCEEW, 2023):</w:t>
                </w:r>
              </w:sdtContent>
            </w:sdt>
          </w:p>
          <w:p w14:paraId="357E2A0A" w14:textId="77777777" w:rsidR="000B173B" w:rsidRDefault="000B173B" w:rsidP="00A15226">
            <w:pPr>
              <w:pStyle w:val="Bullet1"/>
            </w:pPr>
            <w:r>
              <w:t>Foraging and staging habitats in coastal, sub-coastal and inland areas, through to semi-arid zones, including grasslands, grassy woodlands, semi-arid chenopod shrubland with native and introduced grasses, herbs and shrubs</w:t>
            </w:r>
          </w:p>
          <w:p w14:paraId="441F9C39" w14:textId="77777777" w:rsidR="000B173B" w:rsidRDefault="000B173B" w:rsidP="00A15226">
            <w:pPr>
              <w:pStyle w:val="Bullet1"/>
            </w:pPr>
            <w:r>
              <w:t>Wetlands both near the coast and in semi-arid zones used for foraging and staging</w:t>
            </w:r>
          </w:p>
          <w:p w14:paraId="0BB90157" w14:textId="77777777" w:rsidR="000B173B" w:rsidRDefault="000B173B" w:rsidP="00A15226">
            <w:pPr>
              <w:pStyle w:val="Bullet1"/>
            </w:pPr>
            <w:r>
              <w:lastRenderedPageBreak/>
              <w:t>Eucalypt forests and woodlands within the breeding range in Tasmania, coastal south-eastern South Australia and southern Victoria</w:t>
            </w:r>
          </w:p>
          <w:p w14:paraId="537516C9" w14:textId="77777777" w:rsidR="000B173B" w:rsidRDefault="000B173B" w:rsidP="00A15226">
            <w:pPr>
              <w:pStyle w:val="Bullet1"/>
            </w:pPr>
            <w:r>
              <w:t>Live and dead trees and stumps with suitable hollows for breeding</w:t>
            </w:r>
          </w:p>
          <w:p w14:paraId="4DF7EEFE" w14:textId="77777777" w:rsidR="000B173B" w:rsidRDefault="000B173B" w:rsidP="00A15226">
            <w:pPr>
              <w:pStyle w:val="Tabletext"/>
            </w:pPr>
            <w:r>
              <w:t xml:space="preserve">There is uncertainty regarding the key threats which are resulting in the decline of the Blue-winged Parrot. Possible threats to the species include habitat loss, habitat degradation, weed invasion, climate change, inappropriate fire regimes, predation (by sugar gliders in Tasmania, and cats and foxes across its range), competition for tree hollows for nesting, and disease </w:t>
            </w:r>
            <w:sdt>
              <w:sdtPr>
                <w:rPr>
                  <w:color w:val="000000"/>
                </w:rPr>
                <w:tag w:val="MENDELEY_CITATION_v3_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"/>
                <w:id w:val="-740089991"/>
                <w:placeholder>
                  <w:docPart w:val="7A87483195E49548AABB39FF484A13FE"/>
                </w:placeholder>
              </w:sdtPr>
              <w:sdtContent>
                <w:r w:rsidRPr="002F46CE">
                  <w:rPr>
                    <w:color w:val="000000"/>
                  </w:rPr>
                  <w:t>(DCCEEW, 2023)</w:t>
                </w:r>
              </w:sdtContent>
            </w:sdt>
            <w:r>
              <w:t>.</w:t>
            </w:r>
          </w:p>
          <w:p w14:paraId="3B98552C" w14:textId="77777777" w:rsidR="000B173B" w:rsidRDefault="000B173B" w:rsidP="00A15226">
            <w:pPr>
              <w:pStyle w:val="Tabletext"/>
            </w:pPr>
            <w:r>
              <w:t xml:space="preserve">To understand the importance of the Study Area in the context of the species’ distribution, the density of species’ records across its range was examined on the Atlas of Living Australia (ALA) database. The locality of the Study Area contains some of the highest densities of mainland records of the Blue-winged Parrot recorded </w:t>
            </w:r>
            <w:r w:rsidRPr="00FA38A2">
              <w:t>in the ALA database.</w:t>
            </w:r>
            <w:r>
              <w:t xml:space="preserve"> Given the region’s abundant wetland environments and its proximity to the Bass Strait, it is considered likely that the migrating proportion of the species population may congregate in this locality prior to migration to Tasmania.</w:t>
            </w:r>
          </w:p>
          <w:p w14:paraId="5E085D16" w14:textId="77777777" w:rsidR="000B173B" w:rsidRDefault="000B173B" w:rsidP="00A15226">
            <w:pPr>
              <w:pStyle w:val="Tabletext"/>
            </w:pPr>
            <w:r>
              <w:t>Records of this species from the VBA database have been considered. Records are scattered throughout the Study Area. Most records occurring within the Port Phillip Bay (Western Shoreline) and Bellarine Peninsula Ramsar site, including the locality of Limeburners Bay and the Lake Connewarre wetland complex, both of which are downstream from the Growth Areas. Records also occur within areas of remnant woodland and in grassland/agricultural environments in the Study Area. No records occur within the Growth Areas or the Strategic Assessment Area.</w:t>
            </w:r>
          </w:p>
          <w:p w14:paraId="01E8089C" w14:textId="77777777" w:rsidR="000B173B" w:rsidRPr="00B83DE7" w:rsidRDefault="000B173B" w:rsidP="00A15226">
            <w:pPr>
              <w:pStyle w:val="Tabletext"/>
              <w:rPr>
                <w:rFonts w:cs="Arial"/>
                <w:i/>
                <w:iCs/>
                <w:szCs w:val="18"/>
              </w:rPr>
            </w:pPr>
            <w:r>
              <w:t>Given the high density of species’ records within the Study Area, the occurrence of the species within wetland habitats downstream of the Growth Areas, and the potential for the species to utilise grassland environments for foraging habitat, and the potential for the Plan to impact either directly or indirectly upon these environments, this species requires further assessment. Refer to Chapter 19 of Part 4 for the detailed impact assessment of the Blue-winged Parrot.</w:t>
            </w:r>
          </w:p>
        </w:tc>
      </w:tr>
      <w:tr w:rsidR="000B173B" w14:paraId="6E0CC8BA" w14:textId="77777777" w:rsidTr="00A15226">
        <w:tc>
          <w:tcPr>
            <w:tcW w:w="1480" w:type="dxa"/>
            <w:tcBorders>
              <w:bottom w:val="single" w:sz="4" w:space="0" w:color="auto"/>
            </w:tcBorders>
            <w:shd w:val="clear" w:color="auto" w:fill="auto"/>
            <w:vAlign w:val="center"/>
          </w:tcPr>
          <w:p w14:paraId="18CB9D81" w14:textId="77777777" w:rsidR="000B173B" w:rsidRPr="00B83DE7" w:rsidRDefault="000B173B" w:rsidP="00A15226">
            <w:pPr>
              <w:pStyle w:val="Tabletext"/>
              <w:rPr>
                <w:rFonts w:cs="Arial"/>
                <w:i/>
                <w:iCs/>
                <w:szCs w:val="18"/>
              </w:rPr>
            </w:pPr>
            <w:r w:rsidRPr="00B83DE7">
              <w:rPr>
                <w:rFonts w:cs="Arial"/>
                <w:i/>
                <w:iCs/>
                <w:szCs w:val="18"/>
              </w:rPr>
              <w:lastRenderedPageBreak/>
              <w:t>Numenius madagascariensis</w:t>
            </w:r>
          </w:p>
        </w:tc>
        <w:tc>
          <w:tcPr>
            <w:tcW w:w="1353" w:type="dxa"/>
            <w:tcBorders>
              <w:bottom w:val="single" w:sz="4" w:space="0" w:color="auto"/>
            </w:tcBorders>
            <w:shd w:val="clear" w:color="auto" w:fill="auto"/>
            <w:vAlign w:val="center"/>
          </w:tcPr>
          <w:p w14:paraId="56662A84" w14:textId="77777777" w:rsidR="000B173B" w:rsidRPr="00B83DE7" w:rsidRDefault="000B173B" w:rsidP="00A15226">
            <w:pPr>
              <w:pStyle w:val="Tabletext"/>
              <w:rPr>
                <w:rFonts w:cs="Arial"/>
                <w:szCs w:val="18"/>
              </w:rPr>
            </w:pPr>
            <w:r w:rsidRPr="00B83DE7">
              <w:rPr>
                <w:rFonts w:cs="Arial"/>
                <w:szCs w:val="18"/>
              </w:rPr>
              <w:t>Eastern Curlew</w:t>
            </w:r>
          </w:p>
        </w:tc>
        <w:tc>
          <w:tcPr>
            <w:tcW w:w="1235" w:type="dxa"/>
            <w:tcBorders>
              <w:bottom w:val="single" w:sz="4" w:space="0" w:color="auto"/>
            </w:tcBorders>
            <w:shd w:val="clear" w:color="auto" w:fill="auto"/>
            <w:vAlign w:val="center"/>
          </w:tcPr>
          <w:p w14:paraId="2879DCD3" w14:textId="77777777" w:rsidR="000B173B" w:rsidRPr="00B83DE7" w:rsidRDefault="000B173B" w:rsidP="00A15226">
            <w:pPr>
              <w:pStyle w:val="Tabletext"/>
              <w:rPr>
                <w:rFonts w:cs="Arial"/>
                <w:szCs w:val="18"/>
              </w:rPr>
            </w:pPr>
            <w:r w:rsidRPr="00B83DE7">
              <w:rPr>
                <w:rFonts w:cs="Arial"/>
                <w:szCs w:val="18"/>
              </w:rPr>
              <w:t xml:space="preserve">Critically Endangered, marine, migratory </w:t>
            </w:r>
          </w:p>
        </w:tc>
        <w:tc>
          <w:tcPr>
            <w:tcW w:w="1177" w:type="dxa"/>
            <w:tcBorders>
              <w:bottom w:val="single" w:sz="4" w:space="0" w:color="auto"/>
            </w:tcBorders>
            <w:shd w:val="clear" w:color="auto" w:fill="auto"/>
            <w:vAlign w:val="center"/>
          </w:tcPr>
          <w:p w14:paraId="66196071" w14:textId="77777777" w:rsidR="000B173B" w:rsidRPr="00AC3FED" w:rsidRDefault="000B173B" w:rsidP="00A15226">
            <w:pPr>
              <w:pStyle w:val="Tabletext"/>
              <w:jc w:val="center"/>
              <w:rPr>
                <w:highlight w:val="yellow"/>
              </w:rPr>
            </w:pPr>
            <w:r w:rsidRPr="00290828">
              <w:t>Yes</w:t>
            </w:r>
          </w:p>
        </w:tc>
        <w:tc>
          <w:tcPr>
            <w:tcW w:w="9072" w:type="dxa"/>
            <w:tcBorders>
              <w:bottom w:val="single" w:sz="4" w:space="0" w:color="auto"/>
            </w:tcBorders>
            <w:shd w:val="clear" w:color="auto" w:fill="auto"/>
            <w:vAlign w:val="center"/>
          </w:tcPr>
          <w:p w14:paraId="7695CE6D" w14:textId="77777777" w:rsidR="000B173B" w:rsidRDefault="000B173B" w:rsidP="00A15226">
            <w:pPr>
              <w:pStyle w:val="Tabletext"/>
              <w:rPr>
                <w:szCs w:val="18"/>
              </w:rPr>
            </w:pPr>
            <w:r w:rsidRPr="00B83DE7">
              <w:rPr>
                <w:rFonts w:cs="Arial"/>
                <w:i/>
                <w:iCs/>
                <w:szCs w:val="18"/>
              </w:rPr>
              <w:t>Numenius madagascariensis</w:t>
            </w:r>
            <w:r>
              <w:t xml:space="preserve"> (Eastern Curlew) is the largest migratory shorebird using the East Asian - Australasian Flyway. In Australia, the bird is found during the non-breeding season in coastal habitats across all states. In Victoria, large populations are recorded in Corner Inlet and Western Port Bay with smaller populations in Port Phillip Bay and other scattered coastal localities </w:t>
            </w:r>
            <w:sdt>
              <w:sdtPr>
                <w:rPr>
                  <w:color w:val="000000"/>
                </w:rPr>
                <w:tag w:val="MENDELEY_CITATION_v3_eyJjaXRhdGlvbklEIjoiTUVOREVMRVlfQ0lUQVRJT05fZjFmM2UwMGMtYzBjYS00ZjNlLWEyZTQtNTAwOTk3MDI4YTk0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801221782"/>
                <w:placeholder>
                  <w:docPart w:val="119FB1C23F5BCC408466AD28D7FF4766"/>
                </w:placeholder>
              </w:sdtPr>
              <w:sdtContent>
                <w:r w:rsidRPr="002F46CE">
                  <w:rPr>
                    <w:color w:val="000000"/>
                  </w:rPr>
                  <w:t>(DoE, 2015f)</w:t>
                </w:r>
              </w:sdtContent>
            </w:sdt>
            <w:r w:rsidRPr="00A34381">
              <w:rPr>
                <w:szCs w:val="18"/>
              </w:rPr>
              <w:t>.</w:t>
            </w:r>
          </w:p>
          <w:p w14:paraId="6C1D23B5" w14:textId="77777777" w:rsidR="000B173B" w:rsidRDefault="000B173B" w:rsidP="00A15226">
            <w:pPr>
              <w:pStyle w:val="Tabletext"/>
              <w:rPr>
                <w:szCs w:val="18"/>
              </w:rPr>
            </w:pPr>
            <w:r>
              <w:rPr>
                <w:szCs w:val="18"/>
              </w:rPr>
              <w:t xml:space="preserve">The species typically forages in sheltered intertidal sandflats or mudflats, or near mangroves, salt flats or saltmarshes. Roosting generally occurs during high tides on sandy spits, sandbars, and islets. It is rarely found on near-coastal lakes or in grassy areas </w:t>
            </w:r>
            <w:sdt>
              <w:sdtPr>
                <w:rPr>
                  <w:color w:val="000000"/>
                  <w:szCs w:val="18"/>
                </w:rPr>
                <w:tag w:val="MENDELEY_CITATION_v3_eyJjaXRhdGlvbklEIjoiTUVOREVMRVlfQ0lUQVRJT05fNzM5NzA5YWUtYzkzMC00ZTY3LTkyNjMtMTczOWZiMjE0NmU5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888693556"/>
                <w:placeholder>
                  <w:docPart w:val="119FB1C23F5BCC408466AD28D7FF4766"/>
                </w:placeholder>
              </w:sdtPr>
              <w:sdtEndPr>
                <w:rPr>
                  <w:szCs w:val="20"/>
                </w:rPr>
              </w:sdtEndPr>
              <w:sdtContent>
                <w:r w:rsidRPr="002F46CE">
                  <w:rPr>
                    <w:color w:val="000000"/>
                  </w:rPr>
                  <w:t>(DoE, 2015f)</w:t>
                </w:r>
              </w:sdtContent>
            </w:sdt>
            <w:r w:rsidRPr="00A34381">
              <w:rPr>
                <w:szCs w:val="18"/>
              </w:rPr>
              <w:t>.</w:t>
            </w:r>
          </w:p>
          <w:p w14:paraId="34EFB730" w14:textId="77777777" w:rsidR="000B173B" w:rsidRDefault="000B173B" w:rsidP="00A15226">
            <w:pPr>
              <w:pStyle w:val="Tabletext"/>
            </w:pPr>
            <w:r w:rsidRPr="00A34381">
              <w:lastRenderedPageBreak/>
              <w:t>The global population has been estimated at 38,000 individuals, of which 28,000 occur in Australia</w:t>
            </w:r>
            <w:r>
              <w:t xml:space="preserve">. However, </w:t>
            </w:r>
            <w:r w:rsidRPr="00A34381">
              <w:t xml:space="preserve">the Conservation Advice notes that this estimate is out of date given the ongoing population declines </w:t>
            </w:r>
            <w:sdt>
              <w:sdtPr>
                <w:rPr>
                  <w:color w:val="000000"/>
                </w:rPr>
                <w:tag w:val="MENDELEY_CITATION_v3_eyJjaXRhdGlvbklEIjoiTUVOREVMRVlfQ0lUQVRJT05fZDJhN2FjZTItOTJmNS00NTYxLTgwZmEtOWNmYjIyMGEzZTY4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472940643"/>
                <w:placeholder>
                  <w:docPart w:val="119FB1C23F5BCC408466AD28D7FF4766"/>
                </w:placeholder>
              </w:sdtPr>
              <w:sdtContent>
                <w:r w:rsidRPr="002F46CE">
                  <w:rPr>
                    <w:color w:val="000000"/>
                  </w:rPr>
                  <w:t>(DoE, 2015f)</w:t>
                </w:r>
              </w:sdtContent>
            </w:sdt>
            <w:r w:rsidRPr="00A34381">
              <w:t>.</w:t>
            </w:r>
          </w:p>
          <w:p w14:paraId="6B537D95" w14:textId="77777777" w:rsidR="000B173B" w:rsidRDefault="000B173B" w:rsidP="00A15226">
            <w:pPr>
              <w:pStyle w:val="Tabletext"/>
            </w:pPr>
            <w:r>
              <w:t xml:space="preserve">Threats to the species include ongoing human disturbance, habitat loss and degradation from pollution, changes in the water regime, and invasive plants </w:t>
            </w:r>
            <w:sdt>
              <w:sdtPr>
                <w:rPr>
                  <w:color w:val="000000"/>
                </w:rPr>
                <w:tag w:val="MENDELEY_CITATION_v3_eyJjaXRhdGlvbklEIjoiTUVOREVMRVlfQ0lUQVRJT05fOTVjMTViMTQtNzM1ZS00NDQ3LWFiNzYtYzMxMGI4N2U5ZGZk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442463319"/>
                <w:placeholder>
                  <w:docPart w:val="119FB1C23F5BCC408466AD28D7FF4766"/>
                </w:placeholder>
              </w:sdtPr>
              <w:sdtContent>
                <w:r w:rsidRPr="002F46CE">
                  <w:rPr>
                    <w:color w:val="000000"/>
                  </w:rPr>
                  <w:t>(DoE, 2015f)</w:t>
                </w:r>
              </w:sdtContent>
            </w:sdt>
            <w:r>
              <w:t>.</w:t>
            </w:r>
          </w:p>
          <w:p w14:paraId="7D05B277"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5E9C6A4D" w14:textId="77777777" w:rsidR="000B173B" w:rsidRDefault="000B173B" w:rsidP="00A15226">
            <w:pPr>
              <w:pStyle w:val="Tabletext"/>
            </w:pPr>
            <w:r>
              <w:t xml:space="preserve">There are 217 records of the species within the Study Area scattered along the coastline of Port Phillip and associated with Lake Connewarre Complex. </w:t>
            </w:r>
            <w:r w:rsidRPr="00AA1973">
              <w:t xml:space="preserve">The </w:t>
            </w:r>
            <w:r>
              <w:t>species</w:t>
            </w:r>
            <w:r w:rsidRPr="00AA1973">
              <w:t xml:space="preserve"> is identified as part of the Ramsar listing criteria for the </w:t>
            </w:r>
            <w:r>
              <w:t xml:space="preserve">Port Philip Bay (Western Shoreline) and Bellarine Peninsula Ramsar site </w:t>
            </w:r>
            <w:sdt>
              <w:sdtPr>
                <w:rPr>
                  <w:color w:val="000000"/>
                </w:rPr>
                <w:tag w:val="MENDELEY_CITATION_v3_eyJjaXRhdGlvbklEIjoiTUVOREVMRVlfQ0lUQVRJT05fZDlkMDJhMzctNDEzNC00YzRiLThiNTMtZGM3Y2VjMTllZDFm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567752097"/>
                <w:placeholder>
                  <w:docPart w:val="119FB1C23F5BCC408466AD28D7FF4766"/>
                </w:placeholder>
              </w:sdtPr>
              <w:sdtContent>
                <w:r w:rsidRPr="002F46CE">
                  <w:rPr>
                    <w:color w:val="000000"/>
                  </w:rPr>
                  <w:t>(DELWP, 2020)</w:t>
                </w:r>
              </w:sdtContent>
            </w:sdt>
            <w:r>
              <w:t>.</w:t>
            </w:r>
          </w:p>
          <w:p w14:paraId="31A6FB8B" w14:textId="77777777" w:rsidR="000B173B" w:rsidRDefault="000B173B" w:rsidP="00A15226">
            <w:pPr>
              <w:pStyle w:val="Tabletext"/>
            </w:pPr>
            <w:r w:rsidRPr="00596550">
              <w:t xml:space="preserve">Potential indirect impacts to the species as a result of development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Eastern Curlew.</w:t>
            </w:r>
          </w:p>
        </w:tc>
      </w:tr>
      <w:tr w:rsidR="000B173B" w14:paraId="780B3E01" w14:textId="77777777" w:rsidTr="00A15226">
        <w:tc>
          <w:tcPr>
            <w:tcW w:w="1480" w:type="dxa"/>
            <w:tcBorders>
              <w:bottom w:val="single" w:sz="4" w:space="0" w:color="auto"/>
            </w:tcBorders>
            <w:vAlign w:val="center"/>
          </w:tcPr>
          <w:p w14:paraId="7B7D817A" w14:textId="77777777" w:rsidR="000B173B" w:rsidRPr="00B83DE7" w:rsidRDefault="000B173B" w:rsidP="00A15226">
            <w:pPr>
              <w:pStyle w:val="Tabletext"/>
              <w:rPr>
                <w:rFonts w:cs="Arial"/>
                <w:i/>
                <w:iCs/>
                <w:szCs w:val="18"/>
              </w:rPr>
            </w:pPr>
            <w:r w:rsidRPr="00B83DE7">
              <w:rPr>
                <w:rFonts w:cs="Arial"/>
                <w:i/>
                <w:iCs/>
                <w:szCs w:val="18"/>
              </w:rPr>
              <w:lastRenderedPageBreak/>
              <w:t>Pachyptila turtur subantarctica</w:t>
            </w:r>
          </w:p>
        </w:tc>
        <w:tc>
          <w:tcPr>
            <w:tcW w:w="1353" w:type="dxa"/>
            <w:tcBorders>
              <w:bottom w:val="single" w:sz="4" w:space="0" w:color="auto"/>
            </w:tcBorders>
            <w:vAlign w:val="center"/>
          </w:tcPr>
          <w:p w14:paraId="18DD138B" w14:textId="77777777" w:rsidR="000B173B" w:rsidRPr="00B83DE7" w:rsidRDefault="000B173B" w:rsidP="00A15226">
            <w:pPr>
              <w:pStyle w:val="Tabletext"/>
              <w:rPr>
                <w:rFonts w:cs="Arial"/>
                <w:szCs w:val="18"/>
              </w:rPr>
            </w:pPr>
            <w:r w:rsidRPr="00B83DE7">
              <w:rPr>
                <w:rFonts w:cs="Arial"/>
                <w:szCs w:val="18"/>
              </w:rPr>
              <w:t>Fairy Prion</w:t>
            </w:r>
          </w:p>
        </w:tc>
        <w:tc>
          <w:tcPr>
            <w:tcW w:w="1235" w:type="dxa"/>
            <w:tcBorders>
              <w:bottom w:val="single" w:sz="4" w:space="0" w:color="auto"/>
            </w:tcBorders>
            <w:vAlign w:val="center"/>
          </w:tcPr>
          <w:p w14:paraId="74437676" w14:textId="77777777" w:rsidR="000B173B" w:rsidRPr="00B83DE7" w:rsidRDefault="000B173B" w:rsidP="00A15226">
            <w:pPr>
              <w:pStyle w:val="Tabletext"/>
              <w:rPr>
                <w:rFonts w:cs="Arial"/>
                <w:szCs w:val="18"/>
              </w:rPr>
            </w:pPr>
            <w:r w:rsidRPr="00B83DE7">
              <w:rPr>
                <w:rFonts w:cs="Arial"/>
                <w:szCs w:val="18"/>
              </w:rPr>
              <w:t>Vulnerable</w:t>
            </w:r>
          </w:p>
        </w:tc>
        <w:tc>
          <w:tcPr>
            <w:tcW w:w="1177" w:type="dxa"/>
            <w:tcBorders>
              <w:bottom w:val="single" w:sz="4" w:space="0" w:color="auto"/>
            </w:tcBorders>
            <w:vAlign w:val="center"/>
          </w:tcPr>
          <w:p w14:paraId="5B248B32"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23FCE072" w14:textId="77777777" w:rsidR="000B173B" w:rsidRDefault="000B173B" w:rsidP="00A15226">
            <w:pPr>
              <w:pStyle w:val="Tabletext"/>
            </w:pPr>
            <w:r w:rsidRPr="00B83DE7">
              <w:rPr>
                <w:rFonts w:cs="Arial"/>
                <w:i/>
                <w:iCs/>
                <w:szCs w:val="18"/>
              </w:rPr>
              <w:t>Pachyptila turtur subantarctica</w:t>
            </w:r>
            <w:r>
              <w:t xml:space="preserve"> (</w:t>
            </w:r>
            <w:r w:rsidRPr="00B83DE7">
              <w:rPr>
                <w:rFonts w:cs="Arial"/>
                <w:szCs w:val="18"/>
              </w:rPr>
              <w:t>Fairy Prion</w:t>
            </w:r>
            <w:r>
              <w:t xml:space="preserve">) is a marine bird with a circumpolar distribution. During non-breeding periods, the species is found in subtropical waters. In Australia, the bird occurs along the coast from WA to QLD including Tasmania. Breeding occurs solely on Macquarie Island. The species is estimated at 250-1000 mature individuals. Threats to the species include competition with Blue Petrels, predation by invasive species, flooding, and soil erosion </w:t>
            </w:r>
            <w:sdt>
              <w:sdtPr>
                <w:rPr>
                  <w:color w:val="000000"/>
                </w:rPr>
                <w:tag w:val="MENDELEY_CITATION_v3_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"/>
                <w:id w:val="-1937975511"/>
                <w:placeholder>
                  <w:docPart w:val="119FB1C23F5BCC408466AD28D7FF4766"/>
                </w:placeholder>
              </w:sdtPr>
              <w:sdtContent>
                <w:r w:rsidRPr="002F46CE">
                  <w:rPr>
                    <w:color w:val="000000"/>
                  </w:rPr>
                  <w:t>(TSSC, 2015c)</w:t>
                </w:r>
              </w:sdtContent>
            </w:sdt>
            <w:r>
              <w:t>.</w:t>
            </w:r>
          </w:p>
          <w:p w14:paraId="373B42BE" w14:textId="77777777" w:rsidR="000B173B" w:rsidRDefault="000B173B" w:rsidP="00A15226">
            <w:pPr>
              <w:pStyle w:val="Tabletext"/>
            </w:pPr>
            <w:r>
              <w:t>There is one record of the species within the Strategic Assessment Area (along Cowies Creek) dated from 1981. 19 other records occur within the Study Area, most of which occur prior to 1990. Three of the 19 records occur post 1990 (two in 2017 and one in 2019). These records are located in the south of the Study Area, near Barwon Heads.</w:t>
            </w:r>
          </w:p>
          <w:p w14:paraId="777C37E1" w14:textId="77777777" w:rsidR="000B173B"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7378B02A" w14:textId="77777777" w:rsidR="000B173B" w:rsidRDefault="000B173B" w:rsidP="00A15226">
            <w:pPr>
              <w:pStyle w:val="Tabletext"/>
            </w:pPr>
            <w:r w:rsidRPr="007F49CA">
              <w:t>The species is a marine species with a wide distribution.</w:t>
            </w:r>
            <w:r>
              <w:t xml:space="preserve"> The Study Area is unlikely to regularly support the species.</w:t>
            </w:r>
            <w:r w:rsidRPr="007F49CA">
              <w:t xml:space="preserve"> The Plan is unlikely to exacerbate threats for this species</w:t>
            </w:r>
            <w:r>
              <w:t>, and it is considered that the species is unlikely to be affected by development under the Plan.</w:t>
            </w:r>
          </w:p>
        </w:tc>
      </w:tr>
      <w:tr w:rsidR="000B173B" w14:paraId="5BCA34B7" w14:textId="77777777" w:rsidTr="00A15226">
        <w:tc>
          <w:tcPr>
            <w:tcW w:w="1480" w:type="dxa"/>
            <w:tcBorders>
              <w:bottom w:val="single" w:sz="4" w:space="0" w:color="auto"/>
            </w:tcBorders>
            <w:vAlign w:val="center"/>
          </w:tcPr>
          <w:p w14:paraId="6256AB37" w14:textId="77777777" w:rsidR="000B173B" w:rsidRPr="00B83DE7" w:rsidRDefault="000B173B" w:rsidP="00A15226">
            <w:pPr>
              <w:pStyle w:val="Tabletext"/>
              <w:rPr>
                <w:rFonts w:cs="Arial"/>
                <w:i/>
                <w:iCs/>
                <w:szCs w:val="18"/>
              </w:rPr>
            </w:pPr>
            <w:r w:rsidRPr="00B83DE7">
              <w:rPr>
                <w:rFonts w:cs="Arial"/>
                <w:i/>
                <w:iCs/>
                <w:szCs w:val="18"/>
              </w:rPr>
              <w:t>Pedionomus torquatus</w:t>
            </w:r>
          </w:p>
        </w:tc>
        <w:tc>
          <w:tcPr>
            <w:tcW w:w="1353" w:type="dxa"/>
            <w:tcBorders>
              <w:bottom w:val="single" w:sz="4" w:space="0" w:color="auto"/>
            </w:tcBorders>
            <w:vAlign w:val="center"/>
          </w:tcPr>
          <w:p w14:paraId="31F34AC0" w14:textId="77777777" w:rsidR="000B173B" w:rsidRPr="00B83DE7" w:rsidRDefault="000B173B" w:rsidP="00A15226">
            <w:pPr>
              <w:pStyle w:val="Tabletext"/>
              <w:rPr>
                <w:rFonts w:cs="Arial"/>
                <w:szCs w:val="18"/>
              </w:rPr>
            </w:pPr>
            <w:r w:rsidRPr="00B83DE7">
              <w:rPr>
                <w:rFonts w:cs="Arial"/>
                <w:szCs w:val="18"/>
              </w:rPr>
              <w:t>Plains-wanderer</w:t>
            </w:r>
          </w:p>
        </w:tc>
        <w:tc>
          <w:tcPr>
            <w:tcW w:w="1235" w:type="dxa"/>
            <w:tcBorders>
              <w:bottom w:val="single" w:sz="4" w:space="0" w:color="auto"/>
            </w:tcBorders>
            <w:vAlign w:val="center"/>
          </w:tcPr>
          <w:p w14:paraId="5D87858F" w14:textId="77777777" w:rsidR="000B173B" w:rsidRPr="00B83DE7" w:rsidRDefault="000B173B" w:rsidP="00A15226">
            <w:pPr>
              <w:pStyle w:val="Tabletext"/>
              <w:rPr>
                <w:rFonts w:cs="Arial"/>
                <w:szCs w:val="18"/>
              </w:rPr>
            </w:pPr>
            <w:r w:rsidRPr="00B83DE7">
              <w:rPr>
                <w:rFonts w:cs="Arial"/>
                <w:szCs w:val="18"/>
              </w:rPr>
              <w:t xml:space="preserve">Critically Endangered </w:t>
            </w:r>
          </w:p>
        </w:tc>
        <w:tc>
          <w:tcPr>
            <w:tcW w:w="1177" w:type="dxa"/>
            <w:tcBorders>
              <w:bottom w:val="single" w:sz="4" w:space="0" w:color="auto"/>
            </w:tcBorders>
            <w:vAlign w:val="center"/>
          </w:tcPr>
          <w:p w14:paraId="331BA8AD" w14:textId="77777777" w:rsidR="000B173B" w:rsidRPr="003C7CA9" w:rsidRDefault="000B173B" w:rsidP="00A15226">
            <w:pPr>
              <w:pStyle w:val="Tabletext"/>
              <w:jc w:val="center"/>
            </w:pPr>
            <w:r w:rsidRPr="003C7CA9">
              <w:t>No</w:t>
            </w:r>
          </w:p>
        </w:tc>
        <w:tc>
          <w:tcPr>
            <w:tcW w:w="9072" w:type="dxa"/>
            <w:tcBorders>
              <w:bottom w:val="single" w:sz="4" w:space="0" w:color="auto"/>
            </w:tcBorders>
            <w:vAlign w:val="center"/>
          </w:tcPr>
          <w:p w14:paraId="4722B3A3" w14:textId="77777777" w:rsidR="000B173B" w:rsidRPr="003C7CA9" w:rsidRDefault="000B173B" w:rsidP="00A15226">
            <w:pPr>
              <w:pStyle w:val="Tabletext"/>
            </w:pPr>
            <w:r w:rsidRPr="003C7CA9">
              <w:rPr>
                <w:rFonts w:cs="Arial"/>
                <w:i/>
                <w:iCs/>
                <w:szCs w:val="18"/>
              </w:rPr>
              <w:t>Pedionomus torquatus</w:t>
            </w:r>
            <w:r w:rsidRPr="003C7CA9">
              <w:t xml:space="preserve"> (Plains-wanderer) is a ground-dwelling bird endemic to Australia. The species is found in QLD, NSW, VIC, and SA. In Victoria, the species was historically more widely distributed, with historical </w:t>
            </w:r>
            <w:r w:rsidRPr="003C7CA9">
              <w:lastRenderedPageBreak/>
              <w:t xml:space="preserve">records in the south, central and western parts of the state. More recently, the species is mostly recorded in north-central Victoria </w:t>
            </w:r>
            <w:sdt>
              <w:sdtPr>
                <w:rPr>
                  <w:color w:val="000000"/>
                </w:rPr>
                <w:tag w:val="MENDELEY_CITATION_v3_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"/>
                <w:id w:val="-1871829209"/>
                <w:placeholder>
                  <w:docPart w:val="119FB1C23F5BCC408466AD28D7FF4766"/>
                </w:placeholder>
              </w:sdtPr>
              <w:sdtContent>
                <w:r w:rsidRPr="002F46CE">
                  <w:rPr>
                    <w:color w:val="000000"/>
                  </w:rPr>
                  <w:t>(DoE, 2015g, 2015e)</w:t>
                </w:r>
              </w:sdtContent>
            </w:sdt>
            <w:r w:rsidRPr="003C7CA9">
              <w:t>.</w:t>
            </w:r>
          </w:p>
          <w:p w14:paraId="1952564C" w14:textId="77777777" w:rsidR="000B173B" w:rsidRPr="003C7CA9" w:rsidRDefault="000B173B" w:rsidP="00A15226">
            <w:pPr>
              <w:pStyle w:val="Tabletext"/>
            </w:pPr>
            <w:r w:rsidRPr="003C7CA9">
              <w:t xml:space="preserve">The species inhabits sparse, treeless, lowland native grasslands, which usually occur on hard red-brown clay soils. Grassland structure is more important than floristic composition for suitable habitat, with grasslands comprising approximately 50 per cent bare ground. Nesting occurs in native grasses and herbs. Its diet consists of a mixture of seeds, invertebrates, and leaves </w:t>
            </w:r>
            <w:sdt>
              <w:sdtPr>
                <w:rPr>
                  <w:color w:val="000000"/>
                </w:rPr>
                <w:tag w:val="MENDELEY_CITATION_v3_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"/>
                <w:id w:val="-1114820233"/>
                <w:placeholder>
                  <w:docPart w:val="119FB1C23F5BCC408466AD28D7FF4766"/>
                </w:placeholder>
              </w:sdtPr>
              <w:sdtContent>
                <w:r w:rsidRPr="002F46CE">
                  <w:rPr>
                    <w:color w:val="000000"/>
                  </w:rPr>
                  <w:t>(DoE, 2015g, 2015e)</w:t>
                </w:r>
              </w:sdtContent>
            </w:sdt>
            <w:r w:rsidRPr="003C7CA9">
              <w:t>.</w:t>
            </w:r>
          </w:p>
          <w:p w14:paraId="06C57289" w14:textId="77777777" w:rsidR="000B173B" w:rsidRPr="003C7CA9" w:rsidRDefault="000B173B" w:rsidP="00A15226">
            <w:pPr>
              <w:pStyle w:val="Tabletext"/>
            </w:pPr>
            <w:r w:rsidRPr="003C7CA9">
              <w:t xml:space="preserve">The population is estimated to vary between 5,500 - 7,000 to around 2,000 birds. There has been a decline in the Victorian Stronghold by &gt;90% </w:t>
            </w:r>
            <w:sdt>
              <w:sdtPr>
                <w:rPr>
                  <w:color w:val="000000"/>
                </w:rPr>
                <w:tag w:val="MENDELEY_CITATION_v3_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"/>
                <w:id w:val="1587960484"/>
                <w:placeholder>
                  <w:docPart w:val="119FB1C23F5BCC408466AD28D7FF4766"/>
                </w:placeholder>
              </w:sdtPr>
              <w:sdtContent>
                <w:r w:rsidRPr="002F46CE">
                  <w:rPr>
                    <w:color w:val="000000"/>
                  </w:rPr>
                  <w:t>(BirdLife International, 2022a)</w:t>
                </w:r>
              </w:sdtContent>
            </w:sdt>
            <w:r w:rsidRPr="003C7CA9">
              <w:t xml:space="preserve">. Threats to the species include habitat loss and fragmentation from agricultural expansion, inappropriate grazing regimes and inappropriate habitat management </w:t>
            </w:r>
            <w:sdt>
              <w:sdtPr>
                <w:rPr>
                  <w:color w:val="000000"/>
                </w:rPr>
                <w:tag w:val="MENDELEY_CITATION_v3_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"/>
                <w:id w:val="795866830"/>
                <w:placeholder>
                  <w:docPart w:val="119FB1C23F5BCC408466AD28D7FF4766"/>
                </w:placeholder>
              </w:sdtPr>
              <w:sdtContent>
                <w:r w:rsidRPr="002F46CE">
                  <w:rPr>
                    <w:color w:val="000000"/>
                  </w:rPr>
                  <w:t>(DoE, 2015g, 2015e)</w:t>
                </w:r>
              </w:sdtContent>
            </w:sdt>
            <w:r w:rsidRPr="003C7CA9">
              <w:t>.</w:t>
            </w:r>
          </w:p>
          <w:p w14:paraId="5FC7ABD6" w14:textId="77777777" w:rsidR="000B173B" w:rsidRPr="003C7CA9" w:rsidRDefault="000B173B" w:rsidP="00A15226">
            <w:pPr>
              <w:pStyle w:val="Tabletext"/>
            </w:pPr>
            <w:r w:rsidRPr="003C7CA9">
              <w:t>The species has not been recorded within the Strategic Assessment Area. Further, suitable habitat is not present within the Strategic Assessment Area. Direct impacts are therefore considered unlikely.</w:t>
            </w:r>
          </w:p>
          <w:p w14:paraId="0A18282E" w14:textId="77777777" w:rsidR="000B173B" w:rsidRPr="003C7CA9" w:rsidRDefault="000B173B" w:rsidP="00A15226">
            <w:pPr>
              <w:pStyle w:val="Tabletext"/>
            </w:pPr>
            <w:r w:rsidRPr="003C7CA9">
              <w:t>There are nine records of the species within the Study Area, with only one being contemporary (from 2013), and located over 15 km from the Growth Areas. The Study Area is unlikely to regularly support the species, given that the species mainly occurs in northern-central Victoria. The species is unlikely to be affected by development under the Plan.</w:t>
            </w:r>
          </w:p>
        </w:tc>
      </w:tr>
      <w:tr w:rsidR="000B173B" w14:paraId="66DB8DA4" w14:textId="77777777" w:rsidTr="00A15226">
        <w:tc>
          <w:tcPr>
            <w:tcW w:w="1480" w:type="dxa"/>
            <w:tcBorders>
              <w:bottom w:val="single" w:sz="4" w:space="0" w:color="auto"/>
            </w:tcBorders>
            <w:vAlign w:val="center"/>
          </w:tcPr>
          <w:p w14:paraId="77553FAC" w14:textId="77777777" w:rsidR="000B173B" w:rsidRPr="00B83DE7" w:rsidRDefault="000B173B" w:rsidP="00A15226">
            <w:pPr>
              <w:pStyle w:val="Tabletext"/>
              <w:rPr>
                <w:i/>
                <w:iCs/>
                <w:szCs w:val="18"/>
              </w:rPr>
            </w:pPr>
            <w:r w:rsidRPr="00B83DE7">
              <w:rPr>
                <w:rFonts w:cs="Arial"/>
                <w:i/>
                <w:iCs/>
                <w:szCs w:val="18"/>
              </w:rPr>
              <w:lastRenderedPageBreak/>
              <w:t>Phoebetria fusca</w:t>
            </w:r>
          </w:p>
        </w:tc>
        <w:tc>
          <w:tcPr>
            <w:tcW w:w="1353" w:type="dxa"/>
            <w:tcBorders>
              <w:bottom w:val="single" w:sz="4" w:space="0" w:color="auto"/>
            </w:tcBorders>
            <w:vAlign w:val="center"/>
          </w:tcPr>
          <w:p w14:paraId="1C78989B" w14:textId="77777777" w:rsidR="000B173B" w:rsidRPr="00B83DE7" w:rsidRDefault="000B173B" w:rsidP="00A15226">
            <w:pPr>
              <w:pStyle w:val="Tabletext"/>
              <w:rPr>
                <w:szCs w:val="18"/>
              </w:rPr>
            </w:pPr>
            <w:r w:rsidRPr="00B83DE7">
              <w:rPr>
                <w:rFonts w:cs="Arial"/>
                <w:szCs w:val="18"/>
              </w:rPr>
              <w:t>Sooty Albatross</w:t>
            </w:r>
          </w:p>
        </w:tc>
        <w:tc>
          <w:tcPr>
            <w:tcW w:w="1235" w:type="dxa"/>
            <w:tcBorders>
              <w:bottom w:val="single" w:sz="4" w:space="0" w:color="auto"/>
            </w:tcBorders>
            <w:vAlign w:val="center"/>
          </w:tcPr>
          <w:p w14:paraId="5983342B" w14:textId="77777777" w:rsidR="000B173B" w:rsidRPr="00B83DE7" w:rsidRDefault="000B173B" w:rsidP="00A15226">
            <w:pPr>
              <w:pStyle w:val="Tabletext"/>
              <w:rPr>
                <w:szCs w:val="18"/>
              </w:rPr>
            </w:pPr>
            <w:r w:rsidRPr="00B83DE7">
              <w:rPr>
                <w:rFonts w:cs="Arial"/>
                <w:szCs w:val="18"/>
              </w:rPr>
              <w:t xml:space="preserve">Vulnerable, marine, migratory </w:t>
            </w:r>
          </w:p>
        </w:tc>
        <w:tc>
          <w:tcPr>
            <w:tcW w:w="1177" w:type="dxa"/>
            <w:tcBorders>
              <w:bottom w:val="single" w:sz="4" w:space="0" w:color="auto"/>
            </w:tcBorders>
            <w:vAlign w:val="center"/>
          </w:tcPr>
          <w:p w14:paraId="197548DD"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437907B3" w14:textId="77777777" w:rsidR="000B173B" w:rsidRDefault="000B173B" w:rsidP="00A15226">
            <w:pPr>
              <w:pStyle w:val="Tabletext"/>
            </w:pPr>
            <w:r w:rsidRPr="00B83DE7">
              <w:rPr>
                <w:rFonts w:cs="Arial"/>
                <w:i/>
                <w:iCs/>
                <w:szCs w:val="18"/>
              </w:rPr>
              <w:t>Phoebetria fusca</w:t>
            </w:r>
            <w:r>
              <w:t xml:space="preserve"> (Sooty Albatross) is pelagic species distributed in the South Atlantic and southern Indian Oceans. The species inhabits subantarctic and subtropical marine waters. Breeding generally occurs on small, isolated, and subantarctic islands. Its diet consists of fish, crustaceans, offal, and cephalopods. The global population was estimated to be 100,000 individuals, with 15,700 breeding pairs in 1998. Threats to the species include drowning in longline fishing gear, hook and plastic ingestion, collisions with fishing trawlers, disease, and breeding failures </w:t>
            </w:r>
            <w:sdt>
              <w:sdtPr>
                <w:rPr>
                  <w:color w:val="000000"/>
                </w:rPr>
                <w:tag w:val="MENDELEY_CITATION_v3_eyJjaXRhdGlvbklEIjoiTUVOREVMRVlfQ0lUQVRJT05fODZjYzI1MTgtODk5ZS00NzI3LTgwNjctYmE0MjZjOWVjZjMx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900780102"/>
                <w:placeholder>
                  <w:docPart w:val="119FB1C23F5BCC408466AD28D7FF4766"/>
                </w:placeholder>
              </w:sdtPr>
              <w:sdtContent>
                <w:r w:rsidRPr="002F46CE">
                  <w:rPr>
                    <w:color w:val="000000"/>
                  </w:rPr>
                  <w:t>(DCCEEW, 2022)</w:t>
                </w:r>
              </w:sdtContent>
            </w:sdt>
            <w:r>
              <w:t xml:space="preserve">. </w:t>
            </w:r>
          </w:p>
          <w:p w14:paraId="15292776" w14:textId="77777777" w:rsidR="000B173B" w:rsidRPr="000A5833" w:rsidRDefault="000B173B" w:rsidP="00A15226">
            <w:pPr>
              <w:pStyle w:val="Tabletext"/>
            </w:pPr>
            <w:r>
              <w:t>The species has not been recorded within the Study Area and will not be affected by development under the Plan.</w:t>
            </w:r>
          </w:p>
        </w:tc>
      </w:tr>
      <w:tr w:rsidR="000B173B" w14:paraId="0A6C7FF7" w14:textId="77777777" w:rsidTr="00A15226">
        <w:tc>
          <w:tcPr>
            <w:tcW w:w="1480" w:type="dxa"/>
            <w:tcBorders>
              <w:bottom w:val="single" w:sz="4" w:space="0" w:color="auto"/>
            </w:tcBorders>
            <w:vAlign w:val="center"/>
          </w:tcPr>
          <w:p w14:paraId="0FD5BA20" w14:textId="77777777" w:rsidR="000B173B" w:rsidRPr="00B83DE7" w:rsidRDefault="000B173B" w:rsidP="00A15226">
            <w:pPr>
              <w:pStyle w:val="Tabletext"/>
              <w:rPr>
                <w:rFonts w:cs="Arial"/>
                <w:i/>
                <w:iCs/>
                <w:szCs w:val="18"/>
              </w:rPr>
            </w:pPr>
            <w:r w:rsidRPr="00B83DE7">
              <w:rPr>
                <w:rFonts w:cs="Arial"/>
                <w:i/>
                <w:iCs/>
                <w:szCs w:val="18"/>
              </w:rPr>
              <w:t>Polytelis swainsonii</w:t>
            </w:r>
          </w:p>
        </w:tc>
        <w:tc>
          <w:tcPr>
            <w:tcW w:w="1353" w:type="dxa"/>
            <w:tcBorders>
              <w:bottom w:val="single" w:sz="4" w:space="0" w:color="auto"/>
            </w:tcBorders>
            <w:vAlign w:val="center"/>
          </w:tcPr>
          <w:p w14:paraId="15522688" w14:textId="77777777" w:rsidR="000B173B" w:rsidRPr="00B83DE7" w:rsidRDefault="000B173B" w:rsidP="00A15226">
            <w:pPr>
              <w:pStyle w:val="Tabletext"/>
              <w:rPr>
                <w:rFonts w:cs="Arial"/>
                <w:szCs w:val="18"/>
              </w:rPr>
            </w:pPr>
            <w:r w:rsidRPr="00B83DE7">
              <w:rPr>
                <w:rFonts w:cs="Arial"/>
                <w:szCs w:val="18"/>
              </w:rPr>
              <w:t>Superb Parrot</w:t>
            </w:r>
          </w:p>
        </w:tc>
        <w:tc>
          <w:tcPr>
            <w:tcW w:w="1235" w:type="dxa"/>
            <w:tcBorders>
              <w:bottom w:val="single" w:sz="4" w:space="0" w:color="auto"/>
            </w:tcBorders>
            <w:vAlign w:val="center"/>
          </w:tcPr>
          <w:p w14:paraId="0B9CFF22"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tcBorders>
              <w:bottom w:val="single" w:sz="4" w:space="0" w:color="auto"/>
            </w:tcBorders>
            <w:vAlign w:val="center"/>
          </w:tcPr>
          <w:p w14:paraId="20F47905" w14:textId="77777777" w:rsidR="000B173B" w:rsidRPr="00AC3FED" w:rsidRDefault="000B173B" w:rsidP="00A15226">
            <w:pPr>
              <w:pStyle w:val="Tabletext"/>
              <w:jc w:val="center"/>
              <w:rPr>
                <w:highlight w:val="yellow"/>
              </w:rPr>
            </w:pPr>
            <w:r w:rsidRPr="00E17514">
              <w:t>No</w:t>
            </w:r>
          </w:p>
        </w:tc>
        <w:tc>
          <w:tcPr>
            <w:tcW w:w="9072" w:type="dxa"/>
            <w:tcBorders>
              <w:bottom w:val="single" w:sz="4" w:space="0" w:color="auto"/>
            </w:tcBorders>
            <w:vAlign w:val="center"/>
          </w:tcPr>
          <w:p w14:paraId="5DD37B19" w14:textId="77777777" w:rsidR="000B173B" w:rsidRDefault="000B173B" w:rsidP="00A15226">
            <w:pPr>
              <w:pStyle w:val="Tabletext"/>
            </w:pPr>
            <w:r w:rsidRPr="00981FB8">
              <w:rPr>
                <w:i/>
                <w:iCs/>
              </w:rPr>
              <w:t>Polytelis swainsonii</w:t>
            </w:r>
            <w:r>
              <w:t xml:space="preserve"> (Superb Parrot) is a medium sized, green parrot with a long tail. The core range is west of the Great Dividing Range in NSW from Canberra, Goulburn and as far west as Nyngan and Swan Hill. Within Victoria the species is mostly confined to Barmah forest, with sightings south to Shepparton and east to Wangaratta and Corryong.  The species nests in large, living or dead trees with hollow branches, and typically near a watercourse. The species uses at least six species of eucalyptus, though has a particular reliance on </w:t>
            </w:r>
            <w:r w:rsidRPr="00C0203E">
              <w:rPr>
                <w:i/>
                <w:iCs/>
              </w:rPr>
              <w:t>Eucalyptus blakelyi</w:t>
            </w:r>
            <w:r>
              <w:t xml:space="preserve"> (Blakely's Red Gum). The species mostly feeds on the ground on a variety of native and introduced seeds. The population was estimated at 6,500 mature birds in 2000. Major threats to the species </w:t>
            </w:r>
            <w:r>
              <w:lastRenderedPageBreak/>
              <w:t xml:space="preserve">include loss and degradation of habitat, competition for nest hollows, road kills, illegal removal of wild birds, disease, and climate change </w:t>
            </w:r>
            <w:sdt>
              <w:sdtPr>
                <w:rPr>
                  <w:color w:val="000000"/>
                </w:rPr>
                <w:tag w:val="MENDELEY_CITATION_v3_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"/>
                <w:id w:val="1956288673"/>
                <w:placeholder>
                  <w:docPart w:val="119FB1C23F5BCC408466AD28D7FF4766"/>
                </w:placeholder>
              </w:sdtPr>
              <w:sdtContent>
                <w:r w:rsidRPr="002F46CE">
                  <w:rPr>
                    <w:color w:val="000000"/>
                  </w:rPr>
                  <w:t>(TSSC, 2016k)</w:t>
                </w:r>
              </w:sdtContent>
            </w:sdt>
            <w:r>
              <w:t>.</w:t>
            </w:r>
          </w:p>
          <w:p w14:paraId="15265676" w14:textId="77777777" w:rsidR="000B173B" w:rsidRDefault="000B173B" w:rsidP="00A15226">
            <w:pPr>
              <w:pStyle w:val="Tabletext"/>
            </w:pPr>
            <w:r w:rsidRPr="001851FF">
              <w:t>The species has not been recorded within the Strategic Assessment Area. Further, suitable habitat for the species is not present within the Strategic Assessment Area. Direct impacts are therefore considered unlikely.</w:t>
            </w:r>
          </w:p>
          <w:p w14:paraId="7ACFA150" w14:textId="77777777" w:rsidR="000B173B" w:rsidRDefault="000B173B" w:rsidP="00A15226">
            <w:pPr>
              <w:pStyle w:val="Tabletext"/>
            </w:pPr>
            <w:r>
              <w:t>There is one record of the species within the Study Area (dated 1999, with an accuracy of 10 km), which occurs approximately 17.1 km from the Growth Areas near Little River. The Study Area is generally unsuitable for the species. Development under the Plan is unlikely to affect the Superb Parrot.</w:t>
            </w:r>
          </w:p>
        </w:tc>
      </w:tr>
      <w:tr w:rsidR="000B173B" w14:paraId="1AD9C84D" w14:textId="77777777" w:rsidTr="00A15226">
        <w:tc>
          <w:tcPr>
            <w:tcW w:w="1480" w:type="dxa"/>
            <w:tcBorders>
              <w:bottom w:val="single" w:sz="4" w:space="0" w:color="auto"/>
            </w:tcBorders>
            <w:vAlign w:val="center"/>
          </w:tcPr>
          <w:p w14:paraId="7F75CA9E" w14:textId="77777777" w:rsidR="000B173B" w:rsidRPr="00B83DE7" w:rsidRDefault="000B173B" w:rsidP="00A15226">
            <w:pPr>
              <w:pStyle w:val="Tabletext"/>
              <w:rPr>
                <w:rFonts w:cs="Arial"/>
                <w:i/>
                <w:iCs/>
                <w:szCs w:val="18"/>
              </w:rPr>
            </w:pPr>
            <w:r w:rsidRPr="00B83DE7">
              <w:rPr>
                <w:rFonts w:cs="Arial"/>
                <w:i/>
                <w:iCs/>
                <w:szCs w:val="18"/>
              </w:rPr>
              <w:lastRenderedPageBreak/>
              <w:t>Rostratula australis</w:t>
            </w:r>
          </w:p>
        </w:tc>
        <w:tc>
          <w:tcPr>
            <w:tcW w:w="1353" w:type="dxa"/>
            <w:tcBorders>
              <w:bottom w:val="single" w:sz="4" w:space="0" w:color="auto"/>
            </w:tcBorders>
            <w:vAlign w:val="center"/>
          </w:tcPr>
          <w:p w14:paraId="64EB0FD3" w14:textId="77777777" w:rsidR="000B173B" w:rsidRPr="00B83DE7" w:rsidRDefault="000B173B" w:rsidP="00A15226">
            <w:pPr>
              <w:pStyle w:val="Tabletext"/>
              <w:rPr>
                <w:rFonts w:cs="Arial"/>
                <w:szCs w:val="18"/>
              </w:rPr>
            </w:pPr>
            <w:r w:rsidRPr="00B83DE7">
              <w:rPr>
                <w:rFonts w:cs="Arial"/>
                <w:szCs w:val="18"/>
              </w:rPr>
              <w:t>Australian Painted Snipe</w:t>
            </w:r>
          </w:p>
        </w:tc>
        <w:tc>
          <w:tcPr>
            <w:tcW w:w="1235" w:type="dxa"/>
            <w:tcBorders>
              <w:bottom w:val="single" w:sz="4" w:space="0" w:color="auto"/>
            </w:tcBorders>
            <w:vAlign w:val="center"/>
          </w:tcPr>
          <w:p w14:paraId="28CAF83B" w14:textId="77777777" w:rsidR="000B173B" w:rsidRPr="00B83DE7" w:rsidRDefault="000B173B" w:rsidP="00A15226">
            <w:pPr>
              <w:pStyle w:val="Tabletext"/>
              <w:rPr>
                <w:rFonts w:cs="Arial"/>
                <w:szCs w:val="18"/>
              </w:rPr>
            </w:pPr>
            <w:r w:rsidRPr="00B83DE7">
              <w:rPr>
                <w:rFonts w:cs="Arial"/>
                <w:szCs w:val="18"/>
              </w:rPr>
              <w:t xml:space="preserve">Endangered, marine </w:t>
            </w:r>
          </w:p>
        </w:tc>
        <w:tc>
          <w:tcPr>
            <w:tcW w:w="1177" w:type="dxa"/>
            <w:tcBorders>
              <w:bottom w:val="single" w:sz="4" w:space="0" w:color="auto"/>
            </w:tcBorders>
            <w:vAlign w:val="center"/>
          </w:tcPr>
          <w:p w14:paraId="0DA1BC77" w14:textId="77777777" w:rsidR="000B173B" w:rsidRPr="00044EC6" w:rsidRDefault="000B173B" w:rsidP="00A15226">
            <w:pPr>
              <w:pStyle w:val="Tabletext"/>
              <w:jc w:val="center"/>
            </w:pPr>
            <w:r>
              <w:t>Yes</w:t>
            </w:r>
          </w:p>
        </w:tc>
        <w:tc>
          <w:tcPr>
            <w:tcW w:w="9072" w:type="dxa"/>
            <w:tcBorders>
              <w:bottom w:val="single" w:sz="4" w:space="0" w:color="auto"/>
            </w:tcBorders>
            <w:vAlign w:val="center"/>
          </w:tcPr>
          <w:p w14:paraId="10C7CA38" w14:textId="77777777" w:rsidR="000B173B" w:rsidRPr="00C979A7" w:rsidRDefault="000B173B" w:rsidP="00A15226">
            <w:pPr>
              <w:pStyle w:val="Tabletext"/>
              <w:rPr>
                <w:szCs w:val="18"/>
              </w:rPr>
            </w:pPr>
            <w:r w:rsidRPr="00B83DE7">
              <w:rPr>
                <w:rFonts w:cs="Arial"/>
                <w:i/>
                <w:iCs/>
                <w:szCs w:val="18"/>
              </w:rPr>
              <w:t>Rostratula australis</w:t>
            </w:r>
            <w:r>
              <w:t xml:space="preserve"> (Australian Painted Snipe) is a wading bird that is </w:t>
            </w:r>
            <w:r w:rsidRPr="00C979A7">
              <w:rPr>
                <w:szCs w:val="18"/>
              </w:rPr>
              <w:t xml:space="preserve">only found in Australia and mainly occurs in the Murray Darling Basin. It is widespread across Australia </w:t>
            </w:r>
            <w:sdt>
              <w:sdtPr>
                <w:rPr>
                  <w:color w:val="000000"/>
                  <w:szCs w:val="18"/>
                </w:rPr>
                <w:tag w:val="MENDELEY_CITATION_v3_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2041585118"/>
                <w:placeholder>
                  <w:docPart w:val="119FB1C23F5BCC408466AD28D7FF4766"/>
                </w:placeholder>
              </w:sdtPr>
              <w:sdtEndPr>
                <w:rPr>
                  <w:szCs w:val="20"/>
                </w:rPr>
              </w:sdtEndPr>
              <w:sdtContent>
                <w:r w:rsidRPr="002F46CE">
                  <w:rPr>
                    <w:color w:val="000000"/>
                  </w:rPr>
                  <w:t>(DSEWPaC, 2013b; DCCEEW, 2022)</w:t>
                </w:r>
              </w:sdtContent>
            </w:sdt>
            <w:r w:rsidRPr="00C979A7">
              <w:rPr>
                <w:szCs w:val="18"/>
              </w:rPr>
              <w:t>.</w:t>
            </w:r>
          </w:p>
          <w:p w14:paraId="5BA58788" w14:textId="77777777" w:rsidR="000B173B" w:rsidRPr="00C979A7" w:rsidRDefault="000B173B" w:rsidP="00A15226">
            <w:pPr>
              <w:pStyle w:val="Tabletext"/>
              <w:rPr>
                <w:szCs w:val="18"/>
              </w:rPr>
            </w:pPr>
            <w:r w:rsidRPr="00C979A7">
              <w:rPr>
                <w:szCs w:val="18"/>
              </w:rPr>
              <w:t xml:space="preserve">Relatively little is known about the ecology of this species, as it has few records, unpredictable movements, cryptic habits, and often occurs in reasonably inaccessible areas </w:t>
            </w:r>
            <w:sdt>
              <w:sdtPr>
                <w:rPr>
                  <w:color w:val="000000"/>
                  <w:szCs w:val="18"/>
                </w:rPr>
                <w:tag w:val="MENDELEY_CITATION_v3_eyJjaXRhdGlvbklEIjoiTUVOREVMRVlfQ0lUQVRJT05fYTI2YmFkNWItOTA5Yi00MGNmLWJmMzktOTFmZGQwMWZjMzYx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245847634"/>
                <w:placeholder>
                  <w:docPart w:val="119FB1C23F5BCC408466AD28D7FF4766"/>
                </w:placeholder>
              </w:sdtPr>
              <w:sdtEndPr>
                <w:rPr>
                  <w:szCs w:val="20"/>
                </w:rPr>
              </w:sdtEndPr>
              <w:sdtContent>
                <w:r w:rsidRPr="002F46CE">
                  <w:rPr>
                    <w:color w:val="000000"/>
                  </w:rPr>
                  <w:t>(DoEE, 2019)</w:t>
                </w:r>
              </w:sdtContent>
            </w:sdt>
            <w:r w:rsidRPr="00C979A7">
              <w:rPr>
                <w:szCs w:val="18"/>
              </w:rPr>
              <w:t>.</w:t>
            </w:r>
            <w:r>
              <w:rPr>
                <w:szCs w:val="18"/>
              </w:rPr>
              <w:t xml:space="preserve"> </w:t>
            </w:r>
            <w:r w:rsidRPr="00C979A7">
              <w:rPr>
                <w:szCs w:val="18"/>
              </w:rPr>
              <w:t xml:space="preserve">The species inhabits ephemeral and permanent shallow freshwater wetlands, </w:t>
            </w:r>
            <w:r>
              <w:rPr>
                <w:szCs w:val="18"/>
              </w:rPr>
              <w:t xml:space="preserve">and </w:t>
            </w:r>
            <w:r w:rsidRPr="00C979A7">
              <w:rPr>
                <w:szCs w:val="18"/>
              </w:rPr>
              <w:t xml:space="preserve">occasionally </w:t>
            </w:r>
            <w:r>
              <w:rPr>
                <w:szCs w:val="18"/>
              </w:rPr>
              <w:t xml:space="preserve">in </w:t>
            </w:r>
            <w:r w:rsidRPr="00C979A7">
              <w:rPr>
                <w:szCs w:val="18"/>
              </w:rPr>
              <w:t xml:space="preserve">brackish wetlands. It favours a dense cover of grass and reeds </w:t>
            </w:r>
            <w:sdt>
              <w:sdtPr>
                <w:rPr>
                  <w:color w:val="000000"/>
                  <w:szCs w:val="18"/>
                </w:rPr>
                <w:tag w:val="MENDELEY_CITATION_v3_eyJjaXRhdGlvbklEIjoiTUVOREVMRVlfQ0lUQVRJT05fNDEzMmYwNTItMmIyMC00ZjVjLTlkYmQtMjRjZDZjYjE4NTFi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1553068601"/>
                <w:placeholder>
                  <w:docPart w:val="119FB1C23F5BCC408466AD28D7FF4766"/>
                </w:placeholder>
              </w:sdtPr>
              <w:sdtEndPr>
                <w:rPr>
                  <w:szCs w:val="20"/>
                </w:rPr>
              </w:sdtEndPr>
              <w:sdtContent>
                <w:r w:rsidRPr="002F46CE">
                  <w:rPr>
                    <w:color w:val="000000"/>
                  </w:rPr>
                  <w:t>(DSEWPaC, 2013b)</w:t>
                </w:r>
              </w:sdtContent>
            </w:sdt>
            <w:r w:rsidRPr="00C979A7">
              <w:rPr>
                <w:szCs w:val="18"/>
              </w:rPr>
              <w:t xml:space="preserve">. The species breeds all year round depending on available suitable wetland conditions </w:t>
            </w:r>
            <w:sdt>
              <w:sdtPr>
                <w:rPr>
                  <w:color w:val="000000"/>
                  <w:szCs w:val="18"/>
                </w:rPr>
                <w:tag w:val="MENDELEY_CITATION_v3_eyJjaXRhdGlvbklEIjoiTUVOREVMRVlfQ0lUQVRJT05fMWIwOTQ1YjgtZWNlNy00ZDYxLTkzN2MtNDU1Njk3YmZlMzI5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501513199"/>
                <w:placeholder>
                  <w:docPart w:val="119FB1C23F5BCC408466AD28D7FF4766"/>
                </w:placeholder>
              </w:sdtPr>
              <w:sdtEndPr>
                <w:rPr>
                  <w:szCs w:val="20"/>
                </w:rPr>
              </w:sdtEndPr>
              <w:sdtContent>
                <w:r w:rsidRPr="002F46CE">
                  <w:rPr>
                    <w:color w:val="000000"/>
                  </w:rPr>
                  <w:t>(DCCEEW, 2022)</w:t>
                </w:r>
              </w:sdtContent>
            </w:sdt>
            <w:r w:rsidRPr="00C979A7">
              <w:rPr>
                <w:szCs w:val="18"/>
              </w:rPr>
              <w:t>.</w:t>
            </w:r>
            <w:r>
              <w:rPr>
                <w:szCs w:val="18"/>
              </w:rPr>
              <w:t xml:space="preserve"> </w:t>
            </w:r>
            <w:r w:rsidRPr="00C979A7">
              <w:rPr>
                <w:szCs w:val="18"/>
              </w:rPr>
              <w:t xml:space="preserve">Breeding habitat requirements may be quite specific </w:t>
            </w:r>
            <w:sdt>
              <w:sdtPr>
                <w:rPr>
                  <w:color w:val="000000"/>
                  <w:szCs w:val="18"/>
                </w:rPr>
                <w:tag w:val="MENDELEY_CITATION_v3_eyJjaXRhdGlvbklEIjoiTUVOREVMRVlfQ0lUQVRJT05fOTllMjA5NGEtNzNlMS00ODNmLWFmMjAtMWRiZGI5MzNmZmIx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358422375"/>
                <w:placeholder>
                  <w:docPart w:val="119FB1C23F5BCC408466AD28D7FF4766"/>
                </w:placeholder>
              </w:sdtPr>
              <w:sdtEndPr>
                <w:rPr>
                  <w:szCs w:val="20"/>
                </w:rPr>
              </w:sdtEndPr>
              <w:sdtContent>
                <w:r w:rsidRPr="002F46CE">
                  <w:rPr>
                    <w:color w:val="000000"/>
                  </w:rPr>
                  <w:t>(DoEE, 2019)</w:t>
                </w:r>
              </w:sdtContent>
            </w:sdt>
            <w:r w:rsidRPr="00C979A7">
              <w:rPr>
                <w:szCs w:val="18"/>
              </w:rPr>
              <w:t>.</w:t>
            </w:r>
          </w:p>
          <w:p w14:paraId="784D474B" w14:textId="77777777" w:rsidR="000B173B" w:rsidRPr="00C979A7" w:rsidRDefault="000B173B" w:rsidP="00A15226">
            <w:pPr>
              <w:pStyle w:val="Tabletext"/>
            </w:pPr>
            <w:r w:rsidRPr="00C979A7">
              <w:t xml:space="preserve">There are a number of population estimates for the species, ranging between 1,500 and 5,000 mature individuals. Population estimates are considered unreliable due to the species' cryptic nature, inaccessible habitat and limited numbers of surveys </w:t>
            </w:r>
            <w:sdt>
              <w:sdtPr>
                <w:rPr>
                  <w:color w:val="000000"/>
                </w:rPr>
                <w:tag w:val="MENDELEY_CITATION_v3_eyJjaXRhdGlvbklEIjoiTUVOREVMRVlfQ0lUQVRJT05fMmE1OWU1MjMtY2U1Yi00YjhjLWEyNzQtZGM5ZjdkNjg4YzNj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32793305"/>
                <w:placeholder>
                  <w:docPart w:val="119FB1C23F5BCC408466AD28D7FF4766"/>
                </w:placeholder>
              </w:sdtPr>
              <w:sdtContent>
                <w:r w:rsidRPr="002F46CE">
                  <w:rPr>
                    <w:color w:val="000000"/>
                  </w:rPr>
                  <w:t>(DoEE, 2019)</w:t>
                </w:r>
              </w:sdtContent>
            </w:sdt>
            <w:r w:rsidRPr="00C979A7">
              <w:t>.</w:t>
            </w:r>
          </w:p>
          <w:p w14:paraId="47B4EEBF" w14:textId="77777777" w:rsidR="000B173B" w:rsidRDefault="000B173B" w:rsidP="00A15226">
            <w:pPr>
              <w:pStyle w:val="Tabletext"/>
            </w:pPr>
            <w:r>
              <w:t xml:space="preserve">The species Conservation Advice </w:t>
            </w:r>
            <w:sdt>
              <w:sdtPr>
                <w:rPr>
                  <w:color w:val="000000"/>
                </w:rPr>
                <w:tag w:val="MENDELEY_CITATION_v3_eyJjaXRhdGlvbklEIjoiTUVOREVMRVlfQ0lUQVRJT05fZjczMDlmNzgtMDNlNy00ZmM4LWI1MWEtMzViM2IwMjVjYzY4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1390535478"/>
                <w:placeholder>
                  <w:docPart w:val="119FB1C23F5BCC408466AD28D7FF4766"/>
                </w:placeholder>
              </w:sdtPr>
              <w:sdtContent>
                <w:r w:rsidRPr="002F46CE">
                  <w:rPr>
                    <w:color w:val="000000"/>
                  </w:rPr>
                  <w:t>(DSEWPaC, 2013b)</w:t>
                </w:r>
              </w:sdtContent>
            </w:sdt>
            <w:r>
              <w:rPr>
                <w:iCs/>
              </w:rPr>
              <w:t xml:space="preserve"> and draft Recovery Plan </w:t>
            </w:r>
            <w:sdt>
              <w:sdtPr>
                <w:rPr>
                  <w:iCs/>
                  <w:color w:val="000000"/>
                </w:rPr>
                <w:tag w:val="MENDELEY_CITATION_v3_eyJjaXRhdGlvbklEIjoiTUVOREVMRVlfQ0lUQVRJT05fN2ZhZmQ2NTYtOTRmZi00YjhjLThmYjItZjQ0ZTcyZDY4ZTcz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852410198"/>
                <w:placeholder>
                  <w:docPart w:val="119FB1C23F5BCC408466AD28D7FF4766"/>
                </w:placeholder>
              </w:sdtPr>
              <w:sdtEndPr>
                <w:rPr>
                  <w:iCs w:val="0"/>
                </w:rPr>
              </w:sdtEndPr>
              <w:sdtContent>
                <w:r w:rsidRPr="002F46CE">
                  <w:rPr>
                    <w:color w:val="000000"/>
                  </w:rPr>
                  <w:t>(DoEE, 2019)</w:t>
                </w:r>
              </w:sdtContent>
            </w:sdt>
            <w:r>
              <w:t xml:space="preserve"> have identified the following threats: loss and degradation of wetlands, inappropriate hydrological regimes, declines in water quality, grazing and trampling of wetlands by livestock, climate change, invasive flora and fauna, human disturbance, inappropriate fire regimes, and low genetic diversity.</w:t>
            </w:r>
          </w:p>
          <w:p w14:paraId="033801D0"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16AA35AC" w14:textId="77777777" w:rsidR="000B173B" w:rsidRPr="00044EC6" w:rsidRDefault="000B173B" w:rsidP="00A15226">
            <w:pPr>
              <w:pStyle w:val="Tabletext"/>
            </w:pPr>
            <w:r>
              <w:t xml:space="preserve">There are 15 records of the species within the Study Area, several records downstream of development associated with the Lake Connewarre Complex. </w:t>
            </w:r>
            <w:r w:rsidRPr="00596550">
              <w:t xml:space="preserve">Potential indirect impacts to the species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Australian Painted Snipe.</w:t>
            </w:r>
          </w:p>
        </w:tc>
      </w:tr>
      <w:tr w:rsidR="000B173B" w14:paraId="05D28245" w14:textId="77777777" w:rsidTr="00A15226">
        <w:tc>
          <w:tcPr>
            <w:tcW w:w="1480" w:type="dxa"/>
            <w:tcBorders>
              <w:bottom w:val="single" w:sz="4" w:space="0" w:color="auto"/>
            </w:tcBorders>
            <w:vAlign w:val="center"/>
          </w:tcPr>
          <w:p w14:paraId="2FE60106" w14:textId="77777777" w:rsidR="000B173B" w:rsidRPr="00B83DE7" w:rsidRDefault="000B173B" w:rsidP="00A15226">
            <w:pPr>
              <w:pStyle w:val="Tabletext"/>
              <w:rPr>
                <w:rFonts w:cs="Arial"/>
                <w:i/>
                <w:iCs/>
                <w:szCs w:val="18"/>
              </w:rPr>
            </w:pPr>
            <w:r w:rsidRPr="00B83DE7">
              <w:rPr>
                <w:rFonts w:cs="Arial"/>
                <w:i/>
                <w:iCs/>
                <w:szCs w:val="18"/>
              </w:rPr>
              <w:t>Sternula nereis nereis</w:t>
            </w:r>
          </w:p>
        </w:tc>
        <w:tc>
          <w:tcPr>
            <w:tcW w:w="1353" w:type="dxa"/>
            <w:tcBorders>
              <w:bottom w:val="single" w:sz="4" w:space="0" w:color="auto"/>
            </w:tcBorders>
            <w:vAlign w:val="center"/>
          </w:tcPr>
          <w:p w14:paraId="25C20EDC" w14:textId="77777777" w:rsidR="000B173B" w:rsidRPr="00B83DE7" w:rsidRDefault="000B173B" w:rsidP="00A15226">
            <w:pPr>
              <w:pStyle w:val="Tabletext"/>
              <w:rPr>
                <w:rFonts w:cs="Arial"/>
                <w:szCs w:val="18"/>
              </w:rPr>
            </w:pPr>
            <w:r w:rsidRPr="00B83DE7">
              <w:rPr>
                <w:rFonts w:cs="Arial"/>
                <w:szCs w:val="18"/>
              </w:rPr>
              <w:t>Australian Fairy Tern</w:t>
            </w:r>
          </w:p>
        </w:tc>
        <w:tc>
          <w:tcPr>
            <w:tcW w:w="1235" w:type="dxa"/>
            <w:tcBorders>
              <w:bottom w:val="single" w:sz="4" w:space="0" w:color="auto"/>
            </w:tcBorders>
            <w:vAlign w:val="center"/>
          </w:tcPr>
          <w:p w14:paraId="20C0D2EF"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tcBorders>
              <w:bottom w:val="single" w:sz="4" w:space="0" w:color="auto"/>
            </w:tcBorders>
            <w:vAlign w:val="center"/>
          </w:tcPr>
          <w:p w14:paraId="2068D977" w14:textId="77777777" w:rsidR="000B173B" w:rsidRPr="00AC3FED" w:rsidRDefault="000B173B" w:rsidP="00A15226">
            <w:pPr>
              <w:pStyle w:val="Tabletext"/>
              <w:jc w:val="center"/>
              <w:rPr>
                <w:highlight w:val="yellow"/>
              </w:rPr>
            </w:pPr>
            <w:r w:rsidRPr="00AE1045">
              <w:t>Yes</w:t>
            </w:r>
          </w:p>
        </w:tc>
        <w:tc>
          <w:tcPr>
            <w:tcW w:w="9072" w:type="dxa"/>
            <w:tcBorders>
              <w:bottom w:val="single" w:sz="4" w:space="0" w:color="auto"/>
            </w:tcBorders>
            <w:vAlign w:val="center"/>
          </w:tcPr>
          <w:p w14:paraId="716B7E5F" w14:textId="77777777" w:rsidR="000B173B" w:rsidRDefault="000B173B" w:rsidP="00A15226">
            <w:pPr>
              <w:pStyle w:val="Tabletext"/>
            </w:pPr>
            <w:r w:rsidRPr="00B83DE7">
              <w:rPr>
                <w:rFonts w:cs="Arial"/>
                <w:i/>
                <w:iCs/>
                <w:szCs w:val="18"/>
              </w:rPr>
              <w:t>Sternula nereis nereis</w:t>
            </w:r>
            <w:r>
              <w:t xml:space="preserve"> (Australian Fairy Tern) is the Australian subspecies of the Fairy Tern. It occurs along the coasts of southern Australia from the Montebello Islands of the Pilbara in Western Australia to Botany Bay NSW, with a gap in distribution across the Great Australian Bight </w:t>
            </w:r>
            <w:sdt>
              <w:sdtPr>
                <w:rPr>
                  <w:color w:val="000000"/>
                </w:rPr>
                <w:tag w:val="MENDELEY_CITATION_v3_eyJjaXRhdGlvbklEIjoiTUVOREVMRVlfQ0lUQVRJT05fMmM3YWFiMzAtODUxYy00Nzc4LWI3ZmMtMTQ2MTk3NzE3ZGJj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2021591753"/>
                <w:placeholder>
                  <w:docPart w:val="119FB1C23F5BCC408466AD28D7FF4766"/>
                </w:placeholder>
              </w:sdtPr>
              <w:sdtContent>
                <w:r w:rsidRPr="002F46CE">
                  <w:rPr>
                    <w:color w:val="000000"/>
                  </w:rPr>
                  <w:t>(DAWE, 2020)</w:t>
                </w:r>
              </w:sdtContent>
            </w:sdt>
            <w:r>
              <w:t xml:space="preserve">. </w:t>
            </w:r>
          </w:p>
          <w:p w14:paraId="43DC020A" w14:textId="77777777" w:rsidR="000B173B" w:rsidRDefault="000B173B" w:rsidP="00A15226">
            <w:pPr>
              <w:pStyle w:val="Tabletext"/>
            </w:pPr>
            <w:r>
              <w:lastRenderedPageBreak/>
              <w:t xml:space="preserve">The Australian Fairy Tern uses a variety of habitats including offshore, estuarine or lacustrine (lake) islands, coastal wetlands, beaches and sand spits. Nesting habitat consists of a shallow scrape in the sand which may be lined with vegetation or small shells. In Victoria, the species uses seagrass covered beaches for nesting </w:t>
            </w:r>
            <w:sdt>
              <w:sdtPr>
                <w:rPr>
                  <w:color w:val="000000"/>
                </w:rPr>
                <w:tag w:val="MENDELEY_CITATION_v3_eyJjaXRhdGlvbklEIjoiTUVOREVMRVlfQ0lUQVRJT05fNjRkY2VlY2EtZDdiZi00Yjk5LWI1ODYtOGM5OTY1ZjkzYWFm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743516440"/>
                <w:placeholder>
                  <w:docPart w:val="119FB1C23F5BCC408466AD28D7FF4766"/>
                </w:placeholder>
              </w:sdtPr>
              <w:sdtContent>
                <w:r w:rsidRPr="002F46CE">
                  <w:rPr>
                    <w:color w:val="000000"/>
                  </w:rPr>
                  <w:t>(DAWE, 2020)</w:t>
                </w:r>
              </w:sdtContent>
            </w:sdt>
            <w:r>
              <w:t>. The species extent of occurrence is approximately 380,000 km</w:t>
            </w:r>
            <w:r>
              <w:rPr>
                <w:vertAlign w:val="superscript"/>
              </w:rPr>
              <w:t xml:space="preserve">2 </w:t>
            </w:r>
            <w:r>
              <w:t>and the area of occupancy is estimated to be 1,150 km</w:t>
            </w:r>
            <w:r>
              <w:rPr>
                <w:vertAlign w:val="superscript"/>
              </w:rPr>
              <w:t xml:space="preserve">2 </w:t>
            </w:r>
            <w:sdt>
              <w:sdtPr>
                <w:rPr>
                  <w:color w:val="000000"/>
                </w:rPr>
                <w:tag w:val="MENDELEY_CITATION_v3_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"/>
                <w:id w:val="784387872"/>
                <w:placeholder>
                  <w:docPart w:val="119FB1C23F5BCC408466AD28D7FF4766"/>
                </w:placeholder>
              </w:sdtPr>
              <w:sdtContent>
                <w:r w:rsidRPr="002F46CE">
                  <w:rPr>
                    <w:color w:val="000000"/>
                  </w:rPr>
                  <w:t>(DSEWPaC, 2011a)</w:t>
                </w:r>
              </w:sdtContent>
            </w:sdt>
            <w:r>
              <w:rPr>
                <w:iCs/>
              </w:rPr>
              <w:t>.</w:t>
            </w:r>
          </w:p>
          <w:p w14:paraId="6A471950" w14:textId="77777777" w:rsidR="000B173B" w:rsidRDefault="000B173B" w:rsidP="00A15226">
            <w:pPr>
              <w:pStyle w:val="Tabletext"/>
            </w:pPr>
            <w:r>
              <w:t xml:space="preserve">The population of the Australian Fairy Tern is estimated at 7,450, of which approximately 100 – 150 occur in Victoria. The number of nesting colonies has declined, particularly around the Victorian coastline. There have been few records documenting successful breeding attempts over the last decade within Western Port Ramsar site and Port Phillip Bay. Gippsland Lakes Ramsar site continues to host breeding Australian Fairy Terns </w:t>
            </w:r>
            <w:sdt>
              <w:sdtPr>
                <w:rPr>
                  <w:color w:val="000000"/>
                </w:rPr>
                <w:tag w:val="MENDELEY_CITATION_v3_eyJjaXRhdGlvbklEIjoiTUVOREVMRVlfQ0lUQVRJT05fYjcyZDM3MWEtNTRhZi00YTcyLTgyZWQtODBmMGRhOGFiYWZk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250772669"/>
                <w:placeholder>
                  <w:docPart w:val="119FB1C23F5BCC408466AD28D7FF4766"/>
                </w:placeholder>
              </w:sdtPr>
              <w:sdtContent>
                <w:r w:rsidRPr="002F46CE">
                  <w:rPr>
                    <w:color w:val="000000"/>
                  </w:rPr>
                  <w:t>(DAWE, 2020)</w:t>
                </w:r>
              </w:sdtContent>
            </w:sdt>
            <w:r>
              <w:t>.</w:t>
            </w:r>
          </w:p>
          <w:p w14:paraId="44A3108B" w14:textId="77777777" w:rsidR="000B173B" w:rsidRPr="00C61D8A" w:rsidRDefault="000B173B" w:rsidP="00A15226">
            <w:pPr>
              <w:pStyle w:val="Tabletext"/>
            </w:pPr>
            <w:r w:rsidRPr="00C61D8A">
              <w:t xml:space="preserve">There are no records or potential habitat for the species within the Growth Areas and the likelihood of the species relying on the Strategic Assessment Area for any key stages of its life cycle is considered to be very low. Direct impacts are considered to be unlikely. </w:t>
            </w:r>
          </w:p>
          <w:p w14:paraId="3EBE6F5A" w14:textId="77777777" w:rsidR="000B173B" w:rsidRDefault="000B173B" w:rsidP="00A15226">
            <w:pPr>
              <w:pStyle w:val="Tabletext"/>
            </w:pPr>
            <w:r>
              <w:t>There are 1,096 records of the Australian Fairy Tern within the Study Area concentrated along the Port Phillip coastline and the Lake Connewarre Complex.</w:t>
            </w:r>
            <w:r w:rsidRPr="00AA1973">
              <w:t xml:space="preserve"> </w:t>
            </w:r>
            <w:r>
              <w:t xml:space="preserve">The species </w:t>
            </w:r>
            <w:r w:rsidRPr="00AA1973">
              <w:t xml:space="preserve">is identified as part of the Ramsar listing criteria for the Port Phillip Bay (Western Shoreline) &amp; Bellarine Peninsula Ramsar Site. </w:t>
            </w:r>
            <w:r>
              <w:t xml:space="preserve">The Ramsar site is also known to regularly support over 1 per cent of the total population of the Australian Fairy Tern </w:t>
            </w:r>
            <w:sdt>
              <w:sdtPr>
                <w:rPr>
                  <w:color w:val="000000"/>
                </w:rPr>
                <w:tag w:val="MENDELEY_CITATION_v3_eyJjaXRhdGlvbklEIjoiTUVOREVMRVlfQ0lUQVRJT05fMjU3MGI5NzQtOTViYi00YThmLTlhNGItNWQ3M2M2ZWY3MGQx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1747484725"/>
                <w:placeholder>
                  <w:docPart w:val="119FB1C23F5BCC408466AD28D7FF4766"/>
                </w:placeholder>
              </w:sdtPr>
              <w:sdtContent>
                <w:r w:rsidRPr="002F46CE">
                  <w:rPr>
                    <w:color w:val="000000"/>
                  </w:rPr>
                  <w:t>(DELWP, 2020)</w:t>
                </w:r>
              </w:sdtContent>
            </w:sdt>
            <w:r>
              <w:t xml:space="preserve">. </w:t>
            </w:r>
          </w:p>
          <w:p w14:paraId="2AC294C8" w14:textId="77777777" w:rsidR="000B173B" w:rsidRDefault="000B173B" w:rsidP="00A15226">
            <w:pPr>
              <w:pStyle w:val="Tabletext"/>
            </w:pPr>
            <w:r w:rsidRPr="00596550">
              <w:t xml:space="preserve">Potential indirect impacts to the species may be possible, </w:t>
            </w:r>
            <w:r>
              <w:t xml:space="preserve">predominantly related to potential downstream impacts from changes to hydrology. </w:t>
            </w:r>
            <w:r w:rsidRPr="00596550">
              <w:t xml:space="preserve">Further detailed assessment is required to </w:t>
            </w:r>
            <w:r>
              <w:t>understand potential impacts. Refer to Section 19.4 of Part 4 for the detailed impact assessment of the Australian Painted Snipe.</w:t>
            </w:r>
          </w:p>
        </w:tc>
      </w:tr>
      <w:tr w:rsidR="000B173B" w14:paraId="43402CF4" w14:textId="77777777" w:rsidTr="00A15226">
        <w:tc>
          <w:tcPr>
            <w:tcW w:w="1480" w:type="dxa"/>
            <w:tcBorders>
              <w:bottom w:val="single" w:sz="4" w:space="0" w:color="auto"/>
            </w:tcBorders>
            <w:vAlign w:val="center"/>
          </w:tcPr>
          <w:p w14:paraId="77DC3AB9" w14:textId="77777777" w:rsidR="000B173B" w:rsidRPr="00B83DE7" w:rsidRDefault="000B173B" w:rsidP="00A15226">
            <w:pPr>
              <w:pStyle w:val="Tabletext"/>
              <w:rPr>
                <w:rFonts w:cs="Arial"/>
                <w:i/>
                <w:iCs/>
                <w:szCs w:val="18"/>
              </w:rPr>
            </w:pPr>
            <w:r w:rsidRPr="00B83DE7">
              <w:rPr>
                <w:rFonts w:cs="Arial"/>
                <w:i/>
                <w:iCs/>
                <w:szCs w:val="18"/>
              </w:rPr>
              <w:lastRenderedPageBreak/>
              <w:t>Thalassarche carteri</w:t>
            </w:r>
          </w:p>
        </w:tc>
        <w:tc>
          <w:tcPr>
            <w:tcW w:w="1353" w:type="dxa"/>
            <w:tcBorders>
              <w:bottom w:val="single" w:sz="4" w:space="0" w:color="auto"/>
            </w:tcBorders>
            <w:vAlign w:val="center"/>
          </w:tcPr>
          <w:p w14:paraId="56C5CB1C" w14:textId="77777777" w:rsidR="000B173B" w:rsidRPr="00B83DE7" w:rsidRDefault="000B173B" w:rsidP="00A15226">
            <w:pPr>
              <w:pStyle w:val="Tabletext"/>
              <w:rPr>
                <w:rFonts w:cs="Arial"/>
                <w:szCs w:val="18"/>
              </w:rPr>
            </w:pPr>
            <w:r w:rsidRPr="00B83DE7">
              <w:rPr>
                <w:rFonts w:cs="Arial"/>
                <w:szCs w:val="18"/>
              </w:rPr>
              <w:t>Indian Yellow-nosed Albatross</w:t>
            </w:r>
          </w:p>
        </w:tc>
        <w:tc>
          <w:tcPr>
            <w:tcW w:w="1235" w:type="dxa"/>
            <w:tcBorders>
              <w:bottom w:val="single" w:sz="4" w:space="0" w:color="auto"/>
            </w:tcBorders>
            <w:vAlign w:val="center"/>
          </w:tcPr>
          <w:p w14:paraId="7D0DCD68"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158DFFA0"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039465BC" w14:textId="77777777" w:rsidR="000B173B" w:rsidRDefault="000B173B" w:rsidP="00A15226">
            <w:pPr>
              <w:pStyle w:val="Tabletext"/>
            </w:pPr>
            <w:r w:rsidRPr="00B83DE7">
              <w:rPr>
                <w:rFonts w:cs="Arial"/>
                <w:i/>
                <w:iCs/>
                <w:szCs w:val="18"/>
              </w:rPr>
              <w:t>Thalassarche carteri</w:t>
            </w:r>
            <w:r>
              <w:t xml:space="preserve"> (Indian Yellow-nosed Albatross) is a marine bird that occurs in the southern Indian Ocean. In Australia, the species occurs primarily along the coast in WA, located in subtropical and warmer subantarctic waters. Breeding occurs on islands of the southern Indian Ocean. Its diet primarily consists of cephalopods and fish. The current global population is estimated at 160,000 - 180,000 individuals, with 36,500 breeding pairs. Threats to the species include drowning in longline fishing gear, and collision with cables and warps </w:t>
            </w:r>
            <w:sdt>
              <w:sdtPr>
                <w:rPr>
                  <w:color w:val="000000"/>
                </w:rPr>
                <w:tag w:val="MENDELEY_CITATION_v3_eyJjaXRhdGlvbklEIjoiTUVOREVMRVlfQ0lUQVRJT05fMzg2NGEzMzUtNmFmYS00MDA1LWI3MWItNmMwNGQzM2Q4MmQz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110471928"/>
                <w:placeholder>
                  <w:docPart w:val="119FB1C23F5BCC408466AD28D7FF4766"/>
                </w:placeholder>
              </w:sdtPr>
              <w:sdtContent>
                <w:r w:rsidRPr="002F46CE">
                  <w:rPr>
                    <w:color w:val="000000"/>
                  </w:rPr>
                  <w:t>(DCCEEW, 2022)</w:t>
                </w:r>
              </w:sdtContent>
            </w:sdt>
            <w:r>
              <w:t>.</w:t>
            </w:r>
          </w:p>
          <w:p w14:paraId="6F0F9125" w14:textId="77777777" w:rsidR="000B173B" w:rsidRDefault="000B173B" w:rsidP="00A15226">
            <w:pPr>
              <w:pStyle w:val="Tabletext"/>
            </w:pPr>
            <w:r>
              <w:t>There are a small number of historical records from 1979 within the near coastal areas of the Study Area. The species will not be affected by development under the Plan.</w:t>
            </w:r>
          </w:p>
        </w:tc>
      </w:tr>
      <w:tr w:rsidR="000B173B" w14:paraId="2CB71E18" w14:textId="77777777" w:rsidTr="00A15226">
        <w:tc>
          <w:tcPr>
            <w:tcW w:w="1480" w:type="dxa"/>
            <w:tcBorders>
              <w:bottom w:val="single" w:sz="4" w:space="0" w:color="auto"/>
            </w:tcBorders>
            <w:vAlign w:val="center"/>
          </w:tcPr>
          <w:p w14:paraId="100977DE" w14:textId="77777777" w:rsidR="000B173B" w:rsidRPr="00B83DE7" w:rsidRDefault="000B173B" w:rsidP="00A15226">
            <w:pPr>
              <w:pStyle w:val="Tabletext"/>
              <w:rPr>
                <w:rFonts w:cs="Arial"/>
                <w:i/>
                <w:iCs/>
                <w:szCs w:val="18"/>
              </w:rPr>
            </w:pPr>
            <w:r w:rsidRPr="00B83DE7">
              <w:rPr>
                <w:rFonts w:cs="Arial"/>
                <w:i/>
                <w:iCs/>
                <w:szCs w:val="18"/>
              </w:rPr>
              <w:t>Thalassarche cauta</w:t>
            </w:r>
          </w:p>
        </w:tc>
        <w:tc>
          <w:tcPr>
            <w:tcW w:w="1353" w:type="dxa"/>
            <w:tcBorders>
              <w:bottom w:val="single" w:sz="4" w:space="0" w:color="auto"/>
            </w:tcBorders>
            <w:vAlign w:val="center"/>
          </w:tcPr>
          <w:p w14:paraId="5648305A" w14:textId="77777777" w:rsidR="000B173B" w:rsidRPr="00B83DE7" w:rsidRDefault="000B173B" w:rsidP="00A15226">
            <w:pPr>
              <w:pStyle w:val="Tabletext"/>
              <w:rPr>
                <w:rFonts w:cs="Arial"/>
                <w:szCs w:val="18"/>
              </w:rPr>
            </w:pPr>
            <w:r w:rsidRPr="00B83DE7">
              <w:rPr>
                <w:rFonts w:cs="Arial"/>
                <w:szCs w:val="18"/>
              </w:rPr>
              <w:t>Shy Albatross</w:t>
            </w:r>
          </w:p>
        </w:tc>
        <w:tc>
          <w:tcPr>
            <w:tcW w:w="1235" w:type="dxa"/>
            <w:tcBorders>
              <w:bottom w:val="single" w:sz="4" w:space="0" w:color="auto"/>
            </w:tcBorders>
            <w:vAlign w:val="center"/>
          </w:tcPr>
          <w:p w14:paraId="2A73C915" w14:textId="77777777" w:rsidR="000B173B" w:rsidRPr="00B83DE7" w:rsidRDefault="000B173B" w:rsidP="00A15226">
            <w:pPr>
              <w:pStyle w:val="Tabletext"/>
              <w:rPr>
                <w:rFonts w:cs="Arial"/>
                <w:szCs w:val="18"/>
              </w:rPr>
            </w:pPr>
            <w:r w:rsidRPr="00B83DE7">
              <w:rPr>
                <w:rFonts w:cs="Arial"/>
                <w:szCs w:val="18"/>
              </w:rPr>
              <w:t xml:space="preserve">Endangered, marine, migratory </w:t>
            </w:r>
          </w:p>
        </w:tc>
        <w:tc>
          <w:tcPr>
            <w:tcW w:w="1177" w:type="dxa"/>
            <w:tcBorders>
              <w:bottom w:val="single" w:sz="4" w:space="0" w:color="auto"/>
            </w:tcBorders>
            <w:vAlign w:val="center"/>
          </w:tcPr>
          <w:p w14:paraId="36F6030C"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16DFA3BA" w14:textId="77777777" w:rsidR="000B173B" w:rsidRDefault="000B173B" w:rsidP="00A15226">
            <w:pPr>
              <w:pStyle w:val="Tabletext"/>
            </w:pPr>
            <w:r w:rsidRPr="00B83DE7">
              <w:rPr>
                <w:rFonts w:cs="Arial"/>
                <w:i/>
                <w:iCs/>
                <w:szCs w:val="18"/>
              </w:rPr>
              <w:t>Thalassarche cauta</w:t>
            </w:r>
            <w:r w:rsidRPr="006B6FF8">
              <w:t xml:space="preserve"> </w:t>
            </w:r>
            <w:r>
              <w:t>(</w:t>
            </w:r>
            <w:r w:rsidRPr="006B6FF8">
              <w:t>Shy Albatross</w:t>
            </w:r>
            <w:r>
              <w:t>)</w:t>
            </w:r>
            <w:r w:rsidRPr="006B6FF8">
              <w:t xml:space="preserve"> is the only albatross species endemic to Australia. The species predominantly occurs in waters adjacent to T</w:t>
            </w:r>
            <w:r>
              <w:t xml:space="preserve">asmania </w:t>
            </w:r>
            <w:r w:rsidRPr="006B6FF8">
              <w:t>and SA with breeding colonies on three small islands off of T</w:t>
            </w:r>
            <w:r>
              <w:t>asmania</w:t>
            </w:r>
            <w:r w:rsidRPr="006B6FF8">
              <w:t>. The pelagic bird inhabits sub-Antarctic and subtropical marine waters and is occasionally found in continental shelf waters, bays, and harbours. Its diet primarily consists of cephalopods and fish, followed by tunicates and crustaceans. The total population was estimated at about 30,000 individuals</w:t>
            </w:r>
            <w:r>
              <w:t xml:space="preserve"> in 2017-2018 </w:t>
            </w:r>
            <w:sdt>
              <w:sdtPr>
                <w:rPr>
                  <w:color w:val="000000"/>
                </w:rPr>
                <w:tag w:val="MENDELEY_CITATION_v3_eyJjaXRhdGlvbklEIjoiTUVOREVMRVlfQ0lUQVRJT05fMzFlYTY3MjctNmMwYi00YWQ4LTg1YTYtMDI1NWE5MDhkOWV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066613319"/>
                <w:placeholder>
                  <w:docPart w:val="119FB1C23F5BCC408466AD28D7FF4766"/>
                </w:placeholder>
              </w:sdtPr>
              <w:sdtContent>
                <w:r w:rsidRPr="002F46CE">
                  <w:rPr>
                    <w:color w:val="000000"/>
                  </w:rPr>
                  <w:t>(DCCEEW, 2022)</w:t>
                </w:r>
              </w:sdtContent>
            </w:sdt>
            <w:r>
              <w:t xml:space="preserve">. </w:t>
            </w:r>
            <w:r>
              <w:lastRenderedPageBreak/>
              <w:t xml:space="preserve">Threats to the species include fishing activities, climate change, disease, interspecies competition, marine pollution, human disturbance, and harvesting from the wild </w:t>
            </w:r>
            <w:sdt>
              <w:sdtPr>
                <w:rPr>
                  <w:color w:val="000000"/>
                </w:rPr>
                <w:tag w:val="MENDELEY_CITATION_v3_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"/>
                <w:id w:val="1006405026"/>
                <w:placeholder>
                  <w:docPart w:val="119FB1C23F5BCC408466AD28D7FF4766"/>
                </w:placeholder>
              </w:sdtPr>
              <w:sdtContent>
                <w:r w:rsidRPr="002F46CE">
                  <w:rPr>
                    <w:color w:val="000000"/>
                  </w:rPr>
                  <w:t>(TSSC, 2020a)</w:t>
                </w:r>
              </w:sdtContent>
            </w:sdt>
            <w:r>
              <w:t>.</w:t>
            </w:r>
          </w:p>
          <w:p w14:paraId="1C98CB2C" w14:textId="77777777" w:rsidR="000B173B" w:rsidRDefault="000B173B" w:rsidP="00A15226">
            <w:pPr>
              <w:pStyle w:val="Tabletext"/>
            </w:pPr>
            <w:r>
              <w:t>There are a number of records associated with coastal areas in the south of the Study Area. The species will not be affected by development under the Plan.</w:t>
            </w:r>
          </w:p>
        </w:tc>
      </w:tr>
      <w:tr w:rsidR="000B173B" w14:paraId="74396CF0" w14:textId="77777777" w:rsidTr="00A15226">
        <w:tc>
          <w:tcPr>
            <w:tcW w:w="1480" w:type="dxa"/>
            <w:tcBorders>
              <w:bottom w:val="single" w:sz="4" w:space="0" w:color="auto"/>
            </w:tcBorders>
            <w:vAlign w:val="center"/>
          </w:tcPr>
          <w:p w14:paraId="080A40A9" w14:textId="77777777" w:rsidR="000B173B" w:rsidRPr="00B83DE7" w:rsidRDefault="000B173B" w:rsidP="00A15226">
            <w:pPr>
              <w:pStyle w:val="Tabletext"/>
              <w:rPr>
                <w:rFonts w:cs="Arial"/>
                <w:i/>
                <w:iCs/>
                <w:szCs w:val="18"/>
              </w:rPr>
            </w:pPr>
            <w:r w:rsidRPr="00B83DE7">
              <w:rPr>
                <w:rFonts w:cs="Arial"/>
                <w:i/>
                <w:iCs/>
                <w:szCs w:val="18"/>
              </w:rPr>
              <w:lastRenderedPageBreak/>
              <w:t>Thalassarche impavida</w:t>
            </w:r>
          </w:p>
        </w:tc>
        <w:tc>
          <w:tcPr>
            <w:tcW w:w="1353" w:type="dxa"/>
            <w:tcBorders>
              <w:bottom w:val="single" w:sz="4" w:space="0" w:color="auto"/>
            </w:tcBorders>
            <w:vAlign w:val="center"/>
          </w:tcPr>
          <w:p w14:paraId="0C5F40E1" w14:textId="77777777" w:rsidR="000B173B" w:rsidRPr="00B83DE7" w:rsidRDefault="000B173B" w:rsidP="00A15226">
            <w:pPr>
              <w:pStyle w:val="Tabletext"/>
              <w:rPr>
                <w:rFonts w:cs="Arial"/>
                <w:szCs w:val="18"/>
              </w:rPr>
            </w:pPr>
            <w:r w:rsidRPr="00B83DE7">
              <w:rPr>
                <w:rFonts w:cs="Arial"/>
                <w:szCs w:val="18"/>
              </w:rPr>
              <w:t>Campbell Albatross</w:t>
            </w:r>
          </w:p>
        </w:tc>
        <w:tc>
          <w:tcPr>
            <w:tcW w:w="1235" w:type="dxa"/>
            <w:tcBorders>
              <w:bottom w:val="single" w:sz="4" w:space="0" w:color="auto"/>
            </w:tcBorders>
            <w:vAlign w:val="center"/>
          </w:tcPr>
          <w:p w14:paraId="3D48B508"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2955BDB6"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595BC5BC" w14:textId="77777777" w:rsidR="000B173B" w:rsidRDefault="000B173B" w:rsidP="00A15226">
            <w:pPr>
              <w:pStyle w:val="Tabletext"/>
            </w:pPr>
            <w:r w:rsidRPr="00B83DE7">
              <w:rPr>
                <w:rFonts w:cs="Arial"/>
                <w:i/>
                <w:iCs/>
                <w:szCs w:val="18"/>
              </w:rPr>
              <w:t>Thalassarche impavida</w:t>
            </w:r>
            <w:r>
              <w:t xml:space="preserve"> (Campbell Albatross) is a marine bird that occurs in Antarctic, sub-Antarctic waters, and sub-tropical South Pacific Ocean. In Australia, the bird is often found foraging over the oceanic continental slopes off TAS, VIC, and NSW. The species does not breed in Australia. In both breeding and non-breeding periods, the albatross is a specialised shelf feeder and scavenger with a diet of krill and fish and occasionally cephalopods, salps, and jellyfish. The global population was estimated at 19,000 - 26,000 breeding pairs on Campbell Island. Threats to the species include drowning in longline fishing gear, and collision  with cables and warps used on fishing trawlers </w:t>
            </w:r>
            <w:sdt>
              <w:sdtPr>
                <w:rPr>
                  <w:color w:val="000000"/>
                </w:rPr>
                <w:tag w:val="MENDELEY_CITATION_v3_eyJjaXRhdGlvbklEIjoiTUVOREVMRVlfQ0lUQVRJT05fMzEwZjU2YTgtYjM5Mi00NGY2LTg5ZmUtNDg4YTY1MjE5NGQ5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221839766"/>
                <w:placeholder>
                  <w:docPart w:val="119FB1C23F5BCC408466AD28D7FF4766"/>
                </w:placeholder>
              </w:sdtPr>
              <w:sdtContent>
                <w:r w:rsidRPr="002F46CE">
                  <w:rPr>
                    <w:color w:val="000000"/>
                  </w:rPr>
                  <w:t>(DCCEEW, 2022)</w:t>
                </w:r>
              </w:sdtContent>
            </w:sdt>
            <w:r>
              <w:t>.</w:t>
            </w:r>
          </w:p>
          <w:p w14:paraId="30BD963D" w14:textId="77777777" w:rsidR="000B173B" w:rsidRDefault="000B173B" w:rsidP="00A15226">
            <w:pPr>
              <w:pStyle w:val="Tabletext"/>
            </w:pPr>
            <w:r>
              <w:t>The species has not been recorded within the Study Area and will not be affected by development under the Plan.</w:t>
            </w:r>
          </w:p>
        </w:tc>
      </w:tr>
      <w:tr w:rsidR="000B173B" w14:paraId="7902D6C4" w14:textId="77777777" w:rsidTr="00A15226">
        <w:tc>
          <w:tcPr>
            <w:tcW w:w="1480" w:type="dxa"/>
            <w:tcBorders>
              <w:bottom w:val="single" w:sz="4" w:space="0" w:color="auto"/>
            </w:tcBorders>
            <w:vAlign w:val="center"/>
          </w:tcPr>
          <w:p w14:paraId="5A1517AA" w14:textId="77777777" w:rsidR="000B173B" w:rsidRPr="00B83DE7" w:rsidRDefault="000B173B" w:rsidP="00A15226">
            <w:pPr>
              <w:pStyle w:val="Tabletext"/>
              <w:rPr>
                <w:rFonts w:cs="Arial"/>
                <w:i/>
                <w:iCs/>
                <w:szCs w:val="18"/>
              </w:rPr>
            </w:pPr>
            <w:r w:rsidRPr="00B83DE7">
              <w:rPr>
                <w:rFonts w:cs="Arial"/>
                <w:i/>
                <w:iCs/>
                <w:szCs w:val="18"/>
              </w:rPr>
              <w:t>Thalassarche melanophris</w:t>
            </w:r>
          </w:p>
        </w:tc>
        <w:tc>
          <w:tcPr>
            <w:tcW w:w="1353" w:type="dxa"/>
            <w:tcBorders>
              <w:bottom w:val="single" w:sz="4" w:space="0" w:color="auto"/>
            </w:tcBorders>
            <w:vAlign w:val="center"/>
          </w:tcPr>
          <w:p w14:paraId="7639C4EC" w14:textId="77777777" w:rsidR="000B173B" w:rsidRPr="00B83DE7" w:rsidRDefault="000B173B" w:rsidP="00A15226">
            <w:pPr>
              <w:pStyle w:val="Tabletext"/>
              <w:rPr>
                <w:rFonts w:cs="Arial"/>
                <w:szCs w:val="18"/>
              </w:rPr>
            </w:pPr>
            <w:r w:rsidRPr="00B83DE7">
              <w:rPr>
                <w:rFonts w:cs="Arial"/>
                <w:szCs w:val="18"/>
              </w:rPr>
              <w:t>Black-browed Albatross</w:t>
            </w:r>
          </w:p>
        </w:tc>
        <w:tc>
          <w:tcPr>
            <w:tcW w:w="1235" w:type="dxa"/>
            <w:tcBorders>
              <w:bottom w:val="single" w:sz="4" w:space="0" w:color="auto"/>
            </w:tcBorders>
            <w:vAlign w:val="center"/>
          </w:tcPr>
          <w:p w14:paraId="21448EB8"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5E23DB6B"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20A58904" w14:textId="77777777" w:rsidR="000B173B" w:rsidRDefault="000B173B" w:rsidP="00A15226">
            <w:pPr>
              <w:pStyle w:val="Tabletext"/>
            </w:pPr>
            <w:r w:rsidRPr="00B83DE7">
              <w:rPr>
                <w:rFonts w:cs="Arial"/>
                <w:i/>
                <w:iCs/>
                <w:szCs w:val="18"/>
              </w:rPr>
              <w:t>Thalassarche melanophris</w:t>
            </w:r>
            <w:r>
              <w:t xml:space="preserve"> (Black-browed Albatross) is a marine bird with a circumpolar distribution in Antarctic, sub-Antarctic, and temperate waters and occasionally tropical waters. Breeding occurs on sub-Antarctic and peri-Antarctic islands and, in Australia, on four geographically isolated locations. Its diet primarily consists of a combination of fish, molluscs (mostly cephalopods), and crustaceans (mostly krill) and occasionally carrion, jellyfish, and salps. During the non-breeding period, the species is found at the continental shelf and shelf-break of SA, VIC, TAS, and NSW. The global population is estimated between 1,000,000 and 2,500,000 birds. It is estimated that less than 1% of this population breeds within Australian jurisdiction. Threats to the species include longline fishing, trawl fishing, dependency on fishery discards, parasites and associated disease, incidental mortality with coastal fisheries, reduced food stocks, reduced breeding success, and erosion of colony sites by European Rabbits </w:t>
            </w:r>
            <w:sdt>
              <w:sdtPr>
                <w:rPr>
                  <w:color w:val="000000"/>
                </w:rPr>
                <w:tag w:val="MENDELEY_CITATION_v3_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"/>
                <w:id w:val="1836027205"/>
                <w:placeholder>
                  <w:docPart w:val="119FB1C23F5BCC408466AD28D7FF4766"/>
                </w:placeholder>
              </w:sdtPr>
              <w:sdtContent>
                <w:r w:rsidRPr="002F46CE">
                  <w:rPr>
                    <w:color w:val="000000"/>
                  </w:rPr>
                  <w:t>(DAWE, 2005)</w:t>
                </w:r>
              </w:sdtContent>
            </w:sdt>
            <w:r>
              <w:t>.</w:t>
            </w:r>
          </w:p>
          <w:p w14:paraId="09861C93" w14:textId="77777777" w:rsidR="000B173B" w:rsidRDefault="000B173B" w:rsidP="00A15226">
            <w:pPr>
              <w:pStyle w:val="Tabletext"/>
            </w:pPr>
            <w:r>
              <w:t>There are a number of records associated with coastal areas in the south of the Study Area. The species will not be affected by development under the Plan.</w:t>
            </w:r>
          </w:p>
        </w:tc>
      </w:tr>
      <w:tr w:rsidR="000B173B" w14:paraId="6AC96CAB" w14:textId="77777777" w:rsidTr="00A15226">
        <w:tc>
          <w:tcPr>
            <w:tcW w:w="1480" w:type="dxa"/>
            <w:tcBorders>
              <w:bottom w:val="single" w:sz="4" w:space="0" w:color="auto"/>
            </w:tcBorders>
            <w:vAlign w:val="center"/>
          </w:tcPr>
          <w:p w14:paraId="7CF61336" w14:textId="77777777" w:rsidR="000B173B" w:rsidRPr="00B83DE7" w:rsidRDefault="000B173B" w:rsidP="00A15226">
            <w:pPr>
              <w:pStyle w:val="Tabletext"/>
              <w:rPr>
                <w:rFonts w:cs="Arial"/>
                <w:i/>
                <w:iCs/>
                <w:szCs w:val="18"/>
              </w:rPr>
            </w:pPr>
            <w:r w:rsidRPr="00B83DE7">
              <w:rPr>
                <w:rFonts w:cs="Arial"/>
                <w:i/>
                <w:iCs/>
                <w:szCs w:val="18"/>
              </w:rPr>
              <w:t>Thalassarche salvini</w:t>
            </w:r>
          </w:p>
        </w:tc>
        <w:tc>
          <w:tcPr>
            <w:tcW w:w="1353" w:type="dxa"/>
            <w:tcBorders>
              <w:bottom w:val="single" w:sz="4" w:space="0" w:color="auto"/>
            </w:tcBorders>
            <w:vAlign w:val="center"/>
          </w:tcPr>
          <w:p w14:paraId="074C021F" w14:textId="77777777" w:rsidR="000B173B" w:rsidRPr="00B83DE7" w:rsidRDefault="000B173B" w:rsidP="00A15226">
            <w:pPr>
              <w:pStyle w:val="Tabletext"/>
              <w:rPr>
                <w:rFonts w:cs="Arial"/>
                <w:szCs w:val="18"/>
              </w:rPr>
            </w:pPr>
            <w:r w:rsidRPr="00B83DE7">
              <w:rPr>
                <w:rFonts w:cs="Arial"/>
                <w:szCs w:val="18"/>
              </w:rPr>
              <w:t>Salvin's Albatross</w:t>
            </w:r>
          </w:p>
        </w:tc>
        <w:tc>
          <w:tcPr>
            <w:tcW w:w="1235" w:type="dxa"/>
            <w:tcBorders>
              <w:bottom w:val="single" w:sz="4" w:space="0" w:color="auto"/>
            </w:tcBorders>
            <w:vAlign w:val="center"/>
          </w:tcPr>
          <w:p w14:paraId="09FA0A59"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586BBCD1"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38377884" w14:textId="77777777" w:rsidR="000B173B" w:rsidRDefault="000B173B" w:rsidP="00A15226">
            <w:pPr>
              <w:pStyle w:val="Tabletext"/>
            </w:pPr>
            <w:r>
              <w:t xml:space="preserve">The Salvin's Albatross is a marine bird found in sub-Antarctic and sub-tropical waters. In Australian waters, the bird is distributed off the coast of QLD, NSW, VIC, SA, and TAS. The species does not breed in Australia. Its diet primarily consists of inshore cephalopods and fish, feeding primarily in shelf waters. The global population is estimated between 350,000 and 380,000 individuals. Threats to the species include incidental catch during longline fishing operations, loss of food stock, ingestion or being caught in oil spills, marine debris, and pollution, and commercial fishing </w:t>
            </w:r>
            <w:sdt>
              <w:sdtPr>
                <w:rPr>
                  <w:color w:val="000000"/>
                </w:rPr>
                <w:tag w:val="MENDELEY_CITATION_v3_eyJjaXRhdGlvbklEIjoiTUVOREVMRVlfQ0lUQVRJT05fMDc1ZDI1NTgtNDQxZi00YzI1LTlhYzItMzZlYTNjYmU3MjM0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677496064"/>
                <w:placeholder>
                  <w:docPart w:val="119FB1C23F5BCC408466AD28D7FF4766"/>
                </w:placeholder>
              </w:sdtPr>
              <w:sdtContent>
                <w:r w:rsidRPr="002F46CE">
                  <w:rPr>
                    <w:color w:val="000000"/>
                  </w:rPr>
                  <w:t>(DCCEEW, 2022)</w:t>
                </w:r>
              </w:sdtContent>
            </w:sdt>
            <w:r>
              <w:t>.</w:t>
            </w:r>
          </w:p>
          <w:p w14:paraId="43172A95" w14:textId="77777777" w:rsidR="000B173B" w:rsidRDefault="000B173B" w:rsidP="00A15226">
            <w:pPr>
              <w:pStyle w:val="Tabletext"/>
            </w:pPr>
            <w:r>
              <w:lastRenderedPageBreak/>
              <w:t>The species has not been recorded within the Study Area and will not be affected by development under the Plan.</w:t>
            </w:r>
          </w:p>
        </w:tc>
      </w:tr>
      <w:tr w:rsidR="000B173B" w14:paraId="13522C23" w14:textId="77777777" w:rsidTr="00A15226">
        <w:tc>
          <w:tcPr>
            <w:tcW w:w="1480" w:type="dxa"/>
            <w:tcBorders>
              <w:bottom w:val="single" w:sz="4" w:space="0" w:color="auto"/>
            </w:tcBorders>
            <w:vAlign w:val="center"/>
          </w:tcPr>
          <w:p w14:paraId="4C5AD475" w14:textId="77777777" w:rsidR="000B173B" w:rsidRPr="00B83DE7" w:rsidRDefault="000B173B" w:rsidP="00A15226">
            <w:pPr>
              <w:pStyle w:val="Tabletext"/>
              <w:rPr>
                <w:rFonts w:cs="Arial"/>
                <w:i/>
                <w:iCs/>
                <w:szCs w:val="18"/>
              </w:rPr>
            </w:pPr>
            <w:r w:rsidRPr="00B83DE7">
              <w:rPr>
                <w:rFonts w:cs="Arial"/>
                <w:i/>
                <w:iCs/>
                <w:szCs w:val="18"/>
              </w:rPr>
              <w:lastRenderedPageBreak/>
              <w:t>Thalassarche steadi</w:t>
            </w:r>
          </w:p>
        </w:tc>
        <w:tc>
          <w:tcPr>
            <w:tcW w:w="1353" w:type="dxa"/>
            <w:tcBorders>
              <w:bottom w:val="single" w:sz="4" w:space="0" w:color="auto"/>
            </w:tcBorders>
            <w:vAlign w:val="center"/>
          </w:tcPr>
          <w:p w14:paraId="53955B67" w14:textId="77777777" w:rsidR="000B173B" w:rsidRPr="00B83DE7" w:rsidRDefault="000B173B" w:rsidP="00A15226">
            <w:pPr>
              <w:pStyle w:val="Tabletext"/>
              <w:rPr>
                <w:rFonts w:cs="Arial"/>
                <w:szCs w:val="18"/>
              </w:rPr>
            </w:pPr>
            <w:r w:rsidRPr="00B83DE7">
              <w:rPr>
                <w:rFonts w:cs="Arial"/>
                <w:szCs w:val="18"/>
              </w:rPr>
              <w:t>White-capped Albatross</w:t>
            </w:r>
          </w:p>
        </w:tc>
        <w:tc>
          <w:tcPr>
            <w:tcW w:w="1235" w:type="dxa"/>
            <w:tcBorders>
              <w:bottom w:val="single" w:sz="4" w:space="0" w:color="auto"/>
            </w:tcBorders>
            <w:vAlign w:val="center"/>
          </w:tcPr>
          <w:p w14:paraId="23E06286" w14:textId="77777777" w:rsidR="000B173B" w:rsidRPr="00B83DE7" w:rsidRDefault="000B173B" w:rsidP="00A15226">
            <w:pPr>
              <w:pStyle w:val="Tabletext"/>
              <w:rPr>
                <w:rFonts w:cs="Arial"/>
                <w:szCs w:val="18"/>
              </w:rPr>
            </w:pPr>
            <w:r w:rsidRPr="00B83DE7">
              <w:rPr>
                <w:rFonts w:cs="Arial"/>
                <w:szCs w:val="18"/>
              </w:rPr>
              <w:t xml:space="preserve">Vulnerable, marine, migratory </w:t>
            </w:r>
          </w:p>
        </w:tc>
        <w:tc>
          <w:tcPr>
            <w:tcW w:w="1177" w:type="dxa"/>
            <w:tcBorders>
              <w:bottom w:val="single" w:sz="4" w:space="0" w:color="auto"/>
            </w:tcBorders>
            <w:vAlign w:val="center"/>
          </w:tcPr>
          <w:p w14:paraId="72307BEE" w14:textId="77777777" w:rsidR="000B173B" w:rsidRPr="00AC3FED" w:rsidRDefault="000B173B" w:rsidP="00A15226">
            <w:pPr>
              <w:pStyle w:val="Tabletext"/>
              <w:jc w:val="center"/>
              <w:rPr>
                <w:highlight w:val="yellow"/>
              </w:rPr>
            </w:pPr>
            <w:r w:rsidRPr="00290828">
              <w:t>No</w:t>
            </w:r>
          </w:p>
        </w:tc>
        <w:tc>
          <w:tcPr>
            <w:tcW w:w="9072" w:type="dxa"/>
            <w:tcBorders>
              <w:bottom w:val="single" w:sz="4" w:space="0" w:color="auto"/>
            </w:tcBorders>
            <w:vAlign w:val="center"/>
          </w:tcPr>
          <w:p w14:paraId="490F3DB7" w14:textId="77777777" w:rsidR="000B173B" w:rsidRDefault="000B173B" w:rsidP="00A15226">
            <w:pPr>
              <w:pStyle w:val="Tabletext"/>
            </w:pPr>
            <w:r w:rsidRPr="00B83DE7">
              <w:rPr>
                <w:rFonts w:cs="Arial"/>
                <w:i/>
                <w:iCs/>
                <w:szCs w:val="18"/>
              </w:rPr>
              <w:t>Thalassarche steadi</w:t>
            </w:r>
            <w:r>
              <w:t xml:space="preserve"> (White-capped Albatross) is a marine bird found in sub-Antarctic and sub-tropical waters. In Australian waters, the bird is distributed off the coast of south-east Australia. The species does not breed in Australia. Its diet likely consists of inshore cephalopods and fish; however, this has not been confirmed. The global population was estimated at 70,000 - 85,000 breeding pairs in 2003, though other estimates place the global population as high as 150,000 - 375,000. Threats to the species include pig predation at nests, mortality due to longline fishing gear, collision with trawl warps, reduced food stock, ingestion or being caught in marine debris, oil spills, pollution, and commercial fishing </w:t>
            </w:r>
            <w:sdt>
              <w:sdtPr>
                <w:rPr>
                  <w:color w:val="000000"/>
                </w:rPr>
                <w:tag w:val="MENDELEY_CITATION_v3_eyJjaXRhdGlvbklEIjoiTUVOREVMRVlfQ0lUQVRJT05fMDMwNDk2ZWYtMThiMS00ZTY1LTljMjMtMTNkNzYyMTg1OGEy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818261059"/>
                <w:placeholder>
                  <w:docPart w:val="119FB1C23F5BCC408466AD28D7FF4766"/>
                </w:placeholder>
              </w:sdtPr>
              <w:sdtContent>
                <w:r w:rsidRPr="002F46CE">
                  <w:rPr>
                    <w:color w:val="000000"/>
                  </w:rPr>
                  <w:t>(DCCEEW, 2022)</w:t>
                </w:r>
              </w:sdtContent>
            </w:sdt>
            <w:r>
              <w:t>.</w:t>
            </w:r>
          </w:p>
          <w:p w14:paraId="68BF70AB" w14:textId="77777777" w:rsidR="000B173B" w:rsidRDefault="000B173B" w:rsidP="00A15226">
            <w:pPr>
              <w:pStyle w:val="Tabletext"/>
            </w:pPr>
            <w:r>
              <w:t>The species has not been recorded within the Study Area and will not be affected by development under the Plan.</w:t>
            </w:r>
          </w:p>
        </w:tc>
      </w:tr>
      <w:tr w:rsidR="000B173B" w14:paraId="79712A29" w14:textId="77777777" w:rsidTr="00A15226">
        <w:tc>
          <w:tcPr>
            <w:tcW w:w="1480" w:type="dxa"/>
            <w:tcBorders>
              <w:bottom w:val="single" w:sz="4" w:space="0" w:color="auto"/>
            </w:tcBorders>
            <w:vAlign w:val="center"/>
          </w:tcPr>
          <w:p w14:paraId="5273F04A" w14:textId="77777777" w:rsidR="000B173B" w:rsidRPr="00B83DE7" w:rsidRDefault="000B173B" w:rsidP="00A15226">
            <w:pPr>
              <w:pStyle w:val="Tabletext"/>
              <w:rPr>
                <w:rFonts w:cs="Arial"/>
                <w:i/>
                <w:iCs/>
                <w:szCs w:val="18"/>
              </w:rPr>
            </w:pPr>
            <w:r w:rsidRPr="00B83DE7">
              <w:rPr>
                <w:rFonts w:cs="Arial"/>
                <w:i/>
                <w:iCs/>
                <w:szCs w:val="18"/>
              </w:rPr>
              <w:t>Thinornis cucullatus cucullatus</w:t>
            </w:r>
          </w:p>
        </w:tc>
        <w:tc>
          <w:tcPr>
            <w:tcW w:w="1353" w:type="dxa"/>
            <w:tcBorders>
              <w:bottom w:val="single" w:sz="4" w:space="0" w:color="auto"/>
            </w:tcBorders>
            <w:vAlign w:val="center"/>
          </w:tcPr>
          <w:p w14:paraId="44D61BDA" w14:textId="77777777" w:rsidR="000B173B" w:rsidRPr="00B83DE7" w:rsidRDefault="000B173B" w:rsidP="00A15226">
            <w:pPr>
              <w:pStyle w:val="Tabletext"/>
              <w:rPr>
                <w:rFonts w:cs="Arial"/>
                <w:szCs w:val="18"/>
              </w:rPr>
            </w:pPr>
            <w:r w:rsidRPr="00B83DE7">
              <w:rPr>
                <w:rFonts w:cs="Arial"/>
                <w:szCs w:val="18"/>
              </w:rPr>
              <w:t>Eastern Hooded Plover</w:t>
            </w:r>
          </w:p>
        </w:tc>
        <w:tc>
          <w:tcPr>
            <w:tcW w:w="1235" w:type="dxa"/>
            <w:tcBorders>
              <w:bottom w:val="single" w:sz="4" w:space="0" w:color="auto"/>
            </w:tcBorders>
            <w:vAlign w:val="center"/>
          </w:tcPr>
          <w:p w14:paraId="64F75348" w14:textId="77777777" w:rsidR="000B173B" w:rsidRPr="00B83DE7" w:rsidRDefault="000B173B" w:rsidP="00A15226">
            <w:pPr>
              <w:pStyle w:val="Tabletext"/>
              <w:rPr>
                <w:rFonts w:cs="Arial"/>
                <w:szCs w:val="18"/>
              </w:rPr>
            </w:pPr>
            <w:r w:rsidRPr="00B83DE7">
              <w:rPr>
                <w:rFonts w:cs="Arial"/>
                <w:szCs w:val="18"/>
              </w:rPr>
              <w:t xml:space="preserve">Vulnerable, Marine </w:t>
            </w:r>
          </w:p>
        </w:tc>
        <w:tc>
          <w:tcPr>
            <w:tcW w:w="1177" w:type="dxa"/>
            <w:tcBorders>
              <w:bottom w:val="single" w:sz="4" w:space="0" w:color="auto"/>
            </w:tcBorders>
            <w:vAlign w:val="center"/>
          </w:tcPr>
          <w:p w14:paraId="7F42F03B" w14:textId="77777777" w:rsidR="000B173B" w:rsidRPr="00AC3FED" w:rsidRDefault="000B173B" w:rsidP="00A15226">
            <w:pPr>
              <w:pStyle w:val="Tabletext"/>
              <w:jc w:val="center"/>
              <w:rPr>
                <w:highlight w:val="yellow"/>
              </w:rPr>
            </w:pPr>
            <w:r w:rsidRPr="00FA218F">
              <w:t>No</w:t>
            </w:r>
          </w:p>
        </w:tc>
        <w:tc>
          <w:tcPr>
            <w:tcW w:w="9072" w:type="dxa"/>
            <w:tcBorders>
              <w:bottom w:val="single" w:sz="4" w:space="0" w:color="auto"/>
            </w:tcBorders>
            <w:vAlign w:val="center"/>
          </w:tcPr>
          <w:p w14:paraId="46070A09" w14:textId="77777777" w:rsidR="000B173B" w:rsidRDefault="000B173B" w:rsidP="00A15226">
            <w:pPr>
              <w:pStyle w:val="Tabletext"/>
            </w:pPr>
            <w:r w:rsidRPr="009A1146">
              <w:rPr>
                <w:i/>
                <w:iCs/>
              </w:rPr>
              <w:t>Thinornis cucullatus cucullatus</w:t>
            </w:r>
            <w:r>
              <w:t xml:space="preserve"> (Eastern Hooded Plover) </w:t>
            </w:r>
            <w:r w:rsidRPr="009A1146">
              <w:t>is a wading bird endemic to southern Australia</w:t>
            </w:r>
            <w:r>
              <w:t>, distributed in coastal areas from Jervis Bay to Fowlers Bay and Tasmania along with offshore islands such as Kangaroo Island and King Island. Important stretches of coast for the species in Victoria include Warrnambool to Portland, the Mornington Peninsula, and Bass Coast.</w:t>
            </w:r>
            <w:r w:rsidDel="008B47A4">
              <w:t xml:space="preserve"> </w:t>
            </w:r>
            <w:r>
              <w:t xml:space="preserve">The Eastern Hooded Plover occurs on or near sandy beaches. The species forages on the beach, including on the water edge, the base of fore-dunes, and on lagoons and saltpans. The majority of birds (95 per cent) move over distances less than 20 km, and the species has breeding territories of ~37 ha, displaying high site fidelity. In Victoria, the species occurs in low densities with an estimated 570 individuals. </w:t>
            </w:r>
            <w:r w:rsidRPr="00041896">
              <w:t xml:space="preserve">Threats to the species include the crushing of eggs, chicks and nesting birds by human activity including domestic </w:t>
            </w:r>
            <w:r>
              <w:t>dog</w:t>
            </w:r>
            <w:r w:rsidRPr="00041896">
              <w:t xml:space="preserve">s, predation by invasive species, oil spills and marine debris, infrastructure near to or on beaches, extreme weather events, </w:t>
            </w:r>
            <w:r>
              <w:t xml:space="preserve">and </w:t>
            </w:r>
            <w:r w:rsidRPr="00041896">
              <w:t>future threats from sea level rise</w:t>
            </w:r>
            <w:r>
              <w:t xml:space="preserve"> </w:t>
            </w:r>
            <w:sdt>
              <w:sdtPr>
                <w:rPr>
                  <w:color w:val="000000"/>
                </w:rPr>
                <w:tag w:val="MENDELEY_CITATION_v3_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"/>
                <w:id w:val="1333251827"/>
                <w:placeholder>
                  <w:docPart w:val="119FB1C23F5BCC408466AD28D7FF4766"/>
                </w:placeholder>
              </w:sdtPr>
              <w:sdtContent>
                <w:r w:rsidRPr="002F46CE">
                  <w:rPr>
                    <w:color w:val="000000"/>
                  </w:rPr>
                  <w:t>(DoE, 2014)</w:t>
                </w:r>
              </w:sdtContent>
            </w:sdt>
            <w:r>
              <w:t>.</w:t>
            </w:r>
          </w:p>
          <w:p w14:paraId="1718C5D3" w14:textId="77777777" w:rsidR="000B173B" w:rsidRDefault="000B173B" w:rsidP="00A15226">
            <w:pPr>
              <w:pStyle w:val="Tabletext"/>
            </w:pPr>
            <w:r>
              <w:t>The Eastern Hooded Plover is a predominantly coastal species. While some records of the species occur within the Study Area, these records are primarily to the south of the Study Area, associated with the southern coastal environment. While part of the coastal area in the south of the Study Area is downstream of the Strategic Assessment Area (where the Lake Connewarre Complex discharges into the ocean), indirect impacts to this region are considered unlikely under the Plan. This is because of the distance of this environment from the Strategic Assessment Area combined with mitigation measures to control runoff from the Strategic Assessment Area</w:t>
            </w:r>
          </w:p>
          <w:p w14:paraId="2C69FF3A" w14:textId="77777777" w:rsidR="000B173B" w:rsidRDefault="000B173B" w:rsidP="00A15226">
            <w:pPr>
              <w:pStyle w:val="Tabletext"/>
            </w:pPr>
            <w:r>
              <w:t>It is noted that the Eastern Hooded Plover</w:t>
            </w:r>
            <w:r w:rsidRPr="00AA1973">
              <w:t xml:space="preserve"> is identified as part of the Ramsar listing criteria for the Port Phillip Bay (Western Shoreline) &amp; Bellarine Peninsula Ramsar Site</w:t>
            </w:r>
            <w:r>
              <w:t xml:space="preserve"> </w:t>
            </w:r>
            <w:sdt>
              <w:sdtPr>
                <w:rPr>
                  <w:color w:val="000000"/>
                </w:rPr>
                <w:tag w:val="MENDELEY_CITATION_v3_eyJjaXRhdGlvbklEIjoiTUVOREVMRVlfQ0lUQVRJT05fZjcwYzdmMGQtNzgxMi00YTkzLTljZmUtZjRjZTc2ZGNjZGM0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803974552"/>
                <w:placeholder>
                  <w:docPart w:val="119FB1C23F5BCC408466AD28D7FF4766"/>
                </w:placeholder>
              </w:sdtPr>
              <w:sdtContent>
                <w:r w:rsidRPr="002F46CE">
                  <w:rPr>
                    <w:color w:val="000000"/>
                  </w:rPr>
                  <w:t>(DELWP, 2020)</w:t>
                </w:r>
              </w:sdtContent>
            </w:sdt>
            <w:r>
              <w:t>.</w:t>
            </w:r>
            <w:r w:rsidRPr="00AA1973">
              <w:t xml:space="preserve"> </w:t>
            </w:r>
            <w:r>
              <w:t>However, the Ramsar site covers a large area, extending outside of the Study Area into coastal environments. It is considered more likely that habitat for the Eastern Hooded Plover would be supported by these areas of the Ramsar site outside of the Study Area.</w:t>
            </w:r>
          </w:p>
        </w:tc>
      </w:tr>
      <w:tr w:rsidR="000B173B" w14:paraId="7C9FC492" w14:textId="77777777" w:rsidTr="00A15226">
        <w:tc>
          <w:tcPr>
            <w:tcW w:w="1480" w:type="dxa"/>
            <w:tcBorders>
              <w:right w:val="nil"/>
            </w:tcBorders>
            <w:shd w:val="clear" w:color="auto" w:fill="B4C6E7" w:themeFill="accent1" w:themeFillTint="66"/>
            <w:vAlign w:val="center"/>
          </w:tcPr>
          <w:p w14:paraId="056B5BC9" w14:textId="77777777" w:rsidR="000B173B" w:rsidRPr="00B83DE7" w:rsidRDefault="000B173B" w:rsidP="00A15226">
            <w:pPr>
              <w:pStyle w:val="Tabletext"/>
              <w:rPr>
                <w:rFonts w:cs="Arial"/>
                <w:b/>
                <w:bCs/>
                <w:i/>
                <w:iCs/>
                <w:szCs w:val="18"/>
              </w:rPr>
            </w:pPr>
            <w:r w:rsidRPr="00B83DE7">
              <w:rPr>
                <w:b/>
                <w:bCs/>
                <w:szCs w:val="18"/>
              </w:rPr>
              <w:lastRenderedPageBreak/>
              <w:t>Reptiles</w:t>
            </w:r>
          </w:p>
        </w:tc>
        <w:tc>
          <w:tcPr>
            <w:tcW w:w="1353" w:type="dxa"/>
            <w:tcBorders>
              <w:left w:val="nil"/>
              <w:right w:val="nil"/>
            </w:tcBorders>
            <w:shd w:val="clear" w:color="auto" w:fill="B4C6E7" w:themeFill="accent1" w:themeFillTint="66"/>
            <w:vAlign w:val="center"/>
          </w:tcPr>
          <w:p w14:paraId="02ACEF49" w14:textId="77777777" w:rsidR="000B173B" w:rsidRPr="00B83DE7" w:rsidRDefault="000B173B" w:rsidP="00A15226">
            <w:pPr>
              <w:pStyle w:val="Tabletext"/>
              <w:rPr>
                <w:rFonts w:cs="Arial"/>
                <w:szCs w:val="18"/>
              </w:rPr>
            </w:pPr>
          </w:p>
        </w:tc>
        <w:tc>
          <w:tcPr>
            <w:tcW w:w="1235" w:type="dxa"/>
            <w:tcBorders>
              <w:left w:val="nil"/>
              <w:right w:val="nil"/>
            </w:tcBorders>
            <w:shd w:val="clear" w:color="auto" w:fill="B4C6E7" w:themeFill="accent1" w:themeFillTint="66"/>
            <w:vAlign w:val="center"/>
          </w:tcPr>
          <w:p w14:paraId="3F647F03" w14:textId="77777777" w:rsidR="000B173B" w:rsidRPr="00B83DE7" w:rsidRDefault="000B173B" w:rsidP="00A15226">
            <w:pPr>
              <w:pStyle w:val="Tabletext"/>
              <w:rPr>
                <w:rFonts w:cs="Arial"/>
                <w:szCs w:val="18"/>
              </w:rPr>
            </w:pPr>
          </w:p>
        </w:tc>
        <w:tc>
          <w:tcPr>
            <w:tcW w:w="1177" w:type="dxa"/>
            <w:tcBorders>
              <w:left w:val="nil"/>
              <w:right w:val="nil"/>
            </w:tcBorders>
            <w:shd w:val="clear" w:color="auto" w:fill="B4C6E7" w:themeFill="accent1" w:themeFillTint="66"/>
            <w:vAlign w:val="center"/>
          </w:tcPr>
          <w:p w14:paraId="0D69787A" w14:textId="77777777" w:rsidR="000B173B" w:rsidRPr="00AC3FED" w:rsidRDefault="000B173B" w:rsidP="00A15226">
            <w:pPr>
              <w:pStyle w:val="Tabletext"/>
              <w:jc w:val="center"/>
              <w:rPr>
                <w:highlight w:val="yellow"/>
              </w:rPr>
            </w:pPr>
          </w:p>
        </w:tc>
        <w:tc>
          <w:tcPr>
            <w:tcW w:w="9072" w:type="dxa"/>
            <w:tcBorders>
              <w:left w:val="nil"/>
            </w:tcBorders>
            <w:shd w:val="clear" w:color="auto" w:fill="B4C6E7" w:themeFill="accent1" w:themeFillTint="66"/>
            <w:vAlign w:val="center"/>
          </w:tcPr>
          <w:p w14:paraId="223F9765" w14:textId="77777777" w:rsidR="000B173B" w:rsidRDefault="000B173B" w:rsidP="00A15226">
            <w:pPr>
              <w:pStyle w:val="Tabletext"/>
            </w:pPr>
          </w:p>
        </w:tc>
      </w:tr>
      <w:tr w:rsidR="000B173B" w14:paraId="0C7830ED" w14:textId="77777777" w:rsidTr="00A15226">
        <w:tc>
          <w:tcPr>
            <w:tcW w:w="1480" w:type="dxa"/>
            <w:vAlign w:val="center"/>
          </w:tcPr>
          <w:p w14:paraId="18450ECD" w14:textId="77777777" w:rsidR="000B173B" w:rsidRPr="00B83DE7" w:rsidRDefault="000B173B" w:rsidP="00A15226">
            <w:pPr>
              <w:pStyle w:val="Tabletext"/>
              <w:rPr>
                <w:szCs w:val="18"/>
              </w:rPr>
            </w:pPr>
            <w:bookmarkStart w:id="219" w:name="_Toc87947848"/>
            <w:r w:rsidRPr="00B83DE7">
              <w:rPr>
                <w:rFonts w:cs="Arial"/>
                <w:i/>
                <w:iCs/>
                <w:szCs w:val="18"/>
              </w:rPr>
              <w:t>Caretta caretta</w:t>
            </w:r>
          </w:p>
        </w:tc>
        <w:tc>
          <w:tcPr>
            <w:tcW w:w="1353" w:type="dxa"/>
            <w:vAlign w:val="center"/>
          </w:tcPr>
          <w:p w14:paraId="2C558865" w14:textId="77777777" w:rsidR="000B173B" w:rsidRPr="00B83DE7" w:rsidRDefault="000B173B" w:rsidP="00A15226">
            <w:pPr>
              <w:pStyle w:val="Tabletext"/>
              <w:rPr>
                <w:rFonts w:cs="Arial"/>
                <w:szCs w:val="18"/>
              </w:rPr>
            </w:pPr>
            <w:r w:rsidRPr="00B83DE7">
              <w:rPr>
                <w:rFonts w:cs="Arial"/>
                <w:szCs w:val="18"/>
              </w:rPr>
              <w:t>Loggerhead Turtle</w:t>
            </w:r>
          </w:p>
        </w:tc>
        <w:tc>
          <w:tcPr>
            <w:tcW w:w="1235" w:type="dxa"/>
            <w:vAlign w:val="center"/>
          </w:tcPr>
          <w:p w14:paraId="685E4DD3" w14:textId="77777777" w:rsidR="000B173B" w:rsidRPr="00B83DE7" w:rsidRDefault="000B173B" w:rsidP="00A15226">
            <w:pPr>
              <w:pStyle w:val="Tabletext"/>
              <w:rPr>
                <w:rFonts w:cs="Arial"/>
                <w:szCs w:val="18"/>
              </w:rPr>
            </w:pPr>
            <w:r w:rsidRPr="00B83DE7">
              <w:rPr>
                <w:rFonts w:cs="Arial"/>
                <w:szCs w:val="18"/>
              </w:rPr>
              <w:t xml:space="preserve">Endangered, marine, migratory </w:t>
            </w:r>
          </w:p>
        </w:tc>
        <w:tc>
          <w:tcPr>
            <w:tcW w:w="1177" w:type="dxa"/>
            <w:vAlign w:val="center"/>
          </w:tcPr>
          <w:p w14:paraId="04DC8E45" w14:textId="77777777" w:rsidR="000B173B" w:rsidRPr="00AC3FED" w:rsidRDefault="000B173B" w:rsidP="00A15226">
            <w:pPr>
              <w:pStyle w:val="Tabletext"/>
              <w:jc w:val="center"/>
              <w:rPr>
                <w:highlight w:val="yellow"/>
              </w:rPr>
            </w:pPr>
            <w:r w:rsidRPr="00290828">
              <w:t>No</w:t>
            </w:r>
          </w:p>
        </w:tc>
        <w:tc>
          <w:tcPr>
            <w:tcW w:w="9072" w:type="dxa"/>
          </w:tcPr>
          <w:p w14:paraId="1C4A8EC9" w14:textId="77777777" w:rsidR="000B173B" w:rsidRDefault="000B173B" w:rsidP="00A15226">
            <w:pPr>
              <w:pStyle w:val="Tabletext"/>
            </w:pPr>
            <w:r w:rsidRPr="001324CC">
              <w:rPr>
                <w:i/>
                <w:iCs/>
              </w:rPr>
              <w:t>Caretta caretta</w:t>
            </w:r>
            <w:r w:rsidRPr="001324CC">
              <w:t xml:space="preserve"> (Loggerhead Turtle) is a marine turtle occurring in Australian waters. Marine turtles are migratory and depend upon dispersed habitats (both marine and terrestrial) throughout their life cycle. There are two distinct stocks of Loggerhead Turtles that nest in Australia, one in Queensland, and one in Western Australia. The species forages in all coastal states, though is considered uncommon in South Australia, Victoria and Tasmania </w:t>
            </w:r>
            <w:sdt>
              <w:sdtPr>
                <w:rPr>
                  <w:color w:val="000000"/>
                </w:rPr>
                <w:tag w:val="MENDELEY_CITATION_v3_eyJjaXRhdGlvbklEIjoiTUVOREVMRVlfQ0lUQVRJT05fMjI3YWNlYjYtMjVmMS00Y2FhLWI5ZTMtN2U5MDMxYWE4Y2U2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2041159512"/>
                <w:placeholder>
                  <w:docPart w:val="119FB1C23F5BCC408466AD28D7FF4766"/>
                </w:placeholder>
              </w:sdtPr>
              <w:sdtContent>
                <w:r w:rsidRPr="002F46CE">
                  <w:rPr>
                    <w:color w:val="000000"/>
                  </w:rPr>
                  <w:t>(DoEE, 2017a)</w:t>
                </w:r>
              </w:sdtContent>
            </w:sdt>
            <w:r>
              <w:t xml:space="preserve">. </w:t>
            </w:r>
            <w:r w:rsidRPr="001324CC">
              <w:t>In 2003, it was estimated that there are 500 nesting females per year in Eastern Australia</w:t>
            </w:r>
            <w:r>
              <w:t xml:space="preserve"> </w:t>
            </w:r>
            <w:sdt>
              <w:sdtPr>
                <w:rPr>
                  <w:color w:val="000000"/>
                </w:rPr>
                <w:tag w:val="MENDELEY_CITATION_v3_eyJjaXRhdGlvbklEIjoiTUVOREVMRVlfQ0lUQVRJT05fYTRmMjZmZDQtMGU1MS00N2ZlLWExZjQtYzViYTM1ODY1YjJ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65884481"/>
                <w:placeholder>
                  <w:docPart w:val="119FB1C23F5BCC408466AD28D7FF4766"/>
                </w:placeholder>
              </w:sdtPr>
              <w:sdtContent>
                <w:r w:rsidRPr="002F46CE">
                  <w:rPr>
                    <w:color w:val="000000"/>
                  </w:rPr>
                  <w:t>(DCCEEW, 2022)</w:t>
                </w:r>
              </w:sdtContent>
            </w:sdt>
            <w:r>
              <w:t xml:space="preserve">. </w:t>
            </w:r>
            <w:r w:rsidRPr="007A70F4">
              <w:t xml:space="preserve">Threats to marine turtles in Australia include climate change, marine debris, chemical and terrestrial discharge, international take, terrestrial predation, bycatch, light pollution, habitat modification, indigenous take, vessel disturbance, noise interference, recreational activities and diseases and pathogens </w:t>
            </w:r>
            <w:sdt>
              <w:sdtPr>
                <w:rPr>
                  <w:color w:val="000000"/>
                </w:rPr>
                <w:tag w:val="MENDELEY_CITATION_v3_eyJjaXRhdGlvbklEIjoiTUVOREVMRVlfQ0lUQVRJT05fZTY1YjdlMTAtZTI2My00YjYwLWJkNDktN2I5NWVjYjhhY2Qy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1337912697"/>
                <w:placeholder>
                  <w:docPart w:val="119FB1C23F5BCC408466AD28D7FF4766"/>
                </w:placeholder>
              </w:sdtPr>
              <w:sdtContent>
                <w:r w:rsidRPr="002F46CE">
                  <w:rPr>
                    <w:color w:val="000000"/>
                  </w:rPr>
                  <w:t>(DoEE, 2017a)</w:t>
                </w:r>
              </w:sdtContent>
            </w:sdt>
            <w:r w:rsidRPr="007A70F4">
              <w:t>.</w:t>
            </w:r>
          </w:p>
          <w:p w14:paraId="735484D1" w14:textId="77777777" w:rsidR="000B173B" w:rsidRDefault="000B173B" w:rsidP="00A15226">
            <w:pPr>
              <w:pStyle w:val="Tabletext"/>
            </w:pPr>
            <w:bookmarkStart w:id="220" w:name="OLE_LINK1"/>
            <w:bookmarkStart w:id="221" w:name="OLE_LINK2"/>
            <w:r>
              <w:t xml:space="preserve">There are no records of the species within </w:t>
            </w:r>
            <w:r w:rsidRPr="007560DC">
              <w:t>the marine environment of</w:t>
            </w:r>
            <w:r>
              <w:t xml:space="preserve"> the Study Area. The species will not be affected by development under the Plan.</w:t>
            </w:r>
            <w:bookmarkEnd w:id="220"/>
            <w:bookmarkEnd w:id="221"/>
          </w:p>
        </w:tc>
      </w:tr>
      <w:tr w:rsidR="000B173B" w14:paraId="40C16142" w14:textId="77777777" w:rsidTr="00A15226">
        <w:tc>
          <w:tcPr>
            <w:tcW w:w="1480" w:type="dxa"/>
            <w:vAlign w:val="center"/>
          </w:tcPr>
          <w:p w14:paraId="79F9B642" w14:textId="77777777" w:rsidR="000B173B" w:rsidRPr="00B83DE7" w:rsidRDefault="000B173B" w:rsidP="00A15226">
            <w:pPr>
              <w:pStyle w:val="Tabletext"/>
              <w:rPr>
                <w:szCs w:val="18"/>
              </w:rPr>
            </w:pPr>
            <w:r w:rsidRPr="00B83DE7">
              <w:rPr>
                <w:rFonts w:cs="Arial"/>
                <w:i/>
                <w:iCs/>
                <w:szCs w:val="18"/>
              </w:rPr>
              <w:t>Delma impar</w:t>
            </w:r>
          </w:p>
        </w:tc>
        <w:tc>
          <w:tcPr>
            <w:tcW w:w="1353" w:type="dxa"/>
            <w:vAlign w:val="center"/>
          </w:tcPr>
          <w:p w14:paraId="7BD1EAB9" w14:textId="77777777" w:rsidR="000B173B" w:rsidRPr="00B83DE7" w:rsidRDefault="000B173B" w:rsidP="00A15226">
            <w:pPr>
              <w:pStyle w:val="Tabletext"/>
              <w:rPr>
                <w:rFonts w:cs="Arial"/>
                <w:szCs w:val="18"/>
              </w:rPr>
            </w:pPr>
            <w:r w:rsidRPr="00B83DE7">
              <w:rPr>
                <w:rFonts w:cs="Arial"/>
                <w:szCs w:val="18"/>
              </w:rPr>
              <w:t>Striped Legless Lizard</w:t>
            </w:r>
          </w:p>
        </w:tc>
        <w:tc>
          <w:tcPr>
            <w:tcW w:w="1235" w:type="dxa"/>
            <w:vAlign w:val="center"/>
          </w:tcPr>
          <w:p w14:paraId="3F26B8DD"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vAlign w:val="center"/>
          </w:tcPr>
          <w:p w14:paraId="4B8EC14A" w14:textId="77777777" w:rsidR="000B173B" w:rsidRPr="00AC3FED" w:rsidRDefault="000B173B" w:rsidP="00A15226">
            <w:pPr>
              <w:pStyle w:val="Tabletext"/>
              <w:jc w:val="center"/>
              <w:rPr>
                <w:highlight w:val="yellow"/>
              </w:rPr>
            </w:pPr>
            <w:r w:rsidRPr="00AE1045">
              <w:t>Yes</w:t>
            </w:r>
          </w:p>
        </w:tc>
        <w:tc>
          <w:tcPr>
            <w:tcW w:w="9072" w:type="dxa"/>
          </w:tcPr>
          <w:p w14:paraId="3E9A06E7" w14:textId="77777777" w:rsidR="000B173B" w:rsidRDefault="000B173B" w:rsidP="00A15226">
            <w:pPr>
              <w:pStyle w:val="Tabletext"/>
            </w:pPr>
            <w:r w:rsidRPr="001324CC">
              <w:rPr>
                <w:i/>
                <w:iCs/>
              </w:rPr>
              <w:t>Delma impar</w:t>
            </w:r>
            <w:r w:rsidRPr="001324CC">
              <w:t xml:space="preserve"> (Striped Legless Lizard) is a </w:t>
            </w:r>
            <w:r>
              <w:t xml:space="preserve">small reptile </w:t>
            </w:r>
            <w:r w:rsidRPr="001324CC">
              <w:t>with very reduced hind limbs and lacking fore</w:t>
            </w:r>
            <w:r>
              <w:t xml:space="preserve">limbs. It has considerable colour variation, with a </w:t>
            </w:r>
            <w:r w:rsidRPr="001324CC">
              <w:t>pale grey-brown dorsal and cream ventral</w:t>
            </w:r>
            <w:r>
              <w:t xml:space="preserve">, and dark brown or black stripes along the length of the tail and body </w:t>
            </w:r>
            <w:sdt>
              <w:sdtPr>
                <w:rPr>
                  <w:color w:val="000000"/>
                </w:rPr>
                <w:tag w:val="MENDELEY_CITATION_v3_eyJjaXRhdGlvbklEIjoiTUVOREVMRVlfQ0lUQVRJT05fM2VkZmQ1ODAtNjFiMC00YTNkLTg2YzItNGQxNTE2NjAxYjVkIiwicHJvcGVydGllcyI6eyJub3RlSW5kZXgiOjB9LCJpc0VkaXRlZCI6ZmFsc2UsIm1hbnVhbE92ZXJyaWRlIjp7ImNpdGVwcm9jVGV4dCI6IihUU1NDLCAyMDE2Zi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1665967752"/>
                <w:placeholder>
                  <w:docPart w:val="119FB1C23F5BCC408466AD28D7FF4766"/>
                </w:placeholder>
              </w:sdtPr>
              <w:sdtContent>
                <w:r w:rsidRPr="002F46CE">
                  <w:rPr>
                    <w:color w:val="000000"/>
                  </w:rPr>
                  <w:t>(TSSC, 2016f)</w:t>
                </w:r>
              </w:sdtContent>
            </w:sdt>
            <w:r>
              <w:t>.</w:t>
            </w:r>
          </w:p>
          <w:p w14:paraId="3607AFA6" w14:textId="77777777" w:rsidR="000B173B" w:rsidRDefault="000B173B" w:rsidP="00A15226">
            <w:pPr>
              <w:pStyle w:val="Tabletext"/>
            </w:pPr>
            <w:r>
              <w:t xml:space="preserve">The species was formerly distributed through temperate lowland grasslands in the ACT, south-western and southern NSW, central and southern Victoria, and south-east SA. Its distribution has declined. Within Victoria, the range of the species appears to have contracted to the southern part of the state </w:t>
            </w:r>
            <w:sdt>
              <w:sdtPr>
                <w:rPr>
                  <w:color w:val="000000"/>
                </w:rPr>
                <w:tag w:val="MENDELEY_CITATION_v3_eyJjaXRhdGlvbklEIjoiTUVOREVMRVlfQ0lUQVRJT05fOTlkOGQxMTktYzE2ZC00ZDUwLTkwOTctMjE0ZWIxMjI2MmU5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493181900"/>
                <w:placeholder>
                  <w:docPart w:val="119FB1C23F5BCC408466AD28D7FF4766"/>
                </w:placeholder>
              </w:sdtPr>
              <w:sdtContent>
                <w:r w:rsidRPr="002F46CE">
                  <w:rPr>
                    <w:color w:val="000000"/>
                  </w:rPr>
                  <w:t>(DCCEEW, 2022)</w:t>
                </w:r>
              </w:sdtContent>
            </w:sdt>
            <w:r>
              <w:t>.</w:t>
            </w:r>
          </w:p>
          <w:p w14:paraId="5FEA4413" w14:textId="77777777" w:rsidR="000B173B" w:rsidRDefault="000B173B" w:rsidP="00A15226">
            <w:pPr>
              <w:pStyle w:val="Tabletext"/>
            </w:pPr>
            <w:r w:rsidRPr="001324CC">
              <w:t>The species is a grassland specialist and is found only in native grassland and nearby grassy woodlands</w:t>
            </w:r>
            <w:r>
              <w:t xml:space="preserve"> and exotic pasture</w:t>
            </w:r>
            <w:r w:rsidRPr="001324CC">
              <w:t>.</w:t>
            </w:r>
            <w:r>
              <w:t xml:space="preserve"> Occupied sites have grassy groundcover, a mixture of native and exotic perennial and annual species, and annual tussock-forming grasses. There is a higher probability of encountering the species in sites with high structural complexity</w:t>
            </w:r>
            <w:r w:rsidRPr="001324CC">
              <w:t xml:space="preserve"> </w:t>
            </w:r>
            <w:sdt>
              <w:sdtPr>
                <w:tag w:val="MENDELEY_CITATION_v3_eyJjaXRhdGlvbklEIjoiTUVOREVMRVlfQ0lUQVRJT05fMjQ5MzRmZjUtYjIyZC00ZGM4LTlmNmQtOGVkZjZlNWFmMTEzIiwicHJvcGVydGllcyI6eyJub3RlSW5kZXgiOjB9LCJpc0VkaXRlZCI6ZmFsc2UsIm1hbnVhbE92ZXJyaWRlIjp7ImNpdGVwcm9jVGV4dCI6IihIb3dsYW5kIDxpPmV0IGFsLjwvaT4sIDIwMTY7IFRTU0MsIDIwMTZmOyB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434403882"/>
                <w:placeholder>
                  <w:docPart w:val="119FB1C23F5BCC408466AD28D7FF4766"/>
                </w:placeholder>
              </w:sdtPr>
              <w:sdtContent>
                <w:r>
                  <w:rPr>
                    <w:rFonts w:eastAsia="Times New Roman"/>
                  </w:rPr>
                  <w:t xml:space="preserve">(Howland </w:t>
                </w:r>
                <w:r>
                  <w:rPr>
                    <w:rFonts w:eastAsia="Times New Roman"/>
                    <w:i/>
                    <w:iCs/>
                  </w:rPr>
                  <w:t>et al.</w:t>
                </w:r>
                <w:r>
                  <w:rPr>
                    <w:rFonts w:eastAsia="Times New Roman"/>
                  </w:rPr>
                  <w:t>, 2016; TSSC, 2016f; DCCEEW, 2022)</w:t>
                </w:r>
              </w:sdtContent>
            </w:sdt>
            <w:r>
              <w:t>.</w:t>
            </w:r>
          </w:p>
          <w:p w14:paraId="394285C3" w14:textId="77777777" w:rsidR="000B173B" w:rsidRDefault="000B173B" w:rsidP="00A15226">
            <w:pPr>
              <w:pStyle w:val="Tabletext"/>
            </w:pPr>
            <w:r w:rsidRPr="001324CC">
              <w:t>The total number of individuals is unknown</w:t>
            </w:r>
            <w:r>
              <w:t>. As of 2014, the species’ population was thought</w:t>
            </w:r>
            <w:r w:rsidRPr="001324CC">
              <w:t xml:space="preserve"> to be in excess of 1</w:t>
            </w:r>
            <w:r>
              <w:t>,</w:t>
            </w:r>
            <w:r w:rsidRPr="001324CC">
              <w:t xml:space="preserve">000 individuals </w:t>
            </w:r>
            <w:sdt>
              <w:sdtPr>
                <w:rPr>
                  <w:color w:val="000000"/>
                </w:rPr>
                <w:tag w:val="MENDELEY_CITATION_v3_eyJjaXRhdGlvbklEIjoiTUVOREVMRVlfQ0lUQVRJT05fM2U2ZDNlNjAtZjk2NS00ZWYzLTliY2ItYWRiZTU1NzU4NjMx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900322011"/>
                <w:placeholder>
                  <w:docPart w:val="119FB1C23F5BCC408466AD28D7FF4766"/>
                </w:placeholder>
              </w:sdtPr>
              <w:sdtContent>
                <w:r w:rsidRPr="002F46CE">
                  <w:rPr>
                    <w:color w:val="000000"/>
                  </w:rPr>
                  <w:t>(DCCEEW, 2022)</w:t>
                </w:r>
              </w:sdtContent>
            </w:sdt>
            <w:r>
              <w:t xml:space="preserve">. There are four distinct genetic lineages: South Australia &amp; Victorian Wimmera; south-western Victoria (including Melbourne and Geelong); eastern Victoria; and a lineage covering the ACT and Monaro Plains in NSW. These lineages have a high level of genetic divergence and should be considered as separate Evolutionarily Significant Units </w:t>
            </w:r>
            <w:sdt>
              <w:sdtPr>
                <w:rPr>
                  <w:color w:val="000000"/>
                </w:rPr>
                <w:tag w:val="MENDELEY_CITATION_v3_eyJjaXRhdGlvbklEIjoiTUVOREVMRVlfQ0lUQVRJT05fMDgzMjRjMzItNTg4NS00Y2I1LTgwN2QtNzc5NGYwMjYyZjA4IiwicHJvcGVydGllcyI6eyJub3RlSW5kZXgiOjB9LCJpc0VkaXRlZCI6ZmFsc2UsIm1hbnVhbE92ZXJyaWRlIjp7ImNpdGVwcm9jVGV4dCI6IihUU1NDLCAyMDE2Zi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784264696"/>
                <w:placeholder>
                  <w:docPart w:val="119FB1C23F5BCC408466AD28D7FF4766"/>
                </w:placeholder>
              </w:sdtPr>
              <w:sdtContent>
                <w:r w:rsidRPr="002F46CE">
                  <w:rPr>
                    <w:color w:val="000000"/>
                  </w:rPr>
                  <w:t>(TSSC, 2016f)</w:t>
                </w:r>
              </w:sdtContent>
            </w:sdt>
            <w:r>
              <w:t>.</w:t>
            </w:r>
          </w:p>
          <w:p w14:paraId="48126327" w14:textId="77777777" w:rsidR="000B173B" w:rsidRDefault="000B173B" w:rsidP="00A15226">
            <w:pPr>
              <w:pStyle w:val="Tabletext"/>
            </w:pPr>
            <w:r w:rsidRPr="007A70F4">
              <w:t>Threats to the species include the loss, modification, degradation and fragmentation of habitat, invasive species</w:t>
            </w:r>
            <w:r>
              <w:t>,</w:t>
            </w:r>
            <w:r w:rsidRPr="007A70F4">
              <w:t xml:space="preserve"> and inappropriate fire regimes </w:t>
            </w:r>
            <w:sdt>
              <w:sdtPr>
                <w:rPr>
                  <w:color w:val="000000"/>
                </w:rPr>
                <w:tag w:val="MENDELEY_CITATION_v3_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"/>
                <w:id w:val="441426006"/>
                <w:placeholder>
                  <w:docPart w:val="119FB1C23F5BCC408466AD28D7FF4766"/>
                </w:placeholder>
              </w:sdtPr>
              <w:sdtContent>
                <w:r w:rsidRPr="002F46CE">
                  <w:rPr>
                    <w:color w:val="000000"/>
                  </w:rPr>
                  <w:t>(TSSC, 2016f)</w:t>
                </w:r>
              </w:sdtContent>
            </w:sdt>
            <w:r w:rsidRPr="007A70F4">
              <w:t>.</w:t>
            </w:r>
          </w:p>
          <w:p w14:paraId="0472BCCB" w14:textId="77777777" w:rsidR="000B173B" w:rsidRDefault="000B173B" w:rsidP="00A15226">
            <w:pPr>
              <w:pStyle w:val="Tabletext"/>
            </w:pPr>
            <w:r>
              <w:t>The species has been recorded within the NGGA. Further detailed assessment is needed to understand the potential for direct, indirect and cumulative impacts. Refer to Section 19.3 of Part 4 for the detailed impact assessment of the Striped Legless Lizard.</w:t>
            </w:r>
          </w:p>
        </w:tc>
      </w:tr>
      <w:tr w:rsidR="000B173B" w14:paraId="5FB4E829" w14:textId="77777777" w:rsidTr="00A15226">
        <w:tc>
          <w:tcPr>
            <w:tcW w:w="1480" w:type="dxa"/>
            <w:vAlign w:val="center"/>
          </w:tcPr>
          <w:p w14:paraId="55BCEC94" w14:textId="77777777" w:rsidR="000B173B" w:rsidRPr="00B83DE7" w:rsidRDefault="000B173B" w:rsidP="00A15226">
            <w:pPr>
              <w:pStyle w:val="Tabletext"/>
              <w:rPr>
                <w:szCs w:val="18"/>
              </w:rPr>
            </w:pPr>
            <w:r w:rsidRPr="00B83DE7">
              <w:rPr>
                <w:rFonts w:cs="Arial"/>
                <w:i/>
                <w:iCs/>
                <w:szCs w:val="18"/>
              </w:rPr>
              <w:lastRenderedPageBreak/>
              <w:t>Dermochelys coriacea</w:t>
            </w:r>
          </w:p>
        </w:tc>
        <w:tc>
          <w:tcPr>
            <w:tcW w:w="1353" w:type="dxa"/>
            <w:vAlign w:val="center"/>
          </w:tcPr>
          <w:p w14:paraId="4BCCCE2B" w14:textId="77777777" w:rsidR="000B173B" w:rsidRPr="00B83DE7" w:rsidRDefault="000B173B" w:rsidP="00A15226">
            <w:pPr>
              <w:pStyle w:val="Tabletext"/>
              <w:rPr>
                <w:rFonts w:cs="Arial"/>
                <w:szCs w:val="18"/>
              </w:rPr>
            </w:pPr>
            <w:r w:rsidRPr="00B83DE7">
              <w:rPr>
                <w:rFonts w:cs="Arial"/>
                <w:szCs w:val="18"/>
              </w:rPr>
              <w:t>Leatherback Turtle</w:t>
            </w:r>
          </w:p>
        </w:tc>
        <w:tc>
          <w:tcPr>
            <w:tcW w:w="1235" w:type="dxa"/>
            <w:vAlign w:val="center"/>
          </w:tcPr>
          <w:p w14:paraId="0B0E30C0" w14:textId="77777777" w:rsidR="000B173B" w:rsidRPr="00B83DE7" w:rsidRDefault="000B173B" w:rsidP="00A15226">
            <w:pPr>
              <w:pStyle w:val="Tabletext"/>
              <w:rPr>
                <w:rFonts w:cs="Arial"/>
                <w:szCs w:val="18"/>
              </w:rPr>
            </w:pPr>
            <w:r w:rsidRPr="00B83DE7">
              <w:rPr>
                <w:rFonts w:cs="Arial"/>
                <w:szCs w:val="18"/>
              </w:rPr>
              <w:t xml:space="preserve">Endangered, marine, migratory </w:t>
            </w:r>
          </w:p>
        </w:tc>
        <w:tc>
          <w:tcPr>
            <w:tcW w:w="1177" w:type="dxa"/>
            <w:vAlign w:val="center"/>
          </w:tcPr>
          <w:p w14:paraId="3A70E328" w14:textId="77777777" w:rsidR="000B173B" w:rsidRPr="00AC3FED" w:rsidRDefault="000B173B" w:rsidP="00A15226">
            <w:pPr>
              <w:pStyle w:val="Tabletext"/>
              <w:jc w:val="center"/>
              <w:rPr>
                <w:highlight w:val="yellow"/>
              </w:rPr>
            </w:pPr>
            <w:r w:rsidRPr="00290828">
              <w:t>No</w:t>
            </w:r>
          </w:p>
        </w:tc>
        <w:tc>
          <w:tcPr>
            <w:tcW w:w="9072" w:type="dxa"/>
          </w:tcPr>
          <w:p w14:paraId="17C75238" w14:textId="77777777" w:rsidR="000B173B" w:rsidRDefault="000B173B" w:rsidP="00A15226">
            <w:pPr>
              <w:pStyle w:val="Tabletext"/>
            </w:pPr>
            <w:r w:rsidRPr="001324CC">
              <w:rPr>
                <w:i/>
                <w:iCs/>
              </w:rPr>
              <w:t>Dermochelys coriacea</w:t>
            </w:r>
            <w:r w:rsidRPr="001324CC">
              <w:t xml:space="preserve"> (Leatherback Turtle) is a marine turtle occurring in Australian waters. Marine turtles are migratory and depend upon dispersed habitats (both marine and terrestrial) throughout their life cycle. </w:t>
            </w:r>
            <w:r>
              <w:t xml:space="preserve">The leatherback turtle spends most of its life in the open ocean, and forages on plankton and jellyfish in the water column. </w:t>
            </w:r>
            <w:r w:rsidRPr="001324CC">
              <w:t>The species is commonly found foraging along the east coast and bass strait, and the southern waters of Australia are one of five identified foraging sites for Leatherback Turtles</w:t>
            </w:r>
            <w:r>
              <w:t>.</w:t>
            </w:r>
            <w:r w:rsidRPr="007A70F4">
              <w:t xml:space="preserve"> Threats to marine turtles in Australia include climate change, marine debris, chemical and terrestrial discharge, international take, terrestrial predation, bycatch, light pollution, habitat modification, indigenous take, vessel disturbance, noise interference, recreational activities and diseases and pathogens </w:t>
            </w:r>
            <w:sdt>
              <w:sdtPr>
                <w:rPr>
                  <w:color w:val="000000"/>
                </w:rPr>
                <w:tag w:val="MENDELEY_CITATION_v3_eyJjaXRhdGlvbklEIjoiTUVOREVMRVlfQ0lUQVRJT05fZGE0ZjEwZTEtZTA2OS00Y2MyLWFmMTQtMzdiZGQzZTIwOTQ0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1238057454"/>
                <w:placeholder>
                  <w:docPart w:val="119FB1C23F5BCC408466AD28D7FF4766"/>
                </w:placeholder>
              </w:sdtPr>
              <w:sdtContent>
                <w:r w:rsidRPr="002F46CE">
                  <w:rPr>
                    <w:color w:val="000000"/>
                  </w:rPr>
                  <w:t>(DoEE, 2017a)</w:t>
                </w:r>
              </w:sdtContent>
            </w:sdt>
            <w:r w:rsidRPr="007A70F4">
              <w:t>.</w:t>
            </w:r>
          </w:p>
          <w:p w14:paraId="54A9FC45" w14:textId="77777777" w:rsidR="000B173B" w:rsidRDefault="000B173B" w:rsidP="00A15226">
            <w:pPr>
              <w:pStyle w:val="Tabletext"/>
            </w:pPr>
            <w:r>
              <w:t>Australia is not known as a major nesting area for the species. However, n</w:t>
            </w:r>
            <w:r w:rsidRPr="001324CC">
              <w:t xml:space="preserve">esting may occur on the Cobourg Peninsula, in Western Australia, and previously in Queensland </w:t>
            </w:r>
            <w:r>
              <w:t xml:space="preserve">and in northern NSW near Ballina </w:t>
            </w:r>
            <w:r w:rsidRPr="001324CC">
              <w:t>(although there have been no records of nesting in QLD</w:t>
            </w:r>
            <w:r>
              <w:t xml:space="preserve"> and NSW</w:t>
            </w:r>
            <w:r w:rsidRPr="001324CC">
              <w:t xml:space="preserve"> since 1996) </w:t>
            </w:r>
            <w:sdt>
              <w:sdtPr>
                <w:rPr>
                  <w:color w:val="000000"/>
                </w:rPr>
                <w:tag w:val="MENDELEY_CITATION_v3_eyJjaXRhdGlvbklEIjoiTUVOREVMRVlfQ0lUQVRJT05fZGFhOTczNjYtZTAwMi00ZDFlLWI0MGMtYjQ5MWUxOWQ2NTQ1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1015119625"/>
                <w:placeholder>
                  <w:docPart w:val="119FB1C23F5BCC408466AD28D7FF4766"/>
                </w:placeholder>
              </w:sdtPr>
              <w:sdtContent>
                <w:r w:rsidRPr="002F46CE">
                  <w:rPr>
                    <w:color w:val="000000"/>
                  </w:rPr>
                  <w:t>(DoEE, 2017a)</w:t>
                </w:r>
              </w:sdtContent>
            </w:sdt>
            <w:r>
              <w:t>.</w:t>
            </w:r>
          </w:p>
          <w:p w14:paraId="183FB950" w14:textId="77777777" w:rsidR="000B173B" w:rsidRPr="002E25D5" w:rsidRDefault="000B173B" w:rsidP="00A15226">
            <w:pPr>
              <w:pStyle w:val="Tabletext"/>
            </w:pPr>
            <w:r w:rsidRPr="002E25D5">
              <w:t xml:space="preserve">There are two records within the Study Area, approximately 7 km to the </w:t>
            </w:r>
            <w:r w:rsidRPr="00067ABE">
              <w:t>east</w:t>
            </w:r>
            <w:r w:rsidRPr="002E25D5">
              <w:t xml:space="preserve"> of the Growth Areas within the marine environment. The species is a marine species with a global tropical and temperate distribution and will not be affected by development under the Plan.</w:t>
            </w:r>
          </w:p>
        </w:tc>
      </w:tr>
      <w:tr w:rsidR="000B173B" w14:paraId="28C13C09" w14:textId="77777777" w:rsidTr="00A15226">
        <w:tc>
          <w:tcPr>
            <w:tcW w:w="1480" w:type="dxa"/>
            <w:vAlign w:val="center"/>
          </w:tcPr>
          <w:p w14:paraId="3A3B4C47" w14:textId="77777777" w:rsidR="000B173B" w:rsidRPr="00B83DE7" w:rsidRDefault="000B173B" w:rsidP="00A15226">
            <w:pPr>
              <w:pStyle w:val="Tabletext"/>
              <w:rPr>
                <w:i/>
                <w:iCs/>
                <w:szCs w:val="18"/>
              </w:rPr>
            </w:pPr>
            <w:r w:rsidRPr="00B83DE7">
              <w:rPr>
                <w:rFonts w:cs="Arial"/>
                <w:i/>
                <w:iCs/>
                <w:szCs w:val="18"/>
              </w:rPr>
              <w:t>Lepidochelys olivacea</w:t>
            </w:r>
          </w:p>
        </w:tc>
        <w:tc>
          <w:tcPr>
            <w:tcW w:w="1353" w:type="dxa"/>
            <w:vAlign w:val="center"/>
          </w:tcPr>
          <w:p w14:paraId="0FEA2267" w14:textId="77777777" w:rsidR="000B173B" w:rsidRPr="00B83DE7" w:rsidRDefault="000B173B" w:rsidP="00A15226">
            <w:pPr>
              <w:pStyle w:val="Tabletext"/>
              <w:rPr>
                <w:szCs w:val="18"/>
              </w:rPr>
            </w:pPr>
            <w:r w:rsidRPr="00B83DE7">
              <w:rPr>
                <w:rFonts w:cs="Arial"/>
                <w:szCs w:val="18"/>
              </w:rPr>
              <w:t>Pacific (Olive) Ridley</w:t>
            </w:r>
          </w:p>
        </w:tc>
        <w:tc>
          <w:tcPr>
            <w:tcW w:w="1235" w:type="dxa"/>
            <w:vAlign w:val="center"/>
          </w:tcPr>
          <w:p w14:paraId="24367E65" w14:textId="77777777" w:rsidR="000B173B" w:rsidRPr="00B83DE7" w:rsidRDefault="000B173B" w:rsidP="00A15226">
            <w:pPr>
              <w:pStyle w:val="Tabletext"/>
              <w:rPr>
                <w:szCs w:val="18"/>
              </w:rPr>
            </w:pPr>
            <w:r w:rsidRPr="00B83DE7">
              <w:rPr>
                <w:rFonts w:cs="Arial"/>
                <w:szCs w:val="18"/>
              </w:rPr>
              <w:t xml:space="preserve">Endangered </w:t>
            </w:r>
          </w:p>
        </w:tc>
        <w:tc>
          <w:tcPr>
            <w:tcW w:w="1177" w:type="dxa"/>
            <w:vAlign w:val="center"/>
          </w:tcPr>
          <w:p w14:paraId="599BAC47" w14:textId="77777777" w:rsidR="000B173B" w:rsidRPr="00AC3FED" w:rsidRDefault="000B173B" w:rsidP="00A15226">
            <w:pPr>
              <w:pStyle w:val="Tabletext"/>
              <w:jc w:val="center"/>
              <w:rPr>
                <w:highlight w:val="yellow"/>
              </w:rPr>
            </w:pPr>
            <w:r w:rsidRPr="00290828">
              <w:t>No</w:t>
            </w:r>
          </w:p>
        </w:tc>
        <w:tc>
          <w:tcPr>
            <w:tcW w:w="9072" w:type="dxa"/>
          </w:tcPr>
          <w:p w14:paraId="442CF37D" w14:textId="77777777" w:rsidR="000B173B" w:rsidRPr="007560DC" w:rsidRDefault="000B173B" w:rsidP="00A15226">
            <w:pPr>
              <w:pStyle w:val="Tabletext"/>
            </w:pPr>
            <w:r w:rsidRPr="00B83DE7">
              <w:rPr>
                <w:rFonts w:cs="Arial"/>
                <w:i/>
                <w:iCs/>
                <w:szCs w:val="18"/>
              </w:rPr>
              <w:t>Lepidochelys olivacea</w:t>
            </w:r>
            <w:r>
              <w:rPr>
                <w:rFonts w:cs="Arial"/>
                <w:i/>
                <w:iCs/>
                <w:szCs w:val="18"/>
              </w:rPr>
              <w:t xml:space="preserve"> </w:t>
            </w:r>
            <w:r>
              <w:rPr>
                <w:rFonts w:cs="Arial"/>
                <w:szCs w:val="18"/>
              </w:rPr>
              <w:t>(Olive Ridley Turtle)</w:t>
            </w:r>
            <w:r w:rsidRPr="001324CC">
              <w:t xml:space="preserve"> is a marine turtle occurring in Australian waters. Marine turtles are migratory and depend upon dispersed habitats (both marine and terrestrial) throughout their life cycle</w:t>
            </w:r>
            <w:r>
              <w:t xml:space="preserve">. There are two stocks of Olive Ridley Turtles in Australia, one which nests in the Northern Territory and one which nests on western Cape York. While there is limited understanding of the species’ dispersal, it is believed to remain on the Australian continental shelf into waters near Indonesia. Mapped habitat for the species occurs in northern Australia, and there is no mapped habitat for the species along the Victorian coast. </w:t>
            </w:r>
            <w:r w:rsidRPr="007A70F4">
              <w:t xml:space="preserve">Threats to marine turtles in Australia include climate change, marine debris, chemical and terrestrial discharge, international take, terrestrial </w:t>
            </w:r>
            <w:r w:rsidRPr="007560DC">
              <w:t xml:space="preserve">predation, bycatch, light pollution, habitat modification, indigenous take, vessel disturbance, noise interference, recreational activities and diseases and pathogens </w:t>
            </w:r>
            <w:sdt>
              <w:sdtPr>
                <w:rPr>
                  <w:color w:val="000000"/>
                </w:rPr>
                <w:tag w:val="MENDELEY_CITATION_v3_eyJjaXRhdGlvbklEIjoiTUVOREVMRVlfQ0lUQVRJT05fNjBmN2U5ZmYtZjIwNi00MjIxLWE2ZTEtZTdlYTM2ZTgwODlk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522601514"/>
                <w:placeholder>
                  <w:docPart w:val="119FB1C23F5BCC408466AD28D7FF4766"/>
                </w:placeholder>
              </w:sdtPr>
              <w:sdtContent>
                <w:r w:rsidRPr="002F46CE">
                  <w:rPr>
                    <w:color w:val="000000"/>
                  </w:rPr>
                  <w:t>(DoEE, 2017a)</w:t>
                </w:r>
              </w:sdtContent>
            </w:sdt>
            <w:r w:rsidRPr="007560DC">
              <w:t>.</w:t>
            </w:r>
          </w:p>
          <w:p w14:paraId="0B85D822" w14:textId="77777777" w:rsidR="000B173B" w:rsidRPr="001324CC" w:rsidRDefault="000B173B" w:rsidP="00A15226">
            <w:pPr>
              <w:pStyle w:val="Tabletext"/>
            </w:pPr>
            <w:r w:rsidRPr="007560DC">
              <w:t>There is one record (from 1974) within the Study Area, approximately 15 km to the east of the Growth Areas within the marine environment. The validity of the record is questionable given its age and the fact that Victoria is outside the usual range of the species. The species will not be affected by development under the Plan.</w:t>
            </w:r>
          </w:p>
        </w:tc>
      </w:tr>
      <w:tr w:rsidR="000B173B" w14:paraId="409341C0" w14:textId="77777777" w:rsidTr="00A15226">
        <w:tc>
          <w:tcPr>
            <w:tcW w:w="1480" w:type="dxa"/>
            <w:vAlign w:val="center"/>
          </w:tcPr>
          <w:p w14:paraId="1828FB24" w14:textId="77777777" w:rsidR="000B173B" w:rsidRPr="00B83DE7" w:rsidRDefault="000B173B" w:rsidP="00A15226">
            <w:pPr>
              <w:pStyle w:val="Tabletext"/>
              <w:rPr>
                <w:szCs w:val="18"/>
              </w:rPr>
            </w:pPr>
            <w:r w:rsidRPr="00B83DE7">
              <w:rPr>
                <w:rFonts w:cs="Arial"/>
                <w:i/>
                <w:iCs/>
                <w:szCs w:val="18"/>
              </w:rPr>
              <w:t>Tympanocryptis pinguicolla</w:t>
            </w:r>
          </w:p>
        </w:tc>
        <w:tc>
          <w:tcPr>
            <w:tcW w:w="1353" w:type="dxa"/>
            <w:vAlign w:val="center"/>
          </w:tcPr>
          <w:p w14:paraId="77374DB2" w14:textId="77777777" w:rsidR="000B173B" w:rsidRPr="00B83DE7" w:rsidRDefault="000B173B" w:rsidP="00A15226">
            <w:pPr>
              <w:pStyle w:val="Tabletext"/>
              <w:rPr>
                <w:rFonts w:cs="Arial"/>
                <w:szCs w:val="18"/>
              </w:rPr>
            </w:pPr>
            <w:r>
              <w:rPr>
                <w:rFonts w:cs="Arial"/>
                <w:szCs w:val="18"/>
              </w:rPr>
              <w:t xml:space="preserve">Victorian </w:t>
            </w:r>
            <w:r w:rsidRPr="00B83DE7">
              <w:rPr>
                <w:rFonts w:cs="Arial"/>
                <w:szCs w:val="18"/>
              </w:rPr>
              <w:t>Grassland Earless Dragon</w:t>
            </w:r>
          </w:p>
        </w:tc>
        <w:tc>
          <w:tcPr>
            <w:tcW w:w="1235" w:type="dxa"/>
            <w:vAlign w:val="center"/>
          </w:tcPr>
          <w:p w14:paraId="1FAC99A8" w14:textId="77777777" w:rsidR="000B173B" w:rsidRPr="00B83DE7" w:rsidRDefault="000B173B" w:rsidP="00A15226">
            <w:pPr>
              <w:pStyle w:val="Tabletext"/>
              <w:rPr>
                <w:rFonts w:cs="Arial"/>
                <w:szCs w:val="18"/>
              </w:rPr>
            </w:pPr>
            <w:r w:rsidRPr="00B83DE7">
              <w:rPr>
                <w:rFonts w:cs="Arial"/>
                <w:szCs w:val="18"/>
              </w:rPr>
              <w:t xml:space="preserve">Endangered </w:t>
            </w:r>
          </w:p>
        </w:tc>
        <w:tc>
          <w:tcPr>
            <w:tcW w:w="1177" w:type="dxa"/>
            <w:vAlign w:val="center"/>
          </w:tcPr>
          <w:p w14:paraId="3B8F7C67" w14:textId="77777777" w:rsidR="000B173B" w:rsidRPr="00AC3FED" w:rsidRDefault="000B173B" w:rsidP="00A15226">
            <w:pPr>
              <w:pStyle w:val="Tabletext"/>
              <w:jc w:val="center"/>
              <w:rPr>
                <w:highlight w:val="yellow"/>
              </w:rPr>
            </w:pPr>
            <w:r w:rsidRPr="00290828">
              <w:t>No</w:t>
            </w:r>
          </w:p>
        </w:tc>
        <w:tc>
          <w:tcPr>
            <w:tcW w:w="9072" w:type="dxa"/>
          </w:tcPr>
          <w:p w14:paraId="0AA44201" w14:textId="77777777" w:rsidR="000B173B" w:rsidRPr="00C861C9" w:rsidRDefault="000B173B" w:rsidP="00A15226">
            <w:pPr>
              <w:pStyle w:val="Tabletext"/>
            </w:pPr>
            <w:r w:rsidRPr="00C861C9">
              <w:rPr>
                <w:i/>
                <w:iCs/>
              </w:rPr>
              <w:t xml:space="preserve">Tympanocryptis pinguicolla </w:t>
            </w:r>
            <w:r w:rsidRPr="00C861C9">
              <w:t>(Victorian Grassland Earless Dragon) is a small lizard occurring in Victoria. The species had previously been grouped with grassland earless dragons from the ACT and NSW. There are now four distinct species recognised including the Victorian Grassland Earless Dragon</w:t>
            </w:r>
            <w:r>
              <w:t xml:space="preserve"> </w:t>
            </w:r>
            <w:sdt>
              <w:sdtPr>
                <w:tag w:val="MENDELEY_CITATION_v3_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"/>
                <w:id w:val="-272791695"/>
                <w:placeholder>
                  <w:docPart w:val="0275A44494DB9E4480D434BCB410E89B"/>
                </w:placeholder>
              </w:sdtPr>
              <w:sdtContent>
                <w:r>
                  <w:rPr>
                    <w:rFonts w:eastAsia="Times New Roman"/>
                  </w:rPr>
                  <w:t xml:space="preserve">(Melville </w:t>
                </w:r>
                <w:r>
                  <w:rPr>
                    <w:rFonts w:eastAsia="Times New Roman"/>
                    <w:i/>
                    <w:iCs/>
                  </w:rPr>
                  <w:t>et al.</w:t>
                </w:r>
                <w:r>
                  <w:rPr>
                    <w:rFonts w:eastAsia="Times New Roman"/>
                  </w:rPr>
                  <w:t>, 2019)</w:t>
                </w:r>
              </w:sdtContent>
            </w:sdt>
            <w:r w:rsidRPr="00C861C9">
              <w:t xml:space="preserve">. The species is likely to be found in natural temperate grasslands that are well drained and undisturbed. There is likely to be a preference for shorter grasslands with an open structure and it may also persist in native grasslands that are species poor or degraded if suitable structures for shelter are present. Threats to the species </w:t>
            </w:r>
            <w:r w:rsidRPr="00C861C9">
              <w:lastRenderedPageBreak/>
              <w:t xml:space="preserve">include the loss and fragmentation of habitat, invasive species, changed grazing regimes, the use of agricultural chemicals, and rock removal </w:t>
            </w:r>
            <w:sdt>
              <w:sdtPr>
                <w:rPr>
                  <w:color w:val="000000"/>
                </w:rPr>
                <w:tag w:val="MENDELEY_CITATION_v3_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"/>
                <w:id w:val="-1747191289"/>
                <w:placeholder>
                  <w:docPart w:val="191F962966CF9941A2ACD0FFF81A893E"/>
                </w:placeholder>
              </w:sdtPr>
              <w:sdtContent>
                <w:r w:rsidRPr="002F46CE">
                  <w:rPr>
                    <w:color w:val="000000"/>
                  </w:rPr>
                  <w:t>(Robertson and Evans, 2009)</w:t>
                </w:r>
              </w:sdtContent>
            </w:sdt>
            <w:r>
              <w:t>.</w:t>
            </w:r>
          </w:p>
          <w:p w14:paraId="5A84D7E2" w14:textId="77777777" w:rsidR="000B173B" w:rsidRPr="00C861C9" w:rsidRDefault="000B173B" w:rsidP="00A15226">
            <w:pPr>
              <w:pStyle w:val="Tabletext"/>
            </w:pPr>
            <w:r w:rsidRPr="00C861C9">
              <w:t xml:space="preserve">The species has experienced a severe decrease in geographic range from its historical distribution. The last recorded sighting in Victoria that is listed on the VBA is from 1969, with five unconfirmed sightings between 1988 and 1990. Until recently, the species was considered likely to be extinct in Victoria </w:t>
            </w:r>
            <w:sdt>
              <w:sdtPr>
                <w:rPr>
                  <w:color w:val="000000"/>
                </w:rPr>
                <w:tag w:val="MENDELEY_CITATION_v3_eyJjaXRhdGlvbklEIjoiTUVOREVMRVlfQ0lUQVRJT05fNjdiYWQ0OTYtMDBkMy00MDU5LTgwODktMGYzNTgwMzNmNDVk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612578559"/>
                <w:placeholder>
                  <w:docPart w:val="097EC8F2588CE14A9DF2BE19059448B0"/>
                </w:placeholder>
              </w:sdtPr>
              <w:sdtContent>
                <w:r w:rsidRPr="002F46CE">
                  <w:rPr>
                    <w:color w:val="000000"/>
                  </w:rPr>
                  <w:t>(EHP, 2021)</w:t>
                </w:r>
              </w:sdtContent>
            </w:sdt>
            <w:r w:rsidRPr="00C861C9">
              <w:t>.</w:t>
            </w:r>
          </w:p>
          <w:p w14:paraId="355AE9CB" w14:textId="77777777" w:rsidR="000B173B" w:rsidRPr="00C861C9" w:rsidRDefault="000B173B" w:rsidP="00A15226">
            <w:pPr>
              <w:pStyle w:val="Tabletext"/>
            </w:pPr>
            <w:r w:rsidRPr="00C861C9">
              <w:t xml:space="preserve">The Study Area may provide habitat for the Victorian Grassland Earless Dragon. Targeted surveys were not undertaken for this species during field investigations of the Growth Areas as the species was presumed to be extinct in Victoria at the time </w:t>
            </w:r>
            <w:sdt>
              <w:sdtPr>
                <w:rPr>
                  <w:color w:val="000000"/>
                </w:rPr>
                <w:tag w:val="MENDELEY_CITATION_v3_eyJjaXRhdGlvbklEIjoiTUVOREVMRVlfQ0lUQVRJT05fZDUwZDgwZDEtMzc3ZS00YWI1LWE2NWYtZWRiYmEwMDQ4YzBj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889249809"/>
                <w:placeholder>
                  <w:docPart w:val="0B82CDD630AEBE45B79B9BD1D35ACF6B"/>
                </w:placeholder>
              </w:sdtPr>
              <w:sdtContent>
                <w:r w:rsidRPr="002F46CE">
                  <w:rPr>
                    <w:color w:val="000000"/>
                  </w:rPr>
                  <w:t>(EHP, 2021)</w:t>
                </w:r>
              </w:sdtContent>
            </w:sdt>
            <w:r w:rsidRPr="00C861C9">
              <w:t>. The change in taxonomy and pending listing as critically endangered under the EPBC Act now warrant targeted surveys for the species and a thorough assessment of the extent and suitability of habitat for the Victorian grassland earless dragon.</w:t>
            </w:r>
          </w:p>
          <w:p w14:paraId="7BC7F1C6" w14:textId="77777777" w:rsidR="000B173B" w:rsidRDefault="000B173B" w:rsidP="00A15226">
            <w:pPr>
              <w:pStyle w:val="Tabletext"/>
            </w:pPr>
            <w:r w:rsidRPr="00C861C9">
              <w:t>Targeted Victorian Grassland Earless Dragon field investigations are now planned for the coming 2023/2024 summer within the likely distribution of the species. This work will inform the need for a detailed assessment of potential impacts. The outcomes of these surveys and any associated assessment will be presented in the final Strategic Assessment Report.</w:t>
            </w:r>
          </w:p>
        </w:tc>
      </w:tr>
      <w:tr w:rsidR="000B173B" w14:paraId="299B8E68" w14:textId="77777777" w:rsidTr="00A15226">
        <w:tc>
          <w:tcPr>
            <w:tcW w:w="1480" w:type="dxa"/>
            <w:shd w:val="clear" w:color="auto" w:fill="B4C6E7" w:themeFill="accent1" w:themeFillTint="66"/>
            <w:vAlign w:val="center"/>
          </w:tcPr>
          <w:p w14:paraId="6C4E3026" w14:textId="77777777" w:rsidR="000B173B" w:rsidRPr="00B83DE7" w:rsidRDefault="000B173B" w:rsidP="00A15226">
            <w:pPr>
              <w:pStyle w:val="Tabletext"/>
              <w:keepNext/>
              <w:keepLines/>
              <w:rPr>
                <w:b/>
                <w:bCs/>
                <w:szCs w:val="18"/>
              </w:rPr>
            </w:pPr>
            <w:r w:rsidRPr="00B83DE7">
              <w:rPr>
                <w:b/>
                <w:bCs/>
                <w:szCs w:val="18"/>
              </w:rPr>
              <w:lastRenderedPageBreak/>
              <w:t>Amphibians</w:t>
            </w:r>
          </w:p>
        </w:tc>
        <w:tc>
          <w:tcPr>
            <w:tcW w:w="1353" w:type="dxa"/>
            <w:shd w:val="clear" w:color="auto" w:fill="B4C6E7" w:themeFill="accent1" w:themeFillTint="66"/>
            <w:vAlign w:val="center"/>
          </w:tcPr>
          <w:p w14:paraId="0E9A1400" w14:textId="77777777" w:rsidR="000B173B" w:rsidRPr="00B83DE7" w:rsidRDefault="000B173B" w:rsidP="00A15226">
            <w:pPr>
              <w:pStyle w:val="Tabletext"/>
              <w:rPr>
                <w:rFonts w:cs="Arial"/>
                <w:szCs w:val="18"/>
              </w:rPr>
            </w:pPr>
          </w:p>
        </w:tc>
        <w:tc>
          <w:tcPr>
            <w:tcW w:w="1235" w:type="dxa"/>
            <w:shd w:val="clear" w:color="auto" w:fill="B4C6E7" w:themeFill="accent1" w:themeFillTint="66"/>
            <w:vAlign w:val="center"/>
          </w:tcPr>
          <w:p w14:paraId="47FDF095" w14:textId="77777777" w:rsidR="000B173B" w:rsidRPr="00B83DE7" w:rsidRDefault="000B173B" w:rsidP="00A15226">
            <w:pPr>
              <w:pStyle w:val="Tabletext"/>
              <w:rPr>
                <w:rFonts w:cs="Arial"/>
                <w:szCs w:val="18"/>
              </w:rPr>
            </w:pPr>
          </w:p>
        </w:tc>
        <w:tc>
          <w:tcPr>
            <w:tcW w:w="1177" w:type="dxa"/>
            <w:shd w:val="clear" w:color="auto" w:fill="B4C6E7" w:themeFill="accent1" w:themeFillTint="66"/>
            <w:vAlign w:val="center"/>
          </w:tcPr>
          <w:p w14:paraId="740360E3" w14:textId="77777777" w:rsidR="000B173B" w:rsidRPr="00AC3FED" w:rsidRDefault="000B173B" w:rsidP="00A15226">
            <w:pPr>
              <w:pStyle w:val="Tabletext"/>
              <w:rPr>
                <w:highlight w:val="yellow"/>
              </w:rPr>
            </w:pPr>
          </w:p>
        </w:tc>
        <w:tc>
          <w:tcPr>
            <w:tcW w:w="9072" w:type="dxa"/>
            <w:shd w:val="clear" w:color="auto" w:fill="B4C6E7" w:themeFill="accent1" w:themeFillTint="66"/>
          </w:tcPr>
          <w:p w14:paraId="40A8DFB9" w14:textId="77777777" w:rsidR="000B173B" w:rsidRDefault="000B173B" w:rsidP="00A15226">
            <w:pPr>
              <w:pStyle w:val="Tabletext"/>
            </w:pPr>
          </w:p>
        </w:tc>
      </w:tr>
      <w:tr w:rsidR="000B173B" w14:paraId="71C9C0B9" w14:textId="77777777" w:rsidTr="00A15226">
        <w:tc>
          <w:tcPr>
            <w:tcW w:w="1480" w:type="dxa"/>
            <w:vAlign w:val="center"/>
          </w:tcPr>
          <w:p w14:paraId="4FB2E939" w14:textId="77777777" w:rsidR="000B173B" w:rsidRPr="00B83DE7" w:rsidRDefault="000B173B" w:rsidP="00A15226">
            <w:pPr>
              <w:pStyle w:val="Tabletext"/>
              <w:rPr>
                <w:szCs w:val="18"/>
              </w:rPr>
            </w:pPr>
            <w:r w:rsidRPr="00B83DE7">
              <w:rPr>
                <w:rFonts w:cs="Arial"/>
                <w:i/>
                <w:iCs/>
                <w:szCs w:val="18"/>
              </w:rPr>
              <w:t>Litoria raniformis</w:t>
            </w:r>
          </w:p>
        </w:tc>
        <w:tc>
          <w:tcPr>
            <w:tcW w:w="1353" w:type="dxa"/>
            <w:vAlign w:val="center"/>
          </w:tcPr>
          <w:p w14:paraId="1DAA0773" w14:textId="77777777" w:rsidR="000B173B" w:rsidRPr="00B83DE7" w:rsidRDefault="000B173B" w:rsidP="00A15226">
            <w:pPr>
              <w:pStyle w:val="Tabletext"/>
              <w:rPr>
                <w:rFonts w:cs="Arial"/>
                <w:szCs w:val="18"/>
              </w:rPr>
            </w:pPr>
            <w:r w:rsidRPr="00B83DE7">
              <w:rPr>
                <w:rFonts w:cs="Arial"/>
                <w:szCs w:val="18"/>
              </w:rPr>
              <w:t>Growling Grass Frog</w:t>
            </w:r>
          </w:p>
        </w:tc>
        <w:tc>
          <w:tcPr>
            <w:tcW w:w="1235" w:type="dxa"/>
            <w:vAlign w:val="center"/>
          </w:tcPr>
          <w:p w14:paraId="1EEC9528"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vAlign w:val="center"/>
          </w:tcPr>
          <w:p w14:paraId="7522D2DB" w14:textId="77777777" w:rsidR="000B173B" w:rsidRPr="00AC3FED" w:rsidRDefault="000B173B" w:rsidP="00A15226">
            <w:pPr>
              <w:pStyle w:val="Tabletext"/>
              <w:jc w:val="center"/>
              <w:rPr>
                <w:highlight w:val="yellow"/>
              </w:rPr>
            </w:pPr>
            <w:r w:rsidRPr="00AE1045">
              <w:t>Yes</w:t>
            </w:r>
          </w:p>
        </w:tc>
        <w:tc>
          <w:tcPr>
            <w:tcW w:w="9072" w:type="dxa"/>
          </w:tcPr>
          <w:p w14:paraId="540005A8" w14:textId="77777777" w:rsidR="000B173B" w:rsidRDefault="000B173B" w:rsidP="00A15226">
            <w:pPr>
              <w:pStyle w:val="Tabletext"/>
            </w:pPr>
            <w:r w:rsidRPr="001324CC">
              <w:rPr>
                <w:i/>
                <w:iCs/>
              </w:rPr>
              <w:t>Litoria raniformis</w:t>
            </w:r>
            <w:r w:rsidRPr="001324CC">
              <w:t xml:space="preserve"> (</w:t>
            </w:r>
            <w:r>
              <w:t>Growling Grass</w:t>
            </w:r>
            <w:r w:rsidRPr="001324CC">
              <w:t xml:space="preserve"> Frog) is a large frog, olive green to bright emerald green in colour with large golden-bronze blotche</w:t>
            </w:r>
            <w:r>
              <w:t xml:space="preserve">s </w:t>
            </w:r>
            <w:sdt>
              <w:sdtPr>
                <w:rPr>
                  <w:color w:val="000000"/>
                </w:rPr>
                <w:tag w:val="MENDELEY_CITATION_v3_eyJjaXRhdGlvbklEIjoiTUVOREVMRVlfQ0lUQVRJT05fNDQ4YThkMTktZThkNC00NmM5LTgwZTItZWJhZjA1NzNmNmEy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2045284361"/>
                <w:placeholder>
                  <w:docPart w:val="119FB1C23F5BCC408466AD28D7FF4766"/>
                </w:placeholder>
              </w:sdtPr>
              <w:sdtContent>
                <w:r w:rsidRPr="00AB79D8">
                  <w:rPr>
                    <w:color w:val="000000"/>
                  </w:rPr>
                  <w:t>(Clemann and Gillespie, 2012)</w:t>
                </w:r>
              </w:sdtContent>
            </w:sdt>
            <w:r>
              <w:t>.</w:t>
            </w:r>
          </w:p>
          <w:p w14:paraId="1FE5DFAA" w14:textId="77777777" w:rsidR="000B173B" w:rsidRDefault="000B173B" w:rsidP="00A15226">
            <w:pPr>
              <w:pStyle w:val="Tabletext"/>
            </w:pPr>
            <w:r w:rsidRPr="001324CC">
              <w:t>The species is endemic to south</w:t>
            </w:r>
            <w:r>
              <w:t>-</w:t>
            </w:r>
            <w:r w:rsidRPr="001324CC">
              <w:t>east Australia</w:t>
            </w:r>
            <w:r>
              <w:t xml:space="preserve">. It was historically one of the most common frogs in that region but has suffered substantial declines in abundance and range </w:t>
            </w:r>
            <w:sdt>
              <w:sdtPr>
                <w:rPr>
                  <w:color w:val="000000"/>
                </w:rPr>
                <w:tag w:val="MENDELEY_CITATION_v3_eyJjaXRhdGlvbklEIjoiTUVOREVMRVlfQ0lUQVRJT05fODNlNmE4Y2QtOWIwZS00NjhmLWI0ZGUtY2ExNzg3ZjM0Yzhl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1958470806"/>
                <w:placeholder>
                  <w:docPart w:val="119FB1C23F5BCC408466AD28D7FF4766"/>
                </w:placeholder>
              </w:sdtPr>
              <w:sdtContent>
                <w:r w:rsidRPr="00AB79D8">
                  <w:rPr>
                    <w:color w:val="000000"/>
                  </w:rPr>
                  <w:t>(Clemann and Gillespie, 2012)</w:t>
                </w:r>
              </w:sdtContent>
            </w:sdt>
            <w:r>
              <w:t>.</w:t>
            </w:r>
          </w:p>
          <w:p w14:paraId="50C24A3C" w14:textId="77777777" w:rsidR="000B173B" w:rsidRDefault="000B173B" w:rsidP="00A15226">
            <w:pPr>
              <w:pStyle w:val="Tabletext"/>
            </w:pPr>
            <w:r>
              <w:t xml:space="preserve">The species appears to occur in two distinct biogeographical groups. One group occurs in the north and west of its range in </w:t>
            </w:r>
            <w:r w:rsidRPr="00BA4E70">
              <w:t>NSW</w:t>
            </w:r>
            <w:r>
              <w:t>,</w:t>
            </w:r>
            <w:r w:rsidRPr="00BA4E70">
              <w:t xml:space="preserve"> and parts of Victoria and South Australia bordering the Murray River</w:t>
            </w:r>
            <w:r>
              <w:t xml:space="preserve">. The second group (which includes the Strategic Assessment Area) occurs in moister environments in much of Victoria, south-eastern NSW, far south-eastern South Australia, and Tasmania </w:t>
            </w:r>
            <w:sdt>
              <w:sdtPr>
                <w:rPr>
                  <w:color w:val="000000"/>
                </w:rPr>
                <w:tag w:val="MENDELEY_CITATION_v3_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1811933040"/>
                <w:placeholder>
                  <w:docPart w:val="119FB1C23F5BCC408466AD28D7FF4766"/>
                </w:placeholder>
              </w:sdtPr>
              <w:sdtContent>
                <w:r w:rsidRPr="00AB79D8">
                  <w:rPr>
                    <w:color w:val="000000"/>
                  </w:rPr>
                  <w:t>(DEWHA, 2009d; Clemann and Gillespie, 2012)</w:t>
                </w:r>
              </w:sdtContent>
            </w:sdt>
            <w:r>
              <w:t>. There is limited information available regarding the estimated total size of each group, or the number of discrete populations or metapopulations within each group.</w:t>
            </w:r>
          </w:p>
          <w:p w14:paraId="48A6B298" w14:textId="77777777" w:rsidR="000B173B" w:rsidRDefault="000B173B" w:rsidP="00A15226">
            <w:pPr>
              <w:pStyle w:val="Tabletext"/>
            </w:pPr>
            <w:r>
              <w:t xml:space="preserve">Where the species occurs within the Strategic Assessment Area and surrounding regions, it is mostly aquatic and occurs in a variety of both permanent and ephemeral wetlands </w:t>
            </w:r>
            <w:sdt>
              <w:sdtPr>
                <w:rPr>
                  <w:color w:val="000000"/>
                </w:rPr>
                <w:tag w:val="MENDELEY_CITATION_v3_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"/>
                <w:id w:val="-2089679422"/>
                <w:placeholder>
                  <w:docPart w:val="119FB1C23F5BCC408466AD28D7FF4766"/>
                </w:placeholder>
              </w:sdtPr>
              <w:sdtContent>
                <w:r w:rsidRPr="00AB79D8">
                  <w:rPr>
                    <w:color w:val="000000"/>
                  </w:rPr>
                  <w:t>(Heard, Scroggie and Clemann, 2010)</w:t>
                </w:r>
              </w:sdtContent>
            </w:sdt>
            <w:r>
              <w:t>.</w:t>
            </w:r>
          </w:p>
          <w:p w14:paraId="3E1E400B" w14:textId="77777777" w:rsidR="000B173B" w:rsidRDefault="000B173B" w:rsidP="00A15226">
            <w:pPr>
              <w:pStyle w:val="Tabletext"/>
            </w:pPr>
            <w:r>
              <w:t xml:space="preserve">The GGF Significant Impact Guidelines </w:t>
            </w:r>
            <w:sdt>
              <w:sdtPr>
                <w:rPr>
                  <w:color w:val="000000"/>
                </w:rPr>
                <w:tag w:val="MENDELEY_CITATION_v3_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"/>
                <w:id w:val="687493454"/>
                <w:placeholder>
                  <w:docPart w:val="119FB1C23F5BCC408466AD28D7FF4766"/>
                </w:placeholder>
              </w:sdtPr>
              <w:sdtContent>
                <w:r w:rsidRPr="00AB79D8">
                  <w:rPr>
                    <w:color w:val="000000"/>
                  </w:rPr>
                  <w:t>(DEWHA, 2009d)</w:t>
                </w:r>
              </w:sdtContent>
            </w:sdt>
            <w:r>
              <w:rPr>
                <w:iCs/>
              </w:rPr>
              <w:t xml:space="preserve"> </w:t>
            </w:r>
            <w:r>
              <w:t xml:space="preserve">identify the threats most relevant to decision making under the EPBC Act. These include </w:t>
            </w:r>
            <w:r w:rsidRPr="00440DA6">
              <w:t xml:space="preserve">loss and degradation of habitat, </w:t>
            </w:r>
            <w:r>
              <w:t>fragmentation and isolation of populations caused by construction of barriers to movement</w:t>
            </w:r>
            <w:r w:rsidRPr="00440DA6">
              <w:t xml:space="preserve"> and</w:t>
            </w:r>
            <w:r>
              <w:t xml:space="preserve"> introduced predators and diseases. The species’ Recovery Plan </w:t>
            </w:r>
            <w:sdt>
              <w:sdtPr>
                <w:rPr>
                  <w:color w:val="000000"/>
                </w:rPr>
                <w:tag w:val="MENDELEY_CITATION_v3_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"/>
                <w:id w:val="-1917008300"/>
                <w:placeholder>
                  <w:docPart w:val="119FB1C23F5BCC408466AD28D7FF4766"/>
                </w:placeholder>
              </w:sdtPr>
              <w:sdtContent>
                <w:r w:rsidRPr="00AB79D8">
                  <w:rPr>
                    <w:color w:val="000000"/>
                  </w:rPr>
                  <w:t>(Clemann and Gillespie, 2012)</w:t>
                </w:r>
              </w:sdtContent>
            </w:sdt>
            <w:r>
              <w:t xml:space="preserve"> also identifies increased exposure </w:t>
            </w:r>
            <w:r>
              <w:rPr>
                <w:iCs/>
              </w:rPr>
              <w:t xml:space="preserve">of frogs </w:t>
            </w:r>
            <w:r w:rsidRPr="00064F44">
              <w:rPr>
                <w:iCs/>
              </w:rPr>
              <w:t>to harmful levels of ultraviolet</w:t>
            </w:r>
            <w:r>
              <w:rPr>
                <w:iCs/>
              </w:rPr>
              <w:noBreakHyphen/>
            </w:r>
            <w:r w:rsidRPr="00064F44">
              <w:rPr>
                <w:iCs/>
              </w:rPr>
              <w:t>B</w:t>
            </w:r>
            <w:r>
              <w:rPr>
                <w:iCs/>
              </w:rPr>
              <w:t xml:space="preserve"> </w:t>
            </w:r>
            <w:r w:rsidRPr="00064F44">
              <w:rPr>
                <w:iCs/>
              </w:rPr>
              <w:t xml:space="preserve">radiation </w:t>
            </w:r>
            <w:r>
              <w:rPr>
                <w:iCs/>
              </w:rPr>
              <w:t xml:space="preserve">(due to </w:t>
            </w:r>
            <w:r w:rsidRPr="00064F44">
              <w:rPr>
                <w:iCs/>
              </w:rPr>
              <w:t>anthropogenic depletion of the ozone layer</w:t>
            </w:r>
            <w:r>
              <w:rPr>
                <w:iCs/>
              </w:rPr>
              <w:t>) as an additional threat.</w:t>
            </w:r>
          </w:p>
          <w:p w14:paraId="298BC322" w14:textId="77777777" w:rsidR="000B173B" w:rsidRDefault="000B173B" w:rsidP="00A15226">
            <w:pPr>
              <w:pStyle w:val="Tabletext"/>
            </w:pPr>
            <w:r>
              <w:lastRenderedPageBreak/>
              <w:t xml:space="preserve">The species was </w:t>
            </w:r>
            <w:r w:rsidRPr="00490CD6">
              <w:t xml:space="preserve">recorded in the </w:t>
            </w:r>
            <w:r>
              <w:t>WGGA</w:t>
            </w:r>
            <w:r w:rsidRPr="00490CD6">
              <w:t xml:space="preserve"> during recent site surveys</w:t>
            </w:r>
            <w:r>
              <w:t xml:space="preserve"> </w:t>
            </w:r>
            <w:sdt>
              <w:sdtPr>
                <w:rPr>
                  <w:color w:val="000000"/>
                </w:rPr>
                <w:tag w:val="MENDELEY_CITATION_v3_eyJjaXRhdGlvbklEIjoiTUVOREVMRVlfQ0lUQVRJT05fYjU4MDIwOWItMjY3MC00YWE3LWFjNzAtYmJiMzE4YjIzZmV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73484658"/>
                <w:placeholder>
                  <w:docPart w:val="119FB1C23F5BCC408466AD28D7FF4766"/>
                </w:placeholder>
              </w:sdtPr>
              <w:sdtContent>
                <w:r w:rsidRPr="00AB79D8">
                  <w:rPr>
                    <w:color w:val="000000"/>
                  </w:rPr>
                  <w:t>(EHP, 2021)</w:t>
                </w:r>
              </w:sdtContent>
            </w:sdt>
            <w:r w:rsidRPr="00490CD6">
              <w:t xml:space="preserve"> and is widely recorded throughout the riparian and coastal parts of the Study Area. The species is</w:t>
            </w:r>
            <w:r>
              <w:t xml:space="preserve"> also</w:t>
            </w:r>
            <w:r w:rsidRPr="00490CD6">
              <w:t xml:space="preserve"> identified as part of the Ramsar listing criteria for the Ramsar site</w:t>
            </w:r>
            <w:r>
              <w:t xml:space="preserve"> </w:t>
            </w:r>
            <w:sdt>
              <w:sdtPr>
                <w:rPr>
                  <w:color w:val="000000"/>
                </w:rPr>
                <w:tag w:val="MENDELEY_CITATION_v3_eyJjaXRhdGlvbklEIjoiTUVOREVMRVlfQ0lUQVRJT05fNzRhNTkwNmUtN2ZhMi00MzZkLWEwNGYtMDk0MDU2YThlOTZi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
                <w:id w:val="35315246"/>
                <w:placeholder>
                  <w:docPart w:val="119FB1C23F5BCC408466AD28D7FF4766"/>
                </w:placeholder>
              </w:sdtPr>
              <w:sdtContent>
                <w:r w:rsidRPr="00AB79D8">
                  <w:rPr>
                    <w:color w:val="000000"/>
                  </w:rPr>
                  <w:t>(DELWP, 2020)</w:t>
                </w:r>
              </w:sdtContent>
            </w:sdt>
            <w:r>
              <w:t>.</w:t>
            </w:r>
            <w:r w:rsidRPr="00490CD6">
              <w:t xml:space="preserve"> </w:t>
            </w:r>
            <w:r>
              <w:t>Further detailed assessment is needed to understand the potential for direct, indirect and cumulative impacts. Refer to Section 19.2 of Part 4 for the detailed impact assessment of the Growling Grass Frog.</w:t>
            </w:r>
          </w:p>
        </w:tc>
      </w:tr>
      <w:tr w:rsidR="000B173B" w14:paraId="00EC83F3" w14:textId="77777777" w:rsidTr="00A15226">
        <w:tc>
          <w:tcPr>
            <w:tcW w:w="1480" w:type="dxa"/>
            <w:shd w:val="clear" w:color="auto" w:fill="B4C6E7" w:themeFill="accent1" w:themeFillTint="66"/>
          </w:tcPr>
          <w:p w14:paraId="63F35D16" w14:textId="77777777" w:rsidR="000B173B" w:rsidRPr="00B83DE7" w:rsidRDefault="000B173B" w:rsidP="00A15226">
            <w:pPr>
              <w:pStyle w:val="Tabletext"/>
              <w:rPr>
                <w:b/>
                <w:bCs/>
                <w:szCs w:val="18"/>
              </w:rPr>
            </w:pPr>
            <w:r w:rsidRPr="00B83DE7">
              <w:rPr>
                <w:b/>
                <w:bCs/>
                <w:szCs w:val="18"/>
              </w:rPr>
              <w:lastRenderedPageBreak/>
              <w:t>Fish</w:t>
            </w:r>
          </w:p>
        </w:tc>
        <w:tc>
          <w:tcPr>
            <w:tcW w:w="1353" w:type="dxa"/>
            <w:shd w:val="clear" w:color="auto" w:fill="B4C6E7" w:themeFill="accent1" w:themeFillTint="66"/>
          </w:tcPr>
          <w:p w14:paraId="0A46F3C8" w14:textId="77777777" w:rsidR="000B173B" w:rsidRPr="00B83DE7" w:rsidRDefault="000B173B" w:rsidP="00A15226">
            <w:pPr>
              <w:pStyle w:val="Tabletext"/>
              <w:rPr>
                <w:rFonts w:cs="Arial"/>
                <w:szCs w:val="18"/>
              </w:rPr>
            </w:pPr>
          </w:p>
        </w:tc>
        <w:tc>
          <w:tcPr>
            <w:tcW w:w="1235" w:type="dxa"/>
            <w:shd w:val="clear" w:color="auto" w:fill="B4C6E7" w:themeFill="accent1" w:themeFillTint="66"/>
          </w:tcPr>
          <w:p w14:paraId="5F02EA83" w14:textId="77777777" w:rsidR="000B173B" w:rsidRPr="00B83DE7" w:rsidRDefault="000B173B" w:rsidP="00A15226">
            <w:pPr>
              <w:pStyle w:val="Tabletext"/>
              <w:rPr>
                <w:rFonts w:cs="Arial"/>
                <w:szCs w:val="18"/>
              </w:rPr>
            </w:pPr>
          </w:p>
        </w:tc>
        <w:tc>
          <w:tcPr>
            <w:tcW w:w="1177" w:type="dxa"/>
            <w:shd w:val="clear" w:color="auto" w:fill="B4C6E7" w:themeFill="accent1" w:themeFillTint="66"/>
          </w:tcPr>
          <w:p w14:paraId="0DEB9FE6" w14:textId="77777777" w:rsidR="000B173B" w:rsidRPr="00AC3FED" w:rsidRDefault="000B173B" w:rsidP="00A15226">
            <w:pPr>
              <w:pStyle w:val="Tabletext"/>
              <w:jc w:val="center"/>
              <w:rPr>
                <w:highlight w:val="yellow"/>
              </w:rPr>
            </w:pPr>
          </w:p>
        </w:tc>
        <w:tc>
          <w:tcPr>
            <w:tcW w:w="9072" w:type="dxa"/>
            <w:shd w:val="clear" w:color="auto" w:fill="B4C6E7" w:themeFill="accent1" w:themeFillTint="66"/>
          </w:tcPr>
          <w:p w14:paraId="2361FB25" w14:textId="77777777" w:rsidR="000B173B" w:rsidRDefault="000B173B" w:rsidP="00A15226">
            <w:pPr>
              <w:pStyle w:val="Tabletext"/>
            </w:pPr>
          </w:p>
        </w:tc>
      </w:tr>
      <w:tr w:rsidR="000B173B" w14:paraId="591F0335" w14:textId="77777777" w:rsidTr="00A15226">
        <w:tc>
          <w:tcPr>
            <w:tcW w:w="1480" w:type="dxa"/>
            <w:vAlign w:val="center"/>
          </w:tcPr>
          <w:p w14:paraId="0C8EBC06" w14:textId="77777777" w:rsidR="000B173B" w:rsidRPr="00B83DE7" w:rsidRDefault="000B173B" w:rsidP="00A15226">
            <w:pPr>
              <w:pStyle w:val="Tabletext"/>
              <w:rPr>
                <w:szCs w:val="18"/>
              </w:rPr>
            </w:pPr>
            <w:r w:rsidRPr="00B83DE7">
              <w:rPr>
                <w:rFonts w:cs="Arial"/>
                <w:i/>
                <w:iCs/>
                <w:szCs w:val="18"/>
              </w:rPr>
              <w:t>Carcharodon carcharias</w:t>
            </w:r>
          </w:p>
        </w:tc>
        <w:tc>
          <w:tcPr>
            <w:tcW w:w="1353" w:type="dxa"/>
            <w:vAlign w:val="center"/>
          </w:tcPr>
          <w:p w14:paraId="5ACFF53E" w14:textId="77777777" w:rsidR="000B173B" w:rsidRPr="00B83DE7" w:rsidRDefault="000B173B" w:rsidP="00A15226">
            <w:pPr>
              <w:pStyle w:val="Tabletext"/>
              <w:rPr>
                <w:rFonts w:cs="Arial"/>
                <w:szCs w:val="18"/>
              </w:rPr>
            </w:pPr>
            <w:r w:rsidRPr="00B83DE7">
              <w:rPr>
                <w:rFonts w:cs="Arial"/>
                <w:szCs w:val="18"/>
              </w:rPr>
              <w:t>Great White Shark</w:t>
            </w:r>
          </w:p>
        </w:tc>
        <w:tc>
          <w:tcPr>
            <w:tcW w:w="1235" w:type="dxa"/>
            <w:vAlign w:val="center"/>
          </w:tcPr>
          <w:p w14:paraId="7700204D" w14:textId="77777777" w:rsidR="000B173B" w:rsidRPr="00B83DE7" w:rsidRDefault="000B173B" w:rsidP="00A15226">
            <w:pPr>
              <w:pStyle w:val="Tabletext"/>
              <w:rPr>
                <w:rFonts w:cs="Arial"/>
                <w:szCs w:val="18"/>
              </w:rPr>
            </w:pPr>
            <w:r w:rsidRPr="00B83DE7">
              <w:rPr>
                <w:rFonts w:cs="Arial"/>
                <w:szCs w:val="18"/>
              </w:rPr>
              <w:t xml:space="preserve">Vulnerable, migratory </w:t>
            </w:r>
          </w:p>
        </w:tc>
        <w:tc>
          <w:tcPr>
            <w:tcW w:w="1177" w:type="dxa"/>
            <w:vAlign w:val="center"/>
          </w:tcPr>
          <w:p w14:paraId="5AE42B39" w14:textId="77777777" w:rsidR="000B173B" w:rsidRPr="00AC3FED" w:rsidRDefault="000B173B" w:rsidP="00A15226">
            <w:pPr>
              <w:pStyle w:val="Tabletext"/>
              <w:jc w:val="center"/>
              <w:rPr>
                <w:highlight w:val="yellow"/>
              </w:rPr>
            </w:pPr>
            <w:r w:rsidRPr="00290828">
              <w:t>No</w:t>
            </w:r>
          </w:p>
        </w:tc>
        <w:tc>
          <w:tcPr>
            <w:tcW w:w="9072" w:type="dxa"/>
          </w:tcPr>
          <w:p w14:paraId="7E5B1048" w14:textId="77777777" w:rsidR="000B173B" w:rsidRDefault="000B173B" w:rsidP="00A15226">
            <w:pPr>
              <w:pStyle w:val="Tabletext"/>
            </w:pPr>
            <w:r w:rsidRPr="001324CC">
              <w:rPr>
                <w:i/>
                <w:iCs/>
              </w:rPr>
              <w:t>Carcharodon carcharias</w:t>
            </w:r>
            <w:r w:rsidRPr="001324CC">
              <w:t xml:space="preserve"> (White Shark) is a long lived shark found in the temperate and sub-tropical regions of the southern and northern hemispheres. The species primarily occurs in continental and </w:t>
            </w:r>
            <w:r w:rsidRPr="00BE15EC">
              <w:t>insular</w:t>
            </w:r>
            <w:r w:rsidRPr="001324CC">
              <w:t xml:space="preserve"> shelf waters, but also may inhabit the open ocean. The species is commonly found in the vicinity of islands and near colonies of seals. The distribution of the White Shark within Australia ranges from central Queensland, around the southern coastline, to the North West Cape in Western Australia </w:t>
            </w:r>
            <w:sdt>
              <w:sdtPr>
                <w:rPr>
                  <w:color w:val="000000"/>
                </w:rPr>
                <w:tag w:val="MENDELEY_CITATION_v3_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"/>
                <w:id w:val="1223570291"/>
                <w:placeholder>
                  <w:docPart w:val="119FB1C23F5BCC408466AD28D7FF4766"/>
                </w:placeholder>
              </w:sdtPr>
              <w:sdtContent>
                <w:r w:rsidRPr="00AB79D8">
                  <w:rPr>
                    <w:color w:val="000000"/>
                  </w:rPr>
                  <w:t>(DSEWPaC, 2013a)</w:t>
                </w:r>
              </w:sdtContent>
            </w:sdt>
            <w:r>
              <w:t xml:space="preserve">. </w:t>
            </w:r>
            <w:r w:rsidRPr="001324CC">
              <w:t xml:space="preserve">The population globally and within Australia is not well known and was thought to be less than 10,000 mature individuals in 1996 </w:t>
            </w:r>
            <w:sdt>
              <w:sdtPr>
                <w:rPr>
                  <w:color w:val="000000"/>
                </w:rPr>
                <w:tag w:val="MENDELEY_CITATION_v3_eyJjaXRhdGlvbklEIjoiTUVOREVMRVlfQ0lUQVRJT05fOTkyODk2YzUtZTc3Ny00YjFmLWFmMmMtODYwNTQ4MDBlMTVi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544724167"/>
                <w:placeholder>
                  <w:docPart w:val="119FB1C23F5BCC408466AD28D7FF4766"/>
                </w:placeholder>
              </w:sdtPr>
              <w:sdtContent>
                <w:r w:rsidRPr="00AB79D8">
                  <w:rPr>
                    <w:color w:val="000000"/>
                  </w:rPr>
                  <w:t>(DCCEEW, 2022)</w:t>
                </w:r>
              </w:sdtContent>
            </w:sdt>
            <w:r>
              <w:t xml:space="preserve">. </w:t>
            </w:r>
            <w:r w:rsidRPr="00BE15EC">
              <w:t xml:space="preserve">Threats to the species include mortality related to bycatch or illegal fishing, or mortality due to shark control activities. Other threats may include habitat modification, climate change, and ecotourism </w:t>
            </w:r>
            <w:sdt>
              <w:sdtPr>
                <w:rPr>
                  <w:color w:val="000000"/>
                </w:rPr>
                <w:tag w:val="MENDELEY_CITATION_v3_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"/>
                <w:id w:val="-668875403"/>
                <w:placeholder>
                  <w:docPart w:val="119FB1C23F5BCC408466AD28D7FF4766"/>
                </w:placeholder>
              </w:sdtPr>
              <w:sdtContent>
                <w:r w:rsidRPr="00AB79D8">
                  <w:rPr>
                    <w:color w:val="000000"/>
                  </w:rPr>
                  <w:t>(DSEWPaC, 2013a)</w:t>
                </w:r>
              </w:sdtContent>
            </w:sdt>
            <w:r>
              <w:t>.</w:t>
            </w:r>
          </w:p>
          <w:p w14:paraId="068C8D8D" w14:textId="77777777" w:rsidR="000B173B" w:rsidRDefault="000B173B" w:rsidP="00A15226">
            <w:pPr>
              <w:pStyle w:val="Tabletext"/>
            </w:pPr>
            <w:r>
              <w:t xml:space="preserve">There are no records of the species within </w:t>
            </w:r>
            <w:r w:rsidRPr="007560DC">
              <w:t>the marine environment of</w:t>
            </w:r>
            <w:r>
              <w:t xml:space="preserve"> the Study Area. The species will not be affected by development under the Plan.</w:t>
            </w:r>
          </w:p>
        </w:tc>
      </w:tr>
      <w:tr w:rsidR="000B173B" w14:paraId="2D86A9E2" w14:textId="77777777" w:rsidTr="00A15226">
        <w:tc>
          <w:tcPr>
            <w:tcW w:w="1480" w:type="dxa"/>
            <w:vAlign w:val="center"/>
          </w:tcPr>
          <w:p w14:paraId="15CAEFCF" w14:textId="77777777" w:rsidR="000B173B" w:rsidRPr="00B83DE7" w:rsidRDefault="000B173B" w:rsidP="00A15226">
            <w:pPr>
              <w:pStyle w:val="Tabletext"/>
              <w:rPr>
                <w:szCs w:val="18"/>
              </w:rPr>
            </w:pPr>
            <w:r>
              <w:rPr>
                <w:i/>
                <w:iCs/>
              </w:rPr>
              <w:t>Galaxiella toourtkoourt (</w:t>
            </w:r>
            <w:r>
              <w:t xml:space="preserve">previously </w:t>
            </w:r>
            <w:r w:rsidRPr="00B83DE7">
              <w:rPr>
                <w:rFonts w:cs="Arial"/>
                <w:i/>
                <w:iCs/>
                <w:szCs w:val="18"/>
              </w:rPr>
              <w:t>Galaxiella pusilla</w:t>
            </w:r>
            <w:r>
              <w:rPr>
                <w:rFonts w:cs="Arial"/>
                <w:i/>
                <w:iCs/>
                <w:szCs w:val="18"/>
              </w:rPr>
              <w:t>)</w:t>
            </w:r>
          </w:p>
        </w:tc>
        <w:tc>
          <w:tcPr>
            <w:tcW w:w="1353" w:type="dxa"/>
            <w:vAlign w:val="center"/>
          </w:tcPr>
          <w:p w14:paraId="255E8CBA" w14:textId="77777777" w:rsidR="000B173B" w:rsidRPr="00B83DE7" w:rsidRDefault="000B173B" w:rsidP="00A15226">
            <w:pPr>
              <w:pStyle w:val="Tabletext"/>
              <w:rPr>
                <w:rFonts w:cs="Arial"/>
                <w:szCs w:val="18"/>
              </w:rPr>
            </w:pPr>
            <w:r>
              <w:rPr>
                <w:rFonts w:cs="Arial"/>
                <w:szCs w:val="18"/>
              </w:rPr>
              <w:t>Dwarf Galaxias</w:t>
            </w:r>
          </w:p>
        </w:tc>
        <w:tc>
          <w:tcPr>
            <w:tcW w:w="1235" w:type="dxa"/>
            <w:vAlign w:val="center"/>
          </w:tcPr>
          <w:p w14:paraId="37497BB6" w14:textId="77777777" w:rsidR="000B173B" w:rsidRPr="00B83DE7" w:rsidRDefault="000B173B" w:rsidP="00A15226">
            <w:pPr>
              <w:pStyle w:val="Tabletext"/>
              <w:rPr>
                <w:rFonts w:cs="Arial"/>
                <w:szCs w:val="18"/>
              </w:rPr>
            </w:pPr>
            <w:r w:rsidRPr="00B83DE7">
              <w:rPr>
                <w:rFonts w:cs="Arial"/>
                <w:szCs w:val="18"/>
              </w:rPr>
              <w:t>Vulnerable</w:t>
            </w:r>
          </w:p>
        </w:tc>
        <w:tc>
          <w:tcPr>
            <w:tcW w:w="1177" w:type="dxa"/>
            <w:vAlign w:val="center"/>
          </w:tcPr>
          <w:p w14:paraId="191BBB2E" w14:textId="77777777" w:rsidR="000B173B" w:rsidRPr="00AC3FED" w:rsidRDefault="000B173B" w:rsidP="00A15226">
            <w:pPr>
              <w:pStyle w:val="Tabletext"/>
              <w:jc w:val="center"/>
              <w:rPr>
                <w:highlight w:val="yellow"/>
              </w:rPr>
            </w:pPr>
            <w:r w:rsidRPr="00E46142">
              <w:t>Yes</w:t>
            </w:r>
          </w:p>
        </w:tc>
        <w:tc>
          <w:tcPr>
            <w:tcW w:w="9072" w:type="dxa"/>
          </w:tcPr>
          <w:p w14:paraId="57E880D1" w14:textId="77777777" w:rsidR="000B173B" w:rsidRPr="00D67C2A" w:rsidRDefault="000B173B" w:rsidP="00A15226">
            <w:pPr>
              <w:pStyle w:val="Tabletext"/>
              <w:rPr>
                <w:i/>
                <w:iCs/>
              </w:rPr>
            </w:pPr>
            <w:r w:rsidRPr="00D67C2A">
              <w:rPr>
                <w:i/>
                <w:iCs/>
              </w:rPr>
              <w:t xml:space="preserve">Galaxiella toourtkoourt </w:t>
            </w:r>
            <w:r w:rsidRPr="00D67C2A">
              <w:t xml:space="preserve">is a tiny freshwater fish, with females recorded to 42 mm and males 34 mm. The species was previously known as </w:t>
            </w:r>
            <w:r w:rsidRPr="00D67C2A">
              <w:rPr>
                <w:i/>
                <w:iCs/>
              </w:rPr>
              <w:t xml:space="preserve">Galaxiella pusilla, </w:t>
            </w:r>
            <w:r w:rsidRPr="00D67C2A">
              <w:t xml:space="preserve">though genetic studies have identified substantial differences between populations in western Victoria and south Australia (the west region), to eastern Victoria. The western region has been re-described as </w:t>
            </w:r>
            <w:r w:rsidRPr="00D67C2A">
              <w:rPr>
                <w:i/>
                <w:iCs/>
              </w:rPr>
              <w:t>Galaxiella toourtkoourt</w:t>
            </w:r>
            <w:r>
              <w:rPr>
                <w:i/>
                <w:iCs/>
              </w:rPr>
              <w:t xml:space="preserve"> </w:t>
            </w:r>
            <w:sdt>
              <w:sdtPr>
                <w:rPr>
                  <w:iCs/>
                  <w:color w:val="000000"/>
                </w:rPr>
                <w:tag w:val="MENDELEY_CITATION_v3_eyJjaXRhdGlvbklEIjoiTUVOREVMRVlfQ0lUQVRJT05fYmM5MDBlODctMzdkNi00ODU1LTg5NTYtOTI5NWY5Y2RkZDk5IiwicHJvcGVydGllcyI6eyJub3RlSW5kZXgiOjB9LCJpc0VkaXRlZCI6ZmFsc2UsIm1hbnVhbE92ZXJyaWRlIjp7ImlzTWFudWFsbHlPdmVycmlkZGVuIjpmYWxzZSwiY2l0ZXByb2NUZXh0IjoiKENvbGVtYW4sIEhvZmZtYW4gYW5kIFJhYWlrLCAyMDE1KSIsIm1hbnVhbE92ZXJyaWRlVGV4dCI6IiJ9LCJjaXRhdGlvbkl0ZW1zIjpb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869887813"/>
                <w:placeholder>
                  <w:docPart w:val="31606378F23A3742800D54C8CCE6F7A4"/>
                </w:placeholder>
              </w:sdtPr>
              <w:sdtContent>
                <w:r w:rsidRPr="00AB79D8">
                  <w:rPr>
                    <w:iCs/>
                    <w:color w:val="000000"/>
                  </w:rPr>
                  <w:t>(Coleman, Hoffman and Raaik, 2015)</w:t>
                </w:r>
              </w:sdtContent>
            </w:sdt>
            <w:r w:rsidRPr="00D67C2A">
              <w:t>.</w:t>
            </w:r>
          </w:p>
          <w:p w14:paraId="0DA2B91B" w14:textId="77777777" w:rsidR="000B173B" w:rsidRDefault="000B173B" w:rsidP="00A15226">
            <w:pPr>
              <w:pStyle w:val="Tabletext"/>
            </w:pPr>
            <w:r w:rsidRPr="00D67C2A">
              <w:rPr>
                <w:i/>
                <w:iCs/>
              </w:rPr>
              <w:t xml:space="preserve">G. toourtkoourt </w:t>
            </w:r>
            <w:r w:rsidRPr="00D67C2A">
              <w:t>is distributed from the upper Barwon River (near Barwon Downs) in Victoria west to Cortina Lakes in SA. The species is typically found in swamps, wetlands, shallow lakes, billabongs, small creeks and earthen drains</w:t>
            </w:r>
            <w:r>
              <w:t xml:space="preserve"> </w:t>
            </w:r>
            <w:sdt>
              <w:sdtPr>
                <w:rPr>
                  <w:color w:val="000000"/>
                </w:rPr>
                <w:tag w:val="MENDELEY_CITATION_v3_eyJjaXRhdGlvbklEIjoiTUVOREVMRVlfQ0lUQVRJT05fNWIyYTk3YzEtYzdkOC00ODdkLTk5ZDEtOTRjYjg0MmYzODM3IiwicHJvcGVydGllcyI6eyJub3RlSW5kZXgiOjB9LCJpc0VkaXRlZCI6ZmFsc2UsIm1hbnVhbE92ZXJyaWRlIjp7ImlzTWFudWFsbHlPdmVycmlkZGVuIjpmYWxzZSwiY2l0ZXByb2NUZXh0IjoiKENvbGVtYW4sIEhvZmZtYW4gYW5kIFJhYWlrLCAyMDE1KSIsIm1hbnVhbE92ZXJyaWRlVGV4dCI6IiJ9LCJjaXRhdGlvbkl0ZW1zIjpb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214813299"/>
                <w:placeholder>
                  <w:docPart w:val="31606378F23A3742800D54C8CCE6F7A4"/>
                </w:placeholder>
              </w:sdtPr>
              <w:sdtContent>
                <w:r w:rsidRPr="00AB79D8">
                  <w:rPr>
                    <w:color w:val="000000"/>
                  </w:rPr>
                  <w:t>(Coleman, Hoffman and Raaik, 2015)</w:t>
                </w:r>
              </w:sdtContent>
            </w:sdt>
          </w:p>
          <w:p w14:paraId="36A3F8DB" w14:textId="77777777" w:rsidR="000B173B" w:rsidRDefault="000B173B" w:rsidP="00A15226">
            <w:pPr>
              <w:pStyle w:val="Tabletext"/>
            </w:pPr>
            <w:r w:rsidRPr="00D67C2A">
              <w:t>Threats to the species may include the degradation and loss of habitat, alterations to flow regimes, climate change, introduced aquatic species</w:t>
            </w:r>
            <w:r>
              <w:t>,</w:t>
            </w:r>
            <w:r w:rsidRPr="00D67C2A">
              <w:t xml:space="preserve"> and illegal collection </w:t>
            </w:r>
            <w:sdt>
              <w:sdtPr>
                <w:rPr>
                  <w:color w:val="000000"/>
                </w:rPr>
                <w:tag w:val="MENDELEY_CITATION_v3_eyJjaXRhdGlvbklEIjoiTUVOREVMRVlfQ0lUQVRJT05fODliYmY4MDgtYTZjOC00OWNiLTk3N2MtMTVlNDQ1NDRjMjU0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1159535737"/>
                <w:placeholder>
                  <w:docPart w:val="119FB1C23F5BCC408466AD28D7FF4766"/>
                </w:placeholder>
              </w:sdtPr>
              <w:sdtContent>
                <w:r w:rsidRPr="00AB79D8">
                  <w:rPr>
                    <w:color w:val="000000"/>
                  </w:rPr>
                  <w:t>(Saddlier, Jackson and Hammer, 2010)</w:t>
                </w:r>
              </w:sdtContent>
            </w:sdt>
            <w:r w:rsidRPr="00D67C2A">
              <w:t>.</w:t>
            </w:r>
          </w:p>
          <w:p w14:paraId="4B8EBE4D" w14:textId="77777777" w:rsidR="000B173B" w:rsidRDefault="000B173B" w:rsidP="00A15226">
            <w:pPr>
              <w:pStyle w:val="Tabletext"/>
            </w:pPr>
            <w:r>
              <w:t xml:space="preserve">Site surveys indicated the presence of suitable habitat for the Eastern Dwarf Galaxias within the Moorabool River and Cowies Creek </w:t>
            </w:r>
            <w:sdt>
              <w:sdtPr>
                <w:rPr>
                  <w:color w:val="000000"/>
                </w:rPr>
                <w:tag w:val="MENDELEY_CITATION_v3_eyJjaXRhdGlvbklEIjoiTUVOREVMRVlfQ0lUQVRJT05fODY2NGZhNWYtN2MzZC00YjlhLWIzYzQtZjA4MjUyMjZkMzRj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18106788"/>
                <w:placeholder>
                  <w:docPart w:val="119FB1C23F5BCC408466AD28D7FF4766"/>
                </w:placeholder>
              </w:sdtPr>
              <w:sdtContent>
                <w:r w:rsidRPr="00AB79D8">
                  <w:rPr>
                    <w:color w:val="000000"/>
                  </w:rPr>
                  <w:t>(EHP, 2021)</w:t>
                </w:r>
              </w:sdtContent>
            </w:sdt>
            <w:r>
              <w:t>.</w:t>
            </w:r>
          </w:p>
          <w:p w14:paraId="3E277A85" w14:textId="77777777" w:rsidR="000B173B" w:rsidRDefault="000B173B" w:rsidP="00A15226">
            <w:pPr>
              <w:pStyle w:val="Tabletext"/>
            </w:pPr>
            <w:r>
              <w:t xml:space="preserve">There are no VBA records of the Eastern Dwarf Galaxias within the Study Area. However, the species is known to occur within the upper Barwon River catchment near Barwon Downs, and in the Moorabool River near Batesford </w:t>
            </w:r>
            <w:sdt>
              <w:sdtPr>
                <w:rPr>
                  <w:color w:val="000000"/>
                </w:rPr>
                <w:tag w:val="MENDELEY_CITATION_v3_eyJjaXRhdGlvbklEIjoiTUVOREVMRVlfQ0lUQVRJT05fMmZjYWQzZmEtMTUxNC00ZTM0LTgwNTMtMjQxNWE0M2YzOWNk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188179926"/>
                <w:placeholder>
                  <w:docPart w:val="119FB1C23F5BCC408466AD28D7FF4766"/>
                </w:placeholder>
              </w:sdtPr>
              <w:sdtContent>
                <w:r w:rsidRPr="00AB79D8">
                  <w:rPr>
                    <w:color w:val="000000"/>
                  </w:rPr>
                  <w:t>(EHP, 2021)</w:t>
                </w:r>
              </w:sdtContent>
            </w:sdt>
            <w:r>
              <w:t xml:space="preserve">. It is noted that Batesford is within the Study Area and is near the Strategic Assessment </w:t>
            </w:r>
            <w:r>
              <w:lastRenderedPageBreak/>
              <w:t>Area. It is possible that there are records of the species in this area which have not been entered into the VBA database.</w:t>
            </w:r>
          </w:p>
          <w:p w14:paraId="0B942566" w14:textId="77777777" w:rsidR="000B173B" w:rsidRPr="00D67C2A" w:rsidRDefault="000B173B" w:rsidP="00A15226">
            <w:pPr>
              <w:pStyle w:val="Tabletext"/>
            </w:pPr>
            <w:r>
              <w:t xml:space="preserve">The Corangamite CMA is proposing to remove in-stream barriers associated with Batesford quarry within the next few years which may allow the Eastern Dwarf </w:t>
            </w:r>
            <w:r w:rsidRPr="006D25BE">
              <w:t xml:space="preserve">Galaxias to access upstream habitat within the Moorabool River. With the removal of these barriers, future planning </w:t>
            </w:r>
            <w:r>
              <w:t xml:space="preserve">within </w:t>
            </w:r>
            <w:r w:rsidRPr="006D25BE">
              <w:t>WGGA should assume the presence of the Eastern Dwarf Galaxias</w:t>
            </w:r>
            <w:r w:rsidRPr="006D25BE">
              <w:rPr>
                <w:i/>
                <w:iCs/>
              </w:rPr>
              <w:t xml:space="preserve"> </w:t>
            </w:r>
            <w:sdt>
              <w:sdtPr>
                <w:rPr>
                  <w:iCs/>
                  <w:color w:val="000000"/>
                </w:rPr>
                <w:tag w:val="MENDELEY_CITATION_v3_eyJjaXRhdGlvbklEIjoiTUVOREVMRVlfQ0lUQVRJT05fYmNkZjM1YTItMjNiYi00Y2I0LTg4MmMtODQ3YjFkNGZhY2Q1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225445740"/>
                <w:placeholder>
                  <w:docPart w:val="119FB1C23F5BCC408466AD28D7FF4766"/>
                </w:placeholder>
              </w:sdtPr>
              <w:sdtEndPr>
                <w:rPr>
                  <w:iCs w:val="0"/>
                </w:rPr>
              </w:sdtEndPr>
              <w:sdtContent>
                <w:r w:rsidRPr="00AB79D8">
                  <w:rPr>
                    <w:color w:val="000000"/>
                  </w:rPr>
                  <w:t>(EHP, 2021)</w:t>
                </w:r>
              </w:sdtContent>
            </w:sdt>
            <w:r>
              <w:t>.</w:t>
            </w:r>
          </w:p>
          <w:p w14:paraId="4D6B6ECE" w14:textId="77777777" w:rsidR="000B173B" w:rsidRPr="00E123F1" w:rsidRDefault="000B173B" w:rsidP="00A15226">
            <w:pPr>
              <w:pStyle w:val="Tabletext"/>
            </w:pPr>
            <w:r>
              <w:t xml:space="preserve">There will be no development within the Moorabool River or Cowies Creek under the Plan, and as such, there is no potential for direct impacts to the species. However, potential indirect impacts </w:t>
            </w:r>
            <w:r w:rsidRPr="00860DDA">
              <w:t>to the species as a result of development may be possible. Further detailed assessment is required to understand potential impacts.</w:t>
            </w:r>
            <w:r>
              <w:t xml:space="preserve"> Refer to Section 19.4 of Part 4 for the detailed impact assessment of the Dwarf Galaxias.</w:t>
            </w:r>
          </w:p>
        </w:tc>
      </w:tr>
      <w:tr w:rsidR="000B173B" w14:paraId="6D78A997" w14:textId="77777777" w:rsidTr="00A15226">
        <w:tc>
          <w:tcPr>
            <w:tcW w:w="1480" w:type="dxa"/>
            <w:vAlign w:val="center"/>
          </w:tcPr>
          <w:p w14:paraId="222FFCCC" w14:textId="77777777" w:rsidR="000B173B" w:rsidRPr="00E46142" w:rsidRDefault="000B173B" w:rsidP="00A15226">
            <w:pPr>
              <w:pStyle w:val="Tabletext"/>
              <w:rPr>
                <w:szCs w:val="18"/>
              </w:rPr>
            </w:pPr>
            <w:r w:rsidRPr="00E46142">
              <w:rPr>
                <w:rFonts w:cs="Arial"/>
                <w:i/>
                <w:iCs/>
                <w:szCs w:val="18"/>
              </w:rPr>
              <w:lastRenderedPageBreak/>
              <w:t>Maccullochella peelii</w:t>
            </w:r>
          </w:p>
        </w:tc>
        <w:tc>
          <w:tcPr>
            <w:tcW w:w="1353" w:type="dxa"/>
            <w:vAlign w:val="center"/>
          </w:tcPr>
          <w:p w14:paraId="2601F2B5" w14:textId="77777777" w:rsidR="000B173B" w:rsidRPr="00E46142" w:rsidRDefault="000B173B" w:rsidP="00A15226">
            <w:pPr>
              <w:pStyle w:val="Tabletext"/>
              <w:rPr>
                <w:rFonts w:cs="Arial"/>
                <w:szCs w:val="18"/>
              </w:rPr>
            </w:pPr>
            <w:r w:rsidRPr="00E46142">
              <w:rPr>
                <w:rFonts w:cs="Arial"/>
                <w:szCs w:val="18"/>
              </w:rPr>
              <w:t>Murray Cod</w:t>
            </w:r>
          </w:p>
        </w:tc>
        <w:tc>
          <w:tcPr>
            <w:tcW w:w="1235" w:type="dxa"/>
            <w:vAlign w:val="center"/>
          </w:tcPr>
          <w:p w14:paraId="33C8C001" w14:textId="77777777" w:rsidR="000B173B" w:rsidRPr="00E46142" w:rsidRDefault="000B173B" w:rsidP="00A15226">
            <w:pPr>
              <w:pStyle w:val="Tabletext"/>
              <w:rPr>
                <w:rFonts w:cs="Arial"/>
                <w:szCs w:val="18"/>
              </w:rPr>
            </w:pPr>
            <w:r w:rsidRPr="00E46142">
              <w:rPr>
                <w:rFonts w:cs="Arial"/>
                <w:szCs w:val="18"/>
              </w:rPr>
              <w:t xml:space="preserve">Vulnerable </w:t>
            </w:r>
          </w:p>
        </w:tc>
        <w:tc>
          <w:tcPr>
            <w:tcW w:w="1177" w:type="dxa"/>
            <w:vAlign w:val="center"/>
          </w:tcPr>
          <w:p w14:paraId="377AAD52" w14:textId="77777777" w:rsidR="000B173B" w:rsidRPr="00E46142" w:rsidRDefault="000B173B" w:rsidP="00A15226">
            <w:pPr>
              <w:pStyle w:val="Tabletext"/>
              <w:jc w:val="center"/>
            </w:pPr>
            <w:r w:rsidRPr="00E46142">
              <w:t>No</w:t>
            </w:r>
          </w:p>
        </w:tc>
        <w:tc>
          <w:tcPr>
            <w:tcW w:w="9072" w:type="dxa"/>
          </w:tcPr>
          <w:p w14:paraId="7857FD26" w14:textId="77777777" w:rsidR="000B173B" w:rsidRPr="00E46142" w:rsidRDefault="000B173B" w:rsidP="00A15226">
            <w:pPr>
              <w:pStyle w:val="Tabletext"/>
            </w:pPr>
            <w:r w:rsidRPr="00E46142">
              <w:rPr>
                <w:rFonts w:cs="Arial"/>
                <w:i/>
                <w:iCs/>
                <w:szCs w:val="18"/>
              </w:rPr>
              <w:t>Maccullochella peelii</w:t>
            </w:r>
            <w:r w:rsidRPr="00E46142">
              <w:t xml:space="preserve"> (Murray Cod) is one of the largest freshwater fish in the world and is endemic to the Murray-Darling River system, occurring in SA, Victoria, NSW, ACT, and Queensland. The species still occurs throughout most of its historic range, although there have been some localised extinctions in upper tributaries. The species occurs in flowing and standing waters, from small clear streams to large, turbid, meandering slow-flowing rivers, creeks, lakes and billabongs. The main river channel and larger tributaries of the Murray-Darling Basin are considered important habitat, and the species is considered a 'main channel specialist' </w:t>
            </w:r>
            <w:sdt>
              <w:sdtPr>
                <w:rPr>
                  <w:color w:val="000000"/>
                </w:rPr>
                <w:tag w:val="MENDELEY_CITATION_v3_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"/>
                <w:id w:val="-890505237"/>
                <w:placeholder>
                  <w:docPart w:val="119FB1C23F5BCC408466AD28D7FF4766"/>
                </w:placeholder>
              </w:sdtPr>
              <w:sdtContent>
                <w:r w:rsidRPr="00AB79D8">
                  <w:rPr>
                    <w:color w:val="000000"/>
                  </w:rPr>
                  <w:t>(TSSC, 2010)</w:t>
                </w:r>
              </w:sdtContent>
            </w:sdt>
            <w:r w:rsidRPr="00E46142">
              <w:t xml:space="preserve">. There is insufficient information available to confidently quantify the population size. However, the Victorian population numbers are much lower than pre-European levels </w:t>
            </w:r>
            <w:sdt>
              <w:sdtPr>
                <w:rPr>
                  <w:color w:val="000000"/>
                </w:rPr>
                <w:tag w:val="MENDELEY_CITATION_v3_eyJjaXRhdGlvbklEIjoiTUVOREVMRVlfQ0lUQVRJT05fODQ1MzBlMTUtYTc5Ny00OGM2LWI3NGEtZGEzYjQxZGQwNzh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816984507"/>
                <w:placeholder>
                  <w:docPart w:val="119FB1C23F5BCC408466AD28D7FF4766"/>
                </w:placeholder>
              </w:sdtPr>
              <w:sdtContent>
                <w:r w:rsidRPr="00AB79D8">
                  <w:rPr>
                    <w:color w:val="000000"/>
                  </w:rPr>
                  <w:t>(DCCEEW, 2022)</w:t>
                </w:r>
              </w:sdtContent>
            </w:sdt>
            <w:r w:rsidRPr="00E46142">
              <w:t xml:space="preserve">. Threats include flow regulation, habitat degradation, lowered water quality, barriers, alien species, commercial fishing, recreational fishing, illegal fishing, stocking and translocations, genetic issues, diseases, and climate change </w:t>
            </w:r>
            <w:sdt>
              <w:sdtPr>
                <w:rPr>
                  <w:color w:val="000000"/>
                </w:rPr>
                <w:tag w:val="MENDELEY_CITATION_v3_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"/>
                <w:id w:val="-113985565"/>
                <w:placeholder>
                  <w:docPart w:val="119FB1C23F5BCC408466AD28D7FF4766"/>
                </w:placeholder>
              </w:sdtPr>
              <w:sdtContent>
                <w:r w:rsidRPr="00AB79D8">
                  <w:rPr>
                    <w:color w:val="000000"/>
                  </w:rPr>
                  <w:t>(TSSC, 2010)</w:t>
                </w:r>
              </w:sdtContent>
            </w:sdt>
            <w:r w:rsidRPr="00E46142">
              <w:t>.</w:t>
            </w:r>
          </w:p>
          <w:p w14:paraId="62979D41" w14:textId="77777777" w:rsidR="000B173B" w:rsidRDefault="000B173B" w:rsidP="00A15226">
            <w:pPr>
              <w:pStyle w:val="Tabletext"/>
            </w:pPr>
            <w:r w:rsidRPr="00E46142">
              <w:t>There is one record of the species (from 1873) within the Study Area, approximately 2 km to the east of the Growth Areas. The age of the record and lack of other records indicates the species is not present. The species will not be affected by development under the Plan.</w:t>
            </w:r>
          </w:p>
        </w:tc>
      </w:tr>
      <w:tr w:rsidR="000B173B" w14:paraId="1017F56F" w14:textId="77777777" w:rsidTr="00A15226">
        <w:tc>
          <w:tcPr>
            <w:tcW w:w="1480" w:type="dxa"/>
            <w:vAlign w:val="center"/>
          </w:tcPr>
          <w:p w14:paraId="490F0409" w14:textId="77777777" w:rsidR="000B173B" w:rsidRPr="00B83DE7" w:rsidRDefault="000B173B" w:rsidP="00A15226">
            <w:pPr>
              <w:pStyle w:val="Tabletext"/>
              <w:rPr>
                <w:szCs w:val="18"/>
              </w:rPr>
            </w:pPr>
            <w:r w:rsidRPr="00B83DE7">
              <w:rPr>
                <w:rFonts w:cs="Arial"/>
                <w:i/>
                <w:iCs/>
                <w:szCs w:val="18"/>
              </w:rPr>
              <w:t>Macquaria australasica</w:t>
            </w:r>
          </w:p>
        </w:tc>
        <w:tc>
          <w:tcPr>
            <w:tcW w:w="1353" w:type="dxa"/>
            <w:vAlign w:val="center"/>
          </w:tcPr>
          <w:p w14:paraId="601AA29C" w14:textId="77777777" w:rsidR="000B173B" w:rsidRPr="00B83DE7" w:rsidRDefault="000B173B" w:rsidP="00A15226">
            <w:pPr>
              <w:pStyle w:val="Tabletext"/>
              <w:rPr>
                <w:rFonts w:cs="Arial"/>
                <w:szCs w:val="18"/>
              </w:rPr>
            </w:pPr>
            <w:r w:rsidRPr="00B83DE7">
              <w:rPr>
                <w:rFonts w:cs="Arial"/>
                <w:szCs w:val="18"/>
              </w:rPr>
              <w:t>Macquarie Perch</w:t>
            </w:r>
          </w:p>
        </w:tc>
        <w:tc>
          <w:tcPr>
            <w:tcW w:w="1235" w:type="dxa"/>
            <w:vAlign w:val="center"/>
          </w:tcPr>
          <w:p w14:paraId="78DD369A" w14:textId="77777777" w:rsidR="000B173B" w:rsidRPr="00B83DE7" w:rsidRDefault="000B173B" w:rsidP="00A15226">
            <w:pPr>
              <w:pStyle w:val="Tabletext"/>
              <w:rPr>
                <w:rFonts w:cs="Arial"/>
                <w:szCs w:val="18"/>
              </w:rPr>
            </w:pPr>
            <w:r w:rsidRPr="00B83DE7">
              <w:rPr>
                <w:rFonts w:cs="Arial"/>
                <w:szCs w:val="18"/>
              </w:rPr>
              <w:t xml:space="preserve">Endangered </w:t>
            </w:r>
          </w:p>
        </w:tc>
        <w:tc>
          <w:tcPr>
            <w:tcW w:w="1177" w:type="dxa"/>
            <w:vAlign w:val="center"/>
          </w:tcPr>
          <w:p w14:paraId="59849C6B" w14:textId="77777777" w:rsidR="000B173B" w:rsidRPr="00AC3FED" w:rsidRDefault="000B173B" w:rsidP="00A15226">
            <w:pPr>
              <w:pStyle w:val="Tabletext"/>
              <w:jc w:val="center"/>
              <w:rPr>
                <w:highlight w:val="yellow"/>
              </w:rPr>
            </w:pPr>
            <w:r w:rsidRPr="003D4154">
              <w:t>No</w:t>
            </w:r>
          </w:p>
        </w:tc>
        <w:tc>
          <w:tcPr>
            <w:tcW w:w="9072" w:type="dxa"/>
          </w:tcPr>
          <w:p w14:paraId="4F71930E" w14:textId="77777777" w:rsidR="000B173B" w:rsidRDefault="000B173B" w:rsidP="00A15226">
            <w:pPr>
              <w:pStyle w:val="Tabletext"/>
            </w:pPr>
            <w:r w:rsidRPr="001324CC">
              <w:rPr>
                <w:i/>
                <w:iCs/>
              </w:rPr>
              <w:t>Macquaria australasica</w:t>
            </w:r>
            <w:r w:rsidRPr="001324CC">
              <w:t xml:space="preserve"> (Macquarie Perch) is a moderate-sized freshwater fish reaching a length of 465 mm and a weight of 3.5 kg. Populations are found across the Murray-Darling Basin, although often small and geographically separated. In Victoria, populations are known to occur in the upper reaches of the Goulburn, Broken, Ovens and Mitta Mitta catchments</w:t>
            </w:r>
            <w:r>
              <w:t xml:space="preserve">. </w:t>
            </w:r>
            <w:r w:rsidRPr="00527361">
              <w:t>Threats to the species include competition and predation by invasive fish species, increased sedimentation, barriers to fish movement and altered flow regimes</w:t>
            </w:r>
            <w:r w:rsidRPr="001324CC">
              <w:t xml:space="preserve"> </w:t>
            </w:r>
            <w:sdt>
              <w:sdtPr>
                <w:rPr>
                  <w:color w:val="000000"/>
                </w:rPr>
                <w:tag w:val="MENDELEY_CITATION_v3_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"/>
                <w:id w:val="1198593259"/>
                <w:placeholder>
                  <w:docPart w:val="119FB1C23F5BCC408466AD28D7FF4766"/>
                </w:placeholder>
              </w:sdtPr>
              <w:sdtContent>
                <w:r w:rsidRPr="00AB79D8">
                  <w:rPr>
                    <w:color w:val="000000"/>
                  </w:rPr>
                  <w:t>(DoE, 2013b)</w:t>
                </w:r>
              </w:sdtContent>
            </w:sdt>
            <w:r>
              <w:t>.</w:t>
            </w:r>
          </w:p>
          <w:p w14:paraId="5323664A" w14:textId="77777777" w:rsidR="000B173B" w:rsidRDefault="000B173B" w:rsidP="00A15226">
            <w:pPr>
              <w:pStyle w:val="Tabletext"/>
            </w:pPr>
            <w:r>
              <w:t xml:space="preserve">There </w:t>
            </w:r>
            <w:r w:rsidRPr="00D82864">
              <w:t xml:space="preserve">are 6 records of the species within the Study Area. </w:t>
            </w:r>
            <w:r>
              <w:t xml:space="preserve">However, none of these are contemporary with the most recent being from 1981. </w:t>
            </w:r>
            <w:r w:rsidRPr="00D82864">
              <w:t xml:space="preserve">These occur in the Moorabool and Barwon Rivers, </w:t>
            </w:r>
            <w:r>
              <w:t xml:space="preserve">noting that this is not part of </w:t>
            </w:r>
            <w:r>
              <w:lastRenderedPageBreak/>
              <w:t>the species’ natural distribution</w:t>
            </w:r>
            <w:r w:rsidRPr="00D82864">
              <w:t xml:space="preserve">. </w:t>
            </w:r>
            <w:r w:rsidRPr="00E46142">
              <w:t>The age of the record</w:t>
            </w:r>
            <w:r>
              <w:t>s</w:t>
            </w:r>
            <w:r w:rsidRPr="00E46142">
              <w:t xml:space="preserve"> and lack of other records indicates the species is </w:t>
            </w:r>
            <w:r>
              <w:t>unlikely to be</w:t>
            </w:r>
            <w:r w:rsidRPr="00E46142">
              <w:t xml:space="preserve"> present. The species </w:t>
            </w:r>
            <w:r>
              <w:t>is unlikely to</w:t>
            </w:r>
            <w:r w:rsidRPr="00E46142">
              <w:t xml:space="preserve"> be affected by development under the Plan.</w:t>
            </w:r>
          </w:p>
        </w:tc>
      </w:tr>
      <w:tr w:rsidR="000B173B" w14:paraId="358AAF1E" w14:textId="77777777" w:rsidTr="00A15226">
        <w:tc>
          <w:tcPr>
            <w:tcW w:w="1480" w:type="dxa"/>
            <w:vAlign w:val="center"/>
          </w:tcPr>
          <w:p w14:paraId="022F60EB" w14:textId="77777777" w:rsidR="000B173B" w:rsidRPr="00B83DE7" w:rsidRDefault="000B173B" w:rsidP="00A15226">
            <w:pPr>
              <w:pStyle w:val="Tabletext"/>
              <w:rPr>
                <w:szCs w:val="18"/>
              </w:rPr>
            </w:pPr>
            <w:r w:rsidRPr="00B83DE7">
              <w:rPr>
                <w:rFonts w:cs="Arial"/>
                <w:i/>
                <w:iCs/>
                <w:szCs w:val="18"/>
              </w:rPr>
              <w:lastRenderedPageBreak/>
              <w:t>Nannoperca obscura</w:t>
            </w:r>
          </w:p>
        </w:tc>
        <w:tc>
          <w:tcPr>
            <w:tcW w:w="1353" w:type="dxa"/>
            <w:vAlign w:val="center"/>
          </w:tcPr>
          <w:p w14:paraId="6EA5D6AF" w14:textId="77777777" w:rsidR="000B173B" w:rsidRPr="00B83DE7" w:rsidRDefault="000B173B" w:rsidP="00A15226">
            <w:pPr>
              <w:pStyle w:val="Tabletext"/>
              <w:rPr>
                <w:rFonts w:cs="Arial"/>
                <w:szCs w:val="18"/>
              </w:rPr>
            </w:pPr>
            <w:r w:rsidRPr="00B83DE7">
              <w:rPr>
                <w:rFonts w:cs="Arial"/>
                <w:szCs w:val="18"/>
              </w:rPr>
              <w:t>Yarra Pygmy Perch</w:t>
            </w:r>
          </w:p>
        </w:tc>
        <w:tc>
          <w:tcPr>
            <w:tcW w:w="1235" w:type="dxa"/>
            <w:vAlign w:val="center"/>
          </w:tcPr>
          <w:p w14:paraId="6B29E412" w14:textId="77777777" w:rsidR="000B173B" w:rsidRPr="00B83DE7" w:rsidRDefault="000B173B" w:rsidP="00A15226">
            <w:pPr>
              <w:pStyle w:val="Tabletext"/>
              <w:rPr>
                <w:rFonts w:cs="Arial"/>
                <w:szCs w:val="18"/>
              </w:rPr>
            </w:pPr>
            <w:r w:rsidRPr="00B83DE7">
              <w:rPr>
                <w:rFonts w:cs="Arial"/>
                <w:szCs w:val="18"/>
              </w:rPr>
              <w:t xml:space="preserve">Vulnerable </w:t>
            </w:r>
          </w:p>
        </w:tc>
        <w:tc>
          <w:tcPr>
            <w:tcW w:w="1177" w:type="dxa"/>
            <w:vAlign w:val="center"/>
          </w:tcPr>
          <w:p w14:paraId="411F77E8" w14:textId="77777777" w:rsidR="000B173B" w:rsidRPr="00AC3FED" w:rsidRDefault="000B173B" w:rsidP="00A15226">
            <w:pPr>
              <w:pStyle w:val="Tabletext"/>
              <w:jc w:val="center"/>
              <w:rPr>
                <w:highlight w:val="yellow"/>
              </w:rPr>
            </w:pPr>
            <w:r w:rsidRPr="00E46142">
              <w:t>Yes</w:t>
            </w:r>
          </w:p>
        </w:tc>
        <w:tc>
          <w:tcPr>
            <w:tcW w:w="9072" w:type="dxa"/>
          </w:tcPr>
          <w:p w14:paraId="6F47D260" w14:textId="77777777" w:rsidR="000B173B" w:rsidRDefault="000B173B" w:rsidP="00A15226">
            <w:pPr>
              <w:pStyle w:val="Tabletext"/>
            </w:pPr>
            <w:r w:rsidRPr="001324CC">
              <w:rPr>
                <w:i/>
                <w:iCs/>
              </w:rPr>
              <w:t>Nannoperca obscura</w:t>
            </w:r>
            <w:r w:rsidRPr="001324CC">
              <w:t xml:space="preserve"> (Yarra Pygmy Perch) is a small olive green and yellow-white fish </w:t>
            </w:r>
            <w:r>
              <w:t>up to</w:t>
            </w:r>
            <w:r w:rsidRPr="001324CC">
              <w:t xml:space="preserve"> 75 mm. </w:t>
            </w:r>
            <w:r>
              <w:t xml:space="preserve">The species is distributed from the Bunyip River basin in West Gippsland, through southern Victoria and south-east SA, and west near to the mouth of the Murray River </w:t>
            </w:r>
            <w:sdt>
              <w:sdtPr>
                <w:rPr>
                  <w:color w:val="000000"/>
                </w:rPr>
                <w:tag w:val="MENDELEY_CITATION_v3_eyJjaXRhdGlvbklEIjoiTUVOREVMRVlfQ0lUQVRJT05fOTYwYTQyOGEtMzU5Yy00YzVhLTk2NWQtMDc1ZDUwZDZkNTk2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664901483"/>
                <w:placeholder>
                  <w:docPart w:val="119FB1C23F5BCC408466AD28D7FF4766"/>
                </w:placeholder>
              </w:sdtPr>
              <w:sdtContent>
                <w:r w:rsidRPr="00AB79D8">
                  <w:rPr>
                    <w:color w:val="000000"/>
                  </w:rPr>
                  <w:t>(Saddlier and Hammer, 2010)</w:t>
                </w:r>
              </w:sdtContent>
            </w:sdt>
            <w:r>
              <w:t xml:space="preserve">. The range of the species coincides with Victoria’s volcanic region </w:t>
            </w:r>
            <w:sdt>
              <w:sdtPr>
                <w:rPr>
                  <w:color w:val="000000"/>
                </w:rPr>
                <w:tag w:val="MENDELEY_CITATION_v3_eyJjaXRhdGlvbklEIjoiTUVOREVMRVlfQ0lUQVRJT05fNGNjZmExNjktZTgwYS00ZDc0LTgxYzctNzlmYmU2Yzc5ZmV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530692754"/>
                <w:placeholder>
                  <w:docPart w:val="119FB1C23F5BCC408466AD28D7FF4766"/>
                </w:placeholder>
              </w:sdtPr>
              <w:sdtContent>
                <w:r w:rsidRPr="00AB79D8">
                  <w:rPr>
                    <w:color w:val="000000"/>
                  </w:rPr>
                  <w:t>(DCCEEW, 2022)</w:t>
                </w:r>
              </w:sdtContent>
            </w:sdt>
            <w:r>
              <w:t>.</w:t>
            </w:r>
          </w:p>
          <w:p w14:paraId="315E9793" w14:textId="77777777" w:rsidR="000B173B" w:rsidRDefault="000B173B" w:rsidP="00A15226">
            <w:pPr>
              <w:pStyle w:val="Tabletext"/>
            </w:pPr>
            <w:r>
              <w:t xml:space="preserve">The species occurs in slow-flowing or still water, which is characterised by large amounts of aquatic vegetation, including lakes, ponds and slow-flowing rivers </w:t>
            </w:r>
            <w:sdt>
              <w:sdtPr>
                <w:rPr>
                  <w:color w:val="000000"/>
                </w:rPr>
                <w:tag w:val="MENDELEY_CITATION_v3_eyJjaXRhdGlvbklEIjoiTUVOREVMRVlfQ0lUQVRJT05fODMxMjk2ODQtYzE2ZS00OTM3LWJjODktMzU2OTQwNGNmN2Rk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522830949"/>
                <w:placeholder>
                  <w:docPart w:val="119FB1C23F5BCC408466AD28D7FF4766"/>
                </w:placeholder>
              </w:sdtPr>
              <w:sdtContent>
                <w:r w:rsidRPr="00AB79D8">
                  <w:rPr>
                    <w:color w:val="000000"/>
                  </w:rPr>
                  <w:t>(Saddlier and Hammer, 2010)</w:t>
                </w:r>
              </w:sdtContent>
            </w:sdt>
            <w:r>
              <w:t xml:space="preserve">. </w:t>
            </w:r>
          </w:p>
          <w:p w14:paraId="14E9AF0F" w14:textId="77777777" w:rsidR="000B173B" w:rsidRDefault="000B173B" w:rsidP="00A15226">
            <w:pPr>
              <w:pStyle w:val="Tabletext"/>
            </w:pPr>
            <w:r>
              <w:t xml:space="preserve">Within its range, the species has a patchy and highly fragmented distribution. The fragmented nature of habitat, and habitat variability between seasons and years, makes the species vulnerable to local extinctions. Reduced flooding and loss of habitat linkages reduces the capacity of the species to recolonise habitats </w:t>
            </w:r>
            <w:sdt>
              <w:sdtPr>
                <w:rPr>
                  <w:color w:val="000000"/>
                </w:rPr>
                <w:tag w:val="MENDELEY_CITATION_v3_eyJjaXRhdGlvbklEIjoiTUVOREVMRVlfQ0lUQVRJT05fMTFlNzBiNjgtYTFjOC00NTZkLTgxY2ItMDBjNWZmMWM2Njc1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217982760"/>
                <w:placeholder>
                  <w:docPart w:val="119FB1C23F5BCC408466AD28D7FF4766"/>
                </w:placeholder>
              </w:sdtPr>
              <w:sdtContent>
                <w:r w:rsidRPr="00AB79D8">
                  <w:rPr>
                    <w:color w:val="000000"/>
                  </w:rPr>
                  <w:t>(Saddlier and Hammer, 2010)</w:t>
                </w:r>
              </w:sdtContent>
            </w:sdt>
            <w:r>
              <w:t>.</w:t>
            </w:r>
          </w:p>
          <w:p w14:paraId="63ED7EF4" w14:textId="77777777" w:rsidR="000B173B" w:rsidRDefault="000B173B" w:rsidP="00A15226">
            <w:pPr>
              <w:pStyle w:val="Tabletext"/>
            </w:pPr>
            <w:r>
              <w:t xml:space="preserve">As of 2010, the species had been recorded from 42 sites across Victoria and South Australia, of these, four were thought to be extinct </w:t>
            </w:r>
            <w:sdt>
              <w:sdtPr>
                <w:rPr>
                  <w:color w:val="000000"/>
                </w:rPr>
                <w:tag w:val="MENDELEY_CITATION_v3_eyJjaXRhdGlvbklEIjoiTUVOREVMRVlfQ0lUQVRJT05fNWVmMDFmMTUtNzU1Mi00NmMyLTg2MjEtZDA1NTM2NWJhOTRl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686184533"/>
                <w:placeholder>
                  <w:docPart w:val="119FB1C23F5BCC408466AD28D7FF4766"/>
                </w:placeholder>
              </w:sdtPr>
              <w:sdtContent>
                <w:r w:rsidRPr="00AB79D8">
                  <w:rPr>
                    <w:color w:val="000000"/>
                  </w:rPr>
                  <w:t>(Saddlier and Hammer, 2010)</w:t>
                </w:r>
              </w:sdtContent>
            </w:sdt>
            <w:r>
              <w:t xml:space="preserve">. As few surveys have been recently conducted in Victoria, current population status and trends are unknown </w:t>
            </w:r>
            <w:sdt>
              <w:sdtPr>
                <w:rPr>
                  <w:color w:val="000000"/>
                </w:rPr>
                <w:tag w:val="MENDELEY_CITATION_v3_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"/>
                <w:id w:val="1443344588"/>
                <w:placeholder>
                  <w:docPart w:val="119FB1C23F5BCC408466AD28D7FF4766"/>
                </w:placeholder>
              </w:sdtPr>
              <w:sdtContent>
                <w:r w:rsidRPr="00AB79D8">
                  <w:rPr>
                    <w:color w:val="000000"/>
                  </w:rPr>
                  <w:t>(DELWP, 2015b)</w:t>
                </w:r>
              </w:sdtContent>
            </w:sdt>
            <w:r>
              <w:t>.</w:t>
            </w:r>
          </w:p>
          <w:p w14:paraId="292C52CC" w14:textId="77777777" w:rsidR="000B173B" w:rsidRDefault="000B173B" w:rsidP="00A15226">
            <w:pPr>
              <w:pStyle w:val="Tabletext"/>
            </w:pPr>
            <w:r w:rsidRPr="00BA2A83">
              <w:t>Threats to the species include degradation and loss of habitat, alteration to flow regimes, climate change, introduced aquatic species</w:t>
            </w:r>
            <w:r>
              <w:t>,</w:t>
            </w:r>
            <w:r w:rsidRPr="00BA2A83">
              <w:t xml:space="preserve"> and illegal collection</w:t>
            </w:r>
            <w:r w:rsidRPr="001324CC">
              <w:t xml:space="preserve"> </w:t>
            </w:r>
            <w:sdt>
              <w:sdtPr>
                <w:rPr>
                  <w:color w:val="000000"/>
                </w:rPr>
                <w:tag w:val="MENDELEY_CITATION_v3_eyJjaXRhdGlvbklEIjoiTUVOREVMRVlfQ0lUQVRJT05fY2FhNjUyYjUtNjRmZS00ZjJjLWExODEtNDQwZTk0OTVjNTkw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235315400"/>
                <w:placeholder>
                  <w:docPart w:val="119FB1C23F5BCC408466AD28D7FF4766"/>
                </w:placeholder>
              </w:sdtPr>
              <w:sdtContent>
                <w:r w:rsidRPr="00AB79D8">
                  <w:rPr>
                    <w:color w:val="000000"/>
                  </w:rPr>
                  <w:t>(Saddlier and Hammer, 2010)</w:t>
                </w:r>
              </w:sdtContent>
            </w:sdt>
            <w:r>
              <w:t>.</w:t>
            </w:r>
          </w:p>
          <w:p w14:paraId="24713520" w14:textId="77777777" w:rsidR="000B173B" w:rsidRDefault="000B173B" w:rsidP="00A15226">
            <w:pPr>
              <w:pStyle w:val="Tabletext"/>
            </w:pPr>
            <w:r>
              <w:t>There are 82</w:t>
            </w:r>
            <w:r w:rsidRPr="005646F9">
              <w:t xml:space="preserve"> records</w:t>
            </w:r>
            <w:r>
              <w:t xml:space="preserve"> of the species (the most recent </w:t>
            </w:r>
            <w:r w:rsidRPr="00D82864">
              <w:t xml:space="preserve">from </w:t>
            </w:r>
            <w:r>
              <w:t>2014</w:t>
            </w:r>
            <w:r w:rsidRPr="00D82864">
              <w:t>) within the Study Area. These occur</w:t>
            </w:r>
            <w:r>
              <w:t xml:space="preserve"> in multiple locations along the Moorabool River (upstream and downstream of the Strategic Assessment Area), along the Barwon River, within Waurn Ponds Creek, within the Lake Connewarre Complex, and along Thompson Creek.</w:t>
            </w:r>
          </w:p>
          <w:p w14:paraId="260FDE60" w14:textId="77777777" w:rsidR="000B173B" w:rsidRPr="008F22F5" w:rsidRDefault="000B173B" w:rsidP="00A15226">
            <w:pPr>
              <w:pStyle w:val="Tabletext"/>
            </w:pPr>
            <w:r w:rsidRPr="008F22F5">
              <w:t xml:space="preserve">It is reported that there are records of the species immediately adjacent to WGGA in the Moorabool River </w:t>
            </w:r>
            <w:sdt>
              <w:sdtPr>
                <w:rPr>
                  <w:color w:val="000000"/>
                </w:rPr>
                <w:tag w:val="MENDELEY_CITATION_v3_eyJjaXRhdGlvbklEIjoiTUVOREVMRVlfQ0lUQVRJT05fNTkxNTcxNTQtM2ViNS00M2QzLWI1ZTItOTM3NGRjMDdiZGFm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490453097"/>
                <w:placeholder>
                  <w:docPart w:val="119FB1C23F5BCC408466AD28D7FF4766"/>
                </w:placeholder>
              </w:sdtPr>
              <w:sdtContent>
                <w:r w:rsidRPr="00AB79D8">
                  <w:rPr>
                    <w:color w:val="000000"/>
                  </w:rPr>
                  <w:t>(EHP, 2021)</w:t>
                </w:r>
              </w:sdtContent>
            </w:sdt>
            <w:r w:rsidRPr="008F22F5">
              <w:t>. However, there are no records in this locality on the VBA database. It is possible that there are records of the species in this area which have not been entered into the VBA database.</w:t>
            </w:r>
          </w:p>
          <w:p w14:paraId="49D2C2DF" w14:textId="77777777" w:rsidR="000B173B" w:rsidRDefault="000B173B" w:rsidP="00A15226">
            <w:pPr>
              <w:pStyle w:val="Tabletext"/>
            </w:pPr>
            <w:r>
              <w:t xml:space="preserve">There will be no development within the Moorabool River under the Plan, and as such, there is no potential for direct impacts to the species. However, potential indirect impacts </w:t>
            </w:r>
            <w:r w:rsidRPr="00860DDA">
              <w:t>to the species as a result of development may be possible. Further detailed assessment is required to understand potential impacts.</w:t>
            </w:r>
            <w:r>
              <w:t xml:space="preserve"> Refer to Section 19.4 of Part 4 for the detailed impact assessment of the Yarra Pygmy Perch.</w:t>
            </w:r>
          </w:p>
        </w:tc>
      </w:tr>
      <w:tr w:rsidR="000B173B" w14:paraId="1A1A86DA" w14:textId="77777777" w:rsidTr="00A15226">
        <w:tc>
          <w:tcPr>
            <w:tcW w:w="1480" w:type="dxa"/>
            <w:vAlign w:val="center"/>
          </w:tcPr>
          <w:p w14:paraId="246CDE07" w14:textId="77777777" w:rsidR="000B173B" w:rsidRPr="00B83DE7" w:rsidRDefault="000B173B" w:rsidP="00A15226">
            <w:pPr>
              <w:pStyle w:val="Tabletext"/>
              <w:rPr>
                <w:rFonts w:cs="Arial"/>
                <w:i/>
                <w:iCs/>
                <w:szCs w:val="18"/>
              </w:rPr>
            </w:pPr>
            <w:r w:rsidRPr="00B83DE7">
              <w:rPr>
                <w:rFonts w:cs="Arial"/>
                <w:i/>
                <w:iCs/>
                <w:szCs w:val="18"/>
              </w:rPr>
              <w:t>Prototroctes maraena</w:t>
            </w:r>
          </w:p>
        </w:tc>
        <w:tc>
          <w:tcPr>
            <w:tcW w:w="1353" w:type="dxa"/>
            <w:vAlign w:val="center"/>
          </w:tcPr>
          <w:p w14:paraId="7F8E7AFF" w14:textId="77777777" w:rsidR="000B173B" w:rsidRPr="00B83DE7" w:rsidRDefault="000B173B" w:rsidP="00A15226">
            <w:pPr>
              <w:pStyle w:val="Tabletext"/>
              <w:rPr>
                <w:rFonts w:cs="Arial"/>
                <w:szCs w:val="18"/>
              </w:rPr>
            </w:pPr>
            <w:r w:rsidRPr="00B83DE7">
              <w:rPr>
                <w:rFonts w:cs="Arial"/>
                <w:szCs w:val="18"/>
              </w:rPr>
              <w:t>Australian Grayling</w:t>
            </w:r>
          </w:p>
        </w:tc>
        <w:tc>
          <w:tcPr>
            <w:tcW w:w="1235" w:type="dxa"/>
            <w:vAlign w:val="center"/>
          </w:tcPr>
          <w:p w14:paraId="18117B48" w14:textId="77777777" w:rsidR="000B173B" w:rsidRPr="00B83DE7" w:rsidRDefault="000B173B" w:rsidP="00A15226">
            <w:pPr>
              <w:pStyle w:val="Tabletext"/>
              <w:rPr>
                <w:rFonts w:cs="Arial"/>
                <w:szCs w:val="18"/>
              </w:rPr>
            </w:pPr>
            <w:r w:rsidRPr="00B83DE7">
              <w:rPr>
                <w:rFonts w:cs="Arial"/>
                <w:szCs w:val="18"/>
              </w:rPr>
              <w:t>Vulnerable</w:t>
            </w:r>
          </w:p>
        </w:tc>
        <w:tc>
          <w:tcPr>
            <w:tcW w:w="1177" w:type="dxa"/>
            <w:vAlign w:val="center"/>
          </w:tcPr>
          <w:p w14:paraId="71B3292F" w14:textId="77777777" w:rsidR="000B173B" w:rsidRPr="00AC3FED" w:rsidRDefault="000B173B" w:rsidP="00A15226">
            <w:pPr>
              <w:pStyle w:val="Tabletext"/>
              <w:jc w:val="center"/>
              <w:rPr>
                <w:highlight w:val="yellow"/>
              </w:rPr>
            </w:pPr>
            <w:r w:rsidRPr="00003529">
              <w:t>Yes</w:t>
            </w:r>
          </w:p>
        </w:tc>
        <w:tc>
          <w:tcPr>
            <w:tcW w:w="9072" w:type="dxa"/>
          </w:tcPr>
          <w:p w14:paraId="013FDA7A" w14:textId="77777777" w:rsidR="000B173B" w:rsidRDefault="000B173B" w:rsidP="00A15226">
            <w:pPr>
              <w:pStyle w:val="Tabletext"/>
            </w:pPr>
            <w:r w:rsidRPr="00DD5A60">
              <w:rPr>
                <w:i/>
                <w:iCs/>
              </w:rPr>
              <w:t>Prototroctes maraena</w:t>
            </w:r>
            <w:r>
              <w:t xml:space="preserve"> (Australian Grayling) is a small to medium fish occurring in waterways of south-eastern Australia. </w:t>
            </w:r>
            <w:r w:rsidRPr="000C468C">
              <w:t xml:space="preserve">Historically, </w:t>
            </w:r>
            <w:r>
              <w:t xml:space="preserve">it </w:t>
            </w:r>
            <w:r w:rsidRPr="000C468C">
              <w:t xml:space="preserve">was known to occur in freshwater, estuarine and marine reaches of coastal catchments greater than 200 m above sea level in NSW, Victoria, Tasmania and South Australia. </w:t>
            </w:r>
            <w:r>
              <w:t xml:space="preserve">Its current distribution has declined from its historical distribution </w:t>
            </w:r>
            <w:sdt>
              <w:sdtPr>
                <w:rPr>
                  <w:color w:val="000000"/>
                </w:rPr>
                <w:tag w:val="MENDELEY_CITATION_v3_eyJjaXRhdGlvbklEIjoiTUVOREVMRVlfQ0lUQVRJT05fZmU3MDI0MWYtNDliOS00NWY2LThhMDEtMmY5MDIzZDYwMWQy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247165128"/>
                <w:placeholder>
                  <w:docPart w:val="119FB1C23F5BCC408466AD28D7FF4766"/>
                </w:placeholder>
              </w:sdtPr>
              <w:sdtContent>
                <w:r w:rsidRPr="00AB79D8">
                  <w:rPr>
                    <w:color w:val="000000"/>
                  </w:rPr>
                  <w:t>(TSSC, 2021)</w:t>
                </w:r>
              </w:sdtContent>
            </w:sdt>
            <w:r w:rsidRPr="000C468C">
              <w:t>.</w:t>
            </w:r>
          </w:p>
          <w:p w14:paraId="09AD2B1A" w14:textId="77777777" w:rsidR="000B173B" w:rsidRDefault="000B173B" w:rsidP="00A15226">
            <w:pPr>
              <w:pStyle w:val="Tabletext"/>
            </w:pPr>
            <w:r>
              <w:lastRenderedPageBreak/>
              <w:t>The Australian Grayling spends larval stages in marine water, and adult life in fresh water. The species migrates downstream in lower freshwater reaches of rivers to spawn. It is thought to be able to quickly re-populate in the correct conditions following periods of poor environmental conditions</w:t>
            </w:r>
            <w:r w:rsidRPr="000C468C">
              <w:rPr>
                <w:iCs/>
              </w:rPr>
              <w:t xml:space="preserve"> </w:t>
            </w:r>
            <w:sdt>
              <w:sdtPr>
                <w:rPr>
                  <w:iCs/>
                  <w:color w:val="000000"/>
                </w:rPr>
                <w:tag w:val="MENDELEY_CITATION_v3_eyJjaXRhdGlvbklEIjoiTUVOREVMRVlfQ0lUQVRJT05fZjE0ZjA4MmEtM2JiNC00ZDFlLWJjNzItM2M0NGUxYmJhMmVl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687828739"/>
                <w:placeholder>
                  <w:docPart w:val="119FB1C23F5BCC408466AD28D7FF4766"/>
                </w:placeholder>
              </w:sdtPr>
              <w:sdtEndPr>
                <w:rPr>
                  <w:iCs w:val="0"/>
                </w:rPr>
              </w:sdtEndPr>
              <w:sdtContent>
                <w:r w:rsidRPr="00AB79D8">
                  <w:rPr>
                    <w:color w:val="000000"/>
                  </w:rPr>
                  <w:t>(TSSC, 2021)</w:t>
                </w:r>
              </w:sdtContent>
            </w:sdt>
            <w:r w:rsidRPr="000C468C">
              <w:t>.</w:t>
            </w:r>
            <w:r>
              <w:t xml:space="preserve"> </w:t>
            </w:r>
          </w:p>
          <w:p w14:paraId="535B4170" w14:textId="77777777" w:rsidR="000B173B" w:rsidRDefault="000B173B" w:rsidP="00A15226">
            <w:pPr>
              <w:pStyle w:val="Tabletext"/>
            </w:pPr>
            <w:r w:rsidRPr="000C468C">
              <w:t xml:space="preserve">The species is considered to occur as a single population in Victoria. </w:t>
            </w:r>
            <w:r>
              <w:t xml:space="preserve">There are no reliable national population estimates for the species. Due to the species' capacity to lay large quantities of eggs, it has been suggested that the population can undergo large fluctuations </w:t>
            </w:r>
            <w:sdt>
              <w:sdtPr>
                <w:rPr>
                  <w:color w:val="000000"/>
                </w:rPr>
                <w:tag w:val="MENDELEY_CITATION_v3_eyJjaXRhdGlvbklEIjoiTUVOREVMRVlfQ0lUQVRJT05fZGFhODA4YzctN2MxOS00ZTI0LWE1MGQtOWIyNzU3YmU3ZmY2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443300186"/>
                <w:placeholder>
                  <w:docPart w:val="119FB1C23F5BCC408466AD28D7FF4766"/>
                </w:placeholder>
              </w:sdtPr>
              <w:sdtContent>
                <w:r w:rsidRPr="00AB79D8">
                  <w:rPr>
                    <w:color w:val="000000"/>
                  </w:rPr>
                  <w:t>(TSSC, 2021)</w:t>
                </w:r>
              </w:sdtContent>
            </w:sdt>
            <w:r w:rsidRPr="000C468C">
              <w:t xml:space="preserve">. </w:t>
            </w:r>
          </w:p>
          <w:p w14:paraId="6EEA457B" w14:textId="77777777" w:rsidR="000B173B" w:rsidRDefault="000B173B" w:rsidP="00A15226">
            <w:pPr>
              <w:pStyle w:val="Tabletext"/>
            </w:pPr>
            <w:r w:rsidRPr="000C468C">
              <w:t xml:space="preserve">The species Conservation Advice </w:t>
            </w:r>
            <w:r>
              <w:t xml:space="preserve">and Recovery Plan </w:t>
            </w:r>
            <w:r w:rsidRPr="000C468C">
              <w:t>has identified the following threats</w:t>
            </w:r>
            <w:r>
              <w:rPr>
                <w:iCs/>
              </w:rPr>
              <w:t xml:space="preserve"> </w:t>
            </w:r>
            <w:sdt>
              <w:sdtPr>
                <w:rPr>
                  <w:iCs/>
                  <w:color w:val="000000"/>
                </w:rPr>
                <w:tag w:val="MENDELEY_CITATION_v3_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"/>
                <w:id w:val="2128342153"/>
                <w:placeholder>
                  <w:docPart w:val="119FB1C23F5BCC408466AD28D7FF4766"/>
                </w:placeholder>
              </w:sdtPr>
              <w:sdtEndPr>
                <w:rPr>
                  <w:iCs w:val="0"/>
                </w:rPr>
              </w:sdtEndPr>
              <w:sdtContent>
                <w:r w:rsidRPr="00AB79D8">
                  <w:rPr>
                    <w:color w:val="000000"/>
                  </w:rPr>
                  <w:t>(Backhouse, O’Conner and Jackson, 2008; TSSC, 2021)</w:t>
                </w:r>
              </w:sdtContent>
            </w:sdt>
            <w:r w:rsidRPr="000C468C">
              <w:t>:</w:t>
            </w:r>
            <w:r>
              <w:t xml:space="preserve"> habitat loss and fragmentation (including fish passage barriers, altered hydrology and poor water quality, and changes to coastal morphology), introduced fish species, climate change, disease, and fishing.</w:t>
            </w:r>
          </w:p>
          <w:p w14:paraId="2C787579" w14:textId="77777777" w:rsidR="000B173B" w:rsidRDefault="000B173B" w:rsidP="00A15226">
            <w:pPr>
              <w:pStyle w:val="Tabletext"/>
            </w:pPr>
            <w:r>
              <w:t xml:space="preserve">Site surveys indicated the presence of suitable habitat for the Australian Grayling within the Moorabool River within WGGA. While the species was not detected at this location during surveys, it is recognised that the species is present within the wider Moorabool River catchment </w:t>
            </w:r>
            <w:sdt>
              <w:sdtPr>
                <w:rPr>
                  <w:color w:val="000000"/>
                </w:rPr>
                <w:tag w:val="MENDELEY_CITATION_v3_eyJjaXRhdGlvbklEIjoiTUVOREVMRVlfQ0lUQVRJT05fNDJkMDk2YjEtMTQ3Ni00NGI0LTkxY2ItMThiOWJjYTkyMzd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784179563"/>
                <w:placeholder>
                  <w:docPart w:val="119FB1C23F5BCC408466AD28D7FF4766"/>
                </w:placeholder>
              </w:sdtPr>
              <w:sdtContent>
                <w:r w:rsidRPr="00AB79D8">
                  <w:rPr>
                    <w:color w:val="000000"/>
                  </w:rPr>
                  <w:t>(EHP, 2021)</w:t>
                </w:r>
              </w:sdtContent>
            </w:sdt>
            <w:r>
              <w:t xml:space="preserve">. Specifically, there are 55 records of the species within the Study Area (the most recent from 1998). The majority of these records occur within the Barwon </w:t>
            </w:r>
            <w:r w:rsidRPr="002E16E5">
              <w:t xml:space="preserve">River downstream of the Growth Areas. </w:t>
            </w:r>
          </w:p>
          <w:p w14:paraId="243F6B1D" w14:textId="77777777" w:rsidR="000B173B" w:rsidRDefault="000B173B" w:rsidP="00A15226">
            <w:pPr>
              <w:pStyle w:val="Tabletext"/>
            </w:pPr>
            <w:r>
              <w:t>The</w:t>
            </w:r>
            <w:r w:rsidRPr="00D07E38">
              <w:t xml:space="preserve"> Corangamite Catchment Management Authority are proposing to remove barriers along the Moorabool River which </w:t>
            </w:r>
            <w:r>
              <w:t xml:space="preserve">currently </w:t>
            </w:r>
            <w:r w:rsidRPr="00D07E38">
              <w:t xml:space="preserve">prevent fish from accessing habitat upstream to the WGGA within the next 2 to 3 years. With the removal of these barriers, future planning </w:t>
            </w:r>
            <w:r>
              <w:t xml:space="preserve">within the WGGA should assume the </w:t>
            </w:r>
            <w:r w:rsidRPr="00D07E38">
              <w:t xml:space="preserve">presence of the Australian Grayling </w:t>
            </w:r>
            <w:sdt>
              <w:sdtPr>
                <w:rPr>
                  <w:color w:val="000000"/>
                </w:rPr>
                <w:tag w:val="MENDELEY_CITATION_v3_eyJjaXRhdGlvbklEIjoiTUVOREVMRVlfQ0lUQVRJT05fNjNmMGUwYTYtNGNlOS00ODUxLWJmM2YtZDQ4MGFlODNiMDE2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477503639"/>
                <w:placeholder>
                  <w:docPart w:val="119FB1C23F5BCC408466AD28D7FF4766"/>
                </w:placeholder>
              </w:sdtPr>
              <w:sdtContent>
                <w:r w:rsidRPr="00AB79D8">
                  <w:rPr>
                    <w:color w:val="000000"/>
                  </w:rPr>
                  <w:t>(EHP, 2021)</w:t>
                </w:r>
              </w:sdtContent>
            </w:sdt>
            <w:r w:rsidRPr="00D07E38">
              <w:t>.</w:t>
            </w:r>
          </w:p>
          <w:p w14:paraId="2FFD0E4E" w14:textId="77777777" w:rsidR="000B173B" w:rsidRDefault="000B173B" w:rsidP="00A15226">
            <w:pPr>
              <w:pStyle w:val="Tabletext"/>
            </w:pPr>
            <w:r>
              <w:t xml:space="preserve">There will be no development within the Moorabool River under the Plan, and as such, there is no potential for direct impacts to the species. However, potential indirect impacts </w:t>
            </w:r>
            <w:r w:rsidRPr="00860DDA">
              <w:t>to the species as a result of development may be possible. Further detailed assessment is required to understand potential impacts.</w:t>
            </w:r>
            <w:r>
              <w:t xml:space="preserve"> Refer to Section 19.4 of Part 4 for the detailed impact assessment of the Australian Grayling.</w:t>
            </w:r>
          </w:p>
        </w:tc>
      </w:tr>
      <w:tr w:rsidR="000B173B" w14:paraId="6C8F684D" w14:textId="77777777" w:rsidTr="00A15226">
        <w:tc>
          <w:tcPr>
            <w:tcW w:w="1480" w:type="dxa"/>
            <w:shd w:val="clear" w:color="auto" w:fill="B4C6E7" w:themeFill="accent1" w:themeFillTint="66"/>
            <w:vAlign w:val="center"/>
          </w:tcPr>
          <w:p w14:paraId="06B41BBC" w14:textId="77777777" w:rsidR="000B173B" w:rsidRPr="00B83DE7" w:rsidRDefault="000B173B" w:rsidP="00A15226">
            <w:pPr>
              <w:pStyle w:val="Tabletext"/>
              <w:rPr>
                <w:b/>
                <w:bCs/>
                <w:szCs w:val="18"/>
              </w:rPr>
            </w:pPr>
            <w:r w:rsidRPr="00B83DE7">
              <w:rPr>
                <w:b/>
                <w:bCs/>
                <w:szCs w:val="18"/>
              </w:rPr>
              <w:lastRenderedPageBreak/>
              <w:t>Insects</w:t>
            </w:r>
          </w:p>
        </w:tc>
        <w:tc>
          <w:tcPr>
            <w:tcW w:w="1353" w:type="dxa"/>
            <w:shd w:val="clear" w:color="auto" w:fill="B4C6E7" w:themeFill="accent1" w:themeFillTint="66"/>
            <w:vAlign w:val="center"/>
          </w:tcPr>
          <w:p w14:paraId="4698BA29" w14:textId="77777777" w:rsidR="000B173B" w:rsidRPr="00B83DE7" w:rsidRDefault="000B173B" w:rsidP="00A15226">
            <w:pPr>
              <w:pStyle w:val="Tabletext"/>
              <w:rPr>
                <w:rFonts w:cs="Arial"/>
                <w:szCs w:val="18"/>
              </w:rPr>
            </w:pPr>
          </w:p>
        </w:tc>
        <w:tc>
          <w:tcPr>
            <w:tcW w:w="1235" w:type="dxa"/>
            <w:shd w:val="clear" w:color="auto" w:fill="B4C6E7" w:themeFill="accent1" w:themeFillTint="66"/>
            <w:vAlign w:val="center"/>
          </w:tcPr>
          <w:p w14:paraId="6C2A9FF1" w14:textId="77777777" w:rsidR="000B173B" w:rsidRPr="00B83DE7" w:rsidRDefault="000B173B" w:rsidP="00A15226">
            <w:pPr>
              <w:pStyle w:val="Tabletext"/>
              <w:rPr>
                <w:rFonts w:cs="Arial"/>
                <w:szCs w:val="18"/>
              </w:rPr>
            </w:pPr>
          </w:p>
        </w:tc>
        <w:tc>
          <w:tcPr>
            <w:tcW w:w="1177" w:type="dxa"/>
            <w:shd w:val="clear" w:color="auto" w:fill="B4C6E7" w:themeFill="accent1" w:themeFillTint="66"/>
            <w:vAlign w:val="center"/>
          </w:tcPr>
          <w:p w14:paraId="3A46D3B7" w14:textId="77777777" w:rsidR="000B173B" w:rsidRPr="00AC3FED" w:rsidRDefault="000B173B" w:rsidP="00A15226">
            <w:pPr>
              <w:pStyle w:val="Tabletext"/>
              <w:rPr>
                <w:highlight w:val="yellow"/>
              </w:rPr>
            </w:pPr>
          </w:p>
        </w:tc>
        <w:tc>
          <w:tcPr>
            <w:tcW w:w="9072" w:type="dxa"/>
            <w:shd w:val="clear" w:color="auto" w:fill="B4C6E7" w:themeFill="accent1" w:themeFillTint="66"/>
          </w:tcPr>
          <w:p w14:paraId="4A34F45D" w14:textId="77777777" w:rsidR="000B173B" w:rsidRDefault="000B173B" w:rsidP="00A15226">
            <w:pPr>
              <w:pStyle w:val="Tabletext"/>
            </w:pPr>
          </w:p>
        </w:tc>
      </w:tr>
      <w:tr w:rsidR="000B173B" w14:paraId="353EAA73" w14:textId="77777777" w:rsidTr="00A15226">
        <w:tc>
          <w:tcPr>
            <w:tcW w:w="1480" w:type="dxa"/>
            <w:vAlign w:val="center"/>
          </w:tcPr>
          <w:p w14:paraId="54A14DFA" w14:textId="77777777" w:rsidR="000B173B" w:rsidRPr="00B83DE7" w:rsidRDefault="000B173B" w:rsidP="00A15226">
            <w:pPr>
              <w:pStyle w:val="Tabletext"/>
              <w:rPr>
                <w:szCs w:val="18"/>
              </w:rPr>
            </w:pPr>
            <w:r w:rsidRPr="00B83DE7">
              <w:rPr>
                <w:rFonts w:cs="Arial"/>
                <w:i/>
                <w:iCs/>
                <w:szCs w:val="18"/>
              </w:rPr>
              <w:t>Synemon plana</w:t>
            </w:r>
          </w:p>
        </w:tc>
        <w:tc>
          <w:tcPr>
            <w:tcW w:w="1353" w:type="dxa"/>
            <w:vAlign w:val="center"/>
          </w:tcPr>
          <w:p w14:paraId="4B396156" w14:textId="77777777" w:rsidR="000B173B" w:rsidRPr="00B83DE7" w:rsidRDefault="000B173B" w:rsidP="00A15226">
            <w:pPr>
              <w:pStyle w:val="Tabletext"/>
              <w:rPr>
                <w:rFonts w:cs="Arial"/>
                <w:szCs w:val="18"/>
              </w:rPr>
            </w:pPr>
            <w:r w:rsidRPr="00B83DE7">
              <w:rPr>
                <w:rFonts w:cs="Arial"/>
                <w:szCs w:val="18"/>
              </w:rPr>
              <w:t>Golden Sun Moth</w:t>
            </w:r>
          </w:p>
        </w:tc>
        <w:tc>
          <w:tcPr>
            <w:tcW w:w="1235" w:type="dxa"/>
            <w:vAlign w:val="center"/>
          </w:tcPr>
          <w:p w14:paraId="73580132" w14:textId="77777777" w:rsidR="000B173B" w:rsidRPr="00B83DE7" w:rsidRDefault="000B173B" w:rsidP="00A15226">
            <w:pPr>
              <w:pStyle w:val="Tabletext"/>
              <w:rPr>
                <w:rFonts w:cs="Arial"/>
                <w:szCs w:val="18"/>
              </w:rPr>
            </w:pPr>
            <w:r>
              <w:rPr>
                <w:rFonts w:cs="Arial"/>
                <w:szCs w:val="18"/>
              </w:rPr>
              <w:t>Vulnerable</w:t>
            </w:r>
            <w:r w:rsidRPr="00B83DE7">
              <w:rPr>
                <w:rFonts w:cs="Arial"/>
                <w:szCs w:val="18"/>
              </w:rPr>
              <w:t xml:space="preserve"> </w:t>
            </w:r>
          </w:p>
        </w:tc>
        <w:tc>
          <w:tcPr>
            <w:tcW w:w="1177" w:type="dxa"/>
            <w:vAlign w:val="center"/>
          </w:tcPr>
          <w:p w14:paraId="1232DD05" w14:textId="77777777" w:rsidR="000B173B" w:rsidRPr="00AC3FED" w:rsidRDefault="000B173B" w:rsidP="00A15226">
            <w:pPr>
              <w:pStyle w:val="Tabletext"/>
              <w:jc w:val="center"/>
              <w:rPr>
                <w:highlight w:val="yellow"/>
              </w:rPr>
            </w:pPr>
            <w:r w:rsidRPr="00AE1045">
              <w:t>Yes</w:t>
            </w:r>
          </w:p>
        </w:tc>
        <w:tc>
          <w:tcPr>
            <w:tcW w:w="9072" w:type="dxa"/>
          </w:tcPr>
          <w:p w14:paraId="4455B40D" w14:textId="77777777" w:rsidR="000B173B" w:rsidRDefault="000B173B" w:rsidP="00A15226">
            <w:pPr>
              <w:pStyle w:val="Tabletext"/>
            </w:pPr>
            <w:r w:rsidRPr="001324CC">
              <w:rPr>
                <w:i/>
                <w:iCs/>
              </w:rPr>
              <w:t>Synemon plana</w:t>
            </w:r>
            <w:r w:rsidRPr="001324CC">
              <w:t xml:space="preserve"> (Golden Sun Moth) is a day-flying moth with a win</w:t>
            </w:r>
            <w:r>
              <w:t>g</w:t>
            </w:r>
            <w:r w:rsidRPr="001324CC">
              <w:t xml:space="preserve">span of about 34 mm. </w:t>
            </w:r>
            <w:r>
              <w:t>The species is found in grassland habitat in south-eastern Australia, occurring from central NSW between Parkes and Bathurst, through the ACT, down to central and western Victoria and just across the border to eastern South Australia. The Extent of Occurrence and Area of Occupation are currently understood to be 145,322 km</w:t>
            </w:r>
            <w:r w:rsidRPr="000B24CB">
              <w:t>²</w:t>
            </w:r>
            <w:r>
              <w:t xml:space="preserve"> and 1,596 km</w:t>
            </w:r>
            <w:r w:rsidRPr="000B24CB">
              <w:t>²</w:t>
            </w:r>
            <w:r>
              <w:t xml:space="preserve"> respectively </w:t>
            </w:r>
            <w:sdt>
              <w:sdtPr>
                <w:rPr>
                  <w:color w:val="000000"/>
                </w:rPr>
                <w:tag w:val="MENDELEY_CITATION_v3_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"/>
                <w:id w:val="-1541507937"/>
                <w:placeholder>
                  <w:docPart w:val="31606378F23A3742800D54C8CCE6F7A4"/>
                </w:placeholder>
              </w:sdtPr>
              <w:sdtContent>
                <w:r w:rsidRPr="00AB79D8">
                  <w:rPr>
                    <w:color w:val="000000"/>
                  </w:rPr>
                  <w:t>(DAWE, 2021c)</w:t>
                </w:r>
              </w:sdtContent>
            </w:sdt>
            <w:r>
              <w:t>.</w:t>
            </w:r>
          </w:p>
          <w:p w14:paraId="26E92925" w14:textId="77777777" w:rsidR="000B173B" w:rsidRDefault="000B173B" w:rsidP="00A15226">
            <w:pPr>
              <w:pStyle w:val="Tabletext"/>
            </w:pPr>
            <w:r>
              <w:t xml:space="preserve">The species’ distribution is fragmented, and it is likely that sites separated by over 200 m are geographically isolated. As of 2021, the species is known from 164 sites, of which 104 occur in Victoria </w:t>
            </w:r>
            <w:sdt>
              <w:sdtPr>
                <w:rPr>
                  <w:color w:val="000000"/>
                </w:rPr>
                <w:tag w:val="MENDELEY_CITATION_v3_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"/>
                <w:id w:val="-1664149372"/>
                <w:placeholder>
                  <w:docPart w:val="31606378F23A3742800D54C8CCE6F7A4"/>
                </w:placeholder>
              </w:sdtPr>
              <w:sdtContent>
                <w:r w:rsidRPr="00AB79D8">
                  <w:rPr>
                    <w:color w:val="000000"/>
                  </w:rPr>
                  <w:t>(DAWE, 2021c)</w:t>
                </w:r>
              </w:sdtContent>
            </w:sdt>
            <w:r>
              <w:t>.</w:t>
            </w:r>
          </w:p>
          <w:p w14:paraId="59DC42C9" w14:textId="77777777" w:rsidR="000B173B" w:rsidRDefault="000B173B" w:rsidP="00A15226">
            <w:pPr>
              <w:pStyle w:val="Tabletext"/>
            </w:pPr>
            <w:r>
              <w:lastRenderedPageBreak/>
              <w:t>Habitat for the species includes sites which contain (or have previously contained) native grassland, open grassy woodlands, and secondary grasslands that retain a component of larval food species. It was previously thought that the Golden Sun Moth occurred exclusively in grassland habitats dominated by</w:t>
            </w:r>
            <w:r w:rsidRPr="00C276B2">
              <w:t xml:space="preserve"> species from the genus </w:t>
            </w:r>
            <w:r w:rsidRPr="001E34D1">
              <w:rPr>
                <w:i/>
                <w:iCs/>
              </w:rPr>
              <w:t>Rytidosperma</w:t>
            </w:r>
            <w:r>
              <w:t xml:space="preserve">, or </w:t>
            </w:r>
            <w:r w:rsidRPr="00C276B2">
              <w:t>Wallaby Grass</w:t>
            </w:r>
            <w:r>
              <w:t xml:space="preserve">. However, the species is also known to occur in degraded areas that retain some native larval food species or have been invaded by the introduced Needlegrass species such as Chilean Needle-grass </w:t>
            </w:r>
            <w:r w:rsidRPr="001E34D1">
              <w:rPr>
                <w:i/>
                <w:iCs/>
              </w:rPr>
              <w:t>Nassella neesiana</w:t>
            </w:r>
            <w:r>
              <w:t xml:space="preserve">, which is also a known food plant </w:t>
            </w:r>
            <w:sdt>
              <w:sdtPr>
                <w:rPr>
                  <w:color w:val="000000"/>
                </w:rPr>
                <w:tag w:val="MENDELEY_CITATION_v3_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"/>
                <w:id w:val="-64262328"/>
                <w:placeholder>
                  <w:docPart w:val="31606378F23A3742800D54C8CCE6F7A4"/>
                </w:placeholder>
              </w:sdtPr>
              <w:sdtContent>
                <w:r w:rsidRPr="00AB79D8">
                  <w:rPr>
                    <w:color w:val="000000"/>
                  </w:rPr>
                  <w:t>(DAWE, 2021c)</w:t>
                </w:r>
              </w:sdtContent>
            </w:sdt>
            <w:r>
              <w:t>.</w:t>
            </w:r>
          </w:p>
          <w:p w14:paraId="71FB0AC2" w14:textId="77777777" w:rsidR="000B173B" w:rsidRDefault="000B173B" w:rsidP="00A15226">
            <w:pPr>
              <w:pStyle w:val="Tabletext"/>
            </w:pPr>
            <w:r>
              <w:t xml:space="preserve">While the species can occur in degraded sites which have been invaded by non-native species, it is important to note that the natural habitat of the Golden Sun Moth </w:t>
            </w:r>
            <w:r w:rsidRPr="00804762">
              <w:t>is native grasslands</w:t>
            </w:r>
            <w:r>
              <w:t xml:space="preserve"> which include </w:t>
            </w:r>
            <w:r w:rsidRPr="00804762">
              <w:t>Wallaby</w:t>
            </w:r>
            <w:r>
              <w:t>-g</w:t>
            </w:r>
            <w:r w:rsidRPr="00804762">
              <w:t>rass</w:t>
            </w:r>
            <w:r w:rsidRPr="001E34D1">
              <w:rPr>
                <w:i/>
                <w:iCs/>
              </w:rPr>
              <w:t xml:space="preserve"> Rytidosperma</w:t>
            </w:r>
            <w:r w:rsidRPr="00804762">
              <w:t xml:space="preserve"> </w:t>
            </w:r>
            <w:r>
              <w:t xml:space="preserve">and Spear-grass </w:t>
            </w:r>
            <w:r w:rsidRPr="00E21020">
              <w:rPr>
                <w:i/>
                <w:iCs/>
              </w:rPr>
              <w:t>Austrostipa</w:t>
            </w:r>
            <w:r>
              <w:t xml:space="preserve"> species</w:t>
            </w:r>
            <w:r w:rsidRPr="00804762">
              <w:t xml:space="preserve"> </w:t>
            </w:r>
            <w:r>
              <w:t>(</w:t>
            </w:r>
            <w:sdt>
              <w:sdtPr>
                <w:rPr>
                  <w:color w:val="000000"/>
                </w:rPr>
                <w:tag w:val="MENDELEY_CITATION_v3_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"/>
                <w:id w:val="-1549829471"/>
                <w:placeholder>
                  <w:docPart w:val="119FB1C23F5BCC408466AD28D7FF4766"/>
                </w:placeholder>
              </w:sdtPr>
              <w:sdtContent>
                <w:r w:rsidRPr="00AB79D8">
                  <w:rPr>
                    <w:color w:val="000000"/>
                  </w:rPr>
                  <w:t>(SWIFFT, 2022b)</w:t>
                </w:r>
              </w:sdtContent>
            </w:sdt>
            <w:r>
              <w:t xml:space="preserve">. Further, the species’ Conservation Advice refers to important (or high quality) habitat as those which contain native grassland with </w:t>
            </w:r>
            <w:r w:rsidRPr="001E34D1">
              <w:rPr>
                <w:i/>
                <w:iCs/>
              </w:rPr>
              <w:t>Rytidosperma</w:t>
            </w:r>
            <w:r w:rsidRPr="00804762">
              <w:t xml:space="preserve"> </w:t>
            </w:r>
            <w:r>
              <w:t xml:space="preserve">and/or Spear-grass </w:t>
            </w:r>
            <w:r w:rsidRPr="00E21020">
              <w:rPr>
                <w:i/>
                <w:iCs/>
              </w:rPr>
              <w:t>Austrostipa</w:t>
            </w:r>
            <w:r>
              <w:t xml:space="preserve"> species, low weed cover, inter-tussock spaces, and suitable land management </w:t>
            </w:r>
            <w:sdt>
              <w:sdtPr>
                <w:rPr>
                  <w:color w:val="000000"/>
                </w:rPr>
                <w:tag w:val="MENDELEY_CITATION_v3_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"/>
                <w:id w:val="-1035187385"/>
                <w:placeholder>
                  <w:docPart w:val="31606378F23A3742800D54C8CCE6F7A4"/>
                </w:placeholder>
              </w:sdtPr>
              <w:sdtContent>
                <w:r w:rsidRPr="00AB79D8">
                  <w:rPr>
                    <w:color w:val="000000"/>
                  </w:rPr>
                  <w:t>(DAWE, 2021c)</w:t>
                </w:r>
              </w:sdtContent>
            </w:sdt>
            <w:r>
              <w:t>.</w:t>
            </w:r>
          </w:p>
          <w:p w14:paraId="46D8AA57" w14:textId="77777777" w:rsidR="000B173B" w:rsidRDefault="000B173B" w:rsidP="00A15226">
            <w:pPr>
              <w:pStyle w:val="Tabletext"/>
            </w:pPr>
            <w:r w:rsidRPr="00B10EF4">
              <w:t>Threats to the species include the loss, fragmentation and degradation of habitat,</w:t>
            </w:r>
            <w:r>
              <w:t xml:space="preserve"> invasive species, inappropriate fire regimes, climate change and installation of artificial structures </w:t>
            </w:r>
            <w:sdt>
              <w:sdtPr>
                <w:rPr>
                  <w:color w:val="000000"/>
                </w:rPr>
                <w:tag w:val="MENDELEY_CITATION_v3_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"/>
                <w:id w:val="1237062081"/>
                <w:placeholder>
                  <w:docPart w:val="31606378F23A3742800D54C8CCE6F7A4"/>
                </w:placeholder>
              </w:sdtPr>
              <w:sdtContent>
                <w:r w:rsidRPr="00AB79D8">
                  <w:rPr>
                    <w:color w:val="000000"/>
                  </w:rPr>
                  <w:t>(DAWE, 2021c)</w:t>
                </w:r>
              </w:sdtContent>
            </w:sdt>
            <w:r>
              <w:t>.</w:t>
            </w:r>
          </w:p>
          <w:p w14:paraId="010B9ACF" w14:textId="77777777" w:rsidR="000B173B" w:rsidRDefault="000B173B" w:rsidP="00A15226">
            <w:pPr>
              <w:pStyle w:val="Tabletext"/>
            </w:pPr>
            <w:r w:rsidRPr="00965709">
              <w:t xml:space="preserve">The species has been recorded within the </w:t>
            </w:r>
            <w:r>
              <w:t xml:space="preserve">NGGA </w:t>
            </w:r>
            <w:sdt>
              <w:sdtPr>
                <w:rPr>
                  <w:color w:val="000000"/>
                </w:rPr>
                <w:tag w:val="MENDELEY_CITATION_v3_eyJjaXRhdGlvbklEIjoiTUVOREVMRVlfQ0lUQVRJT05fNmRhYmM5MjktYWZjZi00M2UwLTgwOWYtNGJkODJmMWIwMzlh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994828708"/>
                <w:placeholder>
                  <w:docPart w:val="119FB1C23F5BCC408466AD28D7FF4766"/>
                </w:placeholder>
              </w:sdtPr>
              <w:sdtContent>
                <w:r w:rsidRPr="00AB79D8">
                  <w:rPr>
                    <w:color w:val="000000"/>
                  </w:rPr>
                  <w:t>(EHP, 2021)</w:t>
                </w:r>
              </w:sdtContent>
            </w:sdt>
            <w:r w:rsidRPr="00965709">
              <w:t>. Further detailed assessment is needed to understand the potential for direct, indirect and cumulative impacts.</w:t>
            </w:r>
            <w:r>
              <w:t xml:space="preserve"> Refer to Section 19.1 of Part 4 for the detailed impact assessment of the Golden Sun Moth.</w:t>
            </w:r>
          </w:p>
        </w:tc>
      </w:tr>
      <w:bookmarkEnd w:id="219"/>
    </w:tbl>
    <w:p w14:paraId="401DE0E9" w14:textId="77777777" w:rsidR="000B173B" w:rsidRDefault="000B173B" w:rsidP="000B173B">
      <w:pPr>
        <w:tabs>
          <w:tab w:val="clear" w:pos="4962"/>
        </w:tabs>
        <w:spacing w:before="0" w:after="0" w:line="240" w:lineRule="auto"/>
        <w:rPr>
          <w:rFonts w:ascii="Helvetica" w:eastAsia="MS Gothic" w:hAnsi="Helvetica"/>
          <w:b/>
          <w:bCs/>
          <w:caps/>
          <w:spacing w:val="18"/>
          <w:sz w:val="20"/>
        </w:rPr>
      </w:pPr>
      <w:r>
        <w:rPr>
          <w:rFonts w:ascii="Helvetica" w:eastAsia="MS Gothic" w:hAnsi="Helvetica"/>
          <w:b/>
          <w:bCs/>
          <w:caps/>
          <w:spacing w:val="18"/>
          <w:sz w:val="20"/>
        </w:rPr>
        <w:lastRenderedPageBreak/>
        <w:br w:type="page"/>
      </w:r>
    </w:p>
    <w:p w14:paraId="554A1589" w14:textId="77777777" w:rsidR="000B173B" w:rsidRDefault="000B173B" w:rsidP="000B173B">
      <w:pPr>
        <w:pStyle w:val="Heading2"/>
        <w:numPr>
          <w:ilvl w:val="0"/>
          <w:numId w:val="0"/>
        </w:numPr>
        <w:ind w:left="576" w:hanging="576"/>
      </w:pPr>
      <w:bookmarkStart w:id="222" w:name="_Toc116639690"/>
      <w:bookmarkStart w:id="223" w:name="_Toc131154197"/>
      <w:bookmarkStart w:id="224" w:name="_Toc131154384"/>
      <w:bookmarkStart w:id="225" w:name="_Toc116639689"/>
      <w:r>
        <w:lastRenderedPageBreak/>
        <w:t>Threatened ecological community categorisation</w:t>
      </w:r>
      <w:bookmarkEnd w:id="222"/>
      <w:bookmarkEnd w:id="223"/>
      <w:bookmarkEnd w:id="224"/>
    </w:p>
    <w:p w14:paraId="1629048F" w14:textId="77777777" w:rsidR="000B173B" w:rsidRPr="00540D02" w:rsidRDefault="000B173B" w:rsidP="000B173B">
      <w:pPr>
        <w:pStyle w:val="Caption"/>
      </w:pPr>
      <w:bookmarkStart w:id="226" w:name="_Ref116653124"/>
      <w:bookmarkStart w:id="227" w:name="_Toc134697913"/>
      <w:r>
        <w:t xml:space="preserve">Table </w:t>
      </w:r>
      <w:r>
        <w:fldChar w:fldCharType="begin"/>
      </w:r>
      <w:r>
        <w:instrText xml:space="preserve"> STYLEREF 1 \s </w:instrText>
      </w:r>
      <w:r>
        <w:fldChar w:fldCharType="separate"/>
      </w:r>
      <w:r>
        <w:rPr>
          <w:noProof/>
        </w:rPr>
        <w:t>A</w:t>
      </w:r>
      <w:r>
        <w:fldChar w:fldCharType="end"/>
      </w:r>
      <w:r>
        <w:noBreakHyphen/>
      </w:r>
      <w:r>
        <w:fldChar w:fldCharType="begin"/>
      </w:r>
      <w:r>
        <w:instrText xml:space="preserve"> SEQ Table \* ARABIC \s 1 </w:instrText>
      </w:r>
      <w:r>
        <w:fldChar w:fldCharType="separate"/>
      </w:r>
      <w:r>
        <w:rPr>
          <w:noProof/>
        </w:rPr>
        <w:t>3</w:t>
      </w:r>
      <w:r>
        <w:fldChar w:fldCharType="end"/>
      </w:r>
      <w:bookmarkEnd w:id="226"/>
      <w:r>
        <w:t>: Categorisation of Commonwealth-listed threatened ecological communities</w:t>
      </w:r>
      <w:bookmarkEnd w:id="227"/>
    </w:p>
    <w:tbl>
      <w:tblPr>
        <w:tblStyle w:val="TableGrid"/>
        <w:tblW w:w="0" w:type="auto"/>
        <w:tblLook w:val="04A0" w:firstRow="1" w:lastRow="0" w:firstColumn="1" w:lastColumn="0" w:noHBand="0" w:noVBand="1"/>
      </w:tblPr>
      <w:tblGrid>
        <w:gridCol w:w="2936"/>
        <w:gridCol w:w="1190"/>
        <w:gridCol w:w="1689"/>
        <w:gridCol w:w="8521"/>
      </w:tblGrid>
      <w:tr w:rsidR="000B173B" w14:paraId="3BA8BAFF" w14:textId="77777777" w:rsidTr="00A15226">
        <w:trPr>
          <w:tblHeader/>
        </w:trPr>
        <w:tc>
          <w:tcPr>
            <w:tcW w:w="2972" w:type="dxa"/>
            <w:shd w:val="clear" w:color="auto" w:fill="D0CECE" w:themeFill="background2" w:themeFillShade="E6"/>
            <w:vAlign w:val="center"/>
          </w:tcPr>
          <w:p w14:paraId="3EA0A8FB" w14:textId="77777777" w:rsidR="000B173B" w:rsidRPr="00EF54AD" w:rsidRDefault="000B173B" w:rsidP="00A15226">
            <w:pPr>
              <w:pStyle w:val="Tabletext"/>
              <w:rPr>
                <w:b/>
                <w:bCs/>
              </w:rPr>
            </w:pPr>
            <w:r w:rsidRPr="00EF54AD">
              <w:rPr>
                <w:b/>
                <w:bCs/>
              </w:rPr>
              <w:t>TEC name</w:t>
            </w:r>
          </w:p>
        </w:tc>
        <w:tc>
          <w:tcPr>
            <w:tcW w:w="992" w:type="dxa"/>
            <w:shd w:val="clear" w:color="auto" w:fill="D0CECE" w:themeFill="background2" w:themeFillShade="E6"/>
            <w:vAlign w:val="center"/>
          </w:tcPr>
          <w:p w14:paraId="347F8684" w14:textId="77777777" w:rsidR="000B173B" w:rsidRPr="00EF54AD" w:rsidRDefault="000B173B" w:rsidP="00A15226">
            <w:pPr>
              <w:pStyle w:val="Tabletext"/>
              <w:rPr>
                <w:b/>
                <w:bCs/>
              </w:rPr>
            </w:pPr>
            <w:r>
              <w:rPr>
                <w:b/>
                <w:bCs/>
              </w:rPr>
              <w:t>EPBC listing</w:t>
            </w:r>
          </w:p>
        </w:tc>
        <w:tc>
          <w:tcPr>
            <w:tcW w:w="1701" w:type="dxa"/>
            <w:shd w:val="clear" w:color="auto" w:fill="D0CECE" w:themeFill="background2" w:themeFillShade="E6"/>
            <w:vAlign w:val="center"/>
          </w:tcPr>
          <w:p w14:paraId="1B584DEC" w14:textId="77777777" w:rsidR="000B173B" w:rsidRPr="00EF54AD" w:rsidRDefault="000B173B" w:rsidP="00A15226">
            <w:pPr>
              <w:pStyle w:val="Tabletext"/>
              <w:jc w:val="center"/>
              <w:rPr>
                <w:b/>
                <w:bCs/>
              </w:rPr>
            </w:pPr>
            <w:r w:rsidRPr="00EF54AD">
              <w:rPr>
                <w:b/>
                <w:bCs/>
              </w:rPr>
              <w:t>Requires further assessment</w:t>
            </w:r>
          </w:p>
        </w:tc>
        <w:tc>
          <w:tcPr>
            <w:tcW w:w="8671" w:type="dxa"/>
            <w:shd w:val="clear" w:color="auto" w:fill="D0CECE" w:themeFill="background2" w:themeFillShade="E6"/>
            <w:vAlign w:val="center"/>
          </w:tcPr>
          <w:p w14:paraId="25B213A7" w14:textId="77777777" w:rsidR="000B173B" w:rsidRPr="00EF54AD" w:rsidRDefault="000B173B" w:rsidP="00A15226">
            <w:pPr>
              <w:pStyle w:val="Tabletext"/>
              <w:rPr>
                <w:b/>
                <w:bCs/>
              </w:rPr>
            </w:pPr>
            <w:r w:rsidRPr="00EF54AD">
              <w:rPr>
                <w:b/>
                <w:bCs/>
              </w:rPr>
              <w:t>Justification</w:t>
            </w:r>
          </w:p>
        </w:tc>
      </w:tr>
      <w:tr w:rsidR="000B173B" w14:paraId="47B08BC2" w14:textId="77777777" w:rsidTr="00A15226">
        <w:tc>
          <w:tcPr>
            <w:tcW w:w="2972" w:type="dxa"/>
            <w:vAlign w:val="center"/>
          </w:tcPr>
          <w:p w14:paraId="531A8D7F" w14:textId="77777777" w:rsidR="000B173B" w:rsidRDefault="000B173B" w:rsidP="00A15226">
            <w:pPr>
              <w:pStyle w:val="Tabletext"/>
            </w:pPr>
            <w:r>
              <w:t>Assemblages of Species Associated with Open-Coast Salt-Wedge Estuaries of Western and Central Victoria Ecological Community</w:t>
            </w:r>
          </w:p>
        </w:tc>
        <w:tc>
          <w:tcPr>
            <w:tcW w:w="992" w:type="dxa"/>
            <w:vAlign w:val="center"/>
          </w:tcPr>
          <w:p w14:paraId="3CB31834" w14:textId="77777777" w:rsidR="000B173B" w:rsidRDefault="000B173B" w:rsidP="00A15226">
            <w:pPr>
              <w:pStyle w:val="Tabletext"/>
            </w:pPr>
            <w:r>
              <w:t>Endangered</w:t>
            </w:r>
          </w:p>
        </w:tc>
        <w:tc>
          <w:tcPr>
            <w:tcW w:w="1701" w:type="dxa"/>
            <w:vAlign w:val="center"/>
          </w:tcPr>
          <w:p w14:paraId="3DB45F47" w14:textId="77777777" w:rsidR="000B173B" w:rsidRDefault="000B173B" w:rsidP="00A15226">
            <w:pPr>
              <w:pStyle w:val="Tabletext"/>
              <w:jc w:val="center"/>
            </w:pPr>
            <w:r>
              <w:t>No</w:t>
            </w:r>
          </w:p>
        </w:tc>
        <w:tc>
          <w:tcPr>
            <w:tcW w:w="8671" w:type="dxa"/>
          </w:tcPr>
          <w:p w14:paraId="4BB7FF35" w14:textId="77777777" w:rsidR="000B173B" w:rsidRDefault="000B173B" w:rsidP="00A15226">
            <w:pPr>
              <w:pStyle w:val="Tabletext"/>
            </w:pPr>
            <w:r>
              <w:t xml:space="preserve">This community is an assemblage of native flora, fauna and microorganisms which occur in salt-wedge estuarine environments. Salt-wedge estuaries occur where rapidly flowing rivers discharge into the ocean and where tidal currents are weak. In these environments, sea water occurs as a wedge-shaped bottom layer which has minimal mixing with the upper layer of freshwater </w:t>
            </w:r>
            <w:sdt>
              <w:sdtPr>
                <w:rPr>
                  <w:color w:val="000000"/>
                </w:rPr>
                <w:tag w:val="MENDELEY_CITATION_v3_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"/>
                <w:id w:val="1292171792"/>
                <w:placeholder>
                  <w:docPart w:val="339B7D746526864D922760336FCFE603"/>
                </w:placeholder>
              </w:sdtPr>
              <w:sdtContent>
                <w:r w:rsidRPr="00AB79D8">
                  <w:rPr>
                    <w:color w:val="000000"/>
                  </w:rPr>
                  <w:t>(DoEE, 2018a)</w:t>
                </w:r>
              </w:sdtContent>
            </w:sdt>
            <w:r>
              <w:t>.</w:t>
            </w:r>
          </w:p>
          <w:p w14:paraId="6CC67AFA" w14:textId="77777777" w:rsidR="000B173B" w:rsidRDefault="000B173B" w:rsidP="00A15226">
            <w:pPr>
              <w:pStyle w:val="Tabletext"/>
            </w:pPr>
            <w:r>
              <w:t xml:space="preserve">This community is associated with open coastal environments, typically with small tides (&lt;2 m) and high wave energies. It occurs along the western and central coastlines of Victoria </w:t>
            </w:r>
            <w:sdt>
              <w:sdtPr>
                <w:rPr>
                  <w:color w:val="000000"/>
                </w:rPr>
                <w:tag w:val="MENDELEY_CITATION_v3_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"/>
                <w:id w:val="2066375325"/>
                <w:placeholder>
                  <w:docPart w:val="339B7D746526864D922760336FCFE603"/>
                </w:placeholder>
              </w:sdtPr>
              <w:sdtContent>
                <w:r w:rsidRPr="00AB79D8">
                  <w:rPr>
                    <w:color w:val="000000"/>
                  </w:rPr>
                  <w:t>(DoEE, 2018a)</w:t>
                </w:r>
              </w:sdtContent>
            </w:sdt>
            <w:r>
              <w:t>.</w:t>
            </w:r>
          </w:p>
          <w:p w14:paraId="1568CA26" w14:textId="77777777" w:rsidR="000B173B" w:rsidRDefault="000B173B" w:rsidP="00A15226">
            <w:pPr>
              <w:pStyle w:val="Tabletext"/>
            </w:pPr>
            <w:r>
              <w:t xml:space="preserve">Key biota within this community includes macrophytes, phytoplankton, protists and zooplankton, which occur within the water column, on associate substrates, or on submerged or intermittently submerged vegetation along the edges of the estuarine environment </w:t>
            </w:r>
            <w:sdt>
              <w:sdtPr>
                <w:rPr>
                  <w:color w:val="000000"/>
                </w:rPr>
                <w:tag w:val="MENDELEY_CITATION_v3_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"/>
                <w:id w:val="-246728196"/>
                <w:placeholder>
                  <w:docPart w:val="339B7D746526864D922760336FCFE603"/>
                </w:placeholder>
              </w:sdtPr>
              <w:sdtContent>
                <w:r w:rsidRPr="00AB79D8">
                  <w:rPr>
                    <w:color w:val="000000"/>
                  </w:rPr>
                  <w:t>(DoEE, 2018a)</w:t>
                </w:r>
              </w:sdtContent>
            </w:sdt>
            <w:r>
              <w:t>.</w:t>
            </w:r>
          </w:p>
          <w:p w14:paraId="701FDAE9" w14:textId="77777777" w:rsidR="000B173B" w:rsidRDefault="000B173B" w:rsidP="00A15226">
            <w:pPr>
              <w:pStyle w:val="Tabletext"/>
            </w:pPr>
            <w:r>
              <w:t xml:space="preserve">This vegetation community is not present within the Strategic Assessment Area. As an open coast community, it has potential to be present at the southernmost extremity of the Study Area in the region where the Lake Connewarre Complex discharges into the ocean. </w:t>
            </w:r>
          </w:p>
          <w:p w14:paraId="111E04F3" w14:textId="77777777" w:rsidR="000B173B" w:rsidRDefault="000B173B" w:rsidP="00A15226">
            <w:pPr>
              <w:pStyle w:val="Tabletext"/>
            </w:pPr>
            <w:r>
              <w:t>It is considered highly unlikely that the Plan would result in indirect impacts to this community. This is due to the distance of this environment from the Strategic Assessment Area, and the mitigation measures under the Plan to minimise indirect impacts to water flow and quality to downstream areas.</w:t>
            </w:r>
          </w:p>
        </w:tc>
      </w:tr>
      <w:tr w:rsidR="000B173B" w14:paraId="0D00A765" w14:textId="77777777" w:rsidTr="00A15226">
        <w:tc>
          <w:tcPr>
            <w:tcW w:w="2972" w:type="dxa"/>
            <w:vAlign w:val="center"/>
          </w:tcPr>
          <w:p w14:paraId="5AEE7521" w14:textId="77777777" w:rsidR="000B173B" w:rsidRDefault="000B173B" w:rsidP="00A15226">
            <w:pPr>
              <w:pStyle w:val="Tabletext"/>
            </w:pPr>
            <w:r>
              <w:t>Grassy Eucalypt Woodland of the Victorian Volcanic Plain</w:t>
            </w:r>
          </w:p>
        </w:tc>
        <w:tc>
          <w:tcPr>
            <w:tcW w:w="992" w:type="dxa"/>
            <w:vAlign w:val="center"/>
          </w:tcPr>
          <w:p w14:paraId="09106329" w14:textId="77777777" w:rsidR="000B173B" w:rsidRDefault="000B173B" w:rsidP="00A15226">
            <w:pPr>
              <w:pStyle w:val="Tabletext"/>
            </w:pPr>
            <w:r>
              <w:t>Critically Endangered</w:t>
            </w:r>
          </w:p>
        </w:tc>
        <w:tc>
          <w:tcPr>
            <w:tcW w:w="1701" w:type="dxa"/>
            <w:vAlign w:val="center"/>
          </w:tcPr>
          <w:p w14:paraId="54B8CC26" w14:textId="77777777" w:rsidR="000B173B" w:rsidRPr="008A4C3A" w:rsidRDefault="000B173B" w:rsidP="00A15226">
            <w:pPr>
              <w:pStyle w:val="Tabletext"/>
              <w:jc w:val="center"/>
            </w:pPr>
            <w:r>
              <w:t>No</w:t>
            </w:r>
          </w:p>
        </w:tc>
        <w:tc>
          <w:tcPr>
            <w:tcW w:w="8671" w:type="dxa"/>
          </w:tcPr>
          <w:p w14:paraId="507CA6BE" w14:textId="77777777" w:rsidR="000B173B" w:rsidRDefault="000B173B" w:rsidP="00A15226">
            <w:pPr>
              <w:pStyle w:val="Tabletext"/>
            </w:pPr>
            <w:r>
              <w:t>This community occurs in south-west Victoria, from Melbourne in the east to the Hamilton region in the west. It is a eucalypt woodland which is confined to Quaternary basaltic soils, on flat plains, gently undulating slopes or stony rises. The canopy is usually dominated by River Red Gum (</w:t>
            </w:r>
            <w:r>
              <w:rPr>
                <w:i/>
                <w:iCs/>
              </w:rPr>
              <w:t>Eucalyptus camaldulensis</w:t>
            </w:r>
            <w:r>
              <w:t xml:space="preserve">), although other eucalypt species may be dominant in some environments. The understorey comprises a diverse ground layer of grasses and herbs, with few shrubs. The community may also occur as a derived grassland, where trees have been removed yet the groundcover remains intact </w:t>
            </w:r>
            <w:sdt>
              <w:sdtPr>
                <w:rPr>
                  <w:color w:val="000000"/>
                </w:rPr>
                <w:tag w:val="MENDELEY_CITATION_v3_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"/>
                <w:id w:val="-876393213"/>
                <w:placeholder>
                  <w:docPart w:val="339B7D746526864D922760336FCFE603"/>
                </w:placeholder>
              </w:sdtPr>
              <w:sdtContent>
                <w:r w:rsidRPr="00AB79D8">
                  <w:rPr>
                    <w:color w:val="000000"/>
                  </w:rPr>
                  <w:t>(DEWHA, 2009a)</w:t>
                </w:r>
              </w:sdtContent>
            </w:sdt>
            <w:r>
              <w:t>.</w:t>
            </w:r>
          </w:p>
          <w:p w14:paraId="5915B82A" w14:textId="77777777" w:rsidR="000B173B" w:rsidRDefault="000B173B" w:rsidP="00A15226">
            <w:pPr>
              <w:pStyle w:val="Tabletext"/>
            </w:pPr>
            <w:r>
              <w:t xml:space="preserve">This vegetation community was not detected within either Growth Area during site surveys </w:t>
            </w:r>
            <w:sdt>
              <w:sdtPr>
                <w:rPr>
                  <w:color w:val="000000"/>
                </w:rPr>
                <w:tag w:val="MENDELEY_CITATION_v3_eyJjaXRhdGlvbklEIjoiTUVOREVMRVlfQ0lUQVRJT05fNzYxZmMyNjYtZjQ2My00ZjI0LWJiMWItZjE0MTIwNDllZTFm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56677923"/>
                <w:placeholder>
                  <w:docPart w:val="339B7D746526864D922760336FCFE603"/>
                </w:placeholder>
              </w:sdtPr>
              <w:sdtContent>
                <w:r w:rsidRPr="00AB79D8">
                  <w:rPr>
                    <w:color w:val="000000"/>
                  </w:rPr>
                  <w:t>(EHP, 2021)</w:t>
                </w:r>
              </w:sdtContent>
            </w:sdt>
            <w:r>
              <w:t xml:space="preserve">. Further, mapping of pre-1750 vegetation communities </w:t>
            </w:r>
            <w:sdt>
              <w:sdtPr>
                <w:rPr>
                  <w:color w:val="000000"/>
                </w:rPr>
                <w:tag w:val="MENDELEY_CITATION_v3_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"/>
                <w:id w:val="-1985841709"/>
                <w:placeholder>
                  <w:docPart w:val="339B7D746526864D922760336FCFE603"/>
                </w:placeholder>
              </w:sdtPr>
              <w:sdtContent>
                <w:r w:rsidRPr="00AB79D8">
                  <w:rPr>
                    <w:color w:val="000000"/>
                  </w:rPr>
                  <w:t>(DELWP, 2022a)</w:t>
                </w:r>
              </w:sdtContent>
            </w:sdt>
            <w:r>
              <w:t xml:space="preserve"> indicates that the Strategic Assessment Area is predicted to be comprised almost entirely of grassland communities. Given that this community was not observed during site surveys, and that the Strategic Assessment Area is predicted to support grassland communities, it is considered unlikely that this community would occur within the Strategic Assessment Area (or that any potential occurrences of the community would be minor).</w:t>
            </w:r>
          </w:p>
          <w:p w14:paraId="314707BD" w14:textId="77777777" w:rsidR="000B173B" w:rsidRPr="008A4C3A" w:rsidRDefault="000B173B" w:rsidP="00A15226">
            <w:pPr>
              <w:pStyle w:val="Tabletext"/>
            </w:pPr>
            <w:r>
              <w:lastRenderedPageBreak/>
              <w:t>While it is possible that this community may exist within the wider Study Area, the potential for indirect impacts under the Plan is considered to be unlikely given that the community is not a water-based or riparian community and therefore is unlikely to occur in downstream areas of the Strategic Assessment Area.</w:t>
            </w:r>
          </w:p>
        </w:tc>
      </w:tr>
      <w:tr w:rsidR="000B173B" w14:paraId="595613D5" w14:textId="77777777" w:rsidTr="00A15226">
        <w:tc>
          <w:tcPr>
            <w:tcW w:w="2972" w:type="dxa"/>
            <w:vAlign w:val="center"/>
          </w:tcPr>
          <w:p w14:paraId="6D2276F9" w14:textId="77777777" w:rsidR="000B173B" w:rsidRPr="004D4C92" w:rsidRDefault="000B173B" w:rsidP="00A15226">
            <w:pPr>
              <w:pStyle w:val="Tabletext"/>
            </w:pPr>
            <w:r>
              <w:lastRenderedPageBreak/>
              <w:t>Grey Box (</w:t>
            </w:r>
            <w:r>
              <w:rPr>
                <w:i/>
                <w:iCs/>
              </w:rPr>
              <w:t>Eucalyptus microcarpa</w:t>
            </w:r>
            <w:r>
              <w:t>) Grassy Woodlands and Derived Native Grasslands of South-eastern Australia</w:t>
            </w:r>
          </w:p>
        </w:tc>
        <w:tc>
          <w:tcPr>
            <w:tcW w:w="992" w:type="dxa"/>
            <w:vAlign w:val="center"/>
          </w:tcPr>
          <w:p w14:paraId="5E3B31E1" w14:textId="77777777" w:rsidR="000B173B" w:rsidRDefault="000B173B" w:rsidP="00A15226">
            <w:pPr>
              <w:pStyle w:val="Tabletext"/>
            </w:pPr>
            <w:r>
              <w:t>Endangered</w:t>
            </w:r>
          </w:p>
        </w:tc>
        <w:tc>
          <w:tcPr>
            <w:tcW w:w="1701" w:type="dxa"/>
            <w:vAlign w:val="center"/>
          </w:tcPr>
          <w:p w14:paraId="1FF57582" w14:textId="77777777" w:rsidR="000B173B" w:rsidRPr="008A4C3A" w:rsidRDefault="000B173B" w:rsidP="00A15226">
            <w:pPr>
              <w:pStyle w:val="Tabletext"/>
              <w:jc w:val="center"/>
            </w:pPr>
            <w:r>
              <w:t>No</w:t>
            </w:r>
          </w:p>
        </w:tc>
        <w:tc>
          <w:tcPr>
            <w:tcW w:w="8671" w:type="dxa"/>
          </w:tcPr>
          <w:p w14:paraId="26A9BDDE" w14:textId="77777777" w:rsidR="000B173B" w:rsidRPr="007A40B5" w:rsidRDefault="000B173B" w:rsidP="00A15226">
            <w:pPr>
              <w:pStyle w:val="Tabletext"/>
            </w:pPr>
            <w:r w:rsidRPr="00EC6B98">
              <w:t>This community comprises</w:t>
            </w:r>
            <w:r>
              <w:t xml:space="preserve"> a tree canopy which is typically dominated by Grey Box (</w:t>
            </w:r>
            <w:r>
              <w:rPr>
                <w:i/>
                <w:iCs/>
              </w:rPr>
              <w:t>Eucalyptus macrocarpa</w:t>
            </w:r>
            <w:r>
              <w:t xml:space="preserve">), with other trees also potentially present. The understorey is a diverse ground layer of grasses and herbs, with occasional shrubs. The community may also occur as a derived grassland, where trees have been removed yet the groundcover remains intact </w:t>
            </w:r>
            <w:sdt>
              <w:sdtPr>
                <w:rPr>
                  <w:color w:val="000000"/>
                </w:rPr>
                <w:tag w:val="MENDELEY_CITATION_v3_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"/>
                <w:id w:val="-396133629"/>
                <w:placeholder>
                  <w:docPart w:val="339B7D746526864D922760336FCFE603"/>
                </w:placeholder>
              </w:sdtPr>
              <w:sdtContent>
                <w:r w:rsidRPr="00AB79D8">
                  <w:rPr>
                    <w:color w:val="000000"/>
                  </w:rPr>
                  <w:t>(DEWHA, 2010a)</w:t>
                </w:r>
              </w:sdtContent>
            </w:sdt>
            <w:r>
              <w:t>.</w:t>
            </w:r>
          </w:p>
          <w:p w14:paraId="58E5A59E" w14:textId="77777777" w:rsidR="000B173B" w:rsidRDefault="000B173B" w:rsidP="00A15226">
            <w:pPr>
              <w:pStyle w:val="Tabletext"/>
            </w:pPr>
            <w:r>
              <w:t xml:space="preserve">It occurs on the drier edge of the temperate grassy eucalypt woodland belt. The community occurs from central NSW, through northern Victoria into SA. Disjunct occurrences are also found west of Melbourne and near Adelaide </w:t>
            </w:r>
            <w:sdt>
              <w:sdtPr>
                <w:rPr>
                  <w:color w:val="000000"/>
                </w:rPr>
                <w:tag w:val="MENDELEY_CITATION_v3_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"/>
                <w:id w:val="-1975592865"/>
                <w:placeholder>
                  <w:docPart w:val="339B7D746526864D922760336FCFE603"/>
                </w:placeholder>
              </w:sdtPr>
              <w:sdtContent>
                <w:r w:rsidRPr="00AB79D8">
                  <w:rPr>
                    <w:color w:val="000000"/>
                  </w:rPr>
                  <w:t>(DEWHA, 2010a)</w:t>
                </w:r>
              </w:sdtContent>
            </w:sdt>
            <w:r>
              <w:t>.</w:t>
            </w:r>
          </w:p>
          <w:p w14:paraId="7D0F9289" w14:textId="77777777" w:rsidR="000B173B" w:rsidRDefault="000B173B" w:rsidP="00A15226">
            <w:pPr>
              <w:pStyle w:val="Tabletext"/>
            </w:pPr>
            <w:r>
              <w:t xml:space="preserve">This vegetation community was not detected within either Growth Area during site surveys. Further, no Grey Box individuals were detected </w:t>
            </w:r>
            <w:sdt>
              <w:sdtPr>
                <w:rPr>
                  <w:color w:val="000000"/>
                </w:rPr>
                <w:tag w:val="MENDELEY_CITATION_v3_eyJjaXRhdGlvbklEIjoiTUVOREVMRVlfQ0lUQVRJT05fZDA1Y2M5YWUtNGIwMy00NjEyLTk2ZWItN2YyY2Y1M2Q3NWJk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781073217"/>
                <w:placeholder>
                  <w:docPart w:val="339B7D746526864D922760336FCFE603"/>
                </w:placeholder>
              </w:sdtPr>
              <w:sdtContent>
                <w:r w:rsidRPr="00AB79D8">
                  <w:rPr>
                    <w:color w:val="000000"/>
                  </w:rPr>
                  <w:t>(EHP, 2021)</w:t>
                </w:r>
              </w:sdtContent>
            </w:sdt>
            <w:r>
              <w:t xml:space="preserve">. Given that the Strategic Assessment Area is modelled to have historically comprised of a native grassland community </w:t>
            </w:r>
            <w:sdt>
              <w:sdtPr>
                <w:rPr>
                  <w:color w:val="000000"/>
                </w:rPr>
                <w:tag w:val="MENDELEY_CITATION_v3_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"/>
                <w:id w:val="509575763"/>
                <w:placeholder>
                  <w:docPart w:val="339B7D746526864D922760336FCFE603"/>
                </w:placeholder>
              </w:sdtPr>
              <w:sdtContent>
                <w:r w:rsidRPr="00AB79D8">
                  <w:rPr>
                    <w:color w:val="000000"/>
                  </w:rPr>
                  <w:t>(DELWP, 2022a)</w:t>
                </w:r>
              </w:sdtContent>
            </w:sdt>
            <w:r>
              <w:t>, it is considered unlikely that grassland communities within the Strategic Assessment Area would constitute derived grasslands of this vegetation community.</w:t>
            </w:r>
          </w:p>
          <w:p w14:paraId="59758070" w14:textId="77777777" w:rsidR="000B173B" w:rsidRDefault="000B173B" w:rsidP="00A15226">
            <w:pPr>
              <w:pStyle w:val="Tabletext"/>
            </w:pPr>
            <w:r>
              <w:t>While it is possible that this community may exist within the wider Study Area, the potential for indirect impacts under the Plan is considered to be unlikely given that the community is not a water-based or riparian community and therefore is unlikely to occur in downstream areas of the Strategic Assessment Area.</w:t>
            </w:r>
          </w:p>
          <w:p w14:paraId="0BCD2D78" w14:textId="77777777" w:rsidR="000B173B" w:rsidRPr="008A4C3A" w:rsidRDefault="000B173B" w:rsidP="00A15226">
            <w:pPr>
              <w:pStyle w:val="Tabletext"/>
            </w:pPr>
            <w:r>
              <w:t xml:space="preserve">Further, is noted that this community is not predicted to occur within a 10 km radius of the two Growth Areas </w:t>
            </w:r>
            <w:sdt>
              <w:sdtPr>
                <w:rPr>
                  <w:color w:val="000000"/>
                </w:rPr>
                <w:tag w:val="MENDELEY_CITATION_v3_eyJjaXRhdGlvbklEIjoiTUVOREVMRVlfQ0lUQVRJT05fYzc2YWI0OTctZDA4OS00YzgzLWEwZWItOTlhZWU2NjA0MWY0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699459585"/>
                <w:placeholder>
                  <w:docPart w:val="339B7D746526864D922760336FCFE603"/>
                </w:placeholder>
              </w:sdtPr>
              <w:sdtContent>
                <w:r w:rsidRPr="00AB79D8">
                  <w:rPr>
                    <w:color w:val="000000"/>
                  </w:rPr>
                  <w:t>(EHP, 2021)</w:t>
                </w:r>
              </w:sdtContent>
            </w:sdt>
            <w:r>
              <w:t>. This further reduces the potential for indirect impacts to this community.</w:t>
            </w:r>
          </w:p>
        </w:tc>
      </w:tr>
      <w:tr w:rsidR="000B173B" w14:paraId="0098D2BE" w14:textId="77777777" w:rsidTr="00A15226">
        <w:tc>
          <w:tcPr>
            <w:tcW w:w="2972" w:type="dxa"/>
            <w:vAlign w:val="center"/>
          </w:tcPr>
          <w:p w14:paraId="5643B7E8" w14:textId="77777777" w:rsidR="000B173B" w:rsidRDefault="000B173B" w:rsidP="00A15226">
            <w:pPr>
              <w:pStyle w:val="Tabletext"/>
            </w:pPr>
            <w:r>
              <w:t>Natural Damp Grassland of the Victorian Coastal Plains</w:t>
            </w:r>
          </w:p>
        </w:tc>
        <w:tc>
          <w:tcPr>
            <w:tcW w:w="992" w:type="dxa"/>
            <w:vAlign w:val="center"/>
          </w:tcPr>
          <w:p w14:paraId="7EF31DD6" w14:textId="77777777" w:rsidR="000B173B" w:rsidRDefault="000B173B" w:rsidP="00A15226">
            <w:pPr>
              <w:pStyle w:val="Tabletext"/>
            </w:pPr>
            <w:r>
              <w:t>Critically Endangered</w:t>
            </w:r>
          </w:p>
        </w:tc>
        <w:tc>
          <w:tcPr>
            <w:tcW w:w="1701" w:type="dxa"/>
            <w:vAlign w:val="center"/>
          </w:tcPr>
          <w:p w14:paraId="4FCCA3C9" w14:textId="77777777" w:rsidR="000B173B" w:rsidRPr="008A4C3A" w:rsidRDefault="000B173B" w:rsidP="00A15226">
            <w:pPr>
              <w:pStyle w:val="Tabletext"/>
              <w:jc w:val="center"/>
            </w:pPr>
            <w:r>
              <w:t>No</w:t>
            </w:r>
          </w:p>
        </w:tc>
        <w:tc>
          <w:tcPr>
            <w:tcW w:w="8671" w:type="dxa"/>
          </w:tcPr>
          <w:p w14:paraId="78B43866" w14:textId="77777777" w:rsidR="000B173B" w:rsidRDefault="000B173B" w:rsidP="00A15226">
            <w:pPr>
              <w:pStyle w:val="Tabletext"/>
            </w:pPr>
            <w:r>
              <w:t xml:space="preserve">This is a type of grassland community whose occurrence is restricted to the South East Coastal Plain IBRA bioregion of Victoria. It is likely that the community historically occurred on the floodplains of the lower reaches of rivers in south-west Victoria prior to European settlement </w:t>
            </w:r>
            <w:sdt>
              <w:sdtPr>
                <w:rPr>
                  <w:color w:val="000000"/>
                </w:rPr>
                <w:tag w:val="MENDELEY_CITATION_v3_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"/>
                <w:id w:val="-730542235"/>
                <w:placeholder>
                  <w:docPart w:val="339B7D746526864D922760336FCFE603"/>
                </w:placeholder>
              </w:sdtPr>
              <w:sdtContent>
                <w:r w:rsidRPr="00AB79D8">
                  <w:rPr>
                    <w:color w:val="000000"/>
                  </w:rPr>
                  <w:t>(DoE, 2015a)</w:t>
                </w:r>
              </w:sdtContent>
            </w:sdt>
            <w:r>
              <w:t>.</w:t>
            </w:r>
          </w:p>
          <w:p w14:paraId="34E48DDA" w14:textId="77777777" w:rsidR="000B173B" w:rsidRDefault="000B173B" w:rsidP="00A15226">
            <w:pPr>
              <w:pStyle w:val="Tabletext"/>
            </w:pPr>
            <w:r>
              <w:t xml:space="preserve">Most occurrences of the community are in the Gippsland Plain subregion, with some occurrences in the Otway Plain subregion. In the region surrounding Geelong, the distribution is poorly known and has not been thoroughly surveyed or studied. The community may occur along the lower reaches of the Barwon River, at a site within the Connewarre Wildlife Reserve, although further surveys are required to confirm its presence at this location. As part of a protected area, this site is currently managed for conservation purposes </w:t>
            </w:r>
            <w:sdt>
              <w:sdtPr>
                <w:rPr>
                  <w:color w:val="000000"/>
                </w:rPr>
                <w:tag w:val="MENDELEY_CITATION_v3_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"/>
                <w:id w:val="-1038894797"/>
                <w:placeholder>
                  <w:docPart w:val="339B7D746526864D922760336FCFE603"/>
                </w:placeholder>
              </w:sdtPr>
              <w:sdtContent>
                <w:r w:rsidRPr="00AB79D8">
                  <w:rPr>
                    <w:color w:val="000000"/>
                  </w:rPr>
                  <w:t>(DoE, 2015a)</w:t>
                </w:r>
              </w:sdtContent>
            </w:sdt>
            <w:r>
              <w:t>.</w:t>
            </w:r>
          </w:p>
          <w:p w14:paraId="3F22B425" w14:textId="77777777" w:rsidR="000B173B" w:rsidRDefault="000B173B" w:rsidP="00A15226">
            <w:pPr>
              <w:pStyle w:val="Tabletext"/>
            </w:pPr>
            <w:r>
              <w:t xml:space="preserve">The community ranges from grassland to open grassy woodland with scattered trees and shrubs. It is found on heavy, poorly drained soils which are often damp and sometimes waterlogged. The grassland </w:t>
            </w:r>
            <w:r>
              <w:lastRenderedPageBreak/>
              <w:t xml:space="preserve">is typically dominated by Kangaroo Grass </w:t>
            </w:r>
            <w:r>
              <w:rPr>
                <w:i/>
                <w:iCs/>
              </w:rPr>
              <w:t>(Themeda triandra</w:t>
            </w:r>
            <w:r>
              <w:t>) or Tussock Grass (</w:t>
            </w:r>
            <w:r>
              <w:rPr>
                <w:i/>
                <w:iCs/>
              </w:rPr>
              <w:t>Poa labillardierei</w:t>
            </w:r>
            <w:r>
              <w:t xml:space="preserve">). The community also supports a range of other species including herbs and forbs. Species composition varies depending on moisture and seasonal conditions </w:t>
            </w:r>
            <w:sdt>
              <w:sdtPr>
                <w:rPr>
                  <w:color w:val="000000"/>
                </w:rPr>
                <w:tag w:val="MENDELEY_CITATION_v3_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"/>
                <w:id w:val="-1444453928"/>
                <w:placeholder>
                  <w:docPart w:val="339B7D746526864D922760336FCFE603"/>
                </w:placeholder>
              </w:sdtPr>
              <w:sdtContent>
                <w:r w:rsidRPr="00AB79D8">
                  <w:rPr>
                    <w:color w:val="000000"/>
                  </w:rPr>
                  <w:t>(DoE, 2015a)</w:t>
                </w:r>
              </w:sdtContent>
            </w:sdt>
            <w:r>
              <w:t>.</w:t>
            </w:r>
          </w:p>
          <w:p w14:paraId="3165C203" w14:textId="77777777" w:rsidR="000B173B" w:rsidRPr="00C243EB" w:rsidRDefault="000B173B" w:rsidP="00A15226">
            <w:pPr>
              <w:pStyle w:val="Tabletext"/>
            </w:pPr>
            <w:r>
              <w:t xml:space="preserve">Threats to this community include weed invasion, inappropriate biomass management regimes (including slashing, mowing, grazing and fire regimes), disturbance from infrastructure maintenance, fertiliser residues, changes to hydrology, clearing, and fragmentation </w:t>
            </w:r>
            <w:sdt>
              <w:sdtPr>
                <w:rPr>
                  <w:color w:val="000000"/>
                </w:rPr>
                <w:tag w:val="MENDELEY_CITATION_v3_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"/>
                <w:id w:val="-1654212478"/>
                <w:placeholder>
                  <w:docPart w:val="339B7D746526864D922760336FCFE603"/>
                </w:placeholder>
              </w:sdtPr>
              <w:sdtContent>
                <w:r w:rsidRPr="00AB79D8">
                  <w:rPr>
                    <w:color w:val="000000"/>
                  </w:rPr>
                  <w:t>(DoE, 2015a)</w:t>
                </w:r>
              </w:sdtContent>
            </w:sdt>
            <w:r>
              <w:t>.</w:t>
            </w:r>
          </w:p>
          <w:p w14:paraId="27D0CD60" w14:textId="77777777" w:rsidR="000B173B" w:rsidRDefault="000B173B" w:rsidP="00A15226">
            <w:pPr>
              <w:pStyle w:val="Tabletext"/>
            </w:pPr>
            <w:r>
              <w:t>This vegetation community is not present within the Strategic Assessment Area, as the Strategic Assessment Area is not a coastal plain environment. Further, the Strategic Assessment Area is not located within the South East Coastal Plain IBRA bioregion.</w:t>
            </w:r>
          </w:p>
          <w:p w14:paraId="10639F04" w14:textId="77777777" w:rsidR="000B173B" w:rsidRDefault="000B173B" w:rsidP="00A15226">
            <w:pPr>
              <w:pStyle w:val="Tabletext"/>
            </w:pPr>
            <w:r>
              <w:t xml:space="preserve">It is possible that the community may be present along the lower reaches of the Barwon River. This area is downstream of the Strategic Assessment Area. </w:t>
            </w:r>
          </w:p>
          <w:p w14:paraId="58D80656" w14:textId="77777777" w:rsidR="000B173B" w:rsidRDefault="000B173B" w:rsidP="00A15226">
            <w:pPr>
              <w:pStyle w:val="Tabletext"/>
            </w:pPr>
            <w:r w:rsidRPr="008A4C3A">
              <w:t xml:space="preserve">However, it is considered unlikely that the Plan would impact upon this </w:t>
            </w:r>
            <w:r>
              <w:t>community in this location</w:t>
            </w:r>
            <w:r w:rsidRPr="008A4C3A">
              <w:t>. This because the</w:t>
            </w:r>
            <w:r>
              <w:t xml:space="preserve"> main potential impact pathway to the community due to the Plan is through changes to water flow and quality. The Plan includes a commitment which will suitably mitigate this impact, through undertaking technical studies to understand key risks to water flow and quality, preparing guidelines based on the result of these studies, and undertaking planning scheme amendments to implement the guidelines. This commitment is supported by a range of existing measures in the planning system to minimise impacts to water flow and quality.</w:t>
            </w:r>
          </w:p>
          <w:p w14:paraId="7277FFAF" w14:textId="77777777" w:rsidR="000B173B" w:rsidRPr="008A4C3A" w:rsidRDefault="000B173B" w:rsidP="00A15226">
            <w:pPr>
              <w:pStyle w:val="Tabletext"/>
            </w:pPr>
            <w:r>
              <w:t>Overall, it is considered unlikely that implementation of the Plan would result in impacts to this community.</w:t>
            </w:r>
          </w:p>
        </w:tc>
      </w:tr>
      <w:tr w:rsidR="000B173B" w14:paraId="4D89A0DF" w14:textId="77777777" w:rsidTr="00A15226">
        <w:tc>
          <w:tcPr>
            <w:tcW w:w="2972" w:type="dxa"/>
            <w:vAlign w:val="center"/>
          </w:tcPr>
          <w:p w14:paraId="01D96160" w14:textId="77777777" w:rsidR="000B173B" w:rsidRDefault="000B173B" w:rsidP="00A15226">
            <w:pPr>
              <w:pStyle w:val="Tabletext"/>
            </w:pPr>
            <w:r>
              <w:lastRenderedPageBreak/>
              <w:t>Natural Temperate Grassland of the Victorian Volcanic Plain</w:t>
            </w:r>
          </w:p>
        </w:tc>
        <w:tc>
          <w:tcPr>
            <w:tcW w:w="992" w:type="dxa"/>
            <w:vAlign w:val="center"/>
          </w:tcPr>
          <w:p w14:paraId="0B7942A5" w14:textId="77777777" w:rsidR="000B173B" w:rsidRDefault="000B173B" w:rsidP="00A15226">
            <w:pPr>
              <w:pStyle w:val="Tabletext"/>
            </w:pPr>
            <w:r>
              <w:t>Critically Endangered</w:t>
            </w:r>
          </w:p>
        </w:tc>
        <w:tc>
          <w:tcPr>
            <w:tcW w:w="1701" w:type="dxa"/>
            <w:vAlign w:val="center"/>
          </w:tcPr>
          <w:p w14:paraId="45FE7DB5" w14:textId="77777777" w:rsidR="000B173B" w:rsidRPr="008A4C3A" w:rsidRDefault="000B173B" w:rsidP="00A15226">
            <w:pPr>
              <w:pStyle w:val="Tabletext"/>
              <w:jc w:val="center"/>
            </w:pPr>
            <w:r>
              <w:t>Yes</w:t>
            </w:r>
          </w:p>
        </w:tc>
        <w:tc>
          <w:tcPr>
            <w:tcW w:w="8671" w:type="dxa"/>
          </w:tcPr>
          <w:p w14:paraId="4F295813" w14:textId="77777777" w:rsidR="000B173B" w:rsidRDefault="000B173B" w:rsidP="00A15226">
            <w:pPr>
              <w:pStyle w:val="Tabletext"/>
            </w:pPr>
            <w:r>
              <w:t xml:space="preserve">This community is a complex and variable ecological community, with species composition and appearance varying based on environmental conditions and seasonal variations. The vegetation of Natural Temperate Grassland is mostly limited to a ground layer of grasses and herbs. Large trees are absent to sparse </w:t>
            </w:r>
            <w:sdt>
              <w:sdtPr>
                <w:rPr>
                  <w:color w:val="000000"/>
                </w:rPr>
                <w:tag w:val="MENDELEY_CITATION_v3_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"/>
                <w:id w:val="-2045814269"/>
                <w:placeholder>
                  <w:docPart w:val="339B7D746526864D922760336FCFE603"/>
                </w:placeholder>
              </w:sdtPr>
              <w:sdtContent>
                <w:r w:rsidRPr="00AB79D8">
                  <w:rPr>
                    <w:color w:val="000000"/>
                  </w:rPr>
                  <w:t>(TSSC, 2008)</w:t>
                </w:r>
              </w:sdtContent>
            </w:sdt>
            <w:r>
              <w:t xml:space="preserve">. The TEC is dominated by a layer of native tussock-forming perennial grasses. The spaces between tussock grasses are interspersed with a variety of herbs </w:t>
            </w:r>
            <w:sdt>
              <w:sdtPr>
                <w:rPr>
                  <w:color w:val="000000"/>
                </w:rPr>
                <w:tag w:val="MENDELEY_CITATION_v3_eyJjaXRhdGlvbklEIjoiTUVOREVMRVlfQ0lUQVRJT05fYTNhOTczN2QtNmRkMi00MDRiLTgxZTAtNDVhNGQ0NWQzOTI1IiwicHJvcGVydGllcyI6eyJub3RlSW5kZXgiOjB9LCJpc0VkaXRlZCI6ZmFsc2UsIm1hbnVhbE92ZXJyaWRlIjp7ImNpdGVwcm9jVGV4dCI6IihERVdIQSwgMjAwOGQpIiwiaXNNYW51YWxseU92ZXJyaWRkZW4iOmZhbHNlLCJtYW51YWxPdmVycmlkZVRleHQiOiIifSwiY2l0YXRpb25JdGVtcyI6W3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1dfQ=="/>
                <w:id w:val="1738511510"/>
                <w:placeholder>
                  <w:docPart w:val="339B7D746526864D922760336FCFE603"/>
                </w:placeholder>
              </w:sdtPr>
              <w:sdtContent>
                <w:r w:rsidRPr="00AB79D8">
                  <w:rPr>
                    <w:color w:val="000000"/>
                  </w:rPr>
                  <w:t>(DEWHA, 2008d)</w:t>
                </w:r>
              </w:sdtContent>
            </w:sdt>
            <w:r w:rsidRPr="009A719B">
              <w:t>.</w:t>
            </w:r>
            <w:r>
              <w:t xml:space="preserve"> </w:t>
            </w:r>
          </w:p>
          <w:p w14:paraId="0024B10A" w14:textId="77777777" w:rsidR="000B173B" w:rsidRDefault="000B173B" w:rsidP="00A15226">
            <w:pPr>
              <w:pStyle w:val="Tabletext"/>
            </w:pPr>
            <w:r>
              <w:t xml:space="preserve">The community has a very restricted geographic distribution and is limited to the basalt plains of Victoria, extending from Melbourne west to Hamilton. It has declined in extent and community integrity </w:t>
            </w:r>
            <w:sdt>
              <w:sdtPr>
                <w:rPr>
                  <w:color w:val="000000"/>
                </w:rPr>
                <w:tag w:val="MENDELEY_CITATION_v3_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"/>
                <w:id w:val="2135667392"/>
                <w:placeholder>
                  <w:docPart w:val="339B7D746526864D922760336FCFE603"/>
                </w:placeholder>
              </w:sdtPr>
              <w:sdtContent>
                <w:r w:rsidRPr="00AB79D8">
                  <w:rPr>
                    <w:color w:val="000000"/>
                  </w:rPr>
                  <w:t>(DEWHA, 2008d)</w:t>
                </w:r>
              </w:sdtContent>
            </w:sdt>
            <w:r>
              <w:t>.</w:t>
            </w:r>
          </w:p>
          <w:p w14:paraId="1AA881D6" w14:textId="77777777" w:rsidR="000B173B" w:rsidRPr="008A4C3A" w:rsidRDefault="000B173B" w:rsidP="00A15226">
            <w:pPr>
              <w:pStyle w:val="Tabletext"/>
            </w:pPr>
            <w:r>
              <w:t xml:space="preserve">This community was identified within NGGA during site surveys and has potential for direct and indirect impacts </w:t>
            </w:r>
            <w:sdt>
              <w:sdtPr>
                <w:rPr>
                  <w:color w:val="000000"/>
                </w:rPr>
                <w:tag w:val="MENDELEY_CITATION_v3_eyJjaXRhdGlvbklEIjoiTUVOREVMRVlfQ0lUQVRJT05fMzQ2OTRlZTMtMjQ2ZC00M2U2LTk1ZmYtZGRlMDI4ZjFhODV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107885417"/>
                <w:placeholder>
                  <w:docPart w:val="339B7D746526864D922760336FCFE603"/>
                </w:placeholder>
              </w:sdtPr>
              <w:sdtContent>
                <w:r w:rsidRPr="00AB79D8">
                  <w:rPr>
                    <w:color w:val="000000"/>
                  </w:rPr>
                  <w:t>(EHP, 2021)</w:t>
                </w:r>
              </w:sdtContent>
            </w:sdt>
            <w:r>
              <w:t>. Further detailed assessment is required. Refer to Chapter 21 of Part 4 for the detailed impact assessment of Natural Temperate Grassland.</w:t>
            </w:r>
          </w:p>
        </w:tc>
      </w:tr>
      <w:tr w:rsidR="000B173B" w14:paraId="3955AE0E" w14:textId="77777777" w:rsidTr="00A15226">
        <w:tc>
          <w:tcPr>
            <w:tcW w:w="2972" w:type="dxa"/>
            <w:vAlign w:val="center"/>
          </w:tcPr>
          <w:p w14:paraId="33ED60B6" w14:textId="77777777" w:rsidR="000B173B" w:rsidRDefault="000B173B" w:rsidP="00A15226">
            <w:pPr>
              <w:pStyle w:val="Tabletext"/>
            </w:pPr>
            <w:r>
              <w:lastRenderedPageBreak/>
              <w:t>Seasonal Herbaceous Wetlands (Freshwater) of the Temperate Lowland Plains</w:t>
            </w:r>
          </w:p>
        </w:tc>
        <w:tc>
          <w:tcPr>
            <w:tcW w:w="992" w:type="dxa"/>
            <w:vAlign w:val="center"/>
          </w:tcPr>
          <w:p w14:paraId="34A40008" w14:textId="77777777" w:rsidR="000B173B" w:rsidRDefault="000B173B" w:rsidP="00A15226">
            <w:pPr>
              <w:pStyle w:val="Tabletext"/>
            </w:pPr>
            <w:r>
              <w:t>Critically Endangered</w:t>
            </w:r>
          </w:p>
        </w:tc>
        <w:tc>
          <w:tcPr>
            <w:tcW w:w="1701" w:type="dxa"/>
            <w:vAlign w:val="center"/>
          </w:tcPr>
          <w:p w14:paraId="12A20B8D" w14:textId="77777777" w:rsidR="000B173B" w:rsidRPr="008A4C3A" w:rsidRDefault="000B173B" w:rsidP="00A15226">
            <w:pPr>
              <w:pStyle w:val="Tabletext"/>
              <w:jc w:val="center"/>
            </w:pPr>
            <w:r>
              <w:t>No</w:t>
            </w:r>
          </w:p>
        </w:tc>
        <w:tc>
          <w:tcPr>
            <w:tcW w:w="8671" w:type="dxa"/>
          </w:tcPr>
          <w:p w14:paraId="6DA1CF20" w14:textId="77777777" w:rsidR="000B173B" w:rsidRDefault="000B173B" w:rsidP="00A15226">
            <w:pPr>
              <w:pStyle w:val="Tabletext"/>
            </w:pPr>
            <w:r>
              <w:t xml:space="preserve">This community occurs in the temperate zone of mainland south-eastern Australia, including south-eastern SA, Victoria, and southern NSW. It is found on flat plains or gentle slopes below 500 m elevation </w:t>
            </w:r>
            <w:sdt>
              <w:sdtPr>
                <w:rPr>
                  <w:color w:val="000000"/>
                </w:rPr>
                <w:tag w:val="MENDELEY_CITATION_v3_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"/>
                <w:id w:val="1269048951"/>
                <w:placeholder>
                  <w:docPart w:val="7A87483195E49548AABB39FF484A13FE"/>
                </w:placeholder>
              </w:sdtPr>
              <w:sdtContent>
                <w:r w:rsidRPr="00AB79D8">
                  <w:rPr>
                    <w:color w:val="000000"/>
                  </w:rPr>
                  <w:t>(DSEWPaC, 2012a)</w:t>
                </w:r>
              </w:sdtContent>
            </w:sdt>
            <w:r>
              <w:t>.</w:t>
            </w:r>
          </w:p>
          <w:p w14:paraId="7393F396" w14:textId="77777777" w:rsidR="000B173B" w:rsidRDefault="000B173B" w:rsidP="00A15226">
            <w:pPr>
              <w:pStyle w:val="Tabletext"/>
            </w:pPr>
            <w:r>
              <w:t xml:space="preserve">The community comprises temporary freshwater wetlands which are seasonally inundated, typically filling after rains in winter and spring, and then drying out. Rainfall is the main water source for the community. The community occurs on fertile and poorly drained soils, on isolated depressions or drainage lines. Many occurrences of this community are very small (less than 1 hectare in size) </w:t>
            </w:r>
            <w:sdt>
              <w:sdtPr>
                <w:rPr>
                  <w:color w:val="000000"/>
                </w:rPr>
                <w:tag w:val="MENDELEY_CITATION_v3_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"/>
                <w:id w:val="-2017760092"/>
                <w:placeholder>
                  <w:docPart w:val="7A87483195E49548AABB39FF484A13FE"/>
                </w:placeholder>
              </w:sdtPr>
              <w:sdtContent>
                <w:r w:rsidRPr="00AB79D8">
                  <w:rPr>
                    <w:color w:val="000000"/>
                  </w:rPr>
                  <w:t>(DSEWPaC, 2012a)</w:t>
                </w:r>
              </w:sdtContent>
            </w:sdt>
            <w:r>
              <w:t>.</w:t>
            </w:r>
          </w:p>
          <w:p w14:paraId="0DF4B02A" w14:textId="77777777" w:rsidR="000B173B" w:rsidRDefault="000B173B" w:rsidP="00A15226">
            <w:pPr>
              <w:pStyle w:val="Tabletext"/>
            </w:pPr>
            <w:r>
              <w:t xml:space="preserve">Species composition of the community varies with these seasonal patterns and local site conditions. The community is dominated by a ground layer of wetland herbs, forbs and graminoid species, and trees are usually absent. The wetland usually has a sharp boundary in soil, topography or vegetation that distinguishes it from neighbouring vegetation communities, with few to no wetland specialist species in the adjacent communities. The community often occurs in association with natural temperate grasslands and grassy woodlands </w:t>
            </w:r>
            <w:sdt>
              <w:sdtPr>
                <w:rPr>
                  <w:color w:val="000000"/>
                </w:rPr>
                <w:tag w:val="MENDELEY_CITATION_v3_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"/>
                <w:id w:val="1924143743"/>
                <w:placeholder>
                  <w:docPart w:val="7A87483195E49548AABB39FF484A13FE"/>
                </w:placeholder>
              </w:sdtPr>
              <w:sdtContent>
                <w:r w:rsidRPr="00AB79D8">
                  <w:rPr>
                    <w:color w:val="000000"/>
                  </w:rPr>
                  <w:t>(DSEWPaC, 2012a)</w:t>
                </w:r>
              </w:sdtContent>
            </w:sdt>
          </w:p>
          <w:p w14:paraId="7F16F9AB" w14:textId="77777777" w:rsidR="000B173B" w:rsidRDefault="000B173B" w:rsidP="00A15226">
            <w:pPr>
              <w:pStyle w:val="Tabletext"/>
            </w:pPr>
            <w:r>
              <w:t xml:space="preserve">It is noted that modifications to other types of wetlands can result in this ecological community being present where it was previously absent. These modified wetlands are considered to be included as part of this threatened ecological community </w:t>
            </w:r>
            <w:sdt>
              <w:sdtPr>
                <w:rPr>
                  <w:color w:val="000000"/>
                </w:rPr>
                <w:tag w:val="MENDELEY_CITATION_v3_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"/>
                <w:id w:val="926382046"/>
                <w:placeholder>
                  <w:docPart w:val="7A87483195E49548AABB39FF484A13FE"/>
                </w:placeholder>
              </w:sdtPr>
              <w:sdtContent>
                <w:r w:rsidRPr="00AB79D8">
                  <w:rPr>
                    <w:color w:val="000000"/>
                  </w:rPr>
                  <w:t>(DSEWPaC, 2012a)</w:t>
                </w:r>
              </w:sdtContent>
            </w:sdt>
          </w:p>
          <w:p w14:paraId="2F752117" w14:textId="77777777" w:rsidR="000B173B" w:rsidRDefault="000B173B" w:rsidP="00A15226">
            <w:pPr>
              <w:pStyle w:val="Tabletext"/>
            </w:pPr>
            <w:r w:rsidRPr="006900FB">
              <w:t>No vegetation likely to be part of this community was recorded during surveys.</w:t>
            </w:r>
            <w:r w:rsidRPr="0082476A">
              <w:t xml:space="preserve"> Further, no wetlands were recorded during surveys that are likely to meet the definition of this TEC </w:t>
            </w:r>
            <w:sdt>
              <w:sdtPr>
                <w:rPr>
                  <w:color w:val="000000"/>
                </w:rPr>
                <w:tag w:val="MENDELEY_CITATION_v3_eyJjaXRhdGlvbklEIjoiTUVOREVMRVlfQ0lUQVRJT05fOTNmZjk5NTctNTdhNC00ZTk5LWIwYmEtNzNlN2ZlODBmYzNl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980190351"/>
                <w:placeholder>
                  <w:docPart w:val="339B7D746526864D922760336FCFE603"/>
                </w:placeholder>
              </w:sdtPr>
              <w:sdtContent>
                <w:r w:rsidRPr="00AB79D8">
                  <w:rPr>
                    <w:color w:val="000000"/>
                  </w:rPr>
                  <w:t>(EHP, 2021)</w:t>
                </w:r>
              </w:sdtContent>
            </w:sdt>
            <w:r w:rsidRPr="0082476A">
              <w:t>.</w:t>
            </w:r>
          </w:p>
          <w:p w14:paraId="3B832E85" w14:textId="77777777" w:rsidR="000B173B" w:rsidRDefault="000B173B" w:rsidP="00A15226">
            <w:pPr>
              <w:pStyle w:val="Tabletext"/>
              <w:rPr>
                <w:color w:val="FF0000"/>
              </w:rPr>
            </w:pPr>
            <w:r>
              <w:t xml:space="preserve">Modelling of wetland occurrence by DELWP </w:t>
            </w:r>
            <w:sdt>
              <w:sdtPr>
                <w:rPr>
                  <w:color w:val="000000"/>
                </w:rPr>
                <w:tag w:val="MENDELEY_CITATION_v3_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"/>
                <w:id w:val="693813226"/>
                <w:placeholder>
                  <w:docPart w:val="339B7D746526864D922760336FCFE603"/>
                </w:placeholder>
              </w:sdtPr>
              <w:sdtContent>
                <w:r w:rsidRPr="00AB79D8">
                  <w:rPr>
                    <w:color w:val="000000"/>
                  </w:rPr>
                  <w:t>(DELWP, 2022b)</w:t>
                </w:r>
              </w:sdtContent>
            </w:sdt>
            <w:r>
              <w:t xml:space="preserve"> has not identified any other wetland areas within the Growth Areas which are likely to constitute this TEC. There are two wetlands modelled to occur within the NGGA. The first of these corresponds to a wastewater treatment plant adjacent to Anakie Road. The second of these appears to be related to two small farm dams (from aerial observations) located in the NGGA Conservation Area. This area was mapped as Plains Grassland (EVC 132) </w:t>
            </w:r>
            <w:r w:rsidRPr="007F2B8C">
              <w:t xml:space="preserve">by </w:t>
            </w:r>
            <w:sdt>
              <w:sdtPr>
                <w:rPr>
                  <w:color w:val="000000"/>
                </w:rPr>
                <w:tag w:val="MENDELEY_CITATION_v3_eyJjaXRhdGlvbklEIjoiTUVOREVMRVlfQ0lUQVRJT05fM2ViNTIxM2QtNjU4My00MDA1LWE2ZmMtMTQyYTk4Y2FjN2N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2100561898"/>
                <w:placeholder>
                  <w:docPart w:val="339B7D746526864D922760336FCFE603"/>
                </w:placeholder>
              </w:sdtPr>
              <w:sdtContent>
                <w:r w:rsidRPr="00AB79D8">
                  <w:rPr>
                    <w:color w:val="000000"/>
                  </w:rPr>
                  <w:t>(EHP, 2021)</w:t>
                </w:r>
              </w:sdtContent>
            </w:sdt>
            <w:r w:rsidRPr="007F2B8C">
              <w:t>.</w:t>
            </w:r>
            <w:r>
              <w:rPr>
                <w:color w:val="FF0000"/>
              </w:rPr>
              <w:t xml:space="preserve"> </w:t>
            </w:r>
          </w:p>
          <w:p w14:paraId="329C82E1" w14:textId="77777777" w:rsidR="000B173B" w:rsidRPr="008A4C3A" w:rsidRDefault="000B173B" w:rsidP="00A15226">
            <w:pPr>
              <w:pStyle w:val="Tabletext"/>
            </w:pPr>
            <w:r w:rsidRPr="00C15BA8">
              <w:rPr>
                <w:color w:val="000000" w:themeColor="text1"/>
              </w:rPr>
              <w:t xml:space="preserve">The TEC may occur approximately 4.6 km south of the WGGA near the intersection of McCanns Lane and the Hamilton Highway, outside of the Strategic Assessment Area </w:t>
            </w:r>
            <w:sdt>
              <w:sdtPr>
                <w:rPr>
                  <w:color w:val="000000"/>
                </w:rPr>
                <w:tag w:val="MENDELEY_CITATION_v3_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"/>
                <w:id w:val="443273731"/>
                <w:placeholder>
                  <w:docPart w:val="339B7D746526864D922760336FCFE603"/>
                </w:placeholder>
              </w:sdtPr>
              <w:sdtContent>
                <w:r w:rsidRPr="00AB79D8">
                  <w:rPr>
                    <w:color w:val="000000"/>
                  </w:rPr>
                  <w:t>(The City of Greater Geelong, 2021)</w:t>
                </w:r>
              </w:sdtContent>
            </w:sdt>
            <w:r w:rsidRPr="00C15BA8">
              <w:rPr>
                <w:color w:val="000000" w:themeColor="text1"/>
              </w:rPr>
              <w:t>. More recent surveying of this area suggests that the occurrence does not represent the TEC. Further survey is required to confirm the presence of the TEC in this area. Indirect impacts to the TEC (if it does occur in this area) are unlikely given the distance from the Growth Areas, and the absence of hydrological links.</w:t>
            </w:r>
          </w:p>
        </w:tc>
      </w:tr>
      <w:tr w:rsidR="000B173B" w14:paraId="1441E008" w14:textId="77777777" w:rsidTr="00A15226">
        <w:tc>
          <w:tcPr>
            <w:tcW w:w="2972" w:type="dxa"/>
            <w:vAlign w:val="center"/>
          </w:tcPr>
          <w:p w14:paraId="27033165" w14:textId="77777777" w:rsidR="000B173B" w:rsidRDefault="000B173B" w:rsidP="00A15226">
            <w:pPr>
              <w:pStyle w:val="Tabletext"/>
            </w:pPr>
            <w:r>
              <w:lastRenderedPageBreak/>
              <w:t>White Box-Yellow Box-Blakely’s Red Gum Grassy Woodland and Derived Native Grassland</w:t>
            </w:r>
          </w:p>
        </w:tc>
        <w:tc>
          <w:tcPr>
            <w:tcW w:w="992" w:type="dxa"/>
            <w:vAlign w:val="center"/>
          </w:tcPr>
          <w:p w14:paraId="408AAF28" w14:textId="77777777" w:rsidR="000B173B" w:rsidRDefault="000B173B" w:rsidP="00A15226">
            <w:pPr>
              <w:pStyle w:val="Tabletext"/>
            </w:pPr>
            <w:r>
              <w:t>Critically Endangered</w:t>
            </w:r>
          </w:p>
        </w:tc>
        <w:tc>
          <w:tcPr>
            <w:tcW w:w="1701" w:type="dxa"/>
            <w:vAlign w:val="center"/>
          </w:tcPr>
          <w:p w14:paraId="236E659A" w14:textId="77777777" w:rsidR="000B173B" w:rsidRPr="008A4C3A" w:rsidRDefault="000B173B" w:rsidP="00A15226">
            <w:pPr>
              <w:pStyle w:val="Tabletext"/>
              <w:jc w:val="center"/>
            </w:pPr>
            <w:r>
              <w:t>No</w:t>
            </w:r>
          </w:p>
        </w:tc>
        <w:tc>
          <w:tcPr>
            <w:tcW w:w="8671" w:type="dxa"/>
          </w:tcPr>
          <w:p w14:paraId="5D3C9724" w14:textId="77777777" w:rsidR="000B173B" w:rsidRDefault="000B173B" w:rsidP="00A15226">
            <w:pPr>
              <w:pStyle w:val="Tabletext"/>
            </w:pPr>
            <w:r>
              <w:t xml:space="preserve">This community occurs along the western slopes and tablelands of the Great Dividing Range, from southern Queensland, through NSW to Victoria. It occurs in areas with annual rainfall between 400-800 mm per annum at altitudes of 170-1,200 m above sea level </w:t>
            </w:r>
            <w:sdt>
              <w:sdtPr>
                <w:rPr>
                  <w:color w:val="000000"/>
                </w:rPr>
                <w:tag w:val="MENDELEY_CITATION_v3_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"/>
                <w:id w:val="-1571498002"/>
                <w:placeholder>
                  <w:docPart w:val="7A87483195E49548AABB39FF484A13FE"/>
                </w:placeholder>
              </w:sdtPr>
              <w:sdtContent>
                <w:r w:rsidRPr="00AB79D8">
                  <w:rPr>
                    <w:color w:val="000000"/>
                  </w:rPr>
                  <w:t>(DECCW, 2010)</w:t>
                </w:r>
              </w:sdtContent>
            </w:sdt>
            <w:r>
              <w:t>.</w:t>
            </w:r>
          </w:p>
          <w:p w14:paraId="787F23E1" w14:textId="77777777" w:rsidR="000B173B" w:rsidRDefault="000B173B" w:rsidP="00A15226">
            <w:pPr>
              <w:pStyle w:val="Tabletext"/>
            </w:pPr>
            <w:r>
              <w:t>The community is a grassy woodland community which is characterised by a diverse understorey of tussock grasses, herbs and occasional shrubs, with either White Box (</w:t>
            </w:r>
            <w:r>
              <w:rPr>
                <w:i/>
                <w:iCs/>
              </w:rPr>
              <w:t>Eucalyptus albens</w:t>
            </w:r>
            <w:r>
              <w:t>), Yellow Box (</w:t>
            </w:r>
            <w:r w:rsidRPr="00E64620">
              <w:rPr>
                <w:i/>
                <w:iCs/>
              </w:rPr>
              <w:t>Eucalyptus melliodora</w:t>
            </w:r>
            <w:r>
              <w:t xml:space="preserve">) </w:t>
            </w:r>
            <w:r w:rsidRPr="00E64620">
              <w:t>and</w:t>
            </w:r>
            <w:r>
              <w:t>/or Blakely’s Red Gum (</w:t>
            </w:r>
            <w:r>
              <w:rPr>
                <w:i/>
                <w:iCs/>
              </w:rPr>
              <w:t>Eucalyptus blakelyi</w:t>
            </w:r>
            <w:r>
              <w:t xml:space="preserve">) as the dominant tree species. The community may also occur as a derived grassland, where trees have been removed yet the groundcover remains intact </w:t>
            </w:r>
          </w:p>
          <w:p w14:paraId="40906CD8" w14:textId="77777777" w:rsidR="000B173B" w:rsidRDefault="000B173B" w:rsidP="00A15226">
            <w:pPr>
              <w:pStyle w:val="Tabletext"/>
            </w:pPr>
            <w:r>
              <w:t xml:space="preserve">Characteristics trees of this vegetation community have not been recorded during site surveys within the Growth Areas </w:t>
            </w:r>
            <w:sdt>
              <w:sdtPr>
                <w:rPr>
                  <w:color w:val="000000"/>
                </w:rPr>
                <w:tag w:val="MENDELEY_CITATION_v3_eyJjaXRhdGlvbklEIjoiTUVOREVMRVlfQ0lUQVRJT05fNDg1ZTIyOWYtMjI3Yy00ODVhLTgwMmUtZmE0YWI2NTkyYTQ4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711081402"/>
                <w:placeholder>
                  <w:docPart w:val="339B7D746526864D922760336FCFE603"/>
                </w:placeholder>
              </w:sdtPr>
              <w:sdtContent>
                <w:r w:rsidRPr="00AB79D8">
                  <w:rPr>
                    <w:color w:val="000000"/>
                  </w:rPr>
                  <w:t>(EHP, 2021)</w:t>
                </w:r>
              </w:sdtContent>
            </w:sdt>
            <w:r>
              <w:t xml:space="preserve">. The Strategic Assessment Area is modelled to have historically comprised of a native grassland community, not a woodland community </w:t>
            </w:r>
            <w:sdt>
              <w:sdtPr>
                <w:rPr>
                  <w:color w:val="000000"/>
                </w:rPr>
                <w:tag w:val="MENDELEY_CITATION_v3_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"/>
                <w:id w:val="-1119988329"/>
                <w:placeholder>
                  <w:docPart w:val="339B7D746526864D922760336FCFE603"/>
                </w:placeholder>
              </w:sdtPr>
              <w:sdtContent>
                <w:r w:rsidRPr="00AB79D8">
                  <w:rPr>
                    <w:color w:val="000000"/>
                  </w:rPr>
                  <w:t>(DELWP, 2022a)</w:t>
                </w:r>
              </w:sdtContent>
            </w:sdt>
            <w:r>
              <w:t>. Further, the Strategic Assessment Area is located wholly within the Southern Volcanic Plain IBRA bioregion, and this community is not known to occur within this bioregion</w:t>
            </w:r>
            <w:r>
              <w:rPr>
                <w:color w:val="000000"/>
              </w:rPr>
              <w:t xml:space="preserve"> </w:t>
            </w:r>
            <w:sdt>
              <w:sdtPr>
                <w:rPr>
                  <w:color w:val="000000"/>
                </w:rPr>
                <w:tag w:val="MENDELEY_CITATION_v3_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"/>
                <w:id w:val="1765108118"/>
                <w:placeholder>
                  <w:docPart w:val="7A87483195E49548AABB39FF484A13FE"/>
                </w:placeholder>
              </w:sdtPr>
              <w:sdtContent>
                <w:r w:rsidRPr="00AB79D8">
                  <w:rPr>
                    <w:color w:val="000000"/>
                  </w:rPr>
                  <w:t>(DECCW, 2010)</w:t>
                </w:r>
              </w:sdtContent>
            </w:sdt>
            <w:r>
              <w:rPr>
                <w:color w:val="000000"/>
              </w:rPr>
              <w:t xml:space="preserve">. </w:t>
            </w:r>
            <w:r>
              <w:t>Overall, it is considered unlikely that this community would be present within the Strategic Assessment Area.</w:t>
            </w:r>
          </w:p>
          <w:p w14:paraId="7FAC68EA" w14:textId="77777777" w:rsidR="000B173B" w:rsidRPr="008A4C3A" w:rsidRDefault="000B173B" w:rsidP="00A15226">
            <w:pPr>
              <w:pStyle w:val="Tabletext"/>
            </w:pPr>
            <w:r>
              <w:t xml:space="preserve">It is unlikely that the community is present in areas downstream of the Strategic Assessment Area. The Strategic Assessment Area occurs up to approximately 100 m in elevation (and so all areas downstream would be at lower elevations than this), whereas this TEC occurs at altitudes above 170 </w:t>
            </w:r>
            <w:sdt>
              <w:sdtPr>
                <w:rPr>
                  <w:color w:val="000000"/>
                </w:rPr>
                <w:tag w:val="MENDELEY_CITATION_v3_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"/>
                <w:id w:val="-2001183749"/>
                <w:placeholder>
                  <w:docPart w:val="7A87483195E49548AABB39FF484A13FE"/>
                </w:placeholder>
              </w:sdtPr>
              <w:sdtContent>
                <w:r w:rsidRPr="00AB79D8">
                  <w:rPr>
                    <w:color w:val="000000"/>
                  </w:rPr>
                  <w:t>(DECCW, 2010)</w:t>
                </w:r>
              </w:sdtContent>
            </w:sdt>
            <w:r>
              <w:t>. Within the Study Area, elevations of 170 m or above occur within You Yangs Regional Park, and in the region associated with the Brisbane Ranges National Park in the north-west of the Study Area. Given the distance of these areas from the Strategic Assessment Area and the fact that they are upstream, it is considered unlikely that the Plan would result in indirect impacts to these environments.</w:t>
            </w:r>
          </w:p>
        </w:tc>
      </w:tr>
    </w:tbl>
    <w:p w14:paraId="3E3C5285" w14:textId="77777777" w:rsidR="000B173B" w:rsidRDefault="000B173B" w:rsidP="000B173B">
      <w:pPr>
        <w:tabs>
          <w:tab w:val="clear" w:pos="4962"/>
        </w:tabs>
        <w:spacing w:before="0" w:after="0" w:line="240" w:lineRule="auto"/>
        <w:rPr>
          <w:rFonts w:ascii="Helvetica" w:eastAsia="MS Gothic" w:hAnsi="Helvetica"/>
          <w:b/>
          <w:bCs/>
          <w:caps/>
          <w:spacing w:val="18"/>
          <w:sz w:val="20"/>
        </w:rPr>
      </w:pPr>
      <w:r>
        <w:rPr>
          <w:rFonts w:ascii="Helvetica" w:eastAsia="MS Gothic" w:hAnsi="Helvetica"/>
          <w:b/>
          <w:bCs/>
          <w:caps/>
          <w:spacing w:val="18"/>
          <w:sz w:val="20"/>
        </w:rPr>
        <w:br w:type="page"/>
      </w:r>
    </w:p>
    <w:p w14:paraId="2B369A53" w14:textId="77777777" w:rsidR="000B173B" w:rsidRDefault="000B173B" w:rsidP="000B173B">
      <w:pPr>
        <w:pStyle w:val="Heading2"/>
        <w:numPr>
          <w:ilvl w:val="0"/>
          <w:numId w:val="0"/>
        </w:numPr>
        <w:ind w:left="576" w:hanging="576"/>
      </w:pPr>
      <w:bookmarkStart w:id="228" w:name="_Toc131154198"/>
      <w:bookmarkStart w:id="229" w:name="_Toc131154385"/>
      <w:r>
        <w:lastRenderedPageBreak/>
        <w:t>FPAL species categorisation</w:t>
      </w:r>
      <w:bookmarkEnd w:id="225"/>
      <w:bookmarkEnd w:id="228"/>
      <w:bookmarkEnd w:id="229"/>
    </w:p>
    <w:p w14:paraId="68CB2C1B" w14:textId="77777777" w:rsidR="000B173B" w:rsidRDefault="000B173B" w:rsidP="000B173B">
      <w:pPr>
        <w:pStyle w:val="Caption"/>
        <w:rPr>
          <w:rFonts w:ascii="Helvetica" w:eastAsia="MS Gothic" w:hAnsi="Helvetica"/>
          <w:b w:val="0"/>
          <w:bCs w:val="0"/>
          <w:caps/>
          <w:spacing w:val="18"/>
          <w:sz w:val="20"/>
        </w:rPr>
      </w:pPr>
      <w:bookmarkStart w:id="230" w:name="_Ref116653188"/>
      <w:bookmarkStart w:id="231" w:name="_Toc134697914"/>
      <w:r>
        <w:t xml:space="preserve">Table </w:t>
      </w:r>
      <w:r>
        <w:fldChar w:fldCharType="begin"/>
      </w:r>
      <w:r>
        <w:instrText xml:space="preserve"> STYLEREF 1 \s </w:instrText>
      </w:r>
      <w:r>
        <w:fldChar w:fldCharType="separate"/>
      </w:r>
      <w:r>
        <w:rPr>
          <w:noProof/>
        </w:rPr>
        <w:t>A</w:t>
      </w:r>
      <w:r>
        <w:fldChar w:fldCharType="end"/>
      </w:r>
      <w:r>
        <w:noBreakHyphen/>
      </w:r>
      <w:r>
        <w:fldChar w:fldCharType="begin"/>
      </w:r>
      <w:r>
        <w:instrText xml:space="preserve"> SEQ Table \* ARABIC \s 1 </w:instrText>
      </w:r>
      <w:r>
        <w:fldChar w:fldCharType="separate"/>
      </w:r>
      <w:r>
        <w:rPr>
          <w:noProof/>
        </w:rPr>
        <w:t>4</w:t>
      </w:r>
      <w:r>
        <w:fldChar w:fldCharType="end"/>
      </w:r>
      <w:bookmarkEnd w:id="230"/>
      <w:r>
        <w:t>: Categorisation of FPAL species</w:t>
      </w:r>
      <w:bookmarkEnd w:id="231"/>
    </w:p>
    <w:tbl>
      <w:tblPr>
        <w:tblStyle w:val="TableGrid"/>
        <w:tblW w:w="14317" w:type="dxa"/>
        <w:tblInd w:w="-5" w:type="dxa"/>
        <w:tblLook w:val="04A0" w:firstRow="1" w:lastRow="0" w:firstColumn="1" w:lastColumn="0" w:noHBand="0" w:noVBand="1"/>
      </w:tblPr>
      <w:tblGrid>
        <w:gridCol w:w="1276"/>
        <w:gridCol w:w="1557"/>
        <w:gridCol w:w="1235"/>
        <w:gridCol w:w="1177"/>
        <w:gridCol w:w="9072"/>
      </w:tblGrid>
      <w:tr w:rsidR="000B173B" w:rsidRPr="009B72E9" w14:paraId="2E31234F" w14:textId="77777777" w:rsidTr="00A15226">
        <w:trPr>
          <w:tblHeader/>
        </w:trPr>
        <w:tc>
          <w:tcPr>
            <w:tcW w:w="1276" w:type="dxa"/>
            <w:tcBorders>
              <w:bottom w:val="single" w:sz="4" w:space="0" w:color="auto"/>
            </w:tcBorders>
            <w:shd w:val="clear" w:color="auto" w:fill="D9D9D9" w:themeFill="background1" w:themeFillShade="D9"/>
            <w:vAlign w:val="center"/>
          </w:tcPr>
          <w:p w14:paraId="5567EC5D" w14:textId="77777777" w:rsidR="000B173B" w:rsidRPr="00EF6308" w:rsidRDefault="000B173B" w:rsidP="00A15226">
            <w:pPr>
              <w:pStyle w:val="Tabletext"/>
              <w:rPr>
                <w:b/>
                <w:bCs/>
              </w:rPr>
            </w:pPr>
            <w:r w:rsidRPr="00EF6308">
              <w:rPr>
                <w:b/>
                <w:bCs/>
              </w:rPr>
              <w:t>Scientific name</w:t>
            </w:r>
          </w:p>
        </w:tc>
        <w:tc>
          <w:tcPr>
            <w:tcW w:w="1557" w:type="dxa"/>
            <w:tcBorders>
              <w:bottom w:val="single" w:sz="4" w:space="0" w:color="auto"/>
            </w:tcBorders>
            <w:shd w:val="clear" w:color="auto" w:fill="D9D9D9" w:themeFill="background1" w:themeFillShade="D9"/>
            <w:vAlign w:val="center"/>
          </w:tcPr>
          <w:p w14:paraId="0EE37C7C" w14:textId="77777777" w:rsidR="000B173B" w:rsidRPr="00EF6308" w:rsidRDefault="000B173B" w:rsidP="00A15226">
            <w:pPr>
              <w:pStyle w:val="Tabletext"/>
              <w:rPr>
                <w:b/>
                <w:bCs/>
              </w:rPr>
            </w:pPr>
            <w:r w:rsidRPr="00EF6308">
              <w:rPr>
                <w:b/>
                <w:bCs/>
              </w:rPr>
              <w:t>Common name</w:t>
            </w:r>
          </w:p>
        </w:tc>
        <w:tc>
          <w:tcPr>
            <w:tcW w:w="1235" w:type="dxa"/>
            <w:tcBorders>
              <w:bottom w:val="single" w:sz="4" w:space="0" w:color="auto"/>
            </w:tcBorders>
            <w:shd w:val="clear" w:color="auto" w:fill="D9D9D9" w:themeFill="background1" w:themeFillShade="D9"/>
            <w:vAlign w:val="center"/>
          </w:tcPr>
          <w:p w14:paraId="482B6C93" w14:textId="77777777" w:rsidR="000B173B" w:rsidRPr="00EF6308" w:rsidRDefault="000B173B" w:rsidP="00A15226">
            <w:pPr>
              <w:pStyle w:val="Tabletext"/>
              <w:rPr>
                <w:b/>
                <w:bCs/>
              </w:rPr>
            </w:pPr>
            <w:r>
              <w:rPr>
                <w:b/>
                <w:bCs/>
              </w:rPr>
              <w:t>Proposed l</w:t>
            </w:r>
            <w:r w:rsidRPr="00EF6308">
              <w:rPr>
                <w:b/>
                <w:bCs/>
              </w:rPr>
              <w:t>isting status</w:t>
            </w:r>
          </w:p>
        </w:tc>
        <w:tc>
          <w:tcPr>
            <w:tcW w:w="1177" w:type="dxa"/>
            <w:tcBorders>
              <w:bottom w:val="single" w:sz="4" w:space="0" w:color="auto"/>
            </w:tcBorders>
            <w:shd w:val="clear" w:color="auto" w:fill="D9D9D9" w:themeFill="background1" w:themeFillShade="D9"/>
            <w:vAlign w:val="center"/>
          </w:tcPr>
          <w:p w14:paraId="44F120D7" w14:textId="77777777" w:rsidR="000B173B" w:rsidRPr="00B84B99" w:rsidRDefault="000B173B" w:rsidP="00A15226">
            <w:pPr>
              <w:pStyle w:val="Tabletext"/>
              <w:jc w:val="center"/>
              <w:rPr>
                <w:b/>
                <w:bCs/>
              </w:rPr>
            </w:pPr>
            <w:r w:rsidRPr="00B84B99">
              <w:rPr>
                <w:b/>
                <w:bCs/>
              </w:rPr>
              <w:t xml:space="preserve">Requires </w:t>
            </w:r>
            <w:r>
              <w:rPr>
                <w:b/>
                <w:bCs/>
              </w:rPr>
              <w:t xml:space="preserve">further </w:t>
            </w:r>
            <w:r w:rsidRPr="00B84B99">
              <w:rPr>
                <w:b/>
                <w:bCs/>
              </w:rPr>
              <w:t>assessment</w:t>
            </w:r>
          </w:p>
        </w:tc>
        <w:tc>
          <w:tcPr>
            <w:tcW w:w="9072" w:type="dxa"/>
            <w:tcBorders>
              <w:bottom w:val="single" w:sz="4" w:space="0" w:color="auto"/>
            </w:tcBorders>
            <w:shd w:val="clear" w:color="auto" w:fill="D9D9D9" w:themeFill="background1" w:themeFillShade="D9"/>
            <w:vAlign w:val="center"/>
          </w:tcPr>
          <w:p w14:paraId="71859EFC" w14:textId="77777777" w:rsidR="000B173B" w:rsidRPr="00125798" w:rsidRDefault="000B173B" w:rsidP="00A15226">
            <w:pPr>
              <w:pStyle w:val="Tabletext"/>
              <w:rPr>
                <w:b/>
                <w:bCs/>
              </w:rPr>
            </w:pPr>
            <w:r>
              <w:rPr>
                <w:b/>
                <w:bCs/>
              </w:rPr>
              <w:t>Justification</w:t>
            </w:r>
          </w:p>
        </w:tc>
      </w:tr>
      <w:tr w:rsidR="000B173B" w14:paraId="40DC61E6" w14:textId="77777777" w:rsidTr="00A15226">
        <w:tc>
          <w:tcPr>
            <w:tcW w:w="14317" w:type="dxa"/>
            <w:gridSpan w:val="5"/>
            <w:tcBorders>
              <w:bottom w:val="single" w:sz="4" w:space="0" w:color="auto"/>
            </w:tcBorders>
            <w:shd w:val="clear" w:color="auto" w:fill="B4C6E7" w:themeFill="accent1" w:themeFillTint="66"/>
            <w:vAlign w:val="center"/>
          </w:tcPr>
          <w:p w14:paraId="2E24479F" w14:textId="77777777" w:rsidR="000B173B" w:rsidRDefault="000B173B" w:rsidP="00A15226">
            <w:pPr>
              <w:pStyle w:val="Tabletext"/>
            </w:pPr>
            <w:r w:rsidRPr="00B260FD">
              <w:rPr>
                <w:b/>
                <w:bCs/>
              </w:rPr>
              <w:t>Birds</w:t>
            </w:r>
          </w:p>
        </w:tc>
      </w:tr>
      <w:tr w:rsidR="000B173B" w14:paraId="04BDE6BB" w14:textId="77777777" w:rsidTr="00A15226">
        <w:tc>
          <w:tcPr>
            <w:tcW w:w="1276" w:type="dxa"/>
            <w:tcBorders>
              <w:bottom w:val="single" w:sz="4" w:space="0" w:color="auto"/>
            </w:tcBorders>
            <w:shd w:val="clear" w:color="auto" w:fill="auto"/>
            <w:vAlign w:val="center"/>
          </w:tcPr>
          <w:p w14:paraId="61A484CD" w14:textId="77777777" w:rsidR="000B173B" w:rsidRPr="006F54EA" w:rsidRDefault="000B173B" w:rsidP="00A15226">
            <w:pPr>
              <w:pStyle w:val="Tabletext"/>
              <w:rPr>
                <w:i/>
                <w:iCs/>
              </w:rPr>
            </w:pPr>
            <w:r w:rsidRPr="006F54EA">
              <w:rPr>
                <w:i/>
                <w:iCs/>
              </w:rPr>
              <w:t>Aphelocephala leucopsis</w:t>
            </w:r>
          </w:p>
        </w:tc>
        <w:tc>
          <w:tcPr>
            <w:tcW w:w="1557" w:type="dxa"/>
            <w:tcBorders>
              <w:bottom w:val="single" w:sz="4" w:space="0" w:color="auto"/>
            </w:tcBorders>
            <w:shd w:val="clear" w:color="auto" w:fill="auto"/>
            <w:vAlign w:val="center"/>
          </w:tcPr>
          <w:p w14:paraId="7F879AEA" w14:textId="77777777" w:rsidR="000B173B" w:rsidRPr="006F54EA" w:rsidRDefault="000B173B" w:rsidP="00A15226">
            <w:pPr>
              <w:pStyle w:val="Tabletext"/>
            </w:pPr>
            <w:r w:rsidRPr="006F54EA">
              <w:t>Southern Whiteface</w:t>
            </w:r>
          </w:p>
        </w:tc>
        <w:tc>
          <w:tcPr>
            <w:tcW w:w="1235" w:type="dxa"/>
            <w:tcBorders>
              <w:bottom w:val="single" w:sz="4" w:space="0" w:color="auto"/>
            </w:tcBorders>
            <w:shd w:val="clear" w:color="auto" w:fill="auto"/>
            <w:vAlign w:val="center"/>
          </w:tcPr>
          <w:p w14:paraId="104EF92C" w14:textId="77777777" w:rsidR="000B173B" w:rsidRPr="00B83DE7" w:rsidRDefault="000B173B" w:rsidP="00A15226">
            <w:pPr>
              <w:pStyle w:val="Tabletext"/>
              <w:rPr>
                <w:szCs w:val="18"/>
              </w:rPr>
            </w:pPr>
            <w:r>
              <w:rPr>
                <w:szCs w:val="18"/>
              </w:rPr>
              <w:t>Vulnerable</w:t>
            </w:r>
          </w:p>
        </w:tc>
        <w:tc>
          <w:tcPr>
            <w:tcW w:w="1177" w:type="dxa"/>
            <w:tcBorders>
              <w:bottom w:val="single" w:sz="4" w:space="0" w:color="auto"/>
            </w:tcBorders>
            <w:shd w:val="clear" w:color="auto" w:fill="auto"/>
            <w:vAlign w:val="center"/>
          </w:tcPr>
          <w:p w14:paraId="40B9D1B2" w14:textId="77777777" w:rsidR="000B173B" w:rsidRPr="00525A64" w:rsidRDefault="000B173B" w:rsidP="00A15226">
            <w:pPr>
              <w:pStyle w:val="Tabletext"/>
              <w:jc w:val="center"/>
            </w:pPr>
            <w:r w:rsidRPr="00525A64">
              <w:t>No</w:t>
            </w:r>
          </w:p>
        </w:tc>
        <w:tc>
          <w:tcPr>
            <w:tcW w:w="9072" w:type="dxa"/>
            <w:tcBorders>
              <w:bottom w:val="single" w:sz="4" w:space="0" w:color="auto"/>
            </w:tcBorders>
            <w:shd w:val="clear" w:color="auto" w:fill="auto"/>
            <w:vAlign w:val="bottom"/>
          </w:tcPr>
          <w:p w14:paraId="33AE62CC" w14:textId="77777777" w:rsidR="000B173B" w:rsidRDefault="000B173B" w:rsidP="00A15226">
            <w:pPr>
              <w:pStyle w:val="Tabletext"/>
            </w:pPr>
            <w:r>
              <w:t xml:space="preserve">The Southern Whiteface has a very wide distribution, occurring across most of Australia south of the tropics, from western WA to eastern NSW, and through SA and VIC. The species occurs in open woodlands and shrublands, and forages on insects, spiders and seeds. The proposed definition of habitat critical to the survival of the species includes relatively undisturbed open woodlands and shrublands, habitat with low tree densities and herbaceous understorey litter cover, and living and dead trees which provide suitable nesting hollows. Threats to the species include large scale land clearing for agriculture, habitat degradation due to grazing, and climate change </w:t>
            </w:r>
            <w:sdt>
              <w:sdtPr>
                <w:rPr>
                  <w:color w:val="000000"/>
                </w:rPr>
                <w:tag w:val="MENDELEY_CITATION_v3_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"/>
                <w:id w:val="271051108"/>
                <w:placeholder>
                  <w:docPart w:val="339B7D746526864D922760336FCFE603"/>
                </w:placeholder>
              </w:sdtPr>
              <w:sdtContent>
                <w:r w:rsidRPr="00AB79D8">
                  <w:rPr>
                    <w:color w:val="000000"/>
                  </w:rPr>
                  <w:t>(DAWE, 2022c)</w:t>
                </w:r>
              </w:sdtContent>
            </w:sdt>
            <w:r>
              <w:t>.</w:t>
            </w:r>
          </w:p>
          <w:p w14:paraId="4410EA60" w14:textId="77777777" w:rsidR="000B173B" w:rsidRDefault="000B173B" w:rsidP="00A15226">
            <w:pPr>
              <w:pStyle w:val="Tabletext"/>
            </w:pPr>
            <w:r>
              <w:t>The Plan will not result in direct impacts to suitable habitat for this species within the Growth Areas, as the Growth Areas support grassland and open agricultural environments, which are not consistent with habitat requirements of the species.</w:t>
            </w:r>
          </w:p>
          <w:p w14:paraId="57FC3C8A" w14:textId="77777777" w:rsidR="000B173B" w:rsidRDefault="000B173B" w:rsidP="00A15226">
            <w:pPr>
              <w:pStyle w:val="Tabletext"/>
            </w:pPr>
            <w:r>
              <w:t xml:space="preserve">There are multiple </w:t>
            </w:r>
            <w:r w:rsidRPr="0096462E">
              <w:t>records in the VBA databas</w:t>
            </w:r>
            <w:r>
              <w:t>e of the Southern Whiteface within the Study Area. Records are mostly concentrated on the limited areas of remnant woodland located some distance from the Growth Areas which are unlikely to be impacted under the Plan. Other than these woodland remnants, the Study Area provides very limited suitable habitat for the species.</w:t>
            </w:r>
          </w:p>
          <w:p w14:paraId="02AB67E8" w14:textId="77777777" w:rsidR="000B173B" w:rsidRDefault="000B173B" w:rsidP="00A15226">
            <w:pPr>
              <w:pStyle w:val="Tabletext"/>
            </w:pPr>
            <w:r>
              <w:t>Development under the Plan is unlikely to affect the species or contribute to any recognised threats.</w:t>
            </w:r>
          </w:p>
        </w:tc>
      </w:tr>
      <w:tr w:rsidR="000B173B" w14:paraId="78F63371" w14:textId="77777777" w:rsidTr="00A15226">
        <w:tc>
          <w:tcPr>
            <w:tcW w:w="1276" w:type="dxa"/>
            <w:tcBorders>
              <w:bottom w:val="single" w:sz="4" w:space="0" w:color="auto"/>
            </w:tcBorders>
            <w:shd w:val="clear" w:color="auto" w:fill="auto"/>
            <w:vAlign w:val="center"/>
          </w:tcPr>
          <w:p w14:paraId="0449574D" w14:textId="77777777" w:rsidR="000B173B" w:rsidRPr="006F54EA" w:rsidRDefault="000B173B" w:rsidP="00A15226">
            <w:pPr>
              <w:pStyle w:val="Tabletext"/>
              <w:rPr>
                <w:i/>
                <w:iCs/>
              </w:rPr>
            </w:pPr>
            <w:r w:rsidRPr="006F54EA">
              <w:rPr>
                <w:i/>
                <w:iCs/>
              </w:rPr>
              <w:t>Climacteris picumnus victoriae</w:t>
            </w:r>
          </w:p>
        </w:tc>
        <w:tc>
          <w:tcPr>
            <w:tcW w:w="1557" w:type="dxa"/>
            <w:tcBorders>
              <w:bottom w:val="single" w:sz="4" w:space="0" w:color="auto"/>
            </w:tcBorders>
            <w:shd w:val="clear" w:color="auto" w:fill="auto"/>
            <w:vAlign w:val="center"/>
          </w:tcPr>
          <w:p w14:paraId="0CA6D467" w14:textId="77777777" w:rsidR="000B173B" w:rsidRPr="006F54EA" w:rsidRDefault="000B173B" w:rsidP="00A15226">
            <w:pPr>
              <w:pStyle w:val="Tabletext"/>
            </w:pPr>
            <w:r w:rsidRPr="006F54EA">
              <w:t>(Brown Treecreeper (south-eastern))</w:t>
            </w:r>
          </w:p>
        </w:tc>
        <w:tc>
          <w:tcPr>
            <w:tcW w:w="1235" w:type="dxa"/>
            <w:tcBorders>
              <w:bottom w:val="single" w:sz="4" w:space="0" w:color="auto"/>
            </w:tcBorders>
            <w:shd w:val="clear" w:color="auto" w:fill="auto"/>
            <w:vAlign w:val="center"/>
          </w:tcPr>
          <w:p w14:paraId="772F1E70" w14:textId="77777777" w:rsidR="000B173B" w:rsidRPr="00B83DE7" w:rsidRDefault="000B173B" w:rsidP="00A15226">
            <w:pPr>
              <w:pStyle w:val="Tabletext"/>
              <w:rPr>
                <w:szCs w:val="18"/>
              </w:rPr>
            </w:pPr>
            <w:r>
              <w:rPr>
                <w:szCs w:val="18"/>
              </w:rPr>
              <w:t>Vulnerable</w:t>
            </w:r>
          </w:p>
        </w:tc>
        <w:tc>
          <w:tcPr>
            <w:tcW w:w="1177" w:type="dxa"/>
            <w:tcBorders>
              <w:bottom w:val="single" w:sz="4" w:space="0" w:color="auto"/>
            </w:tcBorders>
            <w:shd w:val="clear" w:color="auto" w:fill="auto"/>
            <w:vAlign w:val="center"/>
          </w:tcPr>
          <w:p w14:paraId="65AFA975" w14:textId="77777777" w:rsidR="000B173B" w:rsidRPr="00525A64" w:rsidRDefault="000B173B" w:rsidP="00A15226">
            <w:pPr>
              <w:pStyle w:val="Tabletext"/>
              <w:jc w:val="center"/>
            </w:pPr>
            <w:r w:rsidRPr="00525A64">
              <w:t>No</w:t>
            </w:r>
          </w:p>
        </w:tc>
        <w:tc>
          <w:tcPr>
            <w:tcW w:w="9072" w:type="dxa"/>
            <w:tcBorders>
              <w:bottom w:val="single" w:sz="4" w:space="0" w:color="auto"/>
            </w:tcBorders>
            <w:shd w:val="clear" w:color="auto" w:fill="auto"/>
            <w:vAlign w:val="bottom"/>
          </w:tcPr>
          <w:p w14:paraId="1F04CBD7" w14:textId="77777777" w:rsidR="000B173B" w:rsidRDefault="000B173B" w:rsidP="00A15226">
            <w:pPr>
              <w:pStyle w:val="Tabletext"/>
            </w:pPr>
            <w:r>
              <w:t xml:space="preserve">The Brown Treecreeper (south-eastern) occurs in south-eastern Australia, </w:t>
            </w:r>
            <w:r w:rsidRPr="00886782">
              <w:t>from the Grampians in western Victoria, through central New South Wales to the Bunya Mountains in Queensland</w:t>
            </w:r>
            <w:r>
              <w:t xml:space="preserve">, </w:t>
            </w:r>
            <w:r w:rsidRPr="00886782">
              <w:t>and from the coast to the inland slopes of Great Dividing Range</w:t>
            </w:r>
            <w:r>
              <w:t xml:space="preserve">. Records of the subspecies mostly occur in inland environments, and the species is less commonly found in coastal environments </w:t>
            </w:r>
            <w:sdt>
              <w:sdtPr>
                <w:rPr>
                  <w:color w:val="000000"/>
                </w:rPr>
                <w:tag w:val="MENDELEY_CITATION_v3_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"/>
                <w:id w:val="1809740912"/>
                <w:placeholder>
                  <w:docPart w:val="339B7D746526864D922760336FCFE603"/>
                </w:placeholder>
              </w:sdtPr>
              <w:sdtContent>
                <w:r w:rsidRPr="00AB79D8">
                  <w:rPr>
                    <w:color w:val="000000"/>
                  </w:rPr>
                  <w:t>(DAWE, 2022d)</w:t>
                </w:r>
              </w:sdtContent>
            </w:sdt>
            <w:r>
              <w:t>.</w:t>
            </w:r>
          </w:p>
          <w:p w14:paraId="160CC4E2" w14:textId="77777777" w:rsidR="000B173B" w:rsidRDefault="000B173B" w:rsidP="00A15226">
            <w:pPr>
              <w:pStyle w:val="Tabletext"/>
            </w:pPr>
            <w:r>
              <w:t xml:space="preserve">The species occupies dry open eucalypt forests and woodlands with a dense shrub layer and is not present in heavily degraded woodlands. Habitat critical to the survival of the species is proposed to include relatively undisturbed grassy woodlands, live and dead trees which provide essential roosting and nesting sites (including tree hollows), and fallen timber which provides essential foraging habitat </w:t>
            </w:r>
            <w:sdt>
              <w:sdtPr>
                <w:rPr>
                  <w:color w:val="000000"/>
                </w:rPr>
                <w:tag w:val="MENDELEY_CITATION_v3_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"/>
                <w:id w:val="1287855065"/>
                <w:placeholder>
                  <w:docPart w:val="339B7D746526864D922760336FCFE603"/>
                </w:placeholder>
              </w:sdtPr>
              <w:sdtContent>
                <w:r w:rsidRPr="00AB79D8">
                  <w:rPr>
                    <w:color w:val="000000"/>
                  </w:rPr>
                  <w:t>(DAWE, 2022d)</w:t>
                </w:r>
              </w:sdtContent>
            </w:sdt>
            <w:r>
              <w:t>.</w:t>
            </w:r>
          </w:p>
          <w:p w14:paraId="02E9DA69" w14:textId="77777777" w:rsidR="000B173B" w:rsidRDefault="000B173B" w:rsidP="00A15226">
            <w:pPr>
              <w:pStyle w:val="Tabletext"/>
            </w:pPr>
            <w:r>
              <w:t xml:space="preserve">The species is thought to be unable to cross habitat gaps and are thought to require remnant vegetation fragments of at least 300 ha to maintain population viability </w:t>
            </w:r>
            <w:sdt>
              <w:sdtPr>
                <w:rPr>
                  <w:color w:val="000000"/>
                </w:rPr>
                <w:tag w:val="MENDELEY_CITATION_v3_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"/>
                <w:id w:val="1671906218"/>
                <w:placeholder>
                  <w:docPart w:val="339B7D746526864D922760336FCFE603"/>
                </w:placeholder>
              </w:sdtPr>
              <w:sdtContent>
                <w:r w:rsidRPr="00AB79D8">
                  <w:rPr>
                    <w:color w:val="000000"/>
                  </w:rPr>
                  <w:t>(DAWE, 2022d)</w:t>
                </w:r>
              </w:sdtContent>
            </w:sdt>
            <w:r>
              <w:t>.</w:t>
            </w:r>
          </w:p>
          <w:p w14:paraId="606CAC7C" w14:textId="77777777" w:rsidR="000B173B" w:rsidRDefault="000B173B" w:rsidP="00A15226">
            <w:pPr>
              <w:pStyle w:val="Tabletext"/>
            </w:pPr>
            <w:r>
              <w:t xml:space="preserve">Threats to the species include habitat clearing and fragmentation due to agriculture, habitat degradation due to grazing, firewood collection, climate change, inappropriate fire regimes, Noisy Miner competition, invasive species, and grazing pressures from overabundant kangaroo populations </w:t>
            </w:r>
            <w:sdt>
              <w:sdtPr>
                <w:rPr>
                  <w:color w:val="000000"/>
                </w:rPr>
                <w:tag w:val="MENDELEY_CITATION_v3_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"/>
                <w:id w:val="-526028013"/>
                <w:placeholder>
                  <w:docPart w:val="339B7D746526864D922760336FCFE603"/>
                </w:placeholder>
              </w:sdtPr>
              <w:sdtContent>
                <w:r w:rsidRPr="00AB79D8">
                  <w:rPr>
                    <w:color w:val="000000"/>
                  </w:rPr>
                  <w:t>(DAWE, 2022d)</w:t>
                </w:r>
              </w:sdtContent>
            </w:sdt>
            <w:r>
              <w:t>.</w:t>
            </w:r>
          </w:p>
          <w:p w14:paraId="4421EFAF" w14:textId="77777777" w:rsidR="000B173B" w:rsidRDefault="000B173B" w:rsidP="00A15226">
            <w:pPr>
              <w:pStyle w:val="Tabletext"/>
            </w:pPr>
            <w:r>
              <w:lastRenderedPageBreak/>
              <w:t>The Plan will not result in direct impacts to suitable habitat for this species within the Growth Areas, as the Growth Areas support grassland and open agricultural environments, which are not consistent with habitat requirements of the species.</w:t>
            </w:r>
          </w:p>
          <w:p w14:paraId="64F4E6DC" w14:textId="77777777" w:rsidR="000B173B" w:rsidRDefault="000B173B" w:rsidP="00A15226">
            <w:pPr>
              <w:pStyle w:val="Tabletext"/>
            </w:pPr>
            <w:r>
              <w:t>There are multiple records in the VBA database of the Brown Treecreeper (south-eastern) within the Study Area. Records are concentrated on the limited areas of remnant woodland located some distance from the Growth Areas which are unlikely to be impacted under the Plan. Other than these woodland remnants, the Study Area provides very limited suitable habitat for the species.</w:t>
            </w:r>
          </w:p>
          <w:p w14:paraId="22498168" w14:textId="77777777" w:rsidR="000B173B" w:rsidRDefault="000B173B" w:rsidP="00A15226">
            <w:pPr>
              <w:pStyle w:val="Tabletext"/>
            </w:pPr>
            <w:r>
              <w:t>Development under the Plan is unlikely to affect the species or contribute to any recognised threats.</w:t>
            </w:r>
          </w:p>
        </w:tc>
      </w:tr>
      <w:tr w:rsidR="000B173B" w14:paraId="2490B917" w14:textId="77777777" w:rsidTr="00A15226">
        <w:tc>
          <w:tcPr>
            <w:tcW w:w="1276" w:type="dxa"/>
            <w:tcBorders>
              <w:bottom w:val="single" w:sz="4" w:space="0" w:color="auto"/>
            </w:tcBorders>
            <w:shd w:val="clear" w:color="auto" w:fill="auto"/>
            <w:vAlign w:val="center"/>
          </w:tcPr>
          <w:p w14:paraId="18206CE4" w14:textId="77777777" w:rsidR="000B173B" w:rsidRPr="006F54EA" w:rsidRDefault="000B173B" w:rsidP="00A15226">
            <w:pPr>
              <w:pStyle w:val="Tabletext"/>
              <w:rPr>
                <w:i/>
                <w:iCs/>
              </w:rPr>
            </w:pPr>
            <w:r w:rsidRPr="006F54EA">
              <w:rPr>
                <w:i/>
                <w:iCs/>
              </w:rPr>
              <w:lastRenderedPageBreak/>
              <w:t>Melanodryas cucullata cucullata</w:t>
            </w:r>
          </w:p>
        </w:tc>
        <w:tc>
          <w:tcPr>
            <w:tcW w:w="1557" w:type="dxa"/>
            <w:tcBorders>
              <w:bottom w:val="single" w:sz="4" w:space="0" w:color="auto"/>
            </w:tcBorders>
            <w:shd w:val="clear" w:color="auto" w:fill="auto"/>
            <w:vAlign w:val="center"/>
          </w:tcPr>
          <w:p w14:paraId="2EFE1D74" w14:textId="77777777" w:rsidR="000B173B" w:rsidRPr="006F54EA" w:rsidRDefault="000B173B" w:rsidP="00A15226">
            <w:pPr>
              <w:pStyle w:val="Tabletext"/>
            </w:pPr>
            <w:r w:rsidRPr="006F54EA">
              <w:t>South-eastern Hooded Robin</w:t>
            </w:r>
          </w:p>
        </w:tc>
        <w:tc>
          <w:tcPr>
            <w:tcW w:w="1235" w:type="dxa"/>
            <w:tcBorders>
              <w:bottom w:val="single" w:sz="4" w:space="0" w:color="auto"/>
            </w:tcBorders>
            <w:shd w:val="clear" w:color="auto" w:fill="auto"/>
            <w:vAlign w:val="center"/>
          </w:tcPr>
          <w:p w14:paraId="65BCAE93" w14:textId="77777777" w:rsidR="000B173B" w:rsidRPr="00B83DE7" w:rsidRDefault="000B173B" w:rsidP="00A15226">
            <w:pPr>
              <w:pStyle w:val="Tabletext"/>
              <w:rPr>
                <w:szCs w:val="18"/>
              </w:rPr>
            </w:pPr>
            <w:r>
              <w:rPr>
                <w:szCs w:val="18"/>
              </w:rPr>
              <w:t>Vulnerable</w:t>
            </w:r>
          </w:p>
        </w:tc>
        <w:tc>
          <w:tcPr>
            <w:tcW w:w="1177" w:type="dxa"/>
            <w:tcBorders>
              <w:bottom w:val="single" w:sz="4" w:space="0" w:color="auto"/>
            </w:tcBorders>
            <w:shd w:val="clear" w:color="auto" w:fill="auto"/>
            <w:vAlign w:val="center"/>
          </w:tcPr>
          <w:p w14:paraId="12822987" w14:textId="77777777" w:rsidR="000B173B" w:rsidRPr="00525A64" w:rsidRDefault="000B173B" w:rsidP="00A15226">
            <w:pPr>
              <w:pStyle w:val="Tabletext"/>
              <w:jc w:val="center"/>
            </w:pPr>
            <w:r w:rsidRPr="00525A64">
              <w:t>No</w:t>
            </w:r>
          </w:p>
        </w:tc>
        <w:tc>
          <w:tcPr>
            <w:tcW w:w="9072" w:type="dxa"/>
            <w:tcBorders>
              <w:bottom w:val="single" w:sz="4" w:space="0" w:color="auto"/>
            </w:tcBorders>
            <w:shd w:val="clear" w:color="auto" w:fill="auto"/>
            <w:vAlign w:val="bottom"/>
          </w:tcPr>
          <w:p w14:paraId="267FD7A4" w14:textId="77777777" w:rsidR="000B173B" w:rsidRPr="00A1455A" w:rsidRDefault="000B173B" w:rsidP="00A15226">
            <w:pPr>
              <w:pStyle w:val="Tabletext"/>
              <w:rPr>
                <w:i/>
                <w:iCs/>
              </w:rPr>
            </w:pPr>
            <w:r w:rsidRPr="00A1455A">
              <w:t xml:space="preserve">The South-eastern Hooded Robin occurs across south-eastern Australia, including most of NSW, Victoria and south-eastern South Australia </w:t>
            </w:r>
            <w:sdt>
              <w:sdtPr>
                <w:rPr>
                  <w:color w:val="000000"/>
                </w:rPr>
                <w:tag w:val="MENDELEY_CITATION_v3_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"/>
                <w:id w:val="-622856667"/>
                <w:placeholder>
                  <w:docPart w:val="339B7D746526864D922760336FCFE603"/>
                </w:placeholder>
              </w:sdtPr>
              <w:sdtContent>
                <w:r w:rsidRPr="00AB79D8">
                  <w:rPr>
                    <w:color w:val="000000"/>
                  </w:rPr>
                  <w:t>(SA DEH, 2008)</w:t>
                </w:r>
              </w:sdtContent>
            </w:sdt>
            <w:r w:rsidRPr="00A1455A">
              <w:t xml:space="preserve">. In Victoria, the species is mostly distributed across the Lowan Mallee, Murray Mallee, Wimmera, Goldfields, Central Victorian Uplands, Victorian Riverina, Northern Inland Slopes and East Gippsland Upland bioregions. The highest density of records in Victoria occur in the semi-arid region of north west Victoria </w:t>
            </w:r>
            <w:sdt>
              <w:sdtPr>
                <w:rPr>
                  <w:color w:val="000000"/>
                </w:rPr>
                <w:tag w:val="MENDELEY_CITATION_v3_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"/>
                <w:id w:val="-1046138445"/>
                <w:placeholder>
                  <w:docPart w:val="339B7D746526864D922760336FCFE603"/>
                </w:placeholder>
              </w:sdtPr>
              <w:sdtContent>
                <w:r w:rsidRPr="008F2762">
                  <w:rPr>
                    <w:color w:val="000000"/>
                  </w:rPr>
                  <w:t>(SWIFFT, 2022c)</w:t>
                </w:r>
              </w:sdtContent>
            </w:sdt>
            <w:r w:rsidRPr="00A1455A">
              <w:t>.</w:t>
            </w:r>
          </w:p>
          <w:p w14:paraId="11807FE1" w14:textId="77777777" w:rsidR="000B173B" w:rsidRDefault="000B173B" w:rsidP="00A15226">
            <w:pPr>
              <w:pStyle w:val="Tabletext"/>
            </w:pPr>
            <w:r w:rsidRPr="00663C93">
              <w:t>The species is reported to occur in eucalypt woodland and mallee and Acacia shrubland</w:t>
            </w:r>
            <w:r>
              <w:t>, in habitat which include relatively open areas, patches of young eucalypts for nest sites, and the presence of suitable perches for foraging</w:t>
            </w:r>
            <w:r w:rsidRPr="00663C93">
              <w:t xml:space="preserve"> </w:t>
            </w:r>
            <w:sdt>
              <w:sdtPr>
                <w:rPr>
                  <w:color w:val="000000"/>
                </w:rPr>
                <w:tag w:val="MENDELEY_CITATION_v3_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"/>
                <w:id w:val="1552267098"/>
                <w:placeholder>
                  <w:docPart w:val="339B7D746526864D922760336FCFE603"/>
                </w:placeholder>
              </w:sdtPr>
              <w:sdtContent>
                <w:r w:rsidRPr="008F2762">
                  <w:rPr>
                    <w:color w:val="000000"/>
                  </w:rPr>
                  <w:t>(SA DEH, 2008)</w:t>
                </w:r>
              </w:sdtContent>
            </w:sdt>
            <w:r>
              <w:t>. Their habitat has also been described as</w:t>
            </w:r>
            <w:r w:rsidRPr="00663C93">
              <w:t xml:space="preserve"> structurally diverse open woodlands containing eucalypts, acacia or </w:t>
            </w:r>
            <w:r>
              <w:t>c</w:t>
            </w:r>
            <w:r w:rsidRPr="00663C93">
              <w:t xml:space="preserve">allitris with an understorey of smaller trees, shrubs and grasses </w:t>
            </w:r>
            <w:sdt>
              <w:sdtPr>
                <w:rPr>
                  <w:color w:val="000000"/>
                </w:rPr>
                <w:tag w:val="MENDELEY_CITATION_v3_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"/>
                <w:id w:val="992136311"/>
                <w:placeholder>
                  <w:docPart w:val="339B7D746526864D922760336FCFE603"/>
                </w:placeholder>
              </w:sdtPr>
              <w:sdtContent>
                <w:r w:rsidRPr="008F2762">
                  <w:rPr>
                    <w:color w:val="000000"/>
                  </w:rPr>
                  <w:t>(SWIFFT, 2022c)</w:t>
                </w:r>
              </w:sdtContent>
            </w:sdt>
            <w:r w:rsidRPr="00663C93">
              <w:t>.</w:t>
            </w:r>
            <w:r>
              <w:t xml:space="preserve"> </w:t>
            </w:r>
          </w:p>
          <w:p w14:paraId="09B6914A" w14:textId="77777777" w:rsidR="000B173B" w:rsidRDefault="000B173B" w:rsidP="00A15226">
            <w:pPr>
              <w:pStyle w:val="Tabletext"/>
            </w:pPr>
            <w:r>
              <w:t xml:space="preserve">The species is territorial, occupying the same habitat for a year or several years </w:t>
            </w:r>
            <w:sdt>
              <w:sdtPr>
                <w:rPr>
                  <w:color w:val="000000"/>
                </w:rPr>
                <w:tag w:val="MENDELEY_CITATION_v3_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"/>
                <w:id w:val="-197702957"/>
                <w:placeholder>
                  <w:docPart w:val="339B7D746526864D922760336FCFE603"/>
                </w:placeholder>
              </w:sdtPr>
              <w:sdtContent>
                <w:r w:rsidRPr="008F2762">
                  <w:rPr>
                    <w:color w:val="000000"/>
                  </w:rPr>
                  <w:t>(SA DEH, 2008)</w:t>
                </w:r>
              </w:sdtContent>
            </w:sdt>
            <w:r w:rsidRPr="00A1455A">
              <w:t>.</w:t>
            </w:r>
            <w:r>
              <w:t xml:space="preserve"> Territories range between 10 ha in the breeding season to 30 ha in the non-breeding season </w:t>
            </w:r>
            <w:sdt>
              <w:sdtPr>
                <w:rPr>
                  <w:color w:val="000000"/>
                </w:rPr>
                <w:tag w:val="MENDELEY_CITATION_v3_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"/>
                <w:id w:val="868024205"/>
                <w:placeholder>
                  <w:docPart w:val="339B7D746526864D922760336FCFE603"/>
                </w:placeholder>
              </w:sdtPr>
              <w:sdtContent>
                <w:r w:rsidRPr="008F2762">
                  <w:rPr>
                    <w:color w:val="000000"/>
                  </w:rPr>
                  <w:t>(SWIFFT, 2022c)</w:t>
                </w:r>
              </w:sdtContent>
            </w:sdt>
            <w:r w:rsidRPr="00A1455A">
              <w:t>.</w:t>
            </w:r>
            <w:r>
              <w:t xml:space="preserve"> A minimum remnant vegetation size of over 50 ha is required </w:t>
            </w:r>
            <w:sdt>
              <w:sdtPr>
                <w:rPr>
                  <w:color w:val="000000"/>
                </w:rPr>
                <w:tag w:val="MENDELEY_CITATION_v3_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"/>
                <w:id w:val="1298253749"/>
                <w:placeholder>
                  <w:docPart w:val="339B7D746526864D922760336FCFE603"/>
                </w:placeholder>
              </w:sdtPr>
              <w:sdtContent>
                <w:r w:rsidRPr="008F2762">
                  <w:rPr>
                    <w:color w:val="000000"/>
                  </w:rPr>
                  <w:t>(SA DEH, 2008)</w:t>
                </w:r>
              </w:sdtContent>
            </w:sdt>
            <w:r w:rsidRPr="00A1455A">
              <w:t>.</w:t>
            </w:r>
          </w:p>
          <w:p w14:paraId="3BF0805A" w14:textId="77777777" w:rsidR="000B173B" w:rsidRPr="00663C93" w:rsidRDefault="000B173B" w:rsidP="00A15226">
            <w:pPr>
              <w:pStyle w:val="Tabletext"/>
            </w:pPr>
            <w:r>
              <w:t xml:space="preserve">The main threats to the species are clearing and fragmentation of critical habitat, with even large habitat fragments appearing to be unable to sustain the species over the long term </w:t>
            </w:r>
            <w:sdt>
              <w:sdtPr>
                <w:rPr>
                  <w:color w:val="000000"/>
                </w:rPr>
                <w:tag w:val="MENDELEY_CITATION_v3_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"/>
                <w:id w:val="1163433363"/>
                <w:placeholder>
                  <w:docPart w:val="339B7D746526864D922760336FCFE603"/>
                </w:placeholder>
              </w:sdtPr>
              <w:sdtContent>
                <w:r w:rsidRPr="008F2762">
                  <w:rPr>
                    <w:color w:val="000000"/>
                  </w:rPr>
                  <w:t>(SA DEH, 2008)</w:t>
                </w:r>
              </w:sdtContent>
            </w:sdt>
            <w:r w:rsidRPr="00A1455A">
              <w:t>.</w:t>
            </w:r>
            <w:r>
              <w:t xml:space="preserve"> Other threats to the species include inappropriate fire regimes, weed invasion (the species avoids foraging in sites dominated by weeds and exotic grasses), predation by cats and foxes, noisy miner competition, firewood collection and climate change </w:t>
            </w:r>
            <w:sdt>
              <w:sdtPr>
                <w:rPr>
                  <w:color w:val="000000"/>
                </w:rPr>
                <w:tag w:val="MENDELEY_CITATION_v3_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"/>
                <w:id w:val="725265946"/>
                <w:placeholder>
                  <w:docPart w:val="339B7D746526864D922760336FCFE603"/>
                </w:placeholder>
              </w:sdtPr>
              <w:sdtContent>
                <w:r w:rsidRPr="008F2762">
                  <w:rPr>
                    <w:color w:val="000000"/>
                  </w:rPr>
                  <w:t>(SWIFFT, 2022c)</w:t>
                </w:r>
              </w:sdtContent>
            </w:sdt>
            <w:r w:rsidRPr="00A1455A">
              <w:t>.</w:t>
            </w:r>
          </w:p>
          <w:p w14:paraId="1478C694" w14:textId="77777777" w:rsidR="000B173B" w:rsidRDefault="000B173B" w:rsidP="00A15226">
            <w:pPr>
              <w:pStyle w:val="Tabletext"/>
            </w:pPr>
            <w:r>
              <w:t>The Plan will not result in direct impacts to suitable habitat for this species within the Growth Areas, as the Growth Areas support grassland and open agricultural environments with high densities of weeds, which are not consistent with habitat requirements of the species.</w:t>
            </w:r>
          </w:p>
          <w:p w14:paraId="7866D2FC" w14:textId="77777777" w:rsidR="000B173B" w:rsidRDefault="000B173B" w:rsidP="00A15226">
            <w:pPr>
              <w:pStyle w:val="Tabletext"/>
            </w:pPr>
            <w:r>
              <w:t xml:space="preserve">There are multiple records within the </w:t>
            </w:r>
            <w:r w:rsidRPr="00003977">
              <w:t>VBA database of the South</w:t>
            </w:r>
            <w:r>
              <w:t xml:space="preserve">-eastern Hooded Robin within the Study Area. Records are concentrated on the limited areas of remnant woodland located some distance from the </w:t>
            </w:r>
            <w:r>
              <w:lastRenderedPageBreak/>
              <w:t>Growth Areas which are unlikely to be impacted under the Plan. Other than these woodland remnants, the Study Area provides very limited suitable habitat for the species.</w:t>
            </w:r>
          </w:p>
          <w:p w14:paraId="1BB908BB" w14:textId="77777777" w:rsidR="000B173B" w:rsidRDefault="000B173B" w:rsidP="00A15226">
            <w:pPr>
              <w:pStyle w:val="Tabletext"/>
            </w:pPr>
            <w:r>
              <w:t>Development under the Plan is unlikely to affect the species or contribute to any recognised threats.</w:t>
            </w:r>
          </w:p>
        </w:tc>
      </w:tr>
      <w:tr w:rsidR="000B173B" w14:paraId="2CC7C2C9" w14:textId="77777777" w:rsidTr="00A15226">
        <w:tc>
          <w:tcPr>
            <w:tcW w:w="1276" w:type="dxa"/>
            <w:tcBorders>
              <w:bottom w:val="single" w:sz="4" w:space="0" w:color="auto"/>
            </w:tcBorders>
            <w:shd w:val="clear" w:color="auto" w:fill="auto"/>
            <w:vAlign w:val="center"/>
          </w:tcPr>
          <w:p w14:paraId="5F1961F3" w14:textId="77777777" w:rsidR="000B173B" w:rsidRPr="006F54EA" w:rsidRDefault="000B173B" w:rsidP="00A15226">
            <w:pPr>
              <w:pStyle w:val="Tabletext"/>
              <w:rPr>
                <w:i/>
                <w:iCs/>
              </w:rPr>
            </w:pPr>
            <w:r w:rsidRPr="006F54EA">
              <w:rPr>
                <w:i/>
                <w:iCs/>
              </w:rPr>
              <w:lastRenderedPageBreak/>
              <w:t>Stagonopleura guttata</w:t>
            </w:r>
          </w:p>
        </w:tc>
        <w:tc>
          <w:tcPr>
            <w:tcW w:w="1557" w:type="dxa"/>
            <w:tcBorders>
              <w:bottom w:val="single" w:sz="4" w:space="0" w:color="auto"/>
            </w:tcBorders>
            <w:shd w:val="clear" w:color="auto" w:fill="auto"/>
            <w:vAlign w:val="center"/>
          </w:tcPr>
          <w:p w14:paraId="6BCF82C3" w14:textId="77777777" w:rsidR="000B173B" w:rsidRPr="006F54EA" w:rsidRDefault="000B173B" w:rsidP="00A15226">
            <w:pPr>
              <w:pStyle w:val="Tabletext"/>
            </w:pPr>
            <w:r w:rsidRPr="006F54EA">
              <w:t>Diamond Firetail</w:t>
            </w:r>
          </w:p>
        </w:tc>
        <w:tc>
          <w:tcPr>
            <w:tcW w:w="1235" w:type="dxa"/>
            <w:tcBorders>
              <w:bottom w:val="single" w:sz="4" w:space="0" w:color="auto"/>
            </w:tcBorders>
            <w:shd w:val="clear" w:color="auto" w:fill="auto"/>
            <w:vAlign w:val="center"/>
          </w:tcPr>
          <w:p w14:paraId="12D86ABA" w14:textId="77777777" w:rsidR="000B173B" w:rsidRDefault="000B173B" w:rsidP="00A15226">
            <w:pPr>
              <w:pStyle w:val="Tabletext"/>
              <w:rPr>
                <w:szCs w:val="18"/>
              </w:rPr>
            </w:pPr>
            <w:r>
              <w:rPr>
                <w:szCs w:val="18"/>
              </w:rPr>
              <w:t>Vulnerable</w:t>
            </w:r>
          </w:p>
        </w:tc>
        <w:tc>
          <w:tcPr>
            <w:tcW w:w="1177" w:type="dxa"/>
            <w:tcBorders>
              <w:bottom w:val="single" w:sz="4" w:space="0" w:color="auto"/>
            </w:tcBorders>
            <w:shd w:val="clear" w:color="auto" w:fill="auto"/>
            <w:vAlign w:val="center"/>
          </w:tcPr>
          <w:p w14:paraId="13832D07" w14:textId="77777777" w:rsidR="000B173B" w:rsidRPr="00525A64" w:rsidRDefault="000B173B" w:rsidP="00A15226">
            <w:pPr>
              <w:pStyle w:val="Tabletext"/>
              <w:jc w:val="center"/>
            </w:pPr>
            <w:r w:rsidRPr="00525A64">
              <w:t>No</w:t>
            </w:r>
          </w:p>
        </w:tc>
        <w:tc>
          <w:tcPr>
            <w:tcW w:w="9072" w:type="dxa"/>
            <w:tcBorders>
              <w:bottom w:val="single" w:sz="4" w:space="0" w:color="auto"/>
            </w:tcBorders>
            <w:shd w:val="clear" w:color="auto" w:fill="auto"/>
            <w:vAlign w:val="bottom"/>
          </w:tcPr>
          <w:p w14:paraId="2A6315A6" w14:textId="77777777" w:rsidR="000B173B" w:rsidRDefault="000B173B" w:rsidP="00A15226">
            <w:pPr>
              <w:pStyle w:val="Tabletext"/>
            </w:pPr>
            <w:r>
              <w:t xml:space="preserve">Diamond Firetails occur in south-east mainland Australia, from south-east Queensland to South Australia, and about 300 km inland from the coast. The species used to occur further north in Queensland but currently only occurs in the southernmost parts of the State. It has disappeared from many of the more settled regions of NSW, ACT and Victoria, and currently occurs as disjunct populations in South Australia </w:t>
            </w:r>
            <w:sdt>
              <w:sdtPr>
                <w:rPr>
                  <w:color w:val="000000"/>
                </w:rPr>
                <w:tag w:val="MENDELEY_CITATION_v3_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"/>
                <w:id w:val="943575900"/>
                <w:placeholder>
                  <w:docPart w:val="339B7D746526864D922760336FCFE603"/>
                </w:placeholder>
              </w:sdtPr>
              <w:sdtContent>
                <w:r w:rsidRPr="008F2762">
                  <w:rPr>
                    <w:color w:val="000000"/>
                  </w:rPr>
                  <w:t>(DAWE, 2022e)</w:t>
                </w:r>
              </w:sdtContent>
            </w:sdt>
            <w:r>
              <w:t>.</w:t>
            </w:r>
          </w:p>
          <w:p w14:paraId="36424C4F" w14:textId="77777777" w:rsidR="000B173B" w:rsidRDefault="000B173B" w:rsidP="00A15226">
            <w:pPr>
              <w:pStyle w:val="Tabletext"/>
            </w:pPr>
            <w:r>
              <w:t xml:space="preserve">The species occupies eucalypt, acacia or casuarina woodlands, open forests, and lightly timbered habitats with scattered trees. The species is likely to be sedentary, although may move locally. Nesting occurs in dense shrubs. Habitat critical to the survival of the species is proposed to include areas of eucalypt, acacia or casuarina woodlands, open forests and other lightly timbered habitats; areas with low tree density, few large logs and little litter cover but high grass cover for foraging, roosting and breeding, and Drooping She-oak habitat within the Mt Lofty Ranges </w:t>
            </w:r>
            <w:sdt>
              <w:sdtPr>
                <w:rPr>
                  <w:color w:val="000000"/>
                </w:rPr>
                <w:tag w:val="MENDELEY_CITATION_v3_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"/>
                <w:id w:val="-710807059"/>
                <w:placeholder>
                  <w:docPart w:val="339B7D746526864D922760336FCFE603"/>
                </w:placeholder>
              </w:sdtPr>
              <w:sdtContent>
                <w:r w:rsidRPr="008F2762">
                  <w:rPr>
                    <w:color w:val="000000"/>
                  </w:rPr>
                  <w:t>(DAWE, 2022e)</w:t>
                </w:r>
              </w:sdtContent>
            </w:sdt>
            <w:r>
              <w:t>.</w:t>
            </w:r>
          </w:p>
          <w:p w14:paraId="287645B9" w14:textId="77777777" w:rsidR="000B173B" w:rsidRDefault="000B173B" w:rsidP="00A15226">
            <w:pPr>
              <w:pStyle w:val="Tabletext"/>
            </w:pPr>
            <w:r>
              <w:t xml:space="preserve">Threats to the species include habitat loss caused by large scale land clearing for agriculture, weeds (particularly exotic grasses which alter habitat values), habitat degradation caused by livestock, rabbit, and overabundant kangaroo grazing, inappropriate fire regimes, climate change, competition with noisy miners, and predation by Pied Currawongs </w:t>
            </w:r>
            <w:sdt>
              <w:sdtPr>
                <w:rPr>
                  <w:color w:val="000000"/>
                </w:rPr>
                <w:tag w:val="MENDELEY_CITATION_v3_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"/>
                <w:id w:val="1990441190"/>
                <w:placeholder>
                  <w:docPart w:val="339B7D746526864D922760336FCFE603"/>
                </w:placeholder>
              </w:sdtPr>
              <w:sdtContent>
                <w:r w:rsidRPr="008F2762">
                  <w:rPr>
                    <w:color w:val="000000"/>
                  </w:rPr>
                  <w:t>(DAWE, 2022e)</w:t>
                </w:r>
              </w:sdtContent>
            </w:sdt>
            <w:r>
              <w:t>.</w:t>
            </w:r>
          </w:p>
          <w:p w14:paraId="5C5D8792" w14:textId="77777777" w:rsidR="000B173B" w:rsidRDefault="000B173B" w:rsidP="00A15226">
            <w:pPr>
              <w:pStyle w:val="Tabletext"/>
            </w:pPr>
            <w:r>
              <w:t>The Plan will not result in direct impacts to suitable habitat for this species within the Growth Areas, as the Growth Areas support grassland and open agricultural environments which are heavily infested with exotic grass species, which are not consistent with habitat requirements of the species.</w:t>
            </w:r>
          </w:p>
          <w:p w14:paraId="0B26E32E" w14:textId="77777777" w:rsidR="000B173B" w:rsidRDefault="000B173B" w:rsidP="00A15226">
            <w:pPr>
              <w:pStyle w:val="Tabletext"/>
            </w:pPr>
            <w:r>
              <w:t>There are multiple records within the VBA database of the Diamond Firetail within the Study Area. Records are concentrated on the limited areas of remnant woodland located some distance from the Growth Areas which are unlikely to be impacted under the Plan. Other than these woodland remnants, the Study Area provides very limited suitable habitat for the species.</w:t>
            </w:r>
          </w:p>
          <w:p w14:paraId="6DE607D7" w14:textId="77777777" w:rsidR="000B173B" w:rsidRDefault="000B173B" w:rsidP="00A15226">
            <w:pPr>
              <w:pStyle w:val="Tabletext"/>
            </w:pPr>
            <w:r>
              <w:t>Development under the Plan is unlikely to affect the species or contribute to any recognised threats.</w:t>
            </w:r>
          </w:p>
        </w:tc>
      </w:tr>
      <w:tr w:rsidR="000B173B" w14:paraId="38E253AB" w14:textId="77777777" w:rsidTr="00A15226">
        <w:tc>
          <w:tcPr>
            <w:tcW w:w="14317" w:type="dxa"/>
            <w:gridSpan w:val="5"/>
            <w:tcBorders>
              <w:bottom w:val="single" w:sz="4" w:space="0" w:color="auto"/>
            </w:tcBorders>
            <w:shd w:val="clear" w:color="auto" w:fill="B4C6E7" w:themeFill="accent1" w:themeFillTint="66"/>
            <w:vAlign w:val="center"/>
          </w:tcPr>
          <w:p w14:paraId="06886048" w14:textId="77777777" w:rsidR="000B173B" w:rsidRPr="00CB4827" w:rsidRDefault="000B173B" w:rsidP="00A15226">
            <w:pPr>
              <w:pStyle w:val="Tabletext"/>
              <w:rPr>
                <w:b/>
                <w:bCs/>
              </w:rPr>
            </w:pPr>
            <w:r w:rsidRPr="00CB4827">
              <w:rPr>
                <w:b/>
                <w:bCs/>
              </w:rPr>
              <w:t>Reptiles</w:t>
            </w:r>
          </w:p>
        </w:tc>
      </w:tr>
      <w:tr w:rsidR="000B173B" w14:paraId="4A1F12C5" w14:textId="77777777" w:rsidTr="00A15226">
        <w:tc>
          <w:tcPr>
            <w:tcW w:w="1276" w:type="dxa"/>
            <w:tcBorders>
              <w:bottom w:val="single" w:sz="4" w:space="0" w:color="auto"/>
            </w:tcBorders>
            <w:shd w:val="clear" w:color="auto" w:fill="auto"/>
            <w:vAlign w:val="center"/>
          </w:tcPr>
          <w:p w14:paraId="5DB092B9" w14:textId="77777777" w:rsidR="000B173B" w:rsidRPr="006F54EA" w:rsidRDefault="000B173B" w:rsidP="00A15226">
            <w:pPr>
              <w:pStyle w:val="Tabletext"/>
              <w:rPr>
                <w:i/>
                <w:iCs/>
              </w:rPr>
            </w:pPr>
            <w:r>
              <w:rPr>
                <w:i/>
                <w:iCs/>
              </w:rPr>
              <w:t>Chelodina longicollis</w:t>
            </w:r>
          </w:p>
        </w:tc>
        <w:tc>
          <w:tcPr>
            <w:tcW w:w="1557" w:type="dxa"/>
            <w:tcBorders>
              <w:bottom w:val="single" w:sz="4" w:space="0" w:color="auto"/>
            </w:tcBorders>
            <w:shd w:val="clear" w:color="auto" w:fill="auto"/>
            <w:vAlign w:val="center"/>
          </w:tcPr>
          <w:p w14:paraId="59F9A79C" w14:textId="77777777" w:rsidR="000B173B" w:rsidRPr="006F54EA" w:rsidRDefault="000B173B" w:rsidP="00A15226">
            <w:pPr>
              <w:pStyle w:val="Tabletext"/>
            </w:pPr>
            <w:r>
              <w:t>Eastern Long-necked Turtle</w:t>
            </w:r>
          </w:p>
        </w:tc>
        <w:tc>
          <w:tcPr>
            <w:tcW w:w="1235" w:type="dxa"/>
            <w:tcBorders>
              <w:bottom w:val="single" w:sz="4" w:space="0" w:color="auto"/>
            </w:tcBorders>
            <w:shd w:val="clear" w:color="auto" w:fill="auto"/>
            <w:vAlign w:val="center"/>
          </w:tcPr>
          <w:p w14:paraId="599FF4CC" w14:textId="77777777" w:rsidR="000B173B" w:rsidRDefault="000B173B" w:rsidP="00A15226">
            <w:pPr>
              <w:pStyle w:val="Tabletext"/>
              <w:rPr>
                <w:szCs w:val="18"/>
              </w:rPr>
            </w:pPr>
            <w:r>
              <w:rPr>
                <w:szCs w:val="18"/>
              </w:rPr>
              <w:t>Vulnerable</w:t>
            </w:r>
          </w:p>
        </w:tc>
        <w:tc>
          <w:tcPr>
            <w:tcW w:w="1177" w:type="dxa"/>
            <w:tcBorders>
              <w:bottom w:val="single" w:sz="4" w:space="0" w:color="auto"/>
            </w:tcBorders>
            <w:shd w:val="clear" w:color="auto" w:fill="auto"/>
            <w:vAlign w:val="center"/>
          </w:tcPr>
          <w:p w14:paraId="687F09E1" w14:textId="77777777" w:rsidR="000B173B" w:rsidRPr="00525A64" w:rsidRDefault="000B173B" w:rsidP="00A15226">
            <w:pPr>
              <w:pStyle w:val="Tabletext"/>
              <w:jc w:val="center"/>
            </w:pPr>
            <w:r>
              <w:t>No</w:t>
            </w:r>
          </w:p>
        </w:tc>
        <w:tc>
          <w:tcPr>
            <w:tcW w:w="9072" w:type="dxa"/>
            <w:tcBorders>
              <w:bottom w:val="single" w:sz="4" w:space="0" w:color="auto"/>
            </w:tcBorders>
            <w:shd w:val="clear" w:color="auto" w:fill="auto"/>
            <w:vAlign w:val="center"/>
          </w:tcPr>
          <w:p w14:paraId="6CAAD96C" w14:textId="77777777" w:rsidR="000B173B" w:rsidRDefault="000B173B" w:rsidP="00A15226">
            <w:pPr>
              <w:pStyle w:val="Tabletext"/>
            </w:pPr>
            <w:r>
              <w:t xml:space="preserve">The Eastern Long-necked Turtle has a broad distribution throughout south-east Australia including south-east Queensland, New South Wales, Victoria, and south-east South Australia. It occurs in the Murray-Darling drainage, the Paroo Drainage, and in the Cooper Creek drainage </w:t>
            </w:r>
            <w:sdt>
              <w:sdtPr>
                <w:tag w:val="MENDELEY_CITATION_v3_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"/>
                <w:id w:val="-1829513146"/>
                <w:placeholder>
                  <w:docPart w:val="7A87483195E49548AABB39FF484A13FE"/>
                </w:placeholder>
              </w:sdtPr>
              <w:sdtContent>
                <w:r>
                  <w:rPr>
                    <w:rFonts w:eastAsia="Times New Roman"/>
                  </w:rPr>
                  <w:t xml:space="preserve">(Kennett </w:t>
                </w:r>
                <w:r>
                  <w:rPr>
                    <w:rFonts w:eastAsia="Times New Roman"/>
                    <w:i/>
                    <w:iCs/>
                  </w:rPr>
                  <w:t>et al.</w:t>
                </w:r>
                <w:r>
                  <w:rPr>
                    <w:rFonts w:eastAsia="Times New Roman"/>
                  </w:rPr>
                  <w:t>, 2009)</w:t>
                </w:r>
              </w:sdtContent>
            </w:sdt>
            <w:r>
              <w:t>.</w:t>
            </w:r>
          </w:p>
          <w:p w14:paraId="7163F885" w14:textId="77777777" w:rsidR="000B173B" w:rsidRDefault="000B173B" w:rsidP="00A15226">
            <w:pPr>
              <w:pStyle w:val="Tabletext"/>
            </w:pPr>
            <w:r>
              <w:t xml:space="preserve">The species uses a diversity of freshwater aquatic habitats, including lakes, farm dams, shallow temporary ponds, and permanent riverine waterholes. It is found in higher numbers within bodies of water which are remote from permanent rivers </w:t>
            </w:r>
            <w:sdt>
              <w:sdtPr>
                <w:tag w:val="MENDELEY_CITATION_v3_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"/>
                <w:id w:val="-409384236"/>
                <w:placeholder>
                  <w:docPart w:val="7A87483195E49548AABB39FF484A13FE"/>
                </w:placeholder>
              </w:sdtPr>
              <w:sdtContent>
                <w:r>
                  <w:rPr>
                    <w:rFonts w:eastAsia="Times New Roman"/>
                  </w:rPr>
                  <w:t xml:space="preserve">(Kennett </w:t>
                </w:r>
                <w:r>
                  <w:rPr>
                    <w:rFonts w:eastAsia="Times New Roman"/>
                    <w:i/>
                    <w:iCs/>
                  </w:rPr>
                  <w:t>et al.</w:t>
                </w:r>
                <w:r>
                  <w:rPr>
                    <w:rFonts w:eastAsia="Times New Roman"/>
                  </w:rPr>
                  <w:t>, 2009)</w:t>
                </w:r>
              </w:sdtContent>
            </w:sdt>
            <w:r>
              <w:t xml:space="preserve">. The turtle likes to bask on rocks or logs in soft sandy areas. </w:t>
            </w:r>
            <w:r>
              <w:lastRenderedPageBreak/>
              <w:t xml:space="preserve">The species is dormant over winter and resides under logs or leaves. It may travel long distances during the dry season to find suitable habitat </w:t>
            </w:r>
            <w:sdt>
              <w:sdtPr>
                <w:rPr>
                  <w:color w:val="000000"/>
                </w:rPr>
                <w:tag w:val="MENDELEY_CITATION_v3_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"/>
                <w:id w:val="-990015061"/>
                <w:placeholder>
                  <w:docPart w:val="7A87483195E49548AABB39FF484A13FE"/>
                </w:placeholder>
              </w:sdtPr>
              <w:sdtContent>
                <w:r w:rsidRPr="008F2762">
                  <w:rPr>
                    <w:color w:val="000000"/>
                  </w:rPr>
                  <w:t>(DELWP, 2017)</w:t>
                </w:r>
              </w:sdtContent>
            </w:sdt>
            <w:r>
              <w:t xml:space="preserve">. </w:t>
            </w:r>
          </w:p>
          <w:p w14:paraId="234202ED" w14:textId="77777777" w:rsidR="000B173B" w:rsidRDefault="000B173B" w:rsidP="00A15226">
            <w:pPr>
              <w:pStyle w:val="Tabletext"/>
            </w:pPr>
            <w:r>
              <w:t xml:space="preserve">The main threats to the species include nest predation by introduced foxes, riverine habitat modification, and land use change impacting migrating turtles </w:t>
            </w:r>
            <w:sdt>
              <w:sdtPr>
                <w:tag w:val="MENDELEY_CITATION_v3_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"/>
                <w:id w:val="-1928104589"/>
                <w:placeholder>
                  <w:docPart w:val="7A87483195E49548AABB39FF484A13FE"/>
                </w:placeholder>
              </w:sdtPr>
              <w:sdtContent>
                <w:r>
                  <w:rPr>
                    <w:rFonts w:eastAsia="Times New Roman"/>
                  </w:rPr>
                  <w:t xml:space="preserve">(Kennett </w:t>
                </w:r>
                <w:r>
                  <w:rPr>
                    <w:rFonts w:eastAsia="Times New Roman"/>
                    <w:i/>
                    <w:iCs/>
                  </w:rPr>
                  <w:t>et al.</w:t>
                </w:r>
                <w:r>
                  <w:rPr>
                    <w:rFonts w:eastAsia="Times New Roman"/>
                  </w:rPr>
                  <w:t>, 2009)</w:t>
                </w:r>
              </w:sdtContent>
            </w:sdt>
            <w:r>
              <w:t>.</w:t>
            </w:r>
          </w:p>
          <w:p w14:paraId="3676F446" w14:textId="77777777" w:rsidR="000B173B" w:rsidRDefault="000B173B" w:rsidP="00A15226">
            <w:pPr>
              <w:pStyle w:val="Tabletext"/>
            </w:pPr>
            <w:r>
              <w:t>There are a small number of scattered and isolated records across the Study Area, associated with different hydrology systems such as the Western Treatment Plant, Little River, the Barwon River and a number of smaller waterbodies. The nearest record occurs approximately 18.6 km (in stream length) south-east of the WGGA in a small tributary of the Barwon River (Waurn Ponds Creek). The creek occurs in an area surrounded by both urbanised and agricultural land.</w:t>
            </w:r>
          </w:p>
          <w:p w14:paraId="0C85E16C" w14:textId="77777777" w:rsidR="000B173B" w:rsidRDefault="000B173B" w:rsidP="00A15226">
            <w:pPr>
              <w:pStyle w:val="Tabletext"/>
            </w:pPr>
            <w:r>
              <w:t xml:space="preserve">Given that the species is considered common throughout all major river systems within its range </w:t>
            </w:r>
            <w:sdt>
              <w:sdtPr>
                <w:tag w:val="MENDELEY_CITATION_v3_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"/>
                <w:id w:val="-1812855011"/>
                <w:placeholder>
                  <w:docPart w:val="5F78DBE152DBCB42BD30336B5DB7FE90"/>
                </w:placeholder>
              </w:sdtPr>
              <w:sdtContent>
                <w:r>
                  <w:rPr>
                    <w:rFonts w:eastAsia="Times New Roman"/>
                  </w:rPr>
                  <w:t xml:space="preserve">(Kennett </w:t>
                </w:r>
                <w:r>
                  <w:rPr>
                    <w:rFonts w:eastAsia="Times New Roman"/>
                    <w:i/>
                    <w:iCs/>
                  </w:rPr>
                  <w:t>et al.</w:t>
                </w:r>
                <w:r>
                  <w:rPr>
                    <w:rFonts w:eastAsia="Times New Roman"/>
                  </w:rPr>
                  <w:t>, 2009)</w:t>
                </w:r>
              </w:sdtContent>
            </w:sdt>
            <w:r>
              <w:t>, the absence of abundant records indicates that the Study Area may not be an important area for the species. Further, any potential aquatic habitat within the Study Area is unlikely to be important considering the broad habitat preferences of the species.</w:t>
            </w:r>
          </w:p>
          <w:p w14:paraId="0725A45C" w14:textId="77777777" w:rsidR="000B173B" w:rsidRDefault="000B173B" w:rsidP="00A15226">
            <w:pPr>
              <w:pStyle w:val="Tabletext"/>
            </w:pPr>
            <w:r>
              <w:t>Development under the Plan is unlikely to affect the species or contribute to any recognised threats.</w:t>
            </w:r>
          </w:p>
        </w:tc>
      </w:tr>
      <w:tr w:rsidR="000B173B" w14:paraId="08BA2787" w14:textId="77777777" w:rsidTr="00A15226">
        <w:tc>
          <w:tcPr>
            <w:tcW w:w="1276" w:type="dxa"/>
            <w:tcBorders>
              <w:bottom w:val="single" w:sz="4" w:space="0" w:color="auto"/>
            </w:tcBorders>
            <w:shd w:val="clear" w:color="auto" w:fill="auto"/>
            <w:vAlign w:val="center"/>
          </w:tcPr>
          <w:p w14:paraId="251FF5FF" w14:textId="77777777" w:rsidR="000B173B" w:rsidRPr="006F54EA" w:rsidRDefault="000B173B" w:rsidP="00A15226">
            <w:pPr>
              <w:pStyle w:val="Tabletext"/>
              <w:rPr>
                <w:i/>
                <w:iCs/>
              </w:rPr>
            </w:pPr>
            <w:r w:rsidRPr="006F54EA">
              <w:rPr>
                <w:i/>
                <w:iCs/>
              </w:rPr>
              <w:lastRenderedPageBreak/>
              <w:t>Lissolepis coventryi</w:t>
            </w:r>
          </w:p>
        </w:tc>
        <w:tc>
          <w:tcPr>
            <w:tcW w:w="1557" w:type="dxa"/>
            <w:tcBorders>
              <w:bottom w:val="single" w:sz="4" w:space="0" w:color="auto"/>
            </w:tcBorders>
            <w:shd w:val="clear" w:color="auto" w:fill="auto"/>
            <w:vAlign w:val="center"/>
          </w:tcPr>
          <w:p w14:paraId="562CF6BA" w14:textId="77777777" w:rsidR="000B173B" w:rsidRPr="006F54EA" w:rsidRDefault="000B173B" w:rsidP="00A15226">
            <w:pPr>
              <w:pStyle w:val="Tabletext"/>
            </w:pPr>
            <w:r w:rsidRPr="006F54EA">
              <w:t>Swamp Skink, Eastern Mourning Skink</w:t>
            </w:r>
          </w:p>
        </w:tc>
        <w:tc>
          <w:tcPr>
            <w:tcW w:w="1235" w:type="dxa"/>
            <w:tcBorders>
              <w:bottom w:val="single" w:sz="4" w:space="0" w:color="auto"/>
            </w:tcBorders>
            <w:shd w:val="clear" w:color="auto" w:fill="auto"/>
            <w:vAlign w:val="center"/>
          </w:tcPr>
          <w:p w14:paraId="1602152A" w14:textId="77777777" w:rsidR="000B173B" w:rsidRPr="00B83DE7" w:rsidRDefault="000B173B" w:rsidP="00A15226">
            <w:pPr>
              <w:pStyle w:val="Tabletext"/>
              <w:rPr>
                <w:szCs w:val="18"/>
              </w:rPr>
            </w:pPr>
            <w:r>
              <w:rPr>
                <w:szCs w:val="18"/>
              </w:rPr>
              <w:t>Endangered</w:t>
            </w:r>
          </w:p>
        </w:tc>
        <w:tc>
          <w:tcPr>
            <w:tcW w:w="1177" w:type="dxa"/>
            <w:tcBorders>
              <w:bottom w:val="single" w:sz="4" w:space="0" w:color="auto"/>
            </w:tcBorders>
            <w:shd w:val="clear" w:color="auto" w:fill="auto"/>
            <w:vAlign w:val="center"/>
          </w:tcPr>
          <w:p w14:paraId="68F2ACB2" w14:textId="77777777" w:rsidR="000B173B" w:rsidRPr="00525A64" w:rsidRDefault="000B173B" w:rsidP="00A15226">
            <w:pPr>
              <w:pStyle w:val="Tabletext"/>
              <w:jc w:val="center"/>
            </w:pPr>
            <w:r w:rsidRPr="00525A64">
              <w:t>No</w:t>
            </w:r>
          </w:p>
        </w:tc>
        <w:tc>
          <w:tcPr>
            <w:tcW w:w="9072" w:type="dxa"/>
            <w:tcBorders>
              <w:bottom w:val="single" w:sz="4" w:space="0" w:color="auto"/>
            </w:tcBorders>
            <w:shd w:val="clear" w:color="auto" w:fill="auto"/>
            <w:vAlign w:val="bottom"/>
          </w:tcPr>
          <w:p w14:paraId="40D80A98" w14:textId="77777777" w:rsidR="000B173B" w:rsidRDefault="000B173B" w:rsidP="00A15226">
            <w:pPr>
              <w:pStyle w:val="Tabletext"/>
            </w:pPr>
            <w:r>
              <w:t xml:space="preserve">The Swamp Skink occurs in south-eastern Australia, ranging between Mt Gambier in the west, through Victoria, and likely to just north of the NSW border. It primarily inhabits coastal areas, with few inland populations. Its distribution is severely disjunct, having declined significantly following European settlement. In 1998, the species was known from 77 discrete sites, of which 72 were located in Victoria. Of the 72 in Victoria, 5 to 6 sites are presumed extinct, and 38 sites are thought unlikely to be viable. Only 12 sites (all in East Gippsland) are thought to be potentially secure </w:t>
            </w:r>
            <w:sdt>
              <w:sdtPr>
                <w:rPr>
                  <w:color w:val="000000"/>
                </w:rPr>
                <w:tag w:val="MENDELEY_CITATION_v3_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"/>
                <w:id w:val="-1102642764"/>
                <w:placeholder>
                  <w:docPart w:val="339B7D746526864D922760336FCFE603"/>
                </w:placeholder>
              </w:sdtPr>
              <w:sdtContent>
                <w:r w:rsidRPr="008F2762">
                  <w:rPr>
                    <w:color w:val="000000"/>
                  </w:rPr>
                  <w:t>(DAWE, 2022f)</w:t>
                </w:r>
              </w:sdtContent>
            </w:sdt>
            <w:r>
              <w:t>.</w:t>
            </w:r>
          </w:p>
          <w:p w14:paraId="3B1B5292" w14:textId="77777777" w:rsidR="000B173B" w:rsidRDefault="000B173B" w:rsidP="00A15226">
            <w:pPr>
              <w:pStyle w:val="Tabletext"/>
            </w:pPr>
            <w:r>
              <w:t xml:space="preserve">The species occurs in densely vegetated saltwater and freshwater wetlands which have natural hydrological regimes and have suitable shelter sites. The species appears to have specific habitat requirements, favouring dense groundcover with little to no overstorey </w:t>
            </w:r>
            <w:sdt>
              <w:sdtPr>
                <w:rPr>
                  <w:color w:val="000000"/>
                </w:rPr>
                <w:tag w:val="MENDELEY_CITATION_v3_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"/>
                <w:id w:val="-136415640"/>
                <w:placeholder>
                  <w:docPart w:val="339B7D746526864D922760336FCFE603"/>
                </w:placeholder>
              </w:sdtPr>
              <w:sdtContent>
                <w:r w:rsidRPr="008F2762">
                  <w:rPr>
                    <w:color w:val="000000"/>
                  </w:rPr>
                  <w:t>(DAWE, 2022f)</w:t>
                </w:r>
              </w:sdtContent>
            </w:sdt>
            <w:r>
              <w:t>.</w:t>
            </w:r>
          </w:p>
          <w:p w14:paraId="223B6D5A" w14:textId="77777777" w:rsidR="000B173B" w:rsidRDefault="000B173B" w:rsidP="00A15226">
            <w:pPr>
              <w:pStyle w:val="Tabletext"/>
            </w:pPr>
            <w:r>
              <w:t xml:space="preserve">Threats to the species include loss of habitat due to wetland draining for agriculture, altered river/wetland water regimes, pollution of rivers/wetlands/coastal environments resulting in changes to vegetation, impacts from pests and weeds, habitat fragmentation, impacts from recreational users, timber harvesting, climate change, disturbance from grazing, and habitat degradation due to phytophthora </w:t>
            </w:r>
            <w:sdt>
              <w:sdtPr>
                <w:rPr>
                  <w:color w:val="000000"/>
                </w:rPr>
                <w:tag w:val="MENDELEY_CITATION_v3_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"/>
                <w:id w:val="-838770860"/>
                <w:placeholder>
                  <w:docPart w:val="339B7D746526864D922760336FCFE603"/>
                </w:placeholder>
              </w:sdtPr>
              <w:sdtContent>
                <w:r w:rsidRPr="008F2762">
                  <w:rPr>
                    <w:color w:val="000000"/>
                  </w:rPr>
                  <w:t>(DAWE, 2022f)</w:t>
                </w:r>
              </w:sdtContent>
            </w:sdt>
            <w:r>
              <w:t>.</w:t>
            </w:r>
          </w:p>
          <w:p w14:paraId="5CDEE604" w14:textId="77777777" w:rsidR="000B173B" w:rsidRDefault="000B173B" w:rsidP="00A15226">
            <w:pPr>
              <w:pStyle w:val="Tabletext"/>
            </w:pPr>
            <w:r>
              <w:t xml:space="preserve">There are no records of the species within the Study Area, although records occur along coastal areas to the east and west of the Study Area. The Study Area includes areas which are mapped within the draft Conservation Advice as localities where the species or species habitat ‘may occur’ </w:t>
            </w:r>
            <w:sdt>
              <w:sdtPr>
                <w:rPr>
                  <w:color w:val="000000"/>
                </w:rPr>
                <w:tag w:val="MENDELEY_CITATION_v3_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"/>
                <w:id w:val="-1605803434"/>
                <w:placeholder>
                  <w:docPart w:val="339B7D746526864D922760336FCFE603"/>
                </w:placeholder>
              </w:sdtPr>
              <w:sdtContent>
                <w:r w:rsidRPr="008F2762">
                  <w:rPr>
                    <w:color w:val="000000"/>
                  </w:rPr>
                  <w:t>(DAWE, 2022f)</w:t>
                </w:r>
              </w:sdtContent>
            </w:sdt>
            <w:r>
              <w:t>.</w:t>
            </w:r>
          </w:p>
          <w:p w14:paraId="6E2B1CDD" w14:textId="77777777" w:rsidR="000B173B" w:rsidRDefault="000B173B" w:rsidP="00A15226">
            <w:pPr>
              <w:pStyle w:val="Tabletext"/>
            </w:pPr>
            <w:r>
              <w:t xml:space="preserve">While the Study Area contains wetland habitat, the wetlands within the Study Area are already disturbed and experience altered hydrological regimes. The absence of species’ records within the Study Area, the sensitivity </w:t>
            </w:r>
            <w:r>
              <w:lastRenderedPageBreak/>
              <w:t xml:space="preserve">of the species to disturbance, and the presence of existing threats within the Study Area, suggests that it is unlikely that the Study Area supports suitable habitat for the species. </w:t>
            </w:r>
          </w:p>
          <w:p w14:paraId="06FF3C54" w14:textId="77777777" w:rsidR="000B173B" w:rsidRDefault="000B173B" w:rsidP="00A15226">
            <w:pPr>
              <w:pStyle w:val="Tabletext"/>
            </w:pPr>
            <w:r>
              <w:t>Development under the Plan is unlikely to affect the species or contribute to any recognised threats.</w:t>
            </w:r>
          </w:p>
        </w:tc>
      </w:tr>
      <w:tr w:rsidR="000B173B" w14:paraId="4CD98F75" w14:textId="77777777" w:rsidTr="00A15226">
        <w:tc>
          <w:tcPr>
            <w:tcW w:w="1276" w:type="dxa"/>
            <w:tcBorders>
              <w:bottom w:val="single" w:sz="4" w:space="0" w:color="auto"/>
            </w:tcBorders>
            <w:shd w:val="clear" w:color="auto" w:fill="auto"/>
            <w:vAlign w:val="center"/>
          </w:tcPr>
          <w:p w14:paraId="688B24AE" w14:textId="77777777" w:rsidR="000B173B" w:rsidRPr="006F54EA" w:rsidRDefault="000B173B" w:rsidP="00A15226">
            <w:pPr>
              <w:pStyle w:val="Tabletext"/>
              <w:rPr>
                <w:i/>
                <w:iCs/>
              </w:rPr>
            </w:pPr>
            <w:r w:rsidRPr="006F54EA">
              <w:rPr>
                <w:i/>
                <w:iCs/>
              </w:rPr>
              <w:lastRenderedPageBreak/>
              <w:t>Pseudemoia rawlinsoni</w:t>
            </w:r>
          </w:p>
        </w:tc>
        <w:tc>
          <w:tcPr>
            <w:tcW w:w="1557" w:type="dxa"/>
            <w:tcBorders>
              <w:bottom w:val="single" w:sz="4" w:space="0" w:color="auto"/>
            </w:tcBorders>
            <w:shd w:val="clear" w:color="auto" w:fill="auto"/>
            <w:vAlign w:val="center"/>
          </w:tcPr>
          <w:p w14:paraId="3D0B21B8" w14:textId="77777777" w:rsidR="000B173B" w:rsidRPr="006F54EA" w:rsidRDefault="000B173B" w:rsidP="00A15226">
            <w:pPr>
              <w:pStyle w:val="Tabletext"/>
              <w:rPr>
                <w:highlight w:val="yellow"/>
              </w:rPr>
            </w:pPr>
            <w:r w:rsidRPr="006F54EA">
              <w:t>Glossy Grass Skink, Swampland Cool-skink, Rawlinson's Window-eyed Skink</w:t>
            </w:r>
          </w:p>
        </w:tc>
        <w:tc>
          <w:tcPr>
            <w:tcW w:w="1235" w:type="dxa"/>
            <w:tcBorders>
              <w:bottom w:val="single" w:sz="4" w:space="0" w:color="auto"/>
            </w:tcBorders>
            <w:shd w:val="clear" w:color="auto" w:fill="auto"/>
            <w:vAlign w:val="center"/>
          </w:tcPr>
          <w:p w14:paraId="6F196902" w14:textId="77777777" w:rsidR="000B173B" w:rsidRPr="00B83DE7" w:rsidRDefault="000B173B" w:rsidP="00A15226">
            <w:pPr>
              <w:pStyle w:val="Tabletext"/>
              <w:rPr>
                <w:szCs w:val="18"/>
              </w:rPr>
            </w:pPr>
            <w:r>
              <w:rPr>
                <w:szCs w:val="18"/>
              </w:rPr>
              <w:t>Vulnerable</w:t>
            </w:r>
          </w:p>
        </w:tc>
        <w:tc>
          <w:tcPr>
            <w:tcW w:w="1177" w:type="dxa"/>
            <w:tcBorders>
              <w:bottom w:val="single" w:sz="4" w:space="0" w:color="auto"/>
            </w:tcBorders>
            <w:shd w:val="clear" w:color="auto" w:fill="auto"/>
            <w:vAlign w:val="center"/>
          </w:tcPr>
          <w:p w14:paraId="3CDE5169" w14:textId="77777777" w:rsidR="000B173B" w:rsidRPr="00525A64" w:rsidRDefault="000B173B" w:rsidP="00A15226">
            <w:pPr>
              <w:pStyle w:val="Tabletext"/>
              <w:jc w:val="center"/>
            </w:pPr>
            <w:r w:rsidRPr="00525A64">
              <w:t>No</w:t>
            </w:r>
          </w:p>
        </w:tc>
        <w:tc>
          <w:tcPr>
            <w:tcW w:w="9072" w:type="dxa"/>
            <w:tcBorders>
              <w:bottom w:val="single" w:sz="4" w:space="0" w:color="auto"/>
            </w:tcBorders>
            <w:shd w:val="clear" w:color="auto" w:fill="auto"/>
          </w:tcPr>
          <w:p w14:paraId="37E60156" w14:textId="77777777" w:rsidR="000B173B" w:rsidRDefault="000B173B" w:rsidP="00A15226">
            <w:pPr>
              <w:pStyle w:val="Tabletext"/>
            </w:pPr>
            <w:r>
              <w:t xml:space="preserve">The Glossy Grass Skink occurs in south eastern Australia in several disjunct areas, including south eastern South Australia, south western and south central Victoria, through the Snowy Mountains of NSW to the Brindabella Ranges of the ACT, and in Tasmania. The disjunct distribution of the species may be an artefact of historical clearing, and/or the cryptic nature of the species and associated challenges in finding and identifying it </w:t>
            </w:r>
            <w:sdt>
              <w:sdtPr>
                <w:rPr>
                  <w:color w:val="000000"/>
                </w:rPr>
                <w:tag w:val="MENDELEY_CITATION_v3_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"/>
                <w:id w:val="1235124217"/>
                <w:placeholder>
                  <w:docPart w:val="339B7D746526864D922760336FCFE603"/>
                </w:placeholder>
              </w:sdtPr>
              <w:sdtContent>
                <w:r w:rsidRPr="008F2762">
                  <w:rPr>
                    <w:color w:val="000000"/>
                  </w:rPr>
                  <w:t>(Threatened Species Section, 2021)</w:t>
                </w:r>
              </w:sdtContent>
            </w:sdt>
            <w:r>
              <w:t xml:space="preserve">. The species was described as being ‘rare’ in the Melbourne region in the 1990’s </w:t>
            </w:r>
            <w:sdt>
              <w:sdtPr>
                <w:rPr>
                  <w:color w:val="000000"/>
                </w:rPr>
                <w:tag w:val="MENDELEY_CITATION_v3_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"/>
                <w:id w:val="-752586677"/>
                <w:placeholder>
                  <w:docPart w:val="339B7D746526864D922760336FCFE603"/>
                </w:placeholder>
              </w:sdtPr>
              <w:sdtContent>
                <w:r w:rsidRPr="008F2762">
                  <w:rPr>
                    <w:color w:val="000000"/>
                  </w:rPr>
                  <w:t>(Hamer, 2011)</w:t>
                </w:r>
              </w:sdtContent>
            </w:sdt>
            <w:r>
              <w:t>.</w:t>
            </w:r>
          </w:p>
          <w:p w14:paraId="0DCE1211" w14:textId="77777777" w:rsidR="000B173B" w:rsidRDefault="000B173B" w:rsidP="00A15226">
            <w:pPr>
              <w:pStyle w:val="Tabletext"/>
            </w:pPr>
            <w:r>
              <w:t xml:space="preserve">The species’ habitat use is consistent across its range. It occurs in sites with very humid microhabitats, including saltmarshes, boggy creek valleys, margins of permanent lakes and swamps in wet heathland, fens and bogs. It has been reported to thrive in anthropogenic habitats in several locations in Tasmania, such as marshy drainage lines in paddocks </w:t>
            </w:r>
            <w:sdt>
              <w:sdtPr>
                <w:rPr>
                  <w:color w:val="000000"/>
                </w:rPr>
                <w:tag w:val="MENDELEY_CITATION_v3_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"/>
                <w:id w:val="301276478"/>
                <w:placeholder>
                  <w:docPart w:val="339B7D746526864D922760336FCFE603"/>
                </w:placeholder>
              </w:sdtPr>
              <w:sdtContent>
                <w:r w:rsidRPr="008F2762">
                  <w:rPr>
                    <w:color w:val="000000"/>
                  </w:rPr>
                  <w:t>(Threatened Species Section, 2021)</w:t>
                </w:r>
              </w:sdtContent>
            </w:sdt>
            <w:r>
              <w:t>.</w:t>
            </w:r>
          </w:p>
          <w:p w14:paraId="3597D724" w14:textId="77777777" w:rsidR="000B173B" w:rsidRDefault="000B173B" w:rsidP="00A15226">
            <w:pPr>
              <w:pStyle w:val="Tabletext"/>
            </w:pPr>
            <w:r>
              <w:t xml:space="preserve">The skink shelters in dense vegetation, such as within the base of grass and rush tussocks and within rotting logs. The preference of the species for dense vegetation likely explains the species’ rarity in known occurrences.  </w:t>
            </w:r>
            <w:sdt>
              <w:sdtPr>
                <w:rPr>
                  <w:color w:val="000000"/>
                </w:rPr>
                <w:tag w:val="MENDELEY_CITATION_v3_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"/>
                <w:id w:val="2091276875"/>
                <w:placeholder>
                  <w:docPart w:val="339B7D746526864D922760336FCFE603"/>
                </w:placeholder>
              </w:sdtPr>
              <w:sdtContent>
                <w:r w:rsidRPr="008F2762">
                  <w:rPr>
                    <w:color w:val="000000"/>
                  </w:rPr>
                  <w:t>(Threatened Species Section, 2021)</w:t>
                </w:r>
              </w:sdtContent>
            </w:sdt>
            <w:r>
              <w:t>.</w:t>
            </w:r>
          </w:p>
          <w:p w14:paraId="1D254610" w14:textId="77777777" w:rsidR="000B173B" w:rsidRDefault="000B173B" w:rsidP="00A15226">
            <w:pPr>
              <w:pStyle w:val="Tabletext"/>
            </w:pPr>
            <w:r>
              <w:t xml:space="preserve">Threats to the species include clearing/modification of habitat, altered hydrology of wetlands/swampy environments, inappropriate fire regimes, inappropriate recreational activities, climate change, and small populations increasing the risk of localised extinctions from stochastic events </w:t>
            </w:r>
            <w:sdt>
              <w:sdtPr>
                <w:rPr>
                  <w:color w:val="000000"/>
                </w:rPr>
                <w:tag w:val="MENDELEY_CITATION_v3_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"/>
                <w:id w:val="-1294050776"/>
                <w:placeholder>
                  <w:docPart w:val="339B7D746526864D922760336FCFE603"/>
                </w:placeholder>
              </w:sdtPr>
              <w:sdtContent>
                <w:r w:rsidRPr="008F2762">
                  <w:rPr>
                    <w:color w:val="000000"/>
                  </w:rPr>
                  <w:t>(Threatened Species Section, 2021)</w:t>
                </w:r>
              </w:sdtContent>
            </w:sdt>
            <w:r>
              <w:t>.</w:t>
            </w:r>
          </w:p>
          <w:p w14:paraId="39FDA051" w14:textId="77777777" w:rsidR="000B173B" w:rsidRDefault="000B173B" w:rsidP="00A15226">
            <w:pPr>
              <w:pStyle w:val="Tabletext"/>
            </w:pPr>
            <w:r>
              <w:t>There are no records of the Glossy Grass Skink within the Study Area, although potential habitat is available within the Study Area associated with wetland areas. While it is acknowledged that the species is cryptic in nature and its full distribution may not be known, given the lack of records and known populations of the species and the well-surveyed nature of the wetlands in the Study Area (as Ramsar sites, and as sites with high accessibility), it is considered unlikely that the species is present within these areas.</w:t>
            </w:r>
          </w:p>
          <w:p w14:paraId="51FC085C" w14:textId="77777777" w:rsidR="000B173B" w:rsidRDefault="000B173B" w:rsidP="00A15226">
            <w:pPr>
              <w:pStyle w:val="Tabletext"/>
            </w:pPr>
            <w:r>
              <w:t>Development under the Plan is unlikely to affect the species or contribute to any recognised threats.</w:t>
            </w:r>
          </w:p>
        </w:tc>
      </w:tr>
      <w:tr w:rsidR="000B173B" w14:paraId="1DD7855C" w14:textId="77777777" w:rsidTr="00A15226">
        <w:tc>
          <w:tcPr>
            <w:tcW w:w="14317" w:type="dxa"/>
            <w:gridSpan w:val="5"/>
            <w:tcBorders>
              <w:bottom w:val="single" w:sz="4" w:space="0" w:color="auto"/>
            </w:tcBorders>
            <w:shd w:val="clear" w:color="auto" w:fill="B4C6E7" w:themeFill="accent1" w:themeFillTint="66"/>
            <w:vAlign w:val="center"/>
          </w:tcPr>
          <w:p w14:paraId="516153C5" w14:textId="77777777" w:rsidR="000B173B" w:rsidRPr="00CB4827" w:rsidRDefault="000B173B" w:rsidP="00A15226">
            <w:pPr>
              <w:pStyle w:val="Tabletext"/>
              <w:rPr>
                <w:b/>
                <w:bCs/>
              </w:rPr>
            </w:pPr>
            <w:r w:rsidRPr="00CB4827">
              <w:rPr>
                <w:b/>
                <w:bCs/>
              </w:rPr>
              <w:t>Insects</w:t>
            </w:r>
          </w:p>
        </w:tc>
      </w:tr>
      <w:tr w:rsidR="000B173B" w14:paraId="6A0908CD" w14:textId="77777777" w:rsidTr="00A15226">
        <w:tc>
          <w:tcPr>
            <w:tcW w:w="1276" w:type="dxa"/>
            <w:tcBorders>
              <w:bottom w:val="single" w:sz="4" w:space="0" w:color="auto"/>
            </w:tcBorders>
            <w:shd w:val="clear" w:color="auto" w:fill="auto"/>
            <w:vAlign w:val="center"/>
          </w:tcPr>
          <w:p w14:paraId="7023D743" w14:textId="77777777" w:rsidR="000B173B" w:rsidRPr="006F54EA" w:rsidRDefault="000B173B" w:rsidP="00A15226">
            <w:pPr>
              <w:pStyle w:val="Tabletext"/>
              <w:rPr>
                <w:i/>
                <w:iCs/>
              </w:rPr>
            </w:pPr>
            <w:r w:rsidRPr="006F54EA">
              <w:rPr>
                <w:i/>
                <w:iCs/>
              </w:rPr>
              <w:t>Agrotis infusa</w:t>
            </w:r>
          </w:p>
        </w:tc>
        <w:tc>
          <w:tcPr>
            <w:tcW w:w="1557" w:type="dxa"/>
            <w:tcBorders>
              <w:bottom w:val="single" w:sz="4" w:space="0" w:color="auto"/>
            </w:tcBorders>
            <w:shd w:val="clear" w:color="auto" w:fill="auto"/>
            <w:vAlign w:val="center"/>
          </w:tcPr>
          <w:p w14:paraId="2A061210" w14:textId="77777777" w:rsidR="000B173B" w:rsidRPr="006F54EA" w:rsidRDefault="000B173B" w:rsidP="00A15226">
            <w:pPr>
              <w:pStyle w:val="Tabletext"/>
              <w:rPr>
                <w:highlight w:val="yellow"/>
              </w:rPr>
            </w:pPr>
            <w:r w:rsidRPr="006F54EA">
              <w:t>Bogong Moth</w:t>
            </w:r>
          </w:p>
        </w:tc>
        <w:tc>
          <w:tcPr>
            <w:tcW w:w="1235" w:type="dxa"/>
            <w:tcBorders>
              <w:bottom w:val="single" w:sz="4" w:space="0" w:color="auto"/>
            </w:tcBorders>
            <w:shd w:val="clear" w:color="auto" w:fill="auto"/>
            <w:vAlign w:val="center"/>
          </w:tcPr>
          <w:p w14:paraId="45EFB8DE" w14:textId="77777777" w:rsidR="000B173B" w:rsidRPr="00B83DE7" w:rsidRDefault="000B173B" w:rsidP="00A15226">
            <w:pPr>
              <w:pStyle w:val="Tabletext"/>
              <w:rPr>
                <w:szCs w:val="18"/>
              </w:rPr>
            </w:pPr>
            <w:r>
              <w:rPr>
                <w:szCs w:val="18"/>
              </w:rPr>
              <w:t>Endangered</w:t>
            </w:r>
          </w:p>
        </w:tc>
        <w:tc>
          <w:tcPr>
            <w:tcW w:w="1177" w:type="dxa"/>
            <w:tcBorders>
              <w:bottom w:val="single" w:sz="4" w:space="0" w:color="auto"/>
            </w:tcBorders>
            <w:shd w:val="clear" w:color="auto" w:fill="auto"/>
            <w:vAlign w:val="center"/>
          </w:tcPr>
          <w:p w14:paraId="1893FA50" w14:textId="77777777" w:rsidR="000B173B" w:rsidRPr="00525A64" w:rsidRDefault="000B173B" w:rsidP="00A15226">
            <w:pPr>
              <w:pStyle w:val="Tabletext"/>
              <w:jc w:val="center"/>
            </w:pPr>
            <w:r>
              <w:t>No</w:t>
            </w:r>
          </w:p>
        </w:tc>
        <w:tc>
          <w:tcPr>
            <w:tcW w:w="9072" w:type="dxa"/>
            <w:tcBorders>
              <w:bottom w:val="single" w:sz="4" w:space="0" w:color="auto"/>
            </w:tcBorders>
            <w:shd w:val="clear" w:color="auto" w:fill="auto"/>
            <w:vAlign w:val="bottom"/>
          </w:tcPr>
          <w:p w14:paraId="7FF6847C" w14:textId="77777777" w:rsidR="000B173B" w:rsidRDefault="000B173B" w:rsidP="00A15226">
            <w:pPr>
              <w:pStyle w:val="Tabletext"/>
            </w:pPr>
            <w:r>
              <w:t xml:space="preserve">The Bogong Moth occurs across a large area of Australia. Over summer (from the end of September to February and March), adult Bogong Moths undertake a summer ‘hibernation’ referred to as estivation in the Australian Alps of Victoria and NSW, taking shelter in caves and rock crevices. Once summer ends, the moths disperse over large distances to breeding grounds. Once at the breeding grounds, the moths mate, lay eggs in the soil, and die. Juvenile moths which hatch and develop then repeat the migratory cycle </w:t>
            </w:r>
            <w:sdt>
              <w:sdtPr>
                <w:tag w:val="MENDELEY_CITATION_v3_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"/>
                <w:id w:val="-1103873596"/>
                <w:placeholder>
                  <w:docPart w:val="339B7D746526864D922760336FCFE603"/>
                </w:placeholder>
              </w:sdtPr>
              <w:sdtContent>
                <w:r>
                  <w:rPr>
                    <w:rFonts w:eastAsia="Times New Roman"/>
                  </w:rPr>
                  <w:t xml:space="preserve">(Warrant </w:t>
                </w:r>
                <w:r>
                  <w:rPr>
                    <w:rFonts w:eastAsia="Times New Roman"/>
                    <w:i/>
                    <w:iCs/>
                  </w:rPr>
                  <w:t>et al.</w:t>
                </w:r>
                <w:r>
                  <w:rPr>
                    <w:rFonts w:eastAsia="Times New Roman"/>
                  </w:rPr>
                  <w:t>, 2016)</w:t>
                </w:r>
              </w:sdtContent>
            </w:sdt>
            <w:r>
              <w:t>.</w:t>
            </w:r>
          </w:p>
          <w:p w14:paraId="2F457672" w14:textId="77777777" w:rsidR="000B173B" w:rsidRDefault="000B173B" w:rsidP="00A15226">
            <w:pPr>
              <w:pStyle w:val="Tabletext"/>
            </w:pPr>
            <w:r>
              <w:lastRenderedPageBreak/>
              <w:t xml:space="preserve">Outside of their summer estivation, Bogong Moths have been observed across Australia, south of the Tropic of Capricorn, including in Tasmania, from coastal NSW through to Perth </w:t>
            </w:r>
            <w:sdt>
              <w:sdtPr>
                <w:tag w:val="MENDELEY_CITATION_v3_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"/>
                <w:id w:val="-1080135255"/>
                <w:placeholder>
                  <w:docPart w:val="339B7D746526864D922760336FCFE603"/>
                </w:placeholder>
              </w:sdtPr>
              <w:sdtContent>
                <w:r>
                  <w:rPr>
                    <w:rFonts w:eastAsia="Times New Roman"/>
                  </w:rPr>
                  <w:t xml:space="preserve">(Warrant </w:t>
                </w:r>
                <w:r>
                  <w:rPr>
                    <w:rFonts w:eastAsia="Times New Roman"/>
                    <w:i/>
                    <w:iCs/>
                  </w:rPr>
                  <w:t>et al.</w:t>
                </w:r>
                <w:r>
                  <w:rPr>
                    <w:rFonts w:eastAsia="Times New Roman"/>
                  </w:rPr>
                  <w:t>, 2016)</w:t>
                </w:r>
              </w:sdtContent>
            </w:sdt>
            <w:r>
              <w:t xml:space="preserve">. There is yearly variation in the larval range of the species, and uncertainty regarding the processes which influence this variation. It is thought that the breeding grounds and larval stages mostly occur in the soil of lowland Queensland, NSW, northern Victoria and South Australia </w:t>
            </w:r>
            <w:sdt>
              <w:sdtPr>
                <w:tag w:val="MENDELEY_CITATION_v3_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"/>
                <w:id w:val="-1335381693"/>
                <w:placeholder>
                  <w:docPart w:val="339B7D746526864D922760336FCFE603"/>
                </w:placeholder>
              </w:sdtPr>
              <w:sdtContent>
                <w:r>
                  <w:rPr>
                    <w:rFonts w:eastAsia="Times New Roman"/>
                  </w:rPr>
                  <w:t xml:space="preserve">(Wintle </w:t>
                </w:r>
                <w:r>
                  <w:rPr>
                    <w:rFonts w:eastAsia="Times New Roman"/>
                    <w:i/>
                    <w:iCs/>
                  </w:rPr>
                  <w:t>et al.</w:t>
                </w:r>
                <w:r>
                  <w:rPr>
                    <w:rFonts w:eastAsia="Times New Roman"/>
                  </w:rPr>
                  <w:t>, 2021)</w:t>
                </w:r>
              </w:sdtContent>
            </w:sdt>
            <w:r>
              <w:t>.</w:t>
            </w:r>
          </w:p>
          <w:p w14:paraId="16DDAE63" w14:textId="77777777" w:rsidR="000B173B" w:rsidRDefault="000B173B" w:rsidP="00A15226">
            <w:pPr>
              <w:pStyle w:val="Tabletext"/>
            </w:pPr>
            <w:r>
              <w:t xml:space="preserve">Uncertainty regarding the location of preferred breeding grounds of this species is a key limitation which makes it difficult to target conservation practices effectively for the species </w:t>
            </w:r>
            <w:sdt>
              <w:sdtPr>
                <w:tag w:val="MENDELEY_CITATION_v3_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"/>
                <w:id w:val="-490563716"/>
                <w:placeholder>
                  <w:docPart w:val="339B7D746526864D922760336FCFE603"/>
                </w:placeholder>
              </w:sdtPr>
              <w:sdtContent>
                <w:r>
                  <w:rPr>
                    <w:rFonts w:eastAsia="Times New Roman"/>
                  </w:rPr>
                  <w:t xml:space="preserve">(Wintle </w:t>
                </w:r>
                <w:r>
                  <w:rPr>
                    <w:rFonts w:eastAsia="Times New Roman"/>
                    <w:i/>
                    <w:iCs/>
                  </w:rPr>
                  <w:t>et al.</w:t>
                </w:r>
                <w:r>
                  <w:rPr>
                    <w:rFonts w:eastAsia="Times New Roman"/>
                  </w:rPr>
                  <w:t>, 2021)</w:t>
                </w:r>
              </w:sdtContent>
            </w:sdt>
            <w:r>
              <w:t>.</w:t>
            </w:r>
          </w:p>
          <w:p w14:paraId="5177BD91" w14:textId="77777777" w:rsidR="000B173B" w:rsidRDefault="000B173B" w:rsidP="00A15226">
            <w:pPr>
              <w:pStyle w:val="Tabletext"/>
            </w:pPr>
            <w:r>
              <w:t xml:space="preserve">Larvae occur in clay soils, where eggs hatch in autumn or early winter, and larvae feed on the young shoots of plants. Later stages of larvae sever plants at the base and draw them into tunnels for consumption during the day. The species passes through six instars before pupating over several weeks. Adult moths then emerge ready for migration in early to mid-spring </w:t>
            </w:r>
            <w:sdt>
              <w:sdtPr>
                <w:tag w:val="MENDELEY_CITATION_v3_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"/>
                <w:id w:val="-1758284611"/>
                <w:placeholder>
                  <w:docPart w:val="339B7D746526864D922760336FCFE603"/>
                </w:placeholder>
              </w:sdtPr>
              <w:sdtContent>
                <w:r>
                  <w:rPr>
                    <w:rFonts w:eastAsia="Times New Roman"/>
                  </w:rPr>
                  <w:t xml:space="preserve">(Wintle </w:t>
                </w:r>
                <w:r>
                  <w:rPr>
                    <w:rFonts w:eastAsia="Times New Roman"/>
                    <w:i/>
                    <w:iCs/>
                  </w:rPr>
                  <w:t>et al.</w:t>
                </w:r>
                <w:r>
                  <w:rPr>
                    <w:rFonts w:eastAsia="Times New Roman"/>
                  </w:rPr>
                  <w:t>, 2021)</w:t>
                </w:r>
              </w:sdtContent>
            </w:sdt>
            <w:r>
              <w:t>.</w:t>
            </w:r>
          </w:p>
          <w:p w14:paraId="79B046F4" w14:textId="77777777" w:rsidR="000B173B" w:rsidRDefault="000B173B" w:rsidP="00A15226">
            <w:pPr>
              <w:pStyle w:val="Tabletext"/>
            </w:pPr>
            <w:r>
              <w:t xml:space="preserve">The main threats to the species are thought to include climate change (including temperature and rainfall changes) and agricultural practices (including conversion of cracking clay soil into farmland, agricultural weed management of fallow fields which may deprive larvae of a food source during development, and use of insecticides). Potential threats also include distracting during migration by artificial lights, predation by native and introduced pests in estivation caves, and altered fire regimes </w:t>
            </w:r>
            <w:sdt>
              <w:sdtPr>
                <w:tag w:val="MENDELEY_CITATION_v3_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"/>
                <w:id w:val="-1275853056"/>
                <w:placeholder>
                  <w:docPart w:val="339B7D746526864D922760336FCFE603"/>
                </w:placeholder>
              </w:sdtPr>
              <w:sdtContent>
                <w:r>
                  <w:rPr>
                    <w:rFonts w:eastAsia="Times New Roman"/>
                  </w:rPr>
                  <w:t xml:space="preserve">(Wintle </w:t>
                </w:r>
                <w:r>
                  <w:rPr>
                    <w:rFonts w:eastAsia="Times New Roman"/>
                    <w:i/>
                    <w:iCs/>
                  </w:rPr>
                  <w:t>et al.</w:t>
                </w:r>
                <w:r>
                  <w:rPr>
                    <w:rFonts w:eastAsia="Times New Roman"/>
                  </w:rPr>
                  <w:t>, 2021)</w:t>
                </w:r>
              </w:sdtContent>
            </w:sdt>
            <w:r>
              <w:t>.</w:t>
            </w:r>
          </w:p>
          <w:p w14:paraId="7A9EF254" w14:textId="77777777" w:rsidR="000B173B" w:rsidRPr="001653E0" w:rsidRDefault="000B173B" w:rsidP="00A15226">
            <w:pPr>
              <w:pStyle w:val="Tabletext"/>
            </w:pPr>
            <w:r>
              <w:t xml:space="preserve">There are no VBA records </w:t>
            </w:r>
            <w:r w:rsidRPr="001653E0">
              <w:t xml:space="preserve">of the Bogong Moth within the Study Area. While there is uncertainty regarding the preferred breeding locations of the species, it is thought that within Victoria, breeding grounds mostly occur within the north of the state </w:t>
            </w:r>
            <w:sdt>
              <w:sdtPr>
                <w:tag w:val="MENDELEY_CITATION_v3_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"/>
                <w:id w:val="2015495008"/>
                <w:placeholder>
                  <w:docPart w:val="339B7D746526864D922760336FCFE603"/>
                </w:placeholder>
              </w:sdtPr>
              <w:sdtContent>
                <w:r>
                  <w:rPr>
                    <w:rFonts w:eastAsia="Times New Roman"/>
                  </w:rPr>
                  <w:t xml:space="preserve">(Wintle </w:t>
                </w:r>
                <w:r>
                  <w:rPr>
                    <w:rFonts w:eastAsia="Times New Roman"/>
                    <w:i/>
                    <w:iCs/>
                  </w:rPr>
                  <w:t>et al.</w:t>
                </w:r>
                <w:r>
                  <w:rPr>
                    <w:rFonts w:eastAsia="Times New Roman"/>
                  </w:rPr>
                  <w:t>, 2021)</w:t>
                </w:r>
              </w:sdtContent>
            </w:sdt>
            <w:r w:rsidRPr="001653E0">
              <w:t>. Further, development under the Plan will not exacerbate threats to the species, as identified known and potential threats are already present within the Study Area.</w:t>
            </w:r>
          </w:p>
          <w:p w14:paraId="3EC36BBD" w14:textId="77777777" w:rsidR="000B173B" w:rsidRPr="00AA2CF1" w:rsidRDefault="000B173B" w:rsidP="00A15226">
            <w:pPr>
              <w:pStyle w:val="Tabletext"/>
            </w:pPr>
            <w:r w:rsidRPr="001653E0">
              <w:t>Overall, development under the Plan is unlikely to affect the species or contribute to any recognised threats.</w:t>
            </w:r>
          </w:p>
        </w:tc>
      </w:tr>
    </w:tbl>
    <w:p w14:paraId="77A383D3" w14:textId="77777777" w:rsidR="000B173B" w:rsidRDefault="000B173B" w:rsidP="000B173B">
      <w:pPr>
        <w:tabs>
          <w:tab w:val="clear" w:pos="4962"/>
        </w:tabs>
        <w:spacing w:before="0" w:after="0" w:line="240" w:lineRule="auto"/>
        <w:rPr>
          <w:rFonts w:ascii="Helvetica" w:eastAsia="MS Gothic" w:hAnsi="Helvetica"/>
          <w:b/>
          <w:bCs/>
          <w:caps/>
          <w:spacing w:val="18"/>
          <w:sz w:val="20"/>
        </w:rPr>
      </w:pPr>
      <w:r>
        <w:rPr>
          <w:rFonts w:ascii="Helvetica" w:eastAsia="MS Gothic" w:hAnsi="Helvetica"/>
          <w:b/>
          <w:bCs/>
          <w:caps/>
          <w:spacing w:val="18"/>
          <w:sz w:val="20"/>
        </w:rPr>
        <w:lastRenderedPageBreak/>
        <w:br w:type="page"/>
      </w:r>
    </w:p>
    <w:p w14:paraId="5705304F" w14:textId="77777777" w:rsidR="000B173B" w:rsidRPr="00A22223" w:rsidRDefault="000B173B" w:rsidP="000B173B">
      <w:pPr>
        <w:pStyle w:val="Heading2"/>
        <w:numPr>
          <w:ilvl w:val="0"/>
          <w:numId w:val="0"/>
        </w:numPr>
        <w:ind w:left="576" w:hanging="576"/>
      </w:pPr>
      <w:bookmarkStart w:id="232" w:name="_Toc116639691"/>
      <w:bookmarkStart w:id="233" w:name="_Toc131154199"/>
      <w:bookmarkStart w:id="234" w:name="_Toc131154386"/>
      <w:r>
        <w:lastRenderedPageBreak/>
        <w:t>FPAL communities categorisation</w:t>
      </w:r>
      <w:bookmarkEnd w:id="232"/>
      <w:bookmarkEnd w:id="233"/>
      <w:bookmarkEnd w:id="234"/>
    </w:p>
    <w:p w14:paraId="7D1B2DDF" w14:textId="77777777" w:rsidR="000B173B" w:rsidRDefault="000B173B" w:rsidP="000B173B">
      <w:pPr>
        <w:pStyle w:val="Caption"/>
        <w:rPr>
          <w:rFonts w:ascii="Helvetica" w:eastAsia="MS Gothic" w:hAnsi="Helvetica"/>
          <w:b w:val="0"/>
          <w:bCs w:val="0"/>
          <w:caps/>
          <w:spacing w:val="18"/>
          <w:sz w:val="20"/>
        </w:rPr>
      </w:pPr>
      <w:bookmarkStart w:id="235" w:name="_Ref116653193"/>
      <w:bookmarkStart w:id="236" w:name="_Toc134697915"/>
      <w:r>
        <w:t xml:space="preserve">Table </w:t>
      </w:r>
      <w:r>
        <w:fldChar w:fldCharType="begin"/>
      </w:r>
      <w:r>
        <w:instrText xml:space="preserve"> STYLEREF 1 \s </w:instrText>
      </w:r>
      <w:r>
        <w:fldChar w:fldCharType="separate"/>
      </w:r>
      <w:r>
        <w:rPr>
          <w:noProof/>
        </w:rPr>
        <w:t>A</w:t>
      </w:r>
      <w:r>
        <w:fldChar w:fldCharType="end"/>
      </w:r>
      <w:r>
        <w:noBreakHyphen/>
      </w:r>
      <w:r>
        <w:fldChar w:fldCharType="begin"/>
      </w:r>
      <w:r>
        <w:instrText xml:space="preserve"> SEQ Table \* ARABIC \s 1 </w:instrText>
      </w:r>
      <w:r>
        <w:fldChar w:fldCharType="separate"/>
      </w:r>
      <w:r>
        <w:rPr>
          <w:noProof/>
        </w:rPr>
        <w:t>5</w:t>
      </w:r>
      <w:r>
        <w:fldChar w:fldCharType="end"/>
      </w:r>
      <w:bookmarkEnd w:id="235"/>
      <w:r>
        <w:t>: Categorisation of FPAL ecological communities</w:t>
      </w:r>
      <w:bookmarkEnd w:id="236"/>
    </w:p>
    <w:tbl>
      <w:tblPr>
        <w:tblStyle w:val="TableGrid"/>
        <w:tblW w:w="0" w:type="auto"/>
        <w:tblLook w:val="04A0" w:firstRow="1" w:lastRow="0" w:firstColumn="1" w:lastColumn="0" w:noHBand="0" w:noVBand="1"/>
      </w:tblPr>
      <w:tblGrid>
        <w:gridCol w:w="1555"/>
        <w:gridCol w:w="1275"/>
        <w:gridCol w:w="1701"/>
        <w:gridCol w:w="9805"/>
      </w:tblGrid>
      <w:tr w:rsidR="000B173B" w14:paraId="1A44F21D" w14:textId="77777777" w:rsidTr="00A15226">
        <w:trPr>
          <w:tblHeader/>
        </w:trPr>
        <w:tc>
          <w:tcPr>
            <w:tcW w:w="1555" w:type="dxa"/>
            <w:shd w:val="clear" w:color="auto" w:fill="D0CECE" w:themeFill="background2" w:themeFillShade="E6"/>
          </w:tcPr>
          <w:p w14:paraId="16BBC8CA" w14:textId="77777777" w:rsidR="000B173B" w:rsidRPr="00EF54AD" w:rsidRDefault="000B173B" w:rsidP="00A15226">
            <w:pPr>
              <w:pStyle w:val="Tabletext"/>
              <w:rPr>
                <w:b/>
                <w:bCs/>
              </w:rPr>
            </w:pPr>
            <w:r w:rsidRPr="00EF54AD">
              <w:rPr>
                <w:b/>
                <w:bCs/>
              </w:rPr>
              <w:t>Proposed TEC name</w:t>
            </w:r>
          </w:p>
        </w:tc>
        <w:tc>
          <w:tcPr>
            <w:tcW w:w="1275" w:type="dxa"/>
            <w:shd w:val="clear" w:color="auto" w:fill="D0CECE" w:themeFill="background2" w:themeFillShade="E6"/>
          </w:tcPr>
          <w:p w14:paraId="3D129BC4" w14:textId="77777777" w:rsidR="000B173B" w:rsidRPr="00EF54AD" w:rsidRDefault="000B173B" w:rsidP="00A15226">
            <w:pPr>
              <w:pStyle w:val="Tabletext"/>
              <w:rPr>
                <w:b/>
                <w:bCs/>
              </w:rPr>
            </w:pPr>
            <w:r w:rsidRPr="00EF54AD">
              <w:rPr>
                <w:b/>
                <w:bCs/>
              </w:rPr>
              <w:t>Proposed listing</w:t>
            </w:r>
          </w:p>
        </w:tc>
        <w:tc>
          <w:tcPr>
            <w:tcW w:w="1701" w:type="dxa"/>
            <w:shd w:val="clear" w:color="auto" w:fill="D0CECE" w:themeFill="background2" w:themeFillShade="E6"/>
            <w:vAlign w:val="center"/>
          </w:tcPr>
          <w:p w14:paraId="0DEE7264" w14:textId="77777777" w:rsidR="000B173B" w:rsidRPr="00EF54AD" w:rsidRDefault="000B173B" w:rsidP="00A15226">
            <w:pPr>
              <w:pStyle w:val="Tabletext"/>
              <w:jc w:val="center"/>
              <w:rPr>
                <w:b/>
                <w:bCs/>
              </w:rPr>
            </w:pPr>
            <w:r w:rsidRPr="00EF54AD">
              <w:rPr>
                <w:b/>
                <w:bCs/>
              </w:rPr>
              <w:t>Requires further assessment</w:t>
            </w:r>
          </w:p>
        </w:tc>
        <w:tc>
          <w:tcPr>
            <w:tcW w:w="9805" w:type="dxa"/>
            <w:shd w:val="clear" w:color="auto" w:fill="D0CECE" w:themeFill="background2" w:themeFillShade="E6"/>
          </w:tcPr>
          <w:p w14:paraId="0FA7250C" w14:textId="77777777" w:rsidR="000B173B" w:rsidRPr="00EF54AD" w:rsidRDefault="000B173B" w:rsidP="00A15226">
            <w:pPr>
              <w:pStyle w:val="Tabletext"/>
              <w:rPr>
                <w:b/>
                <w:bCs/>
              </w:rPr>
            </w:pPr>
            <w:r w:rsidRPr="00EF54AD">
              <w:rPr>
                <w:b/>
                <w:bCs/>
              </w:rPr>
              <w:t>Justification</w:t>
            </w:r>
          </w:p>
        </w:tc>
      </w:tr>
      <w:tr w:rsidR="000B173B" w14:paraId="7211913F" w14:textId="77777777" w:rsidTr="00A15226">
        <w:tc>
          <w:tcPr>
            <w:tcW w:w="1555" w:type="dxa"/>
            <w:vAlign w:val="center"/>
          </w:tcPr>
          <w:p w14:paraId="6208F137" w14:textId="77777777" w:rsidR="000B173B" w:rsidRDefault="000B173B" w:rsidP="00A15226">
            <w:pPr>
              <w:pStyle w:val="Tabletext"/>
            </w:pPr>
            <w:r>
              <w:t>Temperate coastal oyster beds and reef</w:t>
            </w:r>
          </w:p>
        </w:tc>
        <w:tc>
          <w:tcPr>
            <w:tcW w:w="1275" w:type="dxa"/>
            <w:vAlign w:val="center"/>
          </w:tcPr>
          <w:p w14:paraId="0C1AAB0B" w14:textId="77777777" w:rsidR="000B173B" w:rsidRDefault="000B173B" w:rsidP="00A15226">
            <w:pPr>
              <w:pStyle w:val="Tabletext"/>
            </w:pPr>
            <w:r>
              <w:t>Critically Endangered</w:t>
            </w:r>
          </w:p>
        </w:tc>
        <w:tc>
          <w:tcPr>
            <w:tcW w:w="1701" w:type="dxa"/>
            <w:vAlign w:val="center"/>
          </w:tcPr>
          <w:p w14:paraId="76207339" w14:textId="77777777" w:rsidR="000B173B" w:rsidRPr="008A4C3A" w:rsidRDefault="000B173B" w:rsidP="00A15226">
            <w:pPr>
              <w:pStyle w:val="Tabletext"/>
              <w:jc w:val="center"/>
            </w:pPr>
            <w:r w:rsidRPr="008A4C3A">
              <w:t>No</w:t>
            </w:r>
          </w:p>
        </w:tc>
        <w:tc>
          <w:tcPr>
            <w:tcW w:w="9805" w:type="dxa"/>
          </w:tcPr>
          <w:p w14:paraId="55F154AE" w14:textId="77777777" w:rsidR="000B173B" w:rsidRPr="008A4C3A" w:rsidRDefault="000B173B" w:rsidP="00A15226">
            <w:pPr>
              <w:pStyle w:val="Tabletext"/>
            </w:pPr>
            <w:r w:rsidRPr="008A4C3A">
              <w:t>This proposed TEC was nominated for listing under the EPBC Act in 2018. There is limited publicly available information regarding the proposed community and its possible distribution.</w:t>
            </w:r>
          </w:p>
          <w:p w14:paraId="264A8489" w14:textId="77777777" w:rsidR="000B173B" w:rsidRPr="008A4C3A" w:rsidRDefault="000B173B" w:rsidP="00A15226">
            <w:pPr>
              <w:pStyle w:val="Tabletext"/>
            </w:pPr>
            <w:r w:rsidRPr="008A4C3A">
              <w:t xml:space="preserve">At the time of listing, the proposed TEC was described to comprise of temperate intertidal or subtidal oyster beds/reefs and associated species, occurring in the marine and estuarine waters of eastern and southern Australia. This type of community has been heavily cleared with only a small proportion remaining. Key threats include historical overexploitation and harvesting, increasing urbanisation of catchments and coastlines, increasing disease and pest prevalence, water pollution, sedimentation and altered flow regimes </w:t>
            </w:r>
            <w:sdt>
              <w:sdtPr>
                <w:rPr>
                  <w:color w:val="000000"/>
                </w:rPr>
                <w:tag w:val="MENDELEY_CITATION_v3_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"/>
                <w:id w:val="-319114824"/>
                <w:placeholder>
                  <w:docPart w:val="339B7D746526864D922760336FCFE603"/>
                </w:placeholder>
              </w:sdtPr>
              <w:sdtContent>
                <w:r w:rsidRPr="008F2762">
                  <w:rPr>
                    <w:color w:val="000000"/>
                  </w:rPr>
                  <w:t>(DoEE, 2018b)</w:t>
                </w:r>
              </w:sdtContent>
            </w:sdt>
            <w:r w:rsidRPr="008A4C3A">
              <w:t>.</w:t>
            </w:r>
          </w:p>
          <w:p w14:paraId="13CB2FC6" w14:textId="77777777" w:rsidR="000B173B" w:rsidRPr="008A4C3A" w:rsidRDefault="000B173B" w:rsidP="00A15226">
            <w:pPr>
              <w:pStyle w:val="Tabletext"/>
            </w:pPr>
            <w:r w:rsidRPr="008A4C3A">
              <w:t xml:space="preserve">The nomination is noted to be based on work completed by the NESP Marine Hub </w:t>
            </w:r>
            <w:sdt>
              <w:sdtPr>
                <w:rPr>
                  <w:color w:val="000000"/>
                </w:rPr>
                <w:tag w:val="MENDELEY_CITATION_v3_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"/>
                <w:id w:val="2050867233"/>
                <w:placeholder>
                  <w:docPart w:val="339B7D746526864D922760336FCFE603"/>
                </w:placeholder>
              </w:sdtPr>
              <w:sdtContent>
                <w:r w:rsidRPr="008F2762">
                  <w:rPr>
                    <w:color w:val="000000"/>
                  </w:rPr>
                  <w:t>(Gillies, Creighton and McLeod, 2015)</w:t>
                </w:r>
              </w:sdtContent>
            </w:sdt>
            <w:r w:rsidRPr="008A4C3A">
              <w:t>. This report describes the historical and current extent of shellfish reefs across Australia. Port Phillip is identified as a site which historically supported substantial shellfish reef communities. However, these ecosystems at this site have experienced a dramatic decline due to overexploitation, water quality declines, and other forms of anthropogenic disturbance. While it is no longer clear if the community exists in Port Phillip, isolated individual and small clumps of oysters remain in sparsely distributed areas in Port Phillip. For this reason, Port Phillip has been identified as a potential site for restoration of shellfish reef ecosystems.</w:t>
            </w:r>
          </w:p>
          <w:p w14:paraId="74F474A6" w14:textId="77777777" w:rsidR="000B173B" w:rsidRDefault="000B173B" w:rsidP="00A15226">
            <w:pPr>
              <w:pStyle w:val="Tabletext"/>
            </w:pPr>
            <w:r w:rsidRPr="008A4C3A">
              <w:t>While there is a lack of clarity around the definition and distribution of this TEC, it is considered likely that the TEC may be present in small areas within Port Phillip Bay. However, it is considered unlikely that the Plan would impact upon this TEC. This is because the</w:t>
            </w:r>
            <w:r>
              <w:t xml:space="preserve"> main potential impact pathway to the TEC due to the Plan is through changes to water flow and quality. The Plan includes a commitment which will suitably mitigate this impact, through undertaking technical studies to understand key risks to water flow and quality, preparing guidelines based on the result of these studies, and undertaking planning scheme amendments to implement the guidelines. This commitment is supported by a range of existing measures in the planning system to minimise impacts to water flow and quality.</w:t>
            </w:r>
          </w:p>
          <w:p w14:paraId="612C0D92" w14:textId="77777777" w:rsidR="000B173B" w:rsidRPr="008A4C3A" w:rsidRDefault="000B173B" w:rsidP="00A15226">
            <w:pPr>
              <w:pStyle w:val="Tabletext"/>
            </w:pPr>
            <w:r>
              <w:t>Overall, it is considered unlikely that implementation of the Plan would result in impacts to this proposed TEC.</w:t>
            </w:r>
          </w:p>
        </w:tc>
      </w:tr>
    </w:tbl>
    <w:p w14:paraId="26FE1DB7" w14:textId="77777777" w:rsidR="000B173B" w:rsidRDefault="000B173B" w:rsidP="000B173B">
      <w:pPr>
        <w:tabs>
          <w:tab w:val="clear" w:pos="4962"/>
        </w:tabs>
        <w:spacing w:before="0" w:after="0" w:line="240" w:lineRule="auto"/>
        <w:rPr>
          <w:rFonts w:ascii="Helvetica" w:eastAsia="MS Gothic" w:hAnsi="Helvetica"/>
          <w:b/>
          <w:bCs/>
          <w:caps/>
          <w:spacing w:val="18"/>
          <w:sz w:val="20"/>
        </w:rPr>
      </w:pPr>
    </w:p>
    <w:p w14:paraId="7DC6CAAC" w14:textId="77777777" w:rsidR="000B173B" w:rsidRDefault="000B173B" w:rsidP="000B173B">
      <w:pPr>
        <w:tabs>
          <w:tab w:val="clear" w:pos="4962"/>
        </w:tabs>
        <w:spacing w:before="0" w:after="0" w:line="240" w:lineRule="auto"/>
        <w:rPr>
          <w:rFonts w:ascii="Helvetica" w:eastAsia="MS Gothic" w:hAnsi="Helvetica"/>
          <w:b/>
          <w:bCs/>
          <w:caps/>
          <w:spacing w:val="18"/>
          <w:sz w:val="20"/>
        </w:rPr>
        <w:sectPr w:rsidR="000B173B" w:rsidSect="00C15BA8">
          <w:headerReference w:type="even" r:id="rId125"/>
          <w:headerReference w:type="first" r:id="rId126"/>
          <w:pgSz w:w="16840" w:h="11900" w:orient="landscape"/>
          <w:pgMar w:top="1134" w:right="1247" w:bottom="1134" w:left="1247" w:header="708" w:footer="708" w:gutter="0"/>
          <w:pgNumType w:chapStyle="1"/>
          <w:cols w:space="708"/>
          <w:docGrid w:linePitch="360"/>
        </w:sectPr>
      </w:pPr>
    </w:p>
    <w:p w14:paraId="4E5A167B" w14:textId="77777777" w:rsidR="000B173B" w:rsidRDefault="000B173B" w:rsidP="000B173B">
      <w:pPr>
        <w:pStyle w:val="Heading2"/>
        <w:numPr>
          <w:ilvl w:val="0"/>
          <w:numId w:val="0"/>
        </w:numPr>
        <w:ind w:left="576" w:hanging="576"/>
      </w:pPr>
      <w:bookmarkStart w:id="237" w:name="_Toc116639692"/>
      <w:bookmarkStart w:id="238" w:name="_Toc131154200"/>
      <w:bookmarkStart w:id="239" w:name="_Toc131154387"/>
      <w:r>
        <w:lastRenderedPageBreak/>
        <w:t>Migratory species categorisation</w:t>
      </w:r>
      <w:bookmarkEnd w:id="237"/>
      <w:bookmarkEnd w:id="238"/>
      <w:bookmarkEnd w:id="239"/>
    </w:p>
    <w:p w14:paraId="711D3908" w14:textId="77777777" w:rsidR="000B173B" w:rsidRDefault="000B173B" w:rsidP="000B173B">
      <w:pPr>
        <w:pStyle w:val="Caption"/>
      </w:pPr>
      <w:bookmarkStart w:id="240" w:name="_Ref116653222"/>
      <w:bookmarkStart w:id="241" w:name="_Toc134697916"/>
      <w:r>
        <w:t xml:space="preserve">Table </w:t>
      </w:r>
      <w:r>
        <w:fldChar w:fldCharType="begin"/>
      </w:r>
      <w:r>
        <w:instrText xml:space="preserve"> STYLEREF 1 \s </w:instrText>
      </w:r>
      <w:r>
        <w:fldChar w:fldCharType="separate"/>
      </w:r>
      <w:r>
        <w:rPr>
          <w:noProof/>
        </w:rPr>
        <w:t>A</w:t>
      </w:r>
      <w:r>
        <w:fldChar w:fldCharType="end"/>
      </w:r>
      <w:r>
        <w:noBreakHyphen/>
      </w:r>
      <w:r>
        <w:fldChar w:fldCharType="begin"/>
      </w:r>
      <w:r>
        <w:instrText xml:space="preserve"> SEQ Table \* ARABIC \s 1 </w:instrText>
      </w:r>
      <w:r>
        <w:fldChar w:fldCharType="separate"/>
      </w:r>
      <w:r>
        <w:rPr>
          <w:noProof/>
        </w:rPr>
        <w:t>6</w:t>
      </w:r>
      <w:r>
        <w:fldChar w:fldCharType="end"/>
      </w:r>
      <w:bookmarkEnd w:id="240"/>
      <w:r w:rsidRPr="00150CBC">
        <w:t xml:space="preserve"> </w:t>
      </w:r>
      <w:r>
        <w:t>Categorisation results for Commonwealth-listed migratory bird species</w:t>
      </w:r>
      <w:bookmarkEnd w:id="2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1282"/>
        <w:gridCol w:w="1061"/>
        <w:gridCol w:w="1419"/>
        <w:gridCol w:w="849"/>
        <w:gridCol w:w="852"/>
        <w:gridCol w:w="6233"/>
        <w:gridCol w:w="1158"/>
      </w:tblGrid>
      <w:tr w:rsidR="000B173B" w:rsidRPr="002A5710" w14:paraId="4A4EE45C" w14:textId="77777777" w:rsidTr="00A15226">
        <w:trPr>
          <w:tblHeader/>
        </w:trPr>
        <w:tc>
          <w:tcPr>
            <w:tcW w:w="517" w:type="pct"/>
            <w:vMerge w:val="restart"/>
            <w:shd w:val="clear" w:color="auto" w:fill="D9D9D9" w:themeFill="background1" w:themeFillShade="D9"/>
            <w:vAlign w:val="center"/>
          </w:tcPr>
          <w:p w14:paraId="0921EBA2" w14:textId="77777777" w:rsidR="000B173B" w:rsidRPr="002A5710" w:rsidRDefault="000B173B" w:rsidP="00A15226">
            <w:pPr>
              <w:pStyle w:val="TableHeadingLarge"/>
              <w:rPr>
                <w:sz w:val="18"/>
                <w:szCs w:val="18"/>
                <w:lang w:eastAsia="ja-JP"/>
              </w:rPr>
            </w:pPr>
            <w:r w:rsidRPr="002A5710">
              <w:rPr>
                <w:sz w:val="18"/>
                <w:szCs w:val="18"/>
                <w:lang w:eastAsia="ja-JP"/>
              </w:rPr>
              <w:t>Scientific name</w:t>
            </w:r>
          </w:p>
        </w:tc>
        <w:tc>
          <w:tcPr>
            <w:tcW w:w="447" w:type="pct"/>
            <w:vMerge w:val="restart"/>
            <w:shd w:val="clear" w:color="auto" w:fill="D9D9D9" w:themeFill="background1" w:themeFillShade="D9"/>
            <w:vAlign w:val="center"/>
          </w:tcPr>
          <w:p w14:paraId="755965C3" w14:textId="77777777" w:rsidR="000B173B" w:rsidRPr="002A5710" w:rsidRDefault="000B173B" w:rsidP="00A15226">
            <w:pPr>
              <w:pStyle w:val="TableHeadingLarge"/>
              <w:rPr>
                <w:sz w:val="18"/>
                <w:szCs w:val="18"/>
                <w:lang w:eastAsia="ja-JP"/>
              </w:rPr>
            </w:pPr>
            <w:r w:rsidRPr="002A5710">
              <w:rPr>
                <w:sz w:val="18"/>
                <w:szCs w:val="18"/>
                <w:lang w:eastAsia="ja-JP"/>
              </w:rPr>
              <w:t>Common name</w:t>
            </w:r>
          </w:p>
        </w:tc>
        <w:tc>
          <w:tcPr>
            <w:tcW w:w="370" w:type="pct"/>
            <w:vMerge w:val="restart"/>
            <w:shd w:val="clear" w:color="auto" w:fill="D9D9D9" w:themeFill="background1" w:themeFillShade="D9"/>
            <w:vAlign w:val="center"/>
          </w:tcPr>
          <w:p w14:paraId="01A1E7B9" w14:textId="77777777" w:rsidR="000B173B" w:rsidRPr="002A5710" w:rsidRDefault="000B173B" w:rsidP="00A15226">
            <w:pPr>
              <w:pStyle w:val="TableHeadingLarge"/>
              <w:rPr>
                <w:sz w:val="18"/>
                <w:szCs w:val="18"/>
                <w:lang w:eastAsia="ja-JP"/>
              </w:rPr>
            </w:pPr>
            <w:r w:rsidRPr="002A5710">
              <w:rPr>
                <w:sz w:val="18"/>
                <w:szCs w:val="18"/>
                <w:lang w:eastAsia="ja-JP"/>
              </w:rPr>
              <w:t>EPBC Status</w:t>
            </w:r>
            <w:r w:rsidRPr="002A5710">
              <w:rPr>
                <w:sz w:val="18"/>
                <w:szCs w:val="18"/>
                <w:vertAlign w:val="superscript"/>
                <w:lang w:eastAsia="ja-JP"/>
              </w:rPr>
              <w:t>1</w:t>
            </w:r>
          </w:p>
        </w:tc>
        <w:tc>
          <w:tcPr>
            <w:tcW w:w="495" w:type="pct"/>
            <w:vMerge w:val="restart"/>
            <w:shd w:val="clear" w:color="auto" w:fill="D9D9D9" w:themeFill="background1" w:themeFillShade="D9"/>
            <w:vAlign w:val="center"/>
          </w:tcPr>
          <w:p w14:paraId="3B435DAD" w14:textId="77777777" w:rsidR="000B173B" w:rsidRPr="002A5710" w:rsidRDefault="000B173B" w:rsidP="00A15226">
            <w:pPr>
              <w:pStyle w:val="TableHeadingLarge"/>
              <w:rPr>
                <w:sz w:val="18"/>
                <w:szCs w:val="18"/>
                <w:lang w:eastAsia="ja-JP"/>
              </w:rPr>
            </w:pPr>
            <w:r w:rsidRPr="002A5710">
              <w:rPr>
                <w:sz w:val="18"/>
                <w:szCs w:val="18"/>
                <w:lang w:eastAsia="ja-JP"/>
              </w:rPr>
              <w:t>Applicable EPBC Policy</w:t>
            </w:r>
          </w:p>
        </w:tc>
        <w:tc>
          <w:tcPr>
            <w:tcW w:w="593" w:type="pct"/>
            <w:gridSpan w:val="2"/>
            <w:shd w:val="clear" w:color="auto" w:fill="D9D9D9" w:themeFill="background1" w:themeFillShade="D9"/>
            <w:vAlign w:val="center"/>
          </w:tcPr>
          <w:p w14:paraId="226D9BE7" w14:textId="77777777" w:rsidR="000B173B" w:rsidRPr="002A5710" w:rsidRDefault="000B173B" w:rsidP="00A15226">
            <w:pPr>
              <w:pStyle w:val="TableHeadingLarge"/>
              <w:jc w:val="center"/>
              <w:rPr>
                <w:sz w:val="18"/>
                <w:szCs w:val="18"/>
                <w:vertAlign w:val="superscript"/>
                <w:lang w:eastAsia="ja-JP"/>
              </w:rPr>
            </w:pPr>
            <w:r w:rsidRPr="002A5710">
              <w:rPr>
                <w:sz w:val="18"/>
                <w:szCs w:val="18"/>
                <w:lang w:eastAsia="ja-JP"/>
              </w:rPr>
              <w:t>Categorisation criteria triggered</w:t>
            </w:r>
            <w:r w:rsidRPr="002A5710">
              <w:rPr>
                <w:sz w:val="18"/>
                <w:szCs w:val="18"/>
                <w:vertAlign w:val="superscript"/>
                <w:lang w:eastAsia="ja-JP"/>
              </w:rPr>
              <w:t>2</w:t>
            </w:r>
          </w:p>
        </w:tc>
        <w:tc>
          <w:tcPr>
            <w:tcW w:w="2174" w:type="pct"/>
            <w:vMerge w:val="restart"/>
            <w:shd w:val="clear" w:color="auto" w:fill="D9D9D9" w:themeFill="background1" w:themeFillShade="D9"/>
            <w:vAlign w:val="center"/>
          </w:tcPr>
          <w:p w14:paraId="6202BAFE" w14:textId="77777777" w:rsidR="000B173B" w:rsidRPr="002A5710" w:rsidRDefault="000B173B" w:rsidP="00A15226">
            <w:pPr>
              <w:pStyle w:val="TableHeadingLarge"/>
              <w:rPr>
                <w:sz w:val="18"/>
                <w:szCs w:val="18"/>
                <w:lang w:eastAsia="ja-JP"/>
              </w:rPr>
            </w:pPr>
            <w:r>
              <w:rPr>
                <w:sz w:val="18"/>
                <w:szCs w:val="18"/>
                <w:lang w:eastAsia="ja-JP"/>
              </w:rPr>
              <w:t>Justification</w:t>
            </w:r>
          </w:p>
        </w:tc>
        <w:tc>
          <w:tcPr>
            <w:tcW w:w="404" w:type="pct"/>
            <w:vMerge w:val="restart"/>
            <w:shd w:val="clear" w:color="auto" w:fill="D9D9D9" w:themeFill="background1" w:themeFillShade="D9"/>
            <w:vAlign w:val="center"/>
          </w:tcPr>
          <w:p w14:paraId="1DCC8674" w14:textId="77777777" w:rsidR="000B173B" w:rsidRPr="002A5710" w:rsidRDefault="000B173B" w:rsidP="00A15226">
            <w:pPr>
              <w:pStyle w:val="TableHeadingLarge"/>
              <w:rPr>
                <w:sz w:val="18"/>
                <w:szCs w:val="18"/>
              </w:rPr>
            </w:pPr>
            <w:r w:rsidRPr="002A5710">
              <w:rPr>
                <w:sz w:val="18"/>
                <w:szCs w:val="18"/>
              </w:rPr>
              <w:t>Final category</w:t>
            </w:r>
          </w:p>
        </w:tc>
      </w:tr>
      <w:tr w:rsidR="000B173B" w:rsidRPr="002A5710" w14:paraId="3D37B494" w14:textId="77777777" w:rsidTr="00A15226">
        <w:tc>
          <w:tcPr>
            <w:tcW w:w="517" w:type="pct"/>
            <w:vMerge/>
            <w:shd w:val="clear" w:color="auto" w:fill="auto"/>
            <w:vAlign w:val="center"/>
            <w:hideMark/>
          </w:tcPr>
          <w:p w14:paraId="4F9B7D8E" w14:textId="77777777" w:rsidR="000B173B" w:rsidRPr="002A5710" w:rsidRDefault="000B173B" w:rsidP="00A15226">
            <w:pPr>
              <w:pStyle w:val="Tabletext"/>
              <w:rPr>
                <w:szCs w:val="18"/>
                <w:lang w:eastAsia="ja-JP"/>
              </w:rPr>
            </w:pPr>
          </w:p>
        </w:tc>
        <w:tc>
          <w:tcPr>
            <w:tcW w:w="447" w:type="pct"/>
            <w:vMerge/>
            <w:vAlign w:val="center"/>
          </w:tcPr>
          <w:p w14:paraId="1B2C8C27" w14:textId="77777777" w:rsidR="000B173B" w:rsidRPr="002A5710" w:rsidRDefault="000B173B" w:rsidP="00A15226">
            <w:pPr>
              <w:pStyle w:val="Tabletext"/>
              <w:rPr>
                <w:szCs w:val="18"/>
                <w:lang w:eastAsia="ja-JP"/>
              </w:rPr>
            </w:pPr>
          </w:p>
        </w:tc>
        <w:tc>
          <w:tcPr>
            <w:tcW w:w="370" w:type="pct"/>
            <w:vMerge/>
            <w:shd w:val="clear" w:color="auto" w:fill="auto"/>
            <w:vAlign w:val="center"/>
            <w:hideMark/>
          </w:tcPr>
          <w:p w14:paraId="1709664C" w14:textId="77777777" w:rsidR="000B173B" w:rsidRPr="002A5710" w:rsidRDefault="000B173B" w:rsidP="00A15226">
            <w:pPr>
              <w:pStyle w:val="Tabletext"/>
              <w:rPr>
                <w:szCs w:val="18"/>
                <w:lang w:eastAsia="ja-JP"/>
              </w:rPr>
            </w:pPr>
          </w:p>
        </w:tc>
        <w:tc>
          <w:tcPr>
            <w:tcW w:w="495" w:type="pct"/>
            <w:vMerge/>
            <w:vAlign w:val="center"/>
          </w:tcPr>
          <w:p w14:paraId="5EA638F1" w14:textId="77777777" w:rsidR="000B173B" w:rsidRPr="002A5710" w:rsidRDefault="000B173B" w:rsidP="00A15226">
            <w:pPr>
              <w:pStyle w:val="Tabletext"/>
              <w:rPr>
                <w:szCs w:val="18"/>
                <w:lang w:eastAsia="ja-JP"/>
              </w:rPr>
            </w:pPr>
          </w:p>
        </w:tc>
        <w:tc>
          <w:tcPr>
            <w:tcW w:w="296" w:type="pct"/>
            <w:shd w:val="clear" w:color="auto" w:fill="D9D9D9" w:themeFill="background1" w:themeFillShade="D9"/>
            <w:vAlign w:val="center"/>
            <w:hideMark/>
          </w:tcPr>
          <w:p w14:paraId="29E34C65" w14:textId="77777777" w:rsidR="000B173B" w:rsidRPr="002A5710" w:rsidRDefault="000B173B" w:rsidP="00A15226">
            <w:pPr>
              <w:pStyle w:val="TableHeadingLarge"/>
              <w:jc w:val="center"/>
              <w:rPr>
                <w:sz w:val="18"/>
                <w:szCs w:val="18"/>
                <w:lang w:eastAsia="ja-JP"/>
              </w:rPr>
            </w:pPr>
            <w:r w:rsidRPr="002A5710">
              <w:rPr>
                <w:sz w:val="18"/>
                <w:szCs w:val="18"/>
                <w:lang w:eastAsia="ja-JP"/>
              </w:rPr>
              <w:t>ESP</w:t>
            </w:r>
            <w:r w:rsidRPr="002A5710">
              <w:rPr>
                <w:sz w:val="18"/>
                <w:szCs w:val="18"/>
                <w:vertAlign w:val="superscript"/>
                <w:lang w:eastAsia="ja-JP"/>
              </w:rPr>
              <w:t>3</w:t>
            </w:r>
          </w:p>
        </w:tc>
        <w:tc>
          <w:tcPr>
            <w:tcW w:w="297" w:type="pct"/>
            <w:shd w:val="clear" w:color="auto" w:fill="D9D9D9" w:themeFill="background1" w:themeFillShade="D9"/>
            <w:vAlign w:val="center"/>
            <w:hideMark/>
          </w:tcPr>
          <w:p w14:paraId="0FF6862D" w14:textId="77777777" w:rsidR="000B173B" w:rsidRPr="002A5710" w:rsidRDefault="000B173B" w:rsidP="00A15226">
            <w:pPr>
              <w:pStyle w:val="TableHeadingLarge"/>
              <w:jc w:val="center"/>
              <w:rPr>
                <w:sz w:val="18"/>
                <w:szCs w:val="18"/>
                <w:lang w:eastAsia="ja-JP"/>
              </w:rPr>
            </w:pPr>
            <w:r w:rsidRPr="002A5710">
              <w:rPr>
                <w:sz w:val="18"/>
                <w:szCs w:val="18"/>
                <w:lang w:eastAsia="ja-JP"/>
              </w:rPr>
              <w:t>IH</w:t>
            </w:r>
            <w:r w:rsidRPr="002A5710">
              <w:rPr>
                <w:sz w:val="18"/>
                <w:szCs w:val="18"/>
                <w:vertAlign w:val="superscript"/>
                <w:lang w:eastAsia="ja-JP"/>
              </w:rPr>
              <w:t>3</w:t>
            </w:r>
          </w:p>
        </w:tc>
        <w:tc>
          <w:tcPr>
            <w:tcW w:w="2174" w:type="pct"/>
            <w:vMerge/>
            <w:shd w:val="clear" w:color="auto" w:fill="auto"/>
            <w:hideMark/>
          </w:tcPr>
          <w:p w14:paraId="7F862AC2" w14:textId="77777777" w:rsidR="000B173B" w:rsidRPr="002A5710" w:rsidRDefault="000B173B" w:rsidP="00A15226">
            <w:pPr>
              <w:pStyle w:val="Tabletext"/>
              <w:rPr>
                <w:szCs w:val="18"/>
                <w:lang w:eastAsia="ja-JP"/>
              </w:rPr>
            </w:pPr>
          </w:p>
        </w:tc>
        <w:tc>
          <w:tcPr>
            <w:tcW w:w="404" w:type="pct"/>
            <w:vMerge/>
            <w:shd w:val="clear" w:color="auto" w:fill="auto"/>
            <w:vAlign w:val="center"/>
            <w:hideMark/>
          </w:tcPr>
          <w:p w14:paraId="59236071" w14:textId="77777777" w:rsidR="000B173B" w:rsidRPr="002A5710" w:rsidRDefault="000B173B" w:rsidP="00A15226">
            <w:pPr>
              <w:pStyle w:val="Tabletext"/>
              <w:rPr>
                <w:szCs w:val="18"/>
              </w:rPr>
            </w:pPr>
          </w:p>
        </w:tc>
      </w:tr>
      <w:tr w:rsidR="000B173B" w:rsidRPr="002A5710" w14:paraId="5D0D75CC"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D177054" w14:textId="77777777" w:rsidR="000B173B" w:rsidRPr="002A5710" w:rsidRDefault="000B173B" w:rsidP="00A15226">
            <w:pPr>
              <w:pStyle w:val="Tabletext"/>
              <w:rPr>
                <w:i/>
                <w:iCs/>
                <w:szCs w:val="18"/>
              </w:rPr>
            </w:pPr>
            <w:r w:rsidRPr="002A5710">
              <w:rPr>
                <w:i/>
                <w:iCs/>
                <w:szCs w:val="18"/>
              </w:rPr>
              <w:t>Actitis hypoleucos</w:t>
            </w:r>
          </w:p>
        </w:tc>
        <w:tc>
          <w:tcPr>
            <w:tcW w:w="447" w:type="pct"/>
            <w:tcBorders>
              <w:top w:val="single" w:sz="4" w:space="0" w:color="auto"/>
              <w:left w:val="single" w:sz="4" w:space="0" w:color="auto"/>
              <w:bottom w:val="single" w:sz="4" w:space="0" w:color="auto"/>
              <w:right w:val="single" w:sz="4" w:space="0" w:color="auto"/>
            </w:tcBorders>
            <w:vAlign w:val="center"/>
          </w:tcPr>
          <w:p w14:paraId="273D02D6" w14:textId="77777777" w:rsidR="000B173B" w:rsidRPr="002A5710" w:rsidRDefault="000B173B" w:rsidP="00A15226">
            <w:pPr>
              <w:pStyle w:val="Tabletext"/>
              <w:rPr>
                <w:szCs w:val="18"/>
              </w:rPr>
            </w:pPr>
            <w:r w:rsidRPr="002A5710">
              <w:rPr>
                <w:szCs w:val="18"/>
              </w:rPr>
              <w:t>Common Sandpiper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AA287AF"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783C2A66"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2ViZDQ1ZTEtOWE5ZC00YWNjLWExYmQtZTMyYjRhM2VhYzQ3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949615413"/>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733857D"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4E94DE9B"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402CC41D" w14:textId="77777777" w:rsidR="000B173B" w:rsidRPr="002A5710" w:rsidRDefault="000B173B" w:rsidP="00A15226">
            <w:pPr>
              <w:pStyle w:val="Tabletext"/>
              <w:rPr>
                <w:szCs w:val="18"/>
              </w:rPr>
            </w:pPr>
            <w:r w:rsidRPr="002A5710">
              <w:rPr>
                <w:szCs w:val="18"/>
              </w:rPr>
              <w:t xml:space="preserve">13 individuals of the Common Sandpiper have been recorded within the Study Area within the past 5 years, which is below the threshold of an ecologically significant proportion of the species (190 individuals within the last 5 years) </w:t>
            </w:r>
            <w:sdt>
              <w:sdtPr>
                <w:rPr>
                  <w:szCs w:val="18"/>
                </w:rPr>
                <w:tag w:val="MENDELEY_CITATION_v3_eyJjaXRhdGlvbklEIjoiTUVOREVMRVlfQ0lUQVRJT05fYjI3MzIzMGMtOWI4ZS00ZTgwLWFhZjUtMDYyODZiMzE4NzBk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925192111"/>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106C6448" w14:textId="77777777" w:rsidR="000B173B" w:rsidRPr="002A5710" w:rsidRDefault="000B173B" w:rsidP="00A15226">
            <w:pPr>
              <w:pStyle w:val="Tabletext"/>
              <w:rPr>
                <w:szCs w:val="18"/>
              </w:rPr>
            </w:pPr>
            <w:r w:rsidRPr="002A5710">
              <w:rPr>
                <w:szCs w:val="18"/>
              </w:rPr>
              <w:t xml:space="preserve">No important habitat for the Common Sandpiper has been mapped by Birdlife Australia within the Study Area </w:t>
            </w:r>
            <w:sdt>
              <w:sdtPr>
                <w:rPr>
                  <w:szCs w:val="18"/>
                </w:rPr>
                <w:tag w:val="MENDELEY_CITATION_v3_eyJjaXRhdGlvbklEIjoiTUVOREVMRVlfQ0lUQVRJT05fMDc4ZmZmNWUtNjg1Zi00Njc3LWJlY2QtMDhhODgwNTJiZjA1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502466031"/>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294FC62B"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72394F" w14:textId="77777777" w:rsidR="000B173B" w:rsidRPr="002A5710" w:rsidRDefault="000B173B" w:rsidP="00A15226">
            <w:pPr>
              <w:pStyle w:val="Tabletext"/>
              <w:rPr>
                <w:szCs w:val="18"/>
              </w:rPr>
            </w:pPr>
            <w:r w:rsidRPr="002A5710">
              <w:rPr>
                <w:szCs w:val="18"/>
              </w:rPr>
              <w:t>Category 2</w:t>
            </w:r>
          </w:p>
        </w:tc>
      </w:tr>
      <w:tr w:rsidR="000B173B" w:rsidRPr="002A5710" w14:paraId="5E800399"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86CF4BD" w14:textId="77777777" w:rsidR="000B173B" w:rsidRPr="002A5710" w:rsidRDefault="000B173B" w:rsidP="00A15226">
            <w:pPr>
              <w:pStyle w:val="Tabletext"/>
              <w:rPr>
                <w:i/>
                <w:iCs/>
                <w:szCs w:val="18"/>
              </w:rPr>
            </w:pPr>
            <w:r w:rsidRPr="002A5710">
              <w:rPr>
                <w:i/>
                <w:iCs/>
                <w:szCs w:val="18"/>
              </w:rPr>
              <w:t>Anous stolidus</w:t>
            </w:r>
          </w:p>
        </w:tc>
        <w:tc>
          <w:tcPr>
            <w:tcW w:w="447" w:type="pct"/>
            <w:tcBorders>
              <w:top w:val="single" w:sz="4" w:space="0" w:color="auto"/>
              <w:left w:val="single" w:sz="4" w:space="0" w:color="auto"/>
              <w:bottom w:val="single" w:sz="4" w:space="0" w:color="auto"/>
              <w:right w:val="single" w:sz="4" w:space="0" w:color="auto"/>
            </w:tcBorders>
            <w:vAlign w:val="center"/>
          </w:tcPr>
          <w:p w14:paraId="36F5EA80" w14:textId="77777777" w:rsidR="000B173B" w:rsidRPr="002A5710" w:rsidRDefault="000B173B" w:rsidP="00A15226">
            <w:pPr>
              <w:pStyle w:val="Tabletext"/>
              <w:rPr>
                <w:szCs w:val="18"/>
              </w:rPr>
            </w:pPr>
            <w:r w:rsidRPr="002A5710">
              <w:rPr>
                <w:szCs w:val="18"/>
              </w:rPr>
              <w:t>Common Noddy</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332034C" w14:textId="77777777" w:rsidR="000B173B" w:rsidRPr="002A5710" w:rsidRDefault="000B173B" w:rsidP="00A15226">
            <w:pPr>
              <w:pStyle w:val="Tabletext"/>
              <w:rPr>
                <w:szCs w:val="18"/>
              </w:rPr>
            </w:pPr>
            <w:r w:rsidRPr="002A5710">
              <w:rPr>
                <w:szCs w:val="18"/>
              </w:rPr>
              <w:t>Mig, C, J</w:t>
            </w:r>
          </w:p>
        </w:tc>
        <w:tc>
          <w:tcPr>
            <w:tcW w:w="495" w:type="pct"/>
            <w:tcBorders>
              <w:top w:val="single" w:sz="4" w:space="0" w:color="auto"/>
              <w:left w:val="single" w:sz="4" w:space="0" w:color="auto"/>
              <w:bottom w:val="single" w:sz="4" w:space="0" w:color="auto"/>
              <w:right w:val="single" w:sz="4" w:space="0" w:color="auto"/>
            </w:tcBorders>
            <w:vAlign w:val="center"/>
          </w:tcPr>
          <w:p w14:paraId="00B54970"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5CF0476"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1EAF43E"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1DA8B782" w14:textId="77777777" w:rsidR="000B173B" w:rsidRPr="002A5710" w:rsidRDefault="000B173B" w:rsidP="00A15226">
            <w:pPr>
              <w:pStyle w:val="Tabletext"/>
              <w:rPr>
                <w:szCs w:val="18"/>
              </w:rPr>
            </w:pPr>
            <w:r w:rsidRPr="002A5710">
              <w:rPr>
                <w:szCs w:val="18"/>
              </w:rPr>
              <w:t xml:space="preserve">One individual of the Common Noddy has been recorded within the Study Area, which is below the threshold of an ecologically significant proportion of the species (800 individuals) </w:t>
            </w:r>
            <w:sdt>
              <w:sdtPr>
                <w:rPr>
                  <w:color w:val="000000"/>
                  <w:szCs w:val="18"/>
                </w:rPr>
                <w:tag w:val="MENDELEY_CITATION_v3_eyJjaXRhdGlvbklEIjoiTUVOREVMRVlfQ0lUQVRJT05fNzM0Y2U4ZmItNjAwNi00M2Q3LTk0NTUtNGMyYjBkMDkwZDI3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542448302"/>
                <w:placeholder>
                  <w:docPart w:val="339B7D746526864D922760336FCFE603"/>
                </w:placeholder>
              </w:sdtPr>
              <w:sdtEndPr>
                <w:rPr>
                  <w:szCs w:val="20"/>
                </w:rPr>
              </w:sdtEndPr>
              <w:sdtContent>
                <w:r w:rsidRPr="008F2762">
                  <w:rPr>
                    <w:color w:val="000000"/>
                  </w:rPr>
                  <w:t>(Birdlife International, 2022)</w:t>
                </w:r>
              </w:sdtContent>
            </w:sdt>
            <w:r w:rsidRPr="002A5710">
              <w:rPr>
                <w:szCs w:val="18"/>
              </w:rPr>
              <w:t>.</w:t>
            </w:r>
          </w:p>
          <w:p w14:paraId="6C94A68E" w14:textId="77777777" w:rsidR="000B173B" w:rsidRPr="002A5710" w:rsidRDefault="000B173B" w:rsidP="00A15226">
            <w:pPr>
              <w:pStyle w:val="Tabletext"/>
              <w:rPr>
                <w:szCs w:val="18"/>
              </w:rPr>
            </w:pPr>
            <w:r w:rsidRPr="002A5710">
              <w:rPr>
                <w:szCs w:val="18"/>
              </w:rPr>
              <w:t>Given the small number of records, it is unlikely that the Study Area supports important habitat for this species.</w:t>
            </w:r>
          </w:p>
          <w:p w14:paraId="1DC6757F"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1964FCB" w14:textId="77777777" w:rsidR="000B173B" w:rsidRPr="002A5710" w:rsidRDefault="000B173B" w:rsidP="00A15226">
            <w:pPr>
              <w:pStyle w:val="Tabletext"/>
              <w:rPr>
                <w:szCs w:val="18"/>
              </w:rPr>
            </w:pPr>
            <w:r w:rsidRPr="002A5710">
              <w:rPr>
                <w:szCs w:val="18"/>
              </w:rPr>
              <w:t>Category 2</w:t>
            </w:r>
          </w:p>
        </w:tc>
      </w:tr>
      <w:tr w:rsidR="000B173B" w:rsidRPr="002A5710" w14:paraId="115DE504"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016F127" w14:textId="77777777" w:rsidR="000B173B" w:rsidRPr="002A5710" w:rsidRDefault="000B173B" w:rsidP="00A15226">
            <w:pPr>
              <w:pStyle w:val="Tabletext"/>
              <w:rPr>
                <w:i/>
                <w:iCs/>
                <w:szCs w:val="18"/>
              </w:rPr>
            </w:pPr>
            <w:r w:rsidRPr="002A5710">
              <w:rPr>
                <w:i/>
                <w:iCs/>
                <w:szCs w:val="18"/>
              </w:rPr>
              <w:t>Apus pacificus</w:t>
            </w:r>
          </w:p>
        </w:tc>
        <w:tc>
          <w:tcPr>
            <w:tcW w:w="447" w:type="pct"/>
            <w:tcBorders>
              <w:top w:val="single" w:sz="4" w:space="0" w:color="auto"/>
              <w:left w:val="single" w:sz="4" w:space="0" w:color="auto"/>
              <w:bottom w:val="single" w:sz="4" w:space="0" w:color="auto"/>
              <w:right w:val="single" w:sz="4" w:space="0" w:color="auto"/>
            </w:tcBorders>
            <w:vAlign w:val="center"/>
          </w:tcPr>
          <w:p w14:paraId="3B2E4693" w14:textId="77777777" w:rsidR="000B173B" w:rsidRPr="002A5710" w:rsidRDefault="000B173B" w:rsidP="00A15226">
            <w:pPr>
              <w:pStyle w:val="Tabletext"/>
              <w:rPr>
                <w:szCs w:val="18"/>
              </w:rPr>
            </w:pPr>
            <w:r w:rsidRPr="002A5710">
              <w:rPr>
                <w:szCs w:val="18"/>
              </w:rPr>
              <w:t>Fork-tailed Swift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79565455" w14:textId="77777777" w:rsidR="000B173B" w:rsidRPr="002A5710" w:rsidRDefault="000B173B" w:rsidP="00A15226">
            <w:pPr>
              <w:pStyle w:val="Tabletext"/>
              <w:rPr>
                <w:szCs w:val="18"/>
              </w:rPr>
            </w:pPr>
            <w:r w:rsidRPr="002A5710">
              <w:rPr>
                <w:szCs w:val="18"/>
              </w:rPr>
              <w:t>Mig, C, J, K</w:t>
            </w:r>
          </w:p>
        </w:tc>
        <w:tc>
          <w:tcPr>
            <w:tcW w:w="495" w:type="pct"/>
            <w:tcBorders>
              <w:top w:val="single" w:sz="4" w:space="0" w:color="auto"/>
              <w:left w:val="single" w:sz="4" w:space="0" w:color="auto"/>
              <w:bottom w:val="single" w:sz="4" w:space="0" w:color="auto"/>
              <w:right w:val="single" w:sz="4" w:space="0" w:color="auto"/>
            </w:tcBorders>
            <w:vAlign w:val="center"/>
          </w:tcPr>
          <w:p w14:paraId="7FEE4666" w14:textId="77777777" w:rsidR="000B173B" w:rsidRPr="002A5710" w:rsidRDefault="000B173B" w:rsidP="00A15226">
            <w:pPr>
              <w:pStyle w:val="Tabletext"/>
              <w:rPr>
                <w:szCs w:val="18"/>
              </w:rPr>
            </w:pPr>
            <w:r w:rsidRPr="002A5710">
              <w:rPr>
                <w:szCs w:val="18"/>
              </w:rPr>
              <w:t xml:space="preserve">Draft referral guidelines for 14 migratory birds </w:t>
            </w:r>
            <w:sdt>
              <w:sdtPr>
                <w:rPr>
                  <w:color w:val="000000"/>
                  <w:szCs w:val="18"/>
                </w:rPr>
                <w:tag w:val="MENDELEY_CITATION_v3_eyJjaXRhdGlvbklEIjoiTUVOREVMRVlfQ0lUQVRJT05fYTA2YjU1ZTAtZjhjOC00YWIwLWI3MzctNGMzMTg0ZmRjOGJi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258065878"/>
                <w:placeholder>
                  <w:docPart w:val="339B7D746526864D922760336FCFE603"/>
                </w:placeholder>
              </w:sdtPr>
              <w:sdtEndPr>
                <w:rPr>
                  <w:szCs w:val="20"/>
                </w:rPr>
              </w:sdtEndPr>
              <w:sdtContent>
                <w:r w:rsidRPr="008F2762">
                  <w:rPr>
                    <w:color w:val="000000"/>
                  </w:rPr>
                  <w:t>(DoE, 2015c)</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30FAB1E"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B2485AD"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0329075B" w14:textId="77777777" w:rsidR="000B173B" w:rsidRPr="002A5710" w:rsidRDefault="000B173B" w:rsidP="00A15226">
            <w:pPr>
              <w:pStyle w:val="Tabletext"/>
              <w:rPr>
                <w:szCs w:val="18"/>
              </w:rPr>
            </w:pPr>
            <w:r w:rsidRPr="002A5710">
              <w:rPr>
                <w:szCs w:val="18"/>
              </w:rPr>
              <w:t xml:space="preserve">819 individuals of the Fork-tailed Swift have been recorded within the Study Area, which is above the threshold of an ecologically significant proportion of the species (100 individuals) </w:t>
            </w:r>
            <w:sdt>
              <w:sdtPr>
                <w:rPr>
                  <w:color w:val="000000"/>
                  <w:szCs w:val="18"/>
                </w:rPr>
                <w:tag w:val="MENDELEY_CITATION_v3_eyJjaXRhdGlvbklEIjoiTUVOREVMRVlfQ0lUQVRJT05fZTc2Y2Y0ZGEtODBjNy00YmNjLTlhNTQtOTcxNWMxMzRjNDkz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432927941"/>
                <w:placeholder>
                  <w:docPart w:val="339B7D746526864D922760336FCFE603"/>
                </w:placeholder>
              </w:sdtPr>
              <w:sdtEndPr>
                <w:rPr>
                  <w:szCs w:val="20"/>
                </w:rPr>
              </w:sdtEndPr>
              <w:sdtContent>
                <w:r w:rsidRPr="008F2762">
                  <w:rPr>
                    <w:color w:val="000000"/>
                  </w:rPr>
                  <w:t>(DoE, 2015c)</w:t>
                </w:r>
              </w:sdtContent>
            </w:sdt>
            <w:r w:rsidRPr="002A5710">
              <w:rPr>
                <w:szCs w:val="18"/>
              </w:rPr>
              <w:t>. Species records range in age from 1898 through to 2015 and occur scattered across the eastern half of the Study Area. Within this area, there is no location where record densities are substantially greater than elsewhere.</w:t>
            </w:r>
          </w:p>
          <w:p w14:paraId="580BE8CD" w14:textId="77777777" w:rsidR="000B173B" w:rsidRPr="002A5710" w:rsidRDefault="000B173B" w:rsidP="00A15226">
            <w:pPr>
              <w:pStyle w:val="Tabletext"/>
              <w:rPr>
                <w:szCs w:val="18"/>
              </w:rPr>
            </w:pPr>
            <w:r w:rsidRPr="002A5710">
              <w:rPr>
                <w:szCs w:val="18"/>
              </w:rPr>
              <w:t xml:space="preserve">The Migratory Bird Referral Guidelines describes important habitat for the species as follows: “Non breeding habitat only; Found across a range of habitats, from inland open plains to wooded areas, where it is exclusively aerial.” </w:t>
            </w:r>
            <w:sdt>
              <w:sdtPr>
                <w:rPr>
                  <w:color w:val="000000"/>
                  <w:szCs w:val="18"/>
                </w:rPr>
                <w:tag w:val="MENDELEY_CITATION_v3_eyJjaXRhdGlvbklEIjoiTUVOREVMRVlfQ0lUQVRJT05fYWY5N2IyNGYtNzc0YS00Njk0LTg0YWUtMjE0NThkODA0Mzgz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037320709"/>
                <w:placeholder>
                  <w:docPart w:val="339B7D746526864D922760336FCFE603"/>
                </w:placeholder>
              </w:sdtPr>
              <w:sdtEndPr>
                <w:rPr>
                  <w:szCs w:val="20"/>
                </w:rPr>
              </w:sdtEndPr>
              <w:sdtContent>
                <w:r w:rsidRPr="008F2762">
                  <w:rPr>
                    <w:color w:val="000000"/>
                  </w:rPr>
                  <w:t>(DoE, 2015c)</w:t>
                </w:r>
              </w:sdtContent>
            </w:sdt>
            <w:r w:rsidRPr="002A5710">
              <w:rPr>
                <w:szCs w:val="18"/>
              </w:rPr>
              <w:t xml:space="preserve">. </w:t>
            </w:r>
          </w:p>
          <w:p w14:paraId="5BEEE9E6" w14:textId="77777777" w:rsidR="000B173B" w:rsidRPr="002A5710" w:rsidRDefault="000B173B" w:rsidP="00A15226">
            <w:pPr>
              <w:pStyle w:val="Tabletext"/>
              <w:rPr>
                <w:szCs w:val="18"/>
              </w:rPr>
            </w:pPr>
            <w:r w:rsidRPr="002A5710">
              <w:rPr>
                <w:szCs w:val="18"/>
              </w:rPr>
              <w:t xml:space="preserve">The species’ SPRAT profile notes that the species is widespread but sparsely scattered across Victoria. It is insectivorous which forages, loafs and probably roosts aerially, although the species is occasionally observed </w:t>
            </w:r>
            <w:r w:rsidRPr="002A5710">
              <w:rPr>
                <w:szCs w:val="18"/>
              </w:rPr>
              <w:lastRenderedPageBreak/>
              <w:t xml:space="preserve">to land. The species forages along the edges of low-pressure weather systems which assist with flight </w:t>
            </w:r>
            <w:sdt>
              <w:sdtPr>
                <w:rPr>
                  <w:color w:val="000000"/>
                  <w:szCs w:val="18"/>
                </w:rPr>
                <w:tag w:val="MENDELEY_CITATION_v3_eyJjaXRhdGlvbklEIjoiTUVOREVMRVlfQ0lUQVRJT05fZmNmOTNkMjktN2I3OC00YjIyLWFiZDktN2YzMTU1OTIzZDYy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764984089"/>
                <w:placeholder>
                  <w:docPart w:val="339B7D746526864D922760336FCFE603"/>
                </w:placeholder>
              </w:sdtPr>
              <w:sdtEndPr>
                <w:rPr>
                  <w:szCs w:val="20"/>
                </w:rPr>
              </w:sdtEndPr>
              <w:sdtContent>
                <w:r w:rsidRPr="008F2762">
                  <w:rPr>
                    <w:color w:val="000000"/>
                  </w:rPr>
                  <w:t>(DCCEEW, 2022)</w:t>
                </w:r>
              </w:sdtContent>
            </w:sdt>
            <w:r w:rsidRPr="002A5710">
              <w:rPr>
                <w:szCs w:val="18"/>
              </w:rPr>
              <w:t>.</w:t>
            </w:r>
          </w:p>
          <w:p w14:paraId="778FFCD6" w14:textId="77777777" w:rsidR="000B173B" w:rsidRPr="002A5710" w:rsidRDefault="000B173B" w:rsidP="00A15226">
            <w:pPr>
              <w:pStyle w:val="Tabletext"/>
              <w:rPr>
                <w:szCs w:val="18"/>
              </w:rPr>
            </w:pPr>
            <w:r w:rsidRPr="002A5710">
              <w:rPr>
                <w:szCs w:val="18"/>
              </w:rPr>
              <w:t>Given that the species occurs in a widespread but sparse manner across Victoria and given that the last known record of the species within the Study Area was from 2015, it is unlikely that the Study Area contains important habitat for the species.</w:t>
            </w:r>
          </w:p>
          <w:p w14:paraId="69E3873D" w14:textId="77777777" w:rsidR="000B173B" w:rsidRPr="002A5710" w:rsidRDefault="000B173B" w:rsidP="00A15226">
            <w:pPr>
              <w:pStyle w:val="Tabletext"/>
              <w:rPr>
                <w:szCs w:val="18"/>
              </w:rPr>
            </w:pPr>
            <w:r w:rsidRPr="002A5710">
              <w:rPr>
                <w:szCs w:val="18"/>
              </w:rPr>
              <w:t>Further, given that the species is almost exclusively aerial and insectivorous, it is unlikely that the Plan would result in impacts to the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8C825C5"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291F8413"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A2773E3" w14:textId="77777777" w:rsidR="000B173B" w:rsidRPr="002A5710" w:rsidRDefault="000B173B" w:rsidP="00A15226">
            <w:pPr>
              <w:pStyle w:val="Tabletext"/>
              <w:rPr>
                <w:i/>
                <w:iCs/>
                <w:szCs w:val="18"/>
              </w:rPr>
            </w:pPr>
            <w:r w:rsidRPr="002A5710">
              <w:rPr>
                <w:i/>
                <w:iCs/>
                <w:szCs w:val="18"/>
              </w:rPr>
              <w:t>Ardenna carneipes</w:t>
            </w:r>
          </w:p>
        </w:tc>
        <w:tc>
          <w:tcPr>
            <w:tcW w:w="447" w:type="pct"/>
            <w:tcBorders>
              <w:top w:val="single" w:sz="4" w:space="0" w:color="auto"/>
              <w:left w:val="single" w:sz="4" w:space="0" w:color="auto"/>
              <w:bottom w:val="single" w:sz="4" w:space="0" w:color="auto"/>
              <w:right w:val="single" w:sz="4" w:space="0" w:color="auto"/>
            </w:tcBorders>
            <w:vAlign w:val="center"/>
          </w:tcPr>
          <w:p w14:paraId="3695B677" w14:textId="77777777" w:rsidR="000B173B" w:rsidRPr="002A5710" w:rsidRDefault="000B173B" w:rsidP="00A15226">
            <w:pPr>
              <w:pStyle w:val="Tabletext"/>
              <w:rPr>
                <w:szCs w:val="18"/>
              </w:rPr>
            </w:pPr>
            <w:r w:rsidRPr="002A5710">
              <w:rPr>
                <w:szCs w:val="18"/>
              </w:rPr>
              <w:t>Flesh-footed Shearwater, Fleshy-footed Shearwater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2885B565" w14:textId="77777777" w:rsidR="000B173B" w:rsidRPr="002A5710" w:rsidRDefault="000B173B" w:rsidP="00A15226">
            <w:pPr>
              <w:pStyle w:val="Tabletext"/>
              <w:rPr>
                <w:szCs w:val="18"/>
              </w:rPr>
            </w:pPr>
            <w:r w:rsidRPr="002A5710">
              <w:rPr>
                <w:szCs w:val="18"/>
              </w:rPr>
              <w:t>Mig, J, K</w:t>
            </w:r>
          </w:p>
        </w:tc>
        <w:tc>
          <w:tcPr>
            <w:tcW w:w="495" w:type="pct"/>
            <w:tcBorders>
              <w:top w:val="single" w:sz="4" w:space="0" w:color="auto"/>
              <w:left w:val="single" w:sz="4" w:space="0" w:color="auto"/>
              <w:bottom w:val="single" w:sz="4" w:space="0" w:color="auto"/>
              <w:right w:val="single" w:sz="4" w:space="0" w:color="auto"/>
            </w:tcBorders>
            <w:vAlign w:val="center"/>
          </w:tcPr>
          <w:p w14:paraId="2C8CA614"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ACC248F"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74A34CE0"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37C91FCB" w14:textId="77777777" w:rsidR="000B173B" w:rsidRPr="002A5710" w:rsidRDefault="000B173B" w:rsidP="00A15226">
            <w:pPr>
              <w:pStyle w:val="Tabletext"/>
              <w:rPr>
                <w:szCs w:val="18"/>
              </w:rPr>
            </w:pPr>
            <w:r w:rsidRPr="002A5710">
              <w:rPr>
                <w:szCs w:val="18"/>
              </w:rPr>
              <w:t>No individuals of the Flesh-footed Shearwater have been recorded within the Study Area. Given the absence of records of the species, it is unlikely the Study Area supports important habitat for the species.</w:t>
            </w:r>
          </w:p>
          <w:p w14:paraId="39D5704F"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425E11" w14:textId="77777777" w:rsidR="000B173B" w:rsidRPr="002A5710" w:rsidRDefault="000B173B" w:rsidP="00A15226">
            <w:pPr>
              <w:pStyle w:val="Tabletext"/>
              <w:rPr>
                <w:szCs w:val="18"/>
              </w:rPr>
            </w:pPr>
            <w:r w:rsidRPr="002A5710">
              <w:rPr>
                <w:szCs w:val="18"/>
              </w:rPr>
              <w:t>Category 2</w:t>
            </w:r>
          </w:p>
        </w:tc>
      </w:tr>
      <w:tr w:rsidR="000B173B" w:rsidRPr="002A5710" w14:paraId="55D11373"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91A94D6" w14:textId="77777777" w:rsidR="000B173B" w:rsidRPr="002A5710" w:rsidRDefault="000B173B" w:rsidP="00A15226">
            <w:pPr>
              <w:pStyle w:val="Tabletext"/>
              <w:rPr>
                <w:i/>
                <w:iCs/>
                <w:szCs w:val="18"/>
              </w:rPr>
            </w:pPr>
            <w:r w:rsidRPr="002A5710">
              <w:rPr>
                <w:i/>
                <w:iCs/>
                <w:szCs w:val="18"/>
              </w:rPr>
              <w:t>Ardenna grisea</w:t>
            </w:r>
          </w:p>
        </w:tc>
        <w:tc>
          <w:tcPr>
            <w:tcW w:w="447" w:type="pct"/>
            <w:tcBorders>
              <w:top w:val="single" w:sz="4" w:space="0" w:color="auto"/>
              <w:left w:val="single" w:sz="4" w:space="0" w:color="auto"/>
              <w:bottom w:val="single" w:sz="4" w:space="0" w:color="auto"/>
              <w:right w:val="single" w:sz="4" w:space="0" w:color="auto"/>
            </w:tcBorders>
            <w:vAlign w:val="center"/>
          </w:tcPr>
          <w:p w14:paraId="4BCC979B" w14:textId="77777777" w:rsidR="000B173B" w:rsidRPr="002A5710" w:rsidRDefault="000B173B" w:rsidP="00A15226">
            <w:pPr>
              <w:pStyle w:val="Tabletext"/>
              <w:rPr>
                <w:szCs w:val="18"/>
              </w:rPr>
            </w:pPr>
            <w:r w:rsidRPr="002A5710">
              <w:rPr>
                <w:szCs w:val="18"/>
              </w:rPr>
              <w:t>Sooty Shearwater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2E0E230" w14:textId="77777777" w:rsidR="000B173B" w:rsidRPr="002A5710" w:rsidRDefault="000B173B" w:rsidP="00A15226">
            <w:pPr>
              <w:pStyle w:val="Tabletext"/>
              <w:rPr>
                <w:szCs w:val="18"/>
              </w:rPr>
            </w:pPr>
            <w:r w:rsidRPr="002A5710">
              <w:rPr>
                <w:szCs w:val="18"/>
              </w:rPr>
              <w:t>Mig, J, FPAL</w:t>
            </w:r>
          </w:p>
        </w:tc>
        <w:tc>
          <w:tcPr>
            <w:tcW w:w="495" w:type="pct"/>
            <w:tcBorders>
              <w:top w:val="single" w:sz="4" w:space="0" w:color="auto"/>
              <w:left w:val="single" w:sz="4" w:space="0" w:color="auto"/>
              <w:bottom w:val="single" w:sz="4" w:space="0" w:color="auto"/>
              <w:right w:val="single" w:sz="4" w:space="0" w:color="auto"/>
            </w:tcBorders>
            <w:vAlign w:val="center"/>
          </w:tcPr>
          <w:p w14:paraId="08520CDB"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EC3D0A0"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49277B42"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0AB0682C" w14:textId="77777777" w:rsidR="000B173B" w:rsidRPr="002A5710" w:rsidRDefault="000B173B" w:rsidP="00A15226">
            <w:pPr>
              <w:pStyle w:val="Tabletext"/>
              <w:rPr>
                <w:szCs w:val="18"/>
              </w:rPr>
            </w:pPr>
            <w:r w:rsidRPr="002A5710">
              <w:rPr>
                <w:szCs w:val="18"/>
              </w:rPr>
              <w:t xml:space="preserve">One individual of the Sooty Shearwater has been recorded within the Study Area, which is below the threshold of an ecologically significant proportion of the species (88,000 individuals) </w:t>
            </w:r>
            <w:sdt>
              <w:sdtPr>
                <w:rPr>
                  <w:color w:val="000000"/>
                  <w:szCs w:val="18"/>
                </w:rPr>
                <w:tag w:val="MENDELEY_CITATION_v3_eyJjaXRhdGlvbklEIjoiTUVOREVMRVlfQ0lUQVRJT05fYzBlZGEyYTktNmQ2My00OGE0LWI3NWUtMGNiZTY1NGE2YjJm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890104187"/>
                <w:placeholder>
                  <w:docPart w:val="339B7D746526864D922760336FCFE603"/>
                </w:placeholder>
              </w:sdtPr>
              <w:sdtEndPr>
                <w:rPr>
                  <w:szCs w:val="20"/>
                </w:rPr>
              </w:sdtEndPr>
              <w:sdtContent>
                <w:r w:rsidRPr="008F2762">
                  <w:rPr>
                    <w:color w:val="000000"/>
                  </w:rPr>
                  <w:t>(Birdlife International, 2022)</w:t>
                </w:r>
              </w:sdtContent>
            </w:sdt>
            <w:r w:rsidRPr="002A5710">
              <w:rPr>
                <w:szCs w:val="18"/>
              </w:rPr>
              <w:t>.</w:t>
            </w:r>
          </w:p>
          <w:p w14:paraId="2C99279E" w14:textId="77777777" w:rsidR="000B173B" w:rsidRPr="002A5710" w:rsidRDefault="000B173B" w:rsidP="00A15226">
            <w:pPr>
              <w:pStyle w:val="Tabletext"/>
              <w:rPr>
                <w:szCs w:val="18"/>
              </w:rPr>
            </w:pPr>
            <w:r w:rsidRPr="002A5710">
              <w:rPr>
                <w:szCs w:val="18"/>
              </w:rPr>
              <w:t>Given the small number of records, it is unlikely that the Study Area supports important habitat for this species.</w:t>
            </w:r>
          </w:p>
          <w:p w14:paraId="0A91A4C1"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06A371D" w14:textId="77777777" w:rsidR="000B173B" w:rsidRPr="002A5710" w:rsidRDefault="000B173B" w:rsidP="00A15226">
            <w:pPr>
              <w:pStyle w:val="Tabletext"/>
              <w:rPr>
                <w:szCs w:val="18"/>
              </w:rPr>
            </w:pPr>
            <w:r w:rsidRPr="002A5710">
              <w:rPr>
                <w:szCs w:val="18"/>
              </w:rPr>
              <w:t>Category 2</w:t>
            </w:r>
          </w:p>
        </w:tc>
      </w:tr>
      <w:tr w:rsidR="000B173B" w:rsidRPr="002A5710" w14:paraId="23881A74"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0E3FA4B" w14:textId="77777777" w:rsidR="000B173B" w:rsidRPr="002A5710" w:rsidRDefault="000B173B" w:rsidP="00A15226">
            <w:pPr>
              <w:pStyle w:val="Tabletext"/>
              <w:rPr>
                <w:i/>
                <w:iCs/>
                <w:szCs w:val="18"/>
              </w:rPr>
            </w:pPr>
            <w:r w:rsidRPr="002A5710">
              <w:rPr>
                <w:i/>
                <w:iCs/>
                <w:szCs w:val="18"/>
              </w:rPr>
              <w:t>Arenaria interpres</w:t>
            </w:r>
          </w:p>
        </w:tc>
        <w:tc>
          <w:tcPr>
            <w:tcW w:w="447" w:type="pct"/>
            <w:tcBorders>
              <w:top w:val="single" w:sz="4" w:space="0" w:color="auto"/>
              <w:left w:val="single" w:sz="4" w:space="0" w:color="auto"/>
              <w:bottom w:val="single" w:sz="4" w:space="0" w:color="auto"/>
              <w:right w:val="single" w:sz="4" w:space="0" w:color="auto"/>
            </w:tcBorders>
            <w:vAlign w:val="center"/>
          </w:tcPr>
          <w:p w14:paraId="5505EF14" w14:textId="77777777" w:rsidR="000B173B" w:rsidRPr="002A5710" w:rsidRDefault="000B173B" w:rsidP="00A15226">
            <w:pPr>
              <w:pStyle w:val="Tabletext"/>
              <w:rPr>
                <w:szCs w:val="18"/>
              </w:rPr>
            </w:pPr>
            <w:r w:rsidRPr="002A5710">
              <w:rPr>
                <w:szCs w:val="18"/>
              </w:rPr>
              <w:t>Ruddy Turnstone</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5FB1B851" w14:textId="77777777" w:rsidR="000B173B" w:rsidRPr="002A5710" w:rsidRDefault="000B173B" w:rsidP="00A15226">
            <w:pPr>
              <w:pStyle w:val="Tabletext"/>
              <w:rPr>
                <w:szCs w:val="18"/>
              </w:rPr>
            </w:pPr>
            <w:r w:rsidRPr="002A5710">
              <w:rPr>
                <w:szCs w:val="18"/>
              </w:rPr>
              <w:t>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3FF8E467"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YTZmYmI0MTQtY2M5Zi00ZTU4LWI2ZTgtYTAxYzBjNzFmYmY4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256820172"/>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A5F0940"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AF2C12E"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0DE9CEE4" w14:textId="77777777" w:rsidR="000B173B" w:rsidRPr="002A5710" w:rsidRDefault="000B173B" w:rsidP="00A15226">
            <w:pPr>
              <w:pStyle w:val="Tabletext"/>
              <w:rPr>
                <w:szCs w:val="18"/>
              </w:rPr>
            </w:pPr>
            <w:r w:rsidRPr="002A5710">
              <w:rPr>
                <w:szCs w:val="18"/>
              </w:rPr>
              <w:t xml:space="preserve">356 individuals of the Ruddy Turnstone have been recorded within the Study Area within the past 5 years, which is above the threshold of an ecologically significant proportion of the species (30 individuals within the last 5 years) </w:t>
            </w:r>
            <w:sdt>
              <w:sdtPr>
                <w:rPr>
                  <w:szCs w:val="18"/>
                </w:rPr>
                <w:tag w:val="MENDELEY_CITATION_v3_eyJjaXRhdGlvbklEIjoiTUVOREVMRVlfQ0lUQVRJT05fZDc0YzQzMjgtMWFlMC00OTQwLTk3ZGItNzNmNDM2Zjk4MGRh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829476277"/>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5DB2B7C0" w14:textId="77777777" w:rsidR="000B173B" w:rsidRPr="002A5710" w:rsidRDefault="000B173B" w:rsidP="00A15226">
            <w:pPr>
              <w:pStyle w:val="Tabletext"/>
              <w:rPr>
                <w:szCs w:val="18"/>
              </w:rPr>
            </w:pPr>
            <w:r w:rsidRPr="002A5710">
              <w:rPr>
                <w:szCs w:val="18"/>
              </w:rPr>
              <w:t>All individuals occur along the northern coastline of Port Phillip Bay, extending from Avalon Beach in the west to the boundary of the Study Area in the east. This area will not be impacted by the Plan as it is not located downstream of the Strategic Assessment Area.</w:t>
            </w:r>
          </w:p>
          <w:p w14:paraId="2C40200F" w14:textId="77777777" w:rsidR="000B173B" w:rsidRPr="002A5710" w:rsidRDefault="000B173B" w:rsidP="00A15226">
            <w:pPr>
              <w:pStyle w:val="Tabletext"/>
              <w:rPr>
                <w:szCs w:val="18"/>
              </w:rPr>
            </w:pPr>
            <w:r w:rsidRPr="002A5710">
              <w:rPr>
                <w:szCs w:val="18"/>
              </w:rPr>
              <w:t xml:space="preserve">No important habitat for the Ruddy Turnstone has been mapped by Birdlife Australia within the Study Area </w:t>
            </w:r>
            <w:sdt>
              <w:sdtPr>
                <w:rPr>
                  <w:szCs w:val="18"/>
                </w:rPr>
                <w:tag w:val="MENDELEY_CITATION_v3_eyJjaXRhdGlvbklEIjoiTUVOREVMRVlfQ0lUQVRJT05fYWZkNjJmZjEtY2ZjYy00YWYwLTk2OGUtNzZiMWNmYjkwNDMy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212737387"/>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31ABB16" w14:textId="77777777" w:rsidR="000B173B" w:rsidRPr="002A5710" w:rsidRDefault="000B173B" w:rsidP="00A15226">
            <w:pPr>
              <w:pStyle w:val="Tabletext"/>
              <w:rPr>
                <w:szCs w:val="18"/>
              </w:rPr>
            </w:pPr>
            <w:r w:rsidRPr="002A5710">
              <w:rPr>
                <w:szCs w:val="18"/>
              </w:rPr>
              <w:t>Category 2</w:t>
            </w:r>
          </w:p>
        </w:tc>
      </w:tr>
      <w:tr w:rsidR="000B173B" w:rsidRPr="002A5710" w14:paraId="785030AA"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76B975A" w14:textId="77777777" w:rsidR="000B173B" w:rsidRPr="002A5710" w:rsidRDefault="000B173B" w:rsidP="00A15226">
            <w:pPr>
              <w:pStyle w:val="Tabletext"/>
              <w:rPr>
                <w:i/>
                <w:iCs/>
                <w:szCs w:val="18"/>
              </w:rPr>
            </w:pPr>
            <w:r w:rsidRPr="002A5710">
              <w:rPr>
                <w:i/>
                <w:iCs/>
                <w:szCs w:val="18"/>
              </w:rPr>
              <w:lastRenderedPageBreak/>
              <w:t>Calidris acuminata</w:t>
            </w:r>
          </w:p>
        </w:tc>
        <w:tc>
          <w:tcPr>
            <w:tcW w:w="447" w:type="pct"/>
            <w:tcBorders>
              <w:top w:val="single" w:sz="4" w:space="0" w:color="auto"/>
              <w:left w:val="single" w:sz="4" w:space="0" w:color="auto"/>
              <w:bottom w:val="single" w:sz="4" w:space="0" w:color="auto"/>
              <w:right w:val="single" w:sz="4" w:space="0" w:color="auto"/>
            </w:tcBorders>
            <w:vAlign w:val="center"/>
          </w:tcPr>
          <w:p w14:paraId="359A2EEA" w14:textId="77777777" w:rsidR="000B173B" w:rsidRPr="002A5710" w:rsidRDefault="000B173B" w:rsidP="00A15226">
            <w:pPr>
              <w:pStyle w:val="Tabletext"/>
              <w:rPr>
                <w:szCs w:val="18"/>
              </w:rPr>
            </w:pPr>
            <w:r w:rsidRPr="002A5710">
              <w:rPr>
                <w:szCs w:val="18"/>
              </w:rPr>
              <w:t>Sharp-tailed Sandpiper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77068AF7" w14:textId="77777777" w:rsidR="000B173B" w:rsidRPr="002A5710" w:rsidRDefault="000B173B" w:rsidP="00A15226">
            <w:pPr>
              <w:pStyle w:val="Tabletext"/>
              <w:rPr>
                <w:szCs w:val="18"/>
              </w:rPr>
            </w:pPr>
            <w:r w:rsidRPr="002A5710">
              <w:rPr>
                <w:szCs w:val="18"/>
              </w:rPr>
              <w:t>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510E1C44"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GQ2MzIwMDYtYWU2OS00MGFmLTgyMjQtYTkzOTA5NDc2MTI5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555587338"/>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55F442E"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2C76CA1"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479F471C" w14:textId="77777777" w:rsidR="000B173B" w:rsidRPr="002A5710" w:rsidRDefault="000B173B" w:rsidP="00A15226">
            <w:pPr>
              <w:pStyle w:val="Tabletext"/>
              <w:rPr>
                <w:szCs w:val="18"/>
              </w:rPr>
            </w:pPr>
            <w:r w:rsidRPr="002A5710">
              <w:rPr>
                <w:szCs w:val="18"/>
              </w:rPr>
              <w:t xml:space="preserve">11,075 individuals of the Sharp-tailed Sandpiper have been recorded within the Study Area within the past 5 years, which is above the threshold of an ecologically significant proportion of the species (85 individuals within the last 5 years) </w:t>
            </w:r>
            <w:sdt>
              <w:sdtPr>
                <w:rPr>
                  <w:szCs w:val="18"/>
                </w:rPr>
                <w:tag w:val="MENDELEY_CITATION_v3_eyJjaXRhdGlvbklEIjoiTUVOREVMRVlfQ0lUQVRJT05fNTU1ZWIzYTEtMmE4MC00ZWI0LTgxNmQtNGUwYjdmNTc4ZjY4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785937351"/>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4477E938" w14:textId="77777777" w:rsidR="000B173B" w:rsidRPr="002A5710" w:rsidRDefault="000B173B" w:rsidP="00A15226">
            <w:pPr>
              <w:pStyle w:val="Tabletext"/>
              <w:rPr>
                <w:szCs w:val="18"/>
              </w:rPr>
            </w:pPr>
            <w:r w:rsidRPr="002A5710">
              <w:rPr>
                <w:szCs w:val="18"/>
              </w:rPr>
              <w:t>These recent records primarily occur along the northern coastline of Port Phillip Bay, within or adjacent to The Spit Wildlife Reserve. This area will not be impacted by the Plan as it is not located downstream of the Strategic Assessment Area.</w:t>
            </w:r>
          </w:p>
          <w:p w14:paraId="473AE056" w14:textId="77777777" w:rsidR="000B173B" w:rsidRPr="002A5710" w:rsidRDefault="000B173B" w:rsidP="00A15226">
            <w:pPr>
              <w:pStyle w:val="Tabletext"/>
              <w:rPr>
                <w:szCs w:val="18"/>
              </w:rPr>
            </w:pPr>
            <w:r w:rsidRPr="002A5710">
              <w:rPr>
                <w:szCs w:val="18"/>
              </w:rPr>
              <w:t xml:space="preserve">Important habitat for the Sharp-tailed Sandpiper has been mapped by Birdlife Australia within the Study Area in the following areas </w:t>
            </w:r>
            <w:sdt>
              <w:sdtPr>
                <w:rPr>
                  <w:szCs w:val="18"/>
                </w:rPr>
                <w:tag w:val="MENDELEY_CITATION_v3_eyJjaXRhdGlvbklEIjoiTUVOREVMRVlfQ0lUQVRJT05fZGVlMDE0NjQtYjUxMS00OTEyLThiMmYtNTE4Mjg2MDYyMmZi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634868995"/>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38BD18A9" w14:textId="77777777" w:rsidR="000B173B" w:rsidRPr="002A5710" w:rsidRDefault="000B173B" w:rsidP="00A15226">
            <w:pPr>
              <w:pStyle w:val="Bullet1"/>
              <w:rPr>
                <w:szCs w:val="18"/>
              </w:rPr>
            </w:pPr>
            <w:r w:rsidRPr="002A5710">
              <w:rPr>
                <w:szCs w:val="18"/>
              </w:rPr>
              <w:t>Lake Connewarre and Barwon River Estuary IBA</w:t>
            </w:r>
          </w:p>
          <w:p w14:paraId="4967E7EE" w14:textId="77777777" w:rsidR="000B173B" w:rsidRPr="002A5710" w:rsidRDefault="000B173B" w:rsidP="00A15226">
            <w:pPr>
              <w:pStyle w:val="Bullet1"/>
              <w:rPr>
                <w:szCs w:val="18"/>
              </w:rPr>
            </w:pPr>
            <w:r w:rsidRPr="002A5710">
              <w:rPr>
                <w:szCs w:val="18"/>
              </w:rPr>
              <w:t>Werribee/Avalon IBA</w:t>
            </w:r>
          </w:p>
          <w:p w14:paraId="32397BD0" w14:textId="77777777" w:rsidR="000B173B" w:rsidRPr="002A5710" w:rsidRDefault="000B173B" w:rsidP="00A15226">
            <w:pPr>
              <w:pStyle w:val="Bullet1"/>
              <w:rPr>
                <w:szCs w:val="18"/>
              </w:rPr>
            </w:pPr>
            <w:r w:rsidRPr="002A5710">
              <w:rPr>
                <w:szCs w:val="18"/>
              </w:rPr>
              <w:t>Moolap IBA</w:t>
            </w:r>
          </w:p>
          <w:p w14:paraId="624FB90C" w14:textId="77777777" w:rsidR="000B173B" w:rsidRPr="002A5710" w:rsidRDefault="000B173B" w:rsidP="00A15226">
            <w:pPr>
              <w:pStyle w:val="Tabletext"/>
              <w:rPr>
                <w:szCs w:val="18"/>
              </w:rPr>
            </w:pPr>
            <w:r w:rsidRPr="002A5710">
              <w:rPr>
                <w:szCs w:val="18"/>
              </w:rPr>
              <w:t>These IBAs extend outside of the locations of recent (2017 onwards) records of the species. However, when date filters are removed and all available records of the species are considered, substantial records of the species occur within the Lake Connewarre wetland complex and in the Moolap locality. A small number of records also occur in the vicinity of Limeburners Lagoon.</w:t>
            </w:r>
          </w:p>
          <w:p w14:paraId="277ADD13" w14:textId="77777777" w:rsidR="000B173B" w:rsidRPr="002A5710" w:rsidRDefault="000B173B" w:rsidP="00A15226">
            <w:pPr>
              <w:pStyle w:val="Tabletext"/>
              <w:rPr>
                <w:szCs w:val="18"/>
              </w:rPr>
            </w:pPr>
            <w:r w:rsidRPr="002A5710">
              <w:rPr>
                <w:szCs w:val="18"/>
              </w:rPr>
              <w:t>The Moolap IBA will not be impacted by the Plan as it is not located downstream of the Strategic Assessment Area.</w:t>
            </w:r>
          </w:p>
          <w:p w14:paraId="2F7FE1F8" w14:textId="77777777" w:rsidR="000B173B" w:rsidRPr="002A5710" w:rsidRDefault="000B173B" w:rsidP="00A15226">
            <w:pPr>
              <w:pStyle w:val="Tabletext"/>
              <w:rPr>
                <w:szCs w:val="18"/>
              </w:rPr>
            </w:pPr>
            <w:r w:rsidRPr="002A5710">
              <w:rPr>
                <w:szCs w:val="18"/>
              </w:rPr>
              <w:t>However, there is potential for impacts to occur to the Lake Connewarre wetland complex and Limeburners Lagoon, as these localities are downstream of the Growth Areas. Historical records of the species in these habitats, and identification of these habitats as IBAs for the species by Birdlife Australia, suggest that these areas are important for the species, despite the lack of recent records in these localities. For this reason, this species has been assigned to Category 1 for a detailed assessment.</w:t>
            </w:r>
            <w:r>
              <w:rPr>
                <w:szCs w:val="18"/>
              </w:rPr>
              <w:t xml:space="preserve"> </w:t>
            </w:r>
            <w:r>
              <w:t>Refer to Chapter 23 of Part 4 for the detailed impact assessment of the Sharp-tailed Sandpiper.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80CA62F" w14:textId="77777777" w:rsidR="000B173B" w:rsidRPr="002A5710" w:rsidRDefault="000B173B" w:rsidP="00A15226">
            <w:pPr>
              <w:pStyle w:val="Tabletext"/>
              <w:rPr>
                <w:szCs w:val="18"/>
              </w:rPr>
            </w:pPr>
            <w:r w:rsidRPr="002A5710">
              <w:rPr>
                <w:szCs w:val="18"/>
              </w:rPr>
              <w:t>Category 1</w:t>
            </w:r>
          </w:p>
        </w:tc>
      </w:tr>
      <w:tr w:rsidR="000B173B" w:rsidRPr="002A5710" w14:paraId="2CA6AFD0"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767D08F" w14:textId="77777777" w:rsidR="000B173B" w:rsidRPr="002A5710" w:rsidRDefault="000B173B" w:rsidP="00A15226">
            <w:pPr>
              <w:pStyle w:val="Tabletext"/>
              <w:rPr>
                <w:i/>
                <w:iCs/>
                <w:szCs w:val="18"/>
              </w:rPr>
            </w:pPr>
            <w:r w:rsidRPr="002A5710">
              <w:rPr>
                <w:i/>
                <w:iCs/>
                <w:szCs w:val="18"/>
              </w:rPr>
              <w:lastRenderedPageBreak/>
              <w:t>Calidris alba</w:t>
            </w:r>
          </w:p>
        </w:tc>
        <w:tc>
          <w:tcPr>
            <w:tcW w:w="447" w:type="pct"/>
            <w:tcBorders>
              <w:top w:val="single" w:sz="4" w:space="0" w:color="auto"/>
              <w:left w:val="single" w:sz="4" w:space="0" w:color="auto"/>
              <w:bottom w:val="single" w:sz="4" w:space="0" w:color="auto"/>
              <w:right w:val="single" w:sz="4" w:space="0" w:color="auto"/>
            </w:tcBorders>
            <w:vAlign w:val="center"/>
          </w:tcPr>
          <w:p w14:paraId="24B8DFE2" w14:textId="77777777" w:rsidR="000B173B" w:rsidRPr="002A5710" w:rsidRDefault="000B173B" w:rsidP="00A15226">
            <w:pPr>
              <w:pStyle w:val="Tabletext"/>
              <w:rPr>
                <w:szCs w:val="18"/>
              </w:rPr>
            </w:pPr>
            <w:r w:rsidRPr="002A5710">
              <w:rPr>
                <w:szCs w:val="18"/>
              </w:rPr>
              <w:t>Sanderling</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371A416"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19B0C8AB"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ZWJkN2NmYjEtNjdiNC00NGZmLWExMmMtNmI3ODYzZmJmNzlm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030107950"/>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E0F1872"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14299C77"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1B644CE9" w14:textId="77777777" w:rsidR="000B173B" w:rsidRPr="002A5710" w:rsidRDefault="000B173B" w:rsidP="00A15226">
            <w:pPr>
              <w:pStyle w:val="Tabletext"/>
              <w:rPr>
                <w:szCs w:val="18"/>
              </w:rPr>
            </w:pPr>
            <w:r w:rsidRPr="002A5710">
              <w:rPr>
                <w:szCs w:val="18"/>
              </w:rPr>
              <w:t xml:space="preserve">35 individuals of the Sanderling have been recorded within the Study Area within the past 5 years, which is above the threshold of an ecologically significant proportion of the species (30 individuals within the last 5 years) </w:t>
            </w:r>
            <w:sdt>
              <w:sdtPr>
                <w:rPr>
                  <w:szCs w:val="18"/>
                </w:rPr>
                <w:tag w:val="MENDELEY_CITATION_v3_eyJjaXRhdGlvbklEIjoiTUVOREVMRVlfQ0lUQVRJT05fZmQ2ODhmZDQtNjE2MS00NDkyLWIyMzYtOTA1NTNjMzdjMjI0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497956774"/>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71E74BA7" w14:textId="77777777" w:rsidR="000B173B" w:rsidRPr="002A5710" w:rsidRDefault="000B173B" w:rsidP="00A15226">
            <w:pPr>
              <w:pStyle w:val="Tabletext"/>
              <w:rPr>
                <w:szCs w:val="18"/>
              </w:rPr>
            </w:pPr>
            <w:r w:rsidRPr="002A5710">
              <w:rPr>
                <w:szCs w:val="18"/>
              </w:rPr>
              <w:t>The closest of these recent records are two records (each noting a single individual) located at Avalon Beach, over 6.5 km east of the closest Growth Area. Otherwise, the majority of recent records occur further to the east of the Growth Areas, in association with The Spit Wildlife Reserve. This area will not be impacted by the Plan as it is not located downstream of the Strategic Assessment Area.</w:t>
            </w:r>
          </w:p>
          <w:p w14:paraId="514E2AAC" w14:textId="77777777" w:rsidR="000B173B" w:rsidRPr="002A5710" w:rsidRDefault="000B173B" w:rsidP="00A15226">
            <w:pPr>
              <w:pStyle w:val="Tabletext"/>
              <w:rPr>
                <w:szCs w:val="18"/>
              </w:rPr>
            </w:pPr>
            <w:r w:rsidRPr="002A5710">
              <w:rPr>
                <w:szCs w:val="18"/>
              </w:rPr>
              <w:t>A record also occurs at the coast along the southern edge of the Study Area, at 13</w:t>
            </w:r>
            <w:r w:rsidRPr="002A5710">
              <w:rPr>
                <w:szCs w:val="18"/>
                <w:vertAlign w:val="superscript"/>
              </w:rPr>
              <w:t>th</w:t>
            </w:r>
            <w:r w:rsidRPr="002A5710">
              <w:rPr>
                <w:szCs w:val="18"/>
              </w:rPr>
              <w:t xml:space="preserve"> Beach, nearly 20 km from the Strategic Assessment Area. This record will not be impacted by the Plan.</w:t>
            </w:r>
          </w:p>
          <w:p w14:paraId="3EC7DCA1" w14:textId="77777777" w:rsidR="000B173B" w:rsidRPr="002A5710" w:rsidRDefault="000B173B" w:rsidP="00A15226">
            <w:pPr>
              <w:pStyle w:val="Tabletext"/>
              <w:rPr>
                <w:szCs w:val="18"/>
              </w:rPr>
            </w:pPr>
            <w:r w:rsidRPr="002A5710">
              <w:rPr>
                <w:szCs w:val="18"/>
              </w:rPr>
              <w:t xml:space="preserve">Important habitat for the Sanderling has been mapped by Birdlife Australia within the Study Area at Werribee/Avalon IBA </w:t>
            </w:r>
            <w:sdt>
              <w:sdtPr>
                <w:rPr>
                  <w:szCs w:val="18"/>
                </w:rPr>
                <w:tag w:val="MENDELEY_CITATION_v3_eyJjaXRhdGlvbklEIjoiTUVOREVMRVlfQ0lUQVRJT05fODMzMWJkOTktY2U1Yy00OTIyLWExNjQtZTZjZjMxYWQyYWI1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631625249"/>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1467E5A8" w14:textId="77777777" w:rsidR="000B173B" w:rsidRPr="002A5710" w:rsidRDefault="000B173B" w:rsidP="00A15226">
            <w:pPr>
              <w:pStyle w:val="Tabletext"/>
              <w:rPr>
                <w:szCs w:val="18"/>
              </w:rPr>
            </w:pPr>
            <w:r w:rsidRPr="002A5710">
              <w:rPr>
                <w:szCs w:val="18"/>
              </w:rPr>
              <w:t>Analysis of all species’ records (with date filters removed) indicate that the species’ known occurrence within the Werribee/Avalon IBA region is from the Avalon Beach locality in the west and extends east into the region of The Spit Wildlife Reserve. This area will not be impacted by the Plan as it is not located downstream of the Strategic Assessment Area.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E21759" w14:textId="77777777" w:rsidR="000B173B" w:rsidRPr="002A5710" w:rsidRDefault="000B173B" w:rsidP="00A15226">
            <w:pPr>
              <w:pStyle w:val="Tabletext"/>
              <w:rPr>
                <w:szCs w:val="18"/>
              </w:rPr>
            </w:pPr>
            <w:r w:rsidRPr="002A5710">
              <w:rPr>
                <w:szCs w:val="18"/>
              </w:rPr>
              <w:t>Category 2</w:t>
            </w:r>
          </w:p>
        </w:tc>
      </w:tr>
      <w:tr w:rsidR="000B173B" w:rsidRPr="002A5710" w14:paraId="3A4227E3"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1B3896B" w14:textId="77777777" w:rsidR="000B173B" w:rsidRPr="002A5710" w:rsidRDefault="000B173B" w:rsidP="00A15226">
            <w:pPr>
              <w:pStyle w:val="Tabletext"/>
              <w:rPr>
                <w:i/>
                <w:iCs/>
                <w:szCs w:val="18"/>
              </w:rPr>
            </w:pPr>
            <w:r w:rsidRPr="002A5710">
              <w:rPr>
                <w:i/>
                <w:iCs/>
                <w:szCs w:val="18"/>
              </w:rPr>
              <w:t>Calidris canutus</w:t>
            </w:r>
          </w:p>
        </w:tc>
        <w:tc>
          <w:tcPr>
            <w:tcW w:w="447" w:type="pct"/>
            <w:tcBorders>
              <w:top w:val="single" w:sz="4" w:space="0" w:color="auto"/>
              <w:left w:val="single" w:sz="4" w:space="0" w:color="auto"/>
              <w:bottom w:val="single" w:sz="4" w:space="0" w:color="auto"/>
              <w:right w:val="single" w:sz="4" w:space="0" w:color="auto"/>
            </w:tcBorders>
            <w:vAlign w:val="center"/>
          </w:tcPr>
          <w:p w14:paraId="2FAB92F5" w14:textId="77777777" w:rsidR="000B173B" w:rsidRPr="002A5710" w:rsidRDefault="000B173B" w:rsidP="00A15226">
            <w:pPr>
              <w:pStyle w:val="Tabletext"/>
              <w:rPr>
                <w:szCs w:val="18"/>
              </w:rPr>
            </w:pPr>
            <w:r w:rsidRPr="002A5710">
              <w:rPr>
                <w:szCs w:val="18"/>
              </w:rPr>
              <w:t>Red Knot, Knot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431869C" w14:textId="77777777" w:rsidR="000B173B" w:rsidRPr="002A5710" w:rsidRDefault="000B173B" w:rsidP="00A15226">
            <w:pPr>
              <w:pStyle w:val="Tabletext"/>
              <w:rPr>
                <w:szCs w:val="18"/>
              </w:rPr>
            </w:pPr>
            <w:r w:rsidRPr="002A5710">
              <w:rPr>
                <w:szCs w:val="18"/>
              </w:rPr>
              <w:t>E, 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5B06050F"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zljNjNiOTMtYTk4OC00ZTQ5LTk5YmMtNThmYTMyMGQxNjQ2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36447312"/>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0FCE9FE" w14:textId="77777777" w:rsidR="000B173B" w:rsidRPr="002A5710" w:rsidRDefault="000B173B" w:rsidP="00A15226">
            <w:pPr>
              <w:pStyle w:val="Tabletext"/>
              <w:jc w:val="center"/>
              <w:rPr>
                <w:szCs w:val="18"/>
              </w:rPr>
            </w:pPr>
            <w:r w:rsidRPr="002A5710">
              <w:rPr>
                <w:szCs w:val="18"/>
              </w:rPr>
              <w:t>-</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1A96B12" w14:textId="77777777" w:rsidR="000B173B" w:rsidRPr="002A5710" w:rsidRDefault="000B173B" w:rsidP="00A15226">
            <w:pPr>
              <w:pStyle w:val="Tabletext"/>
              <w:jc w:val="center"/>
              <w:rPr>
                <w:szCs w:val="18"/>
              </w:rPr>
            </w:pPr>
            <w:r w:rsidRPr="002A5710">
              <w:rPr>
                <w:szCs w:val="18"/>
              </w:rPr>
              <w:t>-</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B7D7B69" w14:textId="77777777" w:rsidR="000B173B" w:rsidRPr="002A5710" w:rsidRDefault="000B173B" w:rsidP="00A15226">
            <w:pPr>
              <w:pStyle w:val="Tabletext"/>
              <w:rPr>
                <w:szCs w:val="18"/>
              </w:rPr>
            </w:pPr>
            <w:r w:rsidRPr="002A5710">
              <w:rPr>
                <w:szCs w:val="18"/>
              </w:rPr>
              <w:t>This species has been triggered as a Category 1 threatened species.</w:t>
            </w:r>
          </w:p>
          <w:p w14:paraId="47F45E3C" w14:textId="77777777" w:rsidR="000B173B" w:rsidRPr="002A5710" w:rsidRDefault="000B173B" w:rsidP="00A15226">
            <w:pPr>
              <w:pStyle w:val="Tabletext"/>
              <w:rPr>
                <w:szCs w:val="18"/>
              </w:rPr>
            </w:pPr>
            <w:r w:rsidRPr="002A5710">
              <w:rPr>
                <w:szCs w:val="18"/>
              </w:rPr>
              <w:t>Note that assessment of this species is contained within the threatened fauna assessment in Chapter 19.</w:t>
            </w:r>
            <w:r>
              <w:rPr>
                <w:szCs w:val="18"/>
              </w:rPr>
              <w:t xml:space="preserve"> </w:t>
            </w:r>
            <w:r>
              <w:t>Refer to Section 19.4 of Part 4 for the detailed impact assessment of the Red Knot.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4CFFDA4" w14:textId="77777777" w:rsidR="000B173B" w:rsidRPr="002A5710" w:rsidRDefault="000B173B" w:rsidP="00A15226">
            <w:pPr>
              <w:pStyle w:val="Tabletext"/>
              <w:rPr>
                <w:szCs w:val="18"/>
              </w:rPr>
            </w:pPr>
            <w:r w:rsidRPr="002A5710">
              <w:rPr>
                <w:szCs w:val="18"/>
              </w:rPr>
              <w:t>Category 1</w:t>
            </w:r>
          </w:p>
        </w:tc>
      </w:tr>
      <w:tr w:rsidR="000B173B" w:rsidRPr="002A5710" w14:paraId="6ED964FB"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70108DB" w14:textId="77777777" w:rsidR="000B173B" w:rsidRPr="002A5710" w:rsidRDefault="000B173B" w:rsidP="00A15226">
            <w:pPr>
              <w:pStyle w:val="Tabletext"/>
              <w:rPr>
                <w:i/>
                <w:iCs/>
                <w:szCs w:val="18"/>
              </w:rPr>
            </w:pPr>
            <w:r w:rsidRPr="002A5710">
              <w:rPr>
                <w:i/>
                <w:iCs/>
                <w:szCs w:val="18"/>
              </w:rPr>
              <w:t>Calidris ferruginea</w:t>
            </w:r>
          </w:p>
        </w:tc>
        <w:tc>
          <w:tcPr>
            <w:tcW w:w="447" w:type="pct"/>
            <w:tcBorders>
              <w:top w:val="single" w:sz="4" w:space="0" w:color="auto"/>
              <w:left w:val="single" w:sz="4" w:space="0" w:color="auto"/>
              <w:bottom w:val="single" w:sz="4" w:space="0" w:color="auto"/>
              <w:right w:val="single" w:sz="4" w:space="0" w:color="auto"/>
            </w:tcBorders>
            <w:vAlign w:val="center"/>
          </w:tcPr>
          <w:p w14:paraId="1DBD87C9" w14:textId="77777777" w:rsidR="000B173B" w:rsidRPr="002A5710" w:rsidRDefault="000B173B" w:rsidP="00A15226">
            <w:pPr>
              <w:pStyle w:val="Tabletext"/>
              <w:rPr>
                <w:szCs w:val="18"/>
              </w:rPr>
            </w:pPr>
            <w:r w:rsidRPr="002A5710">
              <w:rPr>
                <w:szCs w:val="18"/>
              </w:rPr>
              <w:t>Curlew Sandpiper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B0EF5C7" w14:textId="77777777" w:rsidR="000B173B" w:rsidRPr="002A5710" w:rsidRDefault="000B173B" w:rsidP="00A15226">
            <w:pPr>
              <w:pStyle w:val="Tabletext"/>
              <w:rPr>
                <w:szCs w:val="18"/>
              </w:rPr>
            </w:pPr>
            <w:r w:rsidRPr="002A5710">
              <w:rPr>
                <w:szCs w:val="18"/>
              </w:rPr>
              <w:t>CE, 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57F778E8"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DI4ZjM0M2MtODM5YS00ZDFiLThhYzgtMWI5NWI3NjNmZDYz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384449577"/>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BE63D2A" w14:textId="77777777" w:rsidR="000B173B" w:rsidRPr="002A5710" w:rsidRDefault="000B173B" w:rsidP="00A15226">
            <w:pPr>
              <w:pStyle w:val="Tabletext"/>
              <w:jc w:val="center"/>
              <w:rPr>
                <w:szCs w:val="18"/>
              </w:rPr>
            </w:pPr>
            <w:r w:rsidRPr="002A5710">
              <w:rPr>
                <w:szCs w:val="18"/>
              </w:rPr>
              <w:t>-</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AC548C7" w14:textId="77777777" w:rsidR="000B173B" w:rsidRPr="002A5710" w:rsidRDefault="000B173B" w:rsidP="00A15226">
            <w:pPr>
              <w:pStyle w:val="Tabletext"/>
              <w:jc w:val="center"/>
              <w:rPr>
                <w:szCs w:val="18"/>
              </w:rPr>
            </w:pPr>
            <w:r w:rsidRPr="002A5710">
              <w:rPr>
                <w:szCs w:val="18"/>
              </w:rPr>
              <w:t>-</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5D85CFEF" w14:textId="77777777" w:rsidR="000B173B" w:rsidRPr="002A5710" w:rsidRDefault="000B173B" w:rsidP="00A15226">
            <w:pPr>
              <w:pStyle w:val="Tabletext"/>
              <w:rPr>
                <w:szCs w:val="18"/>
              </w:rPr>
            </w:pPr>
            <w:r w:rsidRPr="002A5710">
              <w:rPr>
                <w:szCs w:val="18"/>
              </w:rPr>
              <w:t>This species has been triggered as a Category 1 threatened species.</w:t>
            </w:r>
          </w:p>
          <w:p w14:paraId="7186F543" w14:textId="77777777" w:rsidR="000B173B" w:rsidRPr="002A5710" w:rsidRDefault="000B173B" w:rsidP="00A15226">
            <w:pPr>
              <w:pStyle w:val="Tabletext"/>
              <w:rPr>
                <w:szCs w:val="18"/>
              </w:rPr>
            </w:pPr>
            <w:r w:rsidRPr="002A5710">
              <w:rPr>
                <w:szCs w:val="18"/>
              </w:rPr>
              <w:t>Note that assessment of this species is contained within the threatened fauna assessment in Chapter 19.</w:t>
            </w:r>
            <w:r>
              <w:rPr>
                <w:szCs w:val="18"/>
              </w:rPr>
              <w:t xml:space="preserve"> </w:t>
            </w:r>
            <w:r>
              <w:t>Refer to Section 19.4 of Part 4 for the detailed impact assessment of the Curlew Sandpiper.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17C0BB1" w14:textId="77777777" w:rsidR="000B173B" w:rsidRPr="002A5710" w:rsidRDefault="000B173B" w:rsidP="00A15226">
            <w:pPr>
              <w:pStyle w:val="Tabletext"/>
              <w:rPr>
                <w:szCs w:val="18"/>
              </w:rPr>
            </w:pPr>
            <w:r w:rsidRPr="002A5710">
              <w:rPr>
                <w:szCs w:val="18"/>
              </w:rPr>
              <w:t>Category 1</w:t>
            </w:r>
          </w:p>
        </w:tc>
      </w:tr>
      <w:tr w:rsidR="000B173B" w:rsidRPr="002A5710" w14:paraId="25A920BC"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503EFAA" w14:textId="77777777" w:rsidR="000B173B" w:rsidRPr="002A5710" w:rsidRDefault="000B173B" w:rsidP="00A15226">
            <w:pPr>
              <w:pStyle w:val="Tabletext"/>
              <w:rPr>
                <w:i/>
                <w:iCs/>
                <w:szCs w:val="18"/>
              </w:rPr>
            </w:pPr>
            <w:r w:rsidRPr="002A5710">
              <w:rPr>
                <w:i/>
                <w:iCs/>
                <w:szCs w:val="18"/>
              </w:rPr>
              <w:t>Calidris melanotos</w:t>
            </w:r>
          </w:p>
        </w:tc>
        <w:tc>
          <w:tcPr>
            <w:tcW w:w="447" w:type="pct"/>
            <w:tcBorders>
              <w:top w:val="single" w:sz="4" w:space="0" w:color="auto"/>
              <w:left w:val="single" w:sz="4" w:space="0" w:color="auto"/>
              <w:bottom w:val="single" w:sz="4" w:space="0" w:color="auto"/>
              <w:right w:val="single" w:sz="4" w:space="0" w:color="auto"/>
            </w:tcBorders>
            <w:vAlign w:val="center"/>
          </w:tcPr>
          <w:p w14:paraId="230E179D" w14:textId="77777777" w:rsidR="000B173B" w:rsidRPr="002A5710" w:rsidRDefault="000B173B" w:rsidP="00A15226">
            <w:pPr>
              <w:pStyle w:val="Tabletext"/>
              <w:rPr>
                <w:szCs w:val="18"/>
              </w:rPr>
            </w:pPr>
            <w:r w:rsidRPr="002A5710">
              <w:rPr>
                <w:szCs w:val="18"/>
              </w:rPr>
              <w:t>Pectoral Sandpiper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EACA71E" w14:textId="77777777" w:rsidR="000B173B" w:rsidRPr="002A5710" w:rsidRDefault="000B173B" w:rsidP="00A15226">
            <w:pPr>
              <w:pStyle w:val="Tabletext"/>
              <w:rPr>
                <w:szCs w:val="18"/>
              </w:rPr>
            </w:pPr>
            <w:r w:rsidRPr="002A5710">
              <w:rPr>
                <w:szCs w:val="18"/>
              </w:rPr>
              <w:t>Mig, B, J, K</w:t>
            </w:r>
          </w:p>
        </w:tc>
        <w:tc>
          <w:tcPr>
            <w:tcW w:w="495" w:type="pct"/>
            <w:tcBorders>
              <w:top w:val="single" w:sz="4" w:space="0" w:color="auto"/>
              <w:left w:val="single" w:sz="4" w:space="0" w:color="auto"/>
              <w:bottom w:val="single" w:sz="4" w:space="0" w:color="auto"/>
              <w:right w:val="single" w:sz="4" w:space="0" w:color="auto"/>
            </w:tcBorders>
            <w:vAlign w:val="center"/>
          </w:tcPr>
          <w:p w14:paraId="709415DE" w14:textId="77777777" w:rsidR="000B173B" w:rsidRPr="002A5710" w:rsidRDefault="000B173B" w:rsidP="00A15226">
            <w:pPr>
              <w:pStyle w:val="Tabletext"/>
              <w:rPr>
                <w:szCs w:val="18"/>
              </w:rPr>
            </w:pPr>
            <w:r w:rsidRPr="002A5710">
              <w:rPr>
                <w:szCs w:val="18"/>
              </w:rPr>
              <w:t xml:space="preserve">EPBC Act Policy </w:t>
            </w:r>
            <w:r w:rsidRPr="002A5710">
              <w:rPr>
                <w:szCs w:val="18"/>
              </w:rPr>
              <w:lastRenderedPageBreak/>
              <w:t xml:space="preserve">Statement 3.21 </w:t>
            </w:r>
            <w:sdt>
              <w:sdtPr>
                <w:rPr>
                  <w:color w:val="000000"/>
                  <w:szCs w:val="18"/>
                </w:rPr>
                <w:tag w:val="MENDELEY_CITATION_v3_eyJjaXRhdGlvbklEIjoiTUVOREVMRVlfQ0lUQVRJT05fMmU4YzQxNzMtODk2Yy00NDllLThlZWUtY2UxODc2YTQ3YmMz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617827235"/>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C17DC1B" w14:textId="77777777" w:rsidR="000B173B" w:rsidRPr="002A5710" w:rsidRDefault="000B173B" w:rsidP="00A15226">
            <w:pPr>
              <w:pStyle w:val="Tabletext"/>
              <w:jc w:val="center"/>
              <w:rPr>
                <w:szCs w:val="18"/>
              </w:rPr>
            </w:pPr>
            <w:r w:rsidRPr="002A5710">
              <w:rPr>
                <w:szCs w:val="18"/>
              </w:rPr>
              <w:lastRenderedPageBreak/>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A63FEC1"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9311133" w14:textId="77777777" w:rsidR="000B173B" w:rsidRPr="002A5710" w:rsidRDefault="000B173B" w:rsidP="00A15226">
            <w:pPr>
              <w:pStyle w:val="Tabletext"/>
              <w:rPr>
                <w:szCs w:val="18"/>
              </w:rPr>
            </w:pPr>
            <w:r w:rsidRPr="002A5710">
              <w:rPr>
                <w:szCs w:val="18"/>
              </w:rPr>
              <w:t xml:space="preserve">179 individuals of the Pectoral Sandpiper have been recorded within the Study Area within the past 5 years, which is below the threshold of an </w:t>
            </w:r>
            <w:r w:rsidRPr="002A5710">
              <w:rPr>
                <w:szCs w:val="18"/>
              </w:rPr>
              <w:lastRenderedPageBreak/>
              <w:t xml:space="preserve">ecologically significant proportion of the species (1,220 individuals within the last 5 years) </w:t>
            </w:r>
            <w:sdt>
              <w:sdtPr>
                <w:rPr>
                  <w:szCs w:val="18"/>
                </w:rPr>
                <w:tag w:val="MENDELEY_CITATION_v3_eyJjaXRhdGlvbklEIjoiTUVOREVMRVlfQ0lUQVRJT05fYmMwOTYwMWItNDhhNS00Y2FhLTliMTctMDg3MjhjOGE5ODFl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73350179"/>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5A6D9842" w14:textId="77777777" w:rsidR="000B173B" w:rsidRPr="002A5710" w:rsidRDefault="000B173B" w:rsidP="00A15226">
            <w:pPr>
              <w:pStyle w:val="Tabletext"/>
              <w:rPr>
                <w:szCs w:val="18"/>
              </w:rPr>
            </w:pPr>
            <w:r w:rsidRPr="002A5710">
              <w:rPr>
                <w:szCs w:val="18"/>
              </w:rPr>
              <w:t xml:space="preserve">No important habitat for the Pectoral Sandpiper has been mapped by Birdlife Australia within the Study Area </w:t>
            </w:r>
            <w:sdt>
              <w:sdtPr>
                <w:rPr>
                  <w:szCs w:val="18"/>
                </w:rPr>
                <w:tag w:val="MENDELEY_CITATION_v3_eyJjaXRhdGlvbklEIjoiTUVOREVMRVlfQ0lUQVRJT05fMDgzY2Y3OWUtNDJlZi00NzdiLWIxOTQtNjM1ZDU2Mzk1MGRl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233768376"/>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397707CD"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6730590"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049EBE5A"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4598158" w14:textId="77777777" w:rsidR="000B173B" w:rsidRPr="002A5710" w:rsidRDefault="000B173B" w:rsidP="00A15226">
            <w:pPr>
              <w:pStyle w:val="Tabletext"/>
              <w:rPr>
                <w:i/>
                <w:iCs/>
                <w:szCs w:val="18"/>
              </w:rPr>
            </w:pPr>
            <w:r w:rsidRPr="002A5710">
              <w:rPr>
                <w:i/>
                <w:iCs/>
                <w:szCs w:val="18"/>
              </w:rPr>
              <w:t>Calidris ruficollis</w:t>
            </w:r>
          </w:p>
        </w:tc>
        <w:tc>
          <w:tcPr>
            <w:tcW w:w="447" w:type="pct"/>
            <w:tcBorders>
              <w:top w:val="single" w:sz="4" w:space="0" w:color="auto"/>
              <w:left w:val="single" w:sz="4" w:space="0" w:color="auto"/>
              <w:bottom w:val="single" w:sz="4" w:space="0" w:color="auto"/>
              <w:right w:val="single" w:sz="4" w:space="0" w:color="auto"/>
            </w:tcBorders>
            <w:vAlign w:val="center"/>
          </w:tcPr>
          <w:p w14:paraId="58C3FDE2" w14:textId="77777777" w:rsidR="000B173B" w:rsidRPr="002A5710" w:rsidRDefault="000B173B" w:rsidP="00A15226">
            <w:pPr>
              <w:pStyle w:val="Tabletext"/>
              <w:rPr>
                <w:szCs w:val="18"/>
              </w:rPr>
            </w:pPr>
            <w:r w:rsidRPr="002A5710">
              <w:rPr>
                <w:szCs w:val="18"/>
              </w:rPr>
              <w:t>Red-necked Stint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71EFBD09"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1533FEBA"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NjM3ZTUzOTEtOWJkYi00YTg5LWI3MjItOWUwZDljZDQ5NjEx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2102781352"/>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6BFF42D"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D070438"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1398FB7" w14:textId="77777777" w:rsidR="000B173B" w:rsidRPr="002A5710" w:rsidRDefault="000B173B" w:rsidP="00A15226">
            <w:pPr>
              <w:pStyle w:val="Tabletext"/>
              <w:rPr>
                <w:szCs w:val="18"/>
              </w:rPr>
            </w:pPr>
            <w:r w:rsidRPr="002A5710">
              <w:rPr>
                <w:szCs w:val="18"/>
              </w:rPr>
              <w:t xml:space="preserve">21,042 individuals of the Red-necked Stint have been recorded within the Study Area within the past 5 years, which is above the threshold of an ecologically significant proportion of the species (475 individuals within the last 5 years) </w:t>
            </w:r>
            <w:sdt>
              <w:sdtPr>
                <w:rPr>
                  <w:szCs w:val="18"/>
                </w:rPr>
                <w:tag w:val="MENDELEY_CITATION_v3_eyJjaXRhdGlvbklEIjoiTUVOREVMRVlfQ0lUQVRJT05fNWFiOGMxNTgtOTk2MC00ZWY2LThhODMtYzIxY2Y0OTVjOTM2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848601133"/>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784B423C" w14:textId="77777777" w:rsidR="000B173B" w:rsidRPr="002A5710" w:rsidRDefault="000B173B" w:rsidP="00A15226">
            <w:pPr>
              <w:pStyle w:val="Tabletext"/>
              <w:rPr>
                <w:szCs w:val="18"/>
              </w:rPr>
            </w:pPr>
            <w:r w:rsidRPr="002A5710">
              <w:rPr>
                <w:szCs w:val="18"/>
              </w:rPr>
              <w:t>All of these recent individuals occur along the northern coastline of Port Phillip Bay, extending from Avalon Beach in the west to the boundary of the Study Area in the east. This area will not be impacted by the Plan as it is not located downstream of the Strategic Assessment Area.</w:t>
            </w:r>
          </w:p>
          <w:p w14:paraId="7A38E111" w14:textId="77777777" w:rsidR="000B173B" w:rsidRPr="002A5710" w:rsidRDefault="000B173B" w:rsidP="00A15226">
            <w:pPr>
              <w:pStyle w:val="Tabletext"/>
              <w:rPr>
                <w:szCs w:val="18"/>
              </w:rPr>
            </w:pPr>
            <w:r w:rsidRPr="002A5710">
              <w:rPr>
                <w:szCs w:val="18"/>
              </w:rPr>
              <w:t xml:space="preserve">Important habitat for the Red-necked Stint has been mapped by Birdlife Australia within the Study Area in the following localities </w:t>
            </w:r>
            <w:sdt>
              <w:sdtPr>
                <w:rPr>
                  <w:szCs w:val="18"/>
                </w:rPr>
                <w:tag w:val="MENDELEY_CITATION_v3_eyJjaXRhdGlvbklEIjoiTUVOREVMRVlfQ0lUQVRJT05fZmQ3ZTBkYzctMTZiYi00NzBjLTkyZmEtMTEyNTAyZGI0MzU5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19889468"/>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731F5151" w14:textId="77777777" w:rsidR="000B173B" w:rsidRPr="002A5710" w:rsidRDefault="000B173B" w:rsidP="00A15226">
            <w:pPr>
              <w:pStyle w:val="Bullet1"/>
              <w:rPr>
                <w:szCs w:val="18"/>
              </w:rPr>
            </w:pPr>
            <w:r w:rsidRPr="002A5710">
              <w:rPr>
                <w:szCs w:val="18"/>
              </w:rPr>
              <w:t>Lake Connewarre and Barwon River Estuary IBA</w:t>
            </w:r>
          </w:p>
          <w:p w14:paraId="137F9248" w14:textId="77777777" w:rsidR="000B173B" w:rsidRPr="002A5710" w:rsidRDefault="000B173B" w:rsidP="00A15226">
            <w:pPr>
              <w:pStyle w:val="Bullet1"/>
              <w:rPr>
                <w:szCs w:val="18"/>
              </w:rPr>
            </w:pPr>
            <w:r w:rsidRPr="002A5710">
              <w:rPr>
                <w:szCs w:val="18"/>
              </w:rPr>
              <w:t>Werribee/Avalon IBA</w:t>
            </w:r>
          </w:p>
          <w:p w14:paraId="201B7F64" w14:textId="77777777" w:rsidR="000B173B" w:rsidRPr="002A5710" w:rsidRDefault="000B173B" w:rsidP="00A15226">
            <w:pPr>
              <w:pStyle w:val="Bullet1"/>
              <w:rPr>
                <w:szCs w:val="18"/>
              </w:rPr>
            </w:pPr>
            <w:r w:rsidRPr="002A5710">
              <w:rPr>
                <w:szCs w:val="18"/>
              </w:rPr>
              <w:t>Moolap IBA</w:t>
            </w:r>
          </w:p>
          <w:p w14:paraId="59F2F1BF" w14:textId="77777777" w:rsidR="000B173B" w:rsidRPr="002A5710" w:rsidRDefault="000B173B" w:rsidP="00A15226">
            <w:pPr>
              <w:pStyle w:val="Tabletext"/>
              <w:rPr>
                <w:szCs w:val="18"/>
              </w:rPr>
            </w:pPr>
            <w:r w:rsidRPr="002A5710">
              <w:rPr>
                <w:szCs w:val="18"/>
              </w:rPr>
              <w:t>These IBAs extend outside of the locations of recent (2017 onwards) records of the species. However, when date filters are removed and all available records of the species are considered, substantial records of the species occur within the Lake Connewarre wetland complex and in the Moolap locality. A small number of records also occur in the vicinity of Limeburners Lagoon.</w:t>
            </w:r>
          </w:p>
          <w:p w14:paraId="58312518" w14:textId="77777777" w:rsidR="000B173B" w:rsidRPr="002A5710" w:rsidRDefault="000B173B" w:rsidP="00A15226">
            <w:pPr>
              <w:pStyle w:val="Tabletext"/>
              <w:rPr>
                <w:szCs w:val="18"/>
              </w:rPr>
            </w:pPr>
            <w:r w:rsidRPr="002A5710">
              <w:rPr>
                <w:szCs w:val="18"/>
              </w:rPr>
              <w:t>The Moolap IBA will not be adversely impacted by development under the Plan as it is not downstream of the Strategic Assessment Area.</w:t>
            </w:r>
          </w:p>
          <w:p w14:paraId="7068FB75" w14:textId="77777777" w:rsidR="000B173B" w:rsidRPr="002A5710" w:rsidRDefault="000B173B" w:rsidP="00A15226">
            <w:pPr>
              <w:pStyle w:val="Tabletext"/>
              <w:rPr>
                <w:szCs w:val="18"/>
                <w:highlight w:val="yellow"/>
              </w:rPr>
            </w:pPr>
            <w:r w:rsidRPr="002A5710">
              <w:rPr>
                <w:szCs w:val="18"/>
              </w:rPr>
              <w:t xml:space="preserve">However, there is potential for impacts to occur to the Lake Connewarre wetland complex and Limeburners Lagoon, as these localities are downstream of the Growth Areas. Historical records of the species in these habitats, and identification of these habitats as IBAs for the species by </w:t>
            </w:r>
            <w:r w:rsidRPr="002A5710">
              <w:rPr>
                <w:szCs w:val="18"/>
              </w:rPr>
              <w:lastRenderedPageBreak/>
              <w:t>Birdlife Australia, suggest that these areas are important for the species, despite the lack of recent records in these localities. For this reason, this species has been assigned to Category 1 for a detailed assessment.</w:t>
            </w:r>
            <w:r>
              <w:rPr>
                <w:szCs w:val="18"/>
              </w:rPr>
              <w:t xml:space="preserve"> </w:t>
            </w:r>
            <w:r>
              <w:t>Refer to Chapter 23 of Part 4 for the detailed impact assessment of the Red-necked Stint.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683AD5F" w14:textId="77777777" w:rsidR="000B173B" w:rsidRPr="002A5710" w:rsidRDefault="000B173B" w:rsidP="00A15226">
            <w:pPr>
              <w:pStyle w:val="Tabletext"/>
              <w:rPr>
                <w:szCs w:val="18"/>
              </w:rPr>
            </w:pPr>
            <w:r w:rsidRPr="002A5710">
              <w:rPr>
                <w:szCs w:val="18"/>
              </w:rPr>
              <w:lastRenderedPageBreak/>
              <w:t>Category 1</w:t>
            </w:r>
          </w:p>
        </w:tc>
      </w:tr>
      <w:tr w:rsidR="000B173B" w:rsidRPr="002A5710" w14:paraId="186D133D"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8F935F2" w14:textId="77777777" w:rsidR="000B173B" w:rsidRPr="002A5710" w:rsidRDefault="000B173B" w:rsidP="00A15226">
            <w:pPr>
              <w:pStyle w:val="Tabletext"/>
              <w:rPr>
                <w:i/>
                <w:iCs/>
                <w:szCs w:val="18"/>
              </w:rPr>
            </w:pPr>
            <w:r w:rsidRPr="002A5710">
              <w:rPr>
                <w:i/>
                <w:iCs/>
                <w:szCs w:val="18"/>
              </w:rPr>
              <w:t>Calidris subminuta</w:t>
            </w:r>
          </w:p>
        </w:tc>
        <w:tc>
          <w:tcPr>
            <w:tcW w:w="447" w:type="pct"/>
            <w:tcBorders>
              <w:top w:val="single" w:sz="4" w:space="0" w:color="auto"/>
              <w:left w:val="single" w:sz="4" w:space="0" w:color="auto"/>
              <w:bottom w:val="single" w:sz="4" w:space="0" w:color="auto"/>
              <w:right w:val="single" w:sz="4" w:space="0" w:color="auto"/>
            </w:tcBorders>
            <w:vAlign w:val="center"/>
          </w:tcPr>
          <w:p w14:paraId="6B97680B" w14:textId="77777777" w:rsidR="000B173B" w:rsidRPr="002A5710" w:rsidRDefault="000B173B" w:rsidP="00A15226">
            <w:pPr>
              <w:pStyle w:val="Tabletext"/>
              <w:rPr>
                <w:szCs w:val="18"/>
              </w:rPr>
            </w:pPr>
            <w:r w:rsidRPr="002A5710">
              <w:rPr>
                <w:szCs w:val="18"/>
              </w:rPr>
              <w:t>Long-toed Stint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2A7F53C0"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71BCB9D9"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YjQ1MWZmMGYtZWM5ZS00OTFiLWJkZDQtN2RlOWFmZjE3Zjg2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71728446"/>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032B683"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490A305"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1BCAD228" w14:textId="77777777" w:rsidR="000B173B" w:rsidRPr="002A5710" w:rsidRDefault="000B173B" w:rsidP="00A15226">
            <w:pPr>
              <w:pStyle w:val="Tabletext"/>
              <w:rPr>
                <w:szCs w:val="18"/>
              </w:rPr>
            </w:pPr>
            <w:r w:rsidRPr="002A5710">
              <w:rPr>
                <w:szCs w:val="18"/>
              </w:rPr>
              <w:t xml:space="preserve">No individuals of the Long-toed Stint have been recorded within the Study Area within the past 5 years, which is below the threshold of an ecologically significant proportion of the species (230 individuals within the last 5 years) </w:t>
            </w:r>
            <w:sdt>
              <w:sdtPr>
                <w:rPr>
                  <w:szCs w:val="18"/>
                </w:rPr>
                <w:tag w:val="MENDELEY_CITATION_v3_eyJjaXRhdGlvbklEIjoiTUVOREVMRVlfQ0lUQVRJT05fMTU2NDQ4Y2ItZGZjYS00MGVhLTgzYWItYzQ1YWQzYzkyMTBj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696528818"/>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4EED0C1E" w14:textId="77777777" w:rsidR="000B173B" w:rsidRPr="002A5710" w:rsidRDefault="000B173B" w:rsidP="00A15226">
            <w:pPr>
              <w:pStyle w:val="Tabletext"/>
              <w:rPr>
                <w:szCs w:val="18"/>
              </w:rPr>
            </w:pPr>
            <w:r w:rsidRPr="002A5710">
              <w:rPr>
                <w:szCs w:val="18"/>
              </w:rPr>
              <w:t xml:space="preserve">No important habitat for the Long-toed Stint has been mapped by Birdlife Australia within the Study Area </w:t>
            </w:r>
            <w:sdt>
              <w:sdtPr>
                <w:rPr>
                  <w:szCs w:val="18"/>
                </w:rPr>
                <w:tag w:val="MENDELEY_CITATION_v3_eyJjaXRhdGlvbklEIjoiTUVOREVMRVlfQ0lUQVRJT05fZDRiNzJkZTAtNTcxMS00ZjkzLWJhNmQtYjY5YzNmZDBjODA0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822413238"/>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76F6AE97"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94D2EF" w14:textId="77777777" w:rsidR="000B173B" w:rsidRPr="002A5710" w:rsidRDefault="000B173B" w:rsidP="00A15226">
            <w:pPr>
              <w:pStyle w:val="Tabletext"/>
              <w:rPr>
                <w:szCs w:val="18"/>
              </w:rPr>
            </w:pPr>
            <w:r w:rsidRPr="002A5710">
              <w:rPr>
                <w:szCs w:val="18"/>
              </w:rPr>
              <w:t>Category 2</w:t>
            </w:r>
          </w:p>
        </w:tc>
      </w:tr>
      <w:tr w:rsidR="000B173B" w:rsidRPr="002A5710" w14:paraId="3632A99F"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B87BABE" w14:textId="77777777" w:rsidR="000B173B" w:rsidRPr="002A5710" w:rsidRDefault="000B173B" w:rsidP="00A15226">
            <w:pPr>
              <w:pStyle w:val="Tabletext"/>
              <w:rPr>
                <w:i/>
                <w:iCs/>
                <w:szCs w:val="18"/>
              </w:rPr>
            </w:pPr>
            <w:r w:rsidRPr="002A5710">
              <w:rPr>
                <w:i/>
                <w:iCs/>
                <w:szCs w:val="18"/>
              </w:rPr>
              <w:t>Calidris tenuirostris</w:t>
            </w:r>
          </w:p>
        </w:tc>
        <w:tc>
          <w:tcPr>
            <w:tcW w:w="447" w:type="pct"/>
            <w:tcBorders>
              <w:top w:val="single" w:sz="4" w:space="0" w:color="auto"/>
              <w:left w:val="single" w:sz="4" w:space="0" w:color="auto"/>
              <w:bottom w:val="single" w:sz="4" w:space="0" w:color="auto"/>
              <w:right w:val="single" w:sz="4" w:space="0" w:color="auto"/>
            </w:tcBorders>
            <w:vAlign w:val="center"/>
          </w:tcPr>
          <w:p w14:paraId="1113CB9D" w14:textId="77777777" w:rsidR="000B173B" w:rsidRPr="002A5710" w:rsidRDefault="000B173B" w:rsidP="00A15226">
            <w:pPr>
              <w:pStyle w:val="Tabletext"/>
              <w:rPr>
                <w:szCs w:val="18"/>
              </w:rPr>
            </w:pPr>
            <w:r w:rsidRPr="002A5710">
              <w:rPr>
                <w:szCs w:val="18"/>
              </w:rPr>
              <w:t>Great Knot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F770F8A" w14:textId="77777777" w:rsidR="000B173B" w:rsidRPr="002A5710" w:rsidRDefault="000B173B" w:rsidP="00A15226">
            <w:pPr>
              <w:pStyle w:val="Tabletext"/>
              <w:rPr>
                <w:szCs w:val="18"/>
              </w:rPr>
            </w:pPr>
            <w:r w:rsidRPr="002A5710">
              <w:rPr>
                <w:szCs w:val="18"/>
              </w:rPr>
              <w:t>CE, 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559C023D"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ZGIyMzBiZmMtYjk1Yi00NzY1LTk0NWUtMzM0Y2IzOTEyZTZj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937099031"/>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D0EC795" w14:textId="77777777" w:rsidR="000B173B" w:rsidRPr="002A5710" w:rsidRDefault="000B173B" w:rsidP="00A15226">
            <w:pPr>
              <w:pStyle w:val="Tabletext"/>
              <w:jc w:val="center"/>
              <w:rPr>
                <w:szCs w:val="18"/>
              </w:rPr>
            </w:pPr>
            <w:r w:rsidRPr="002A5710">
              <w:rPr>
                <w:szCs w:val="18"/>
              </w:rPr>
              <w:t>-</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1B0B8EC6" w14:textId="77777777" w:rsidR="000B173B" w:rsidRPr="002A5710" w:rsidRDefault="000B173B" w:rsidP="00A15226">
            <w:pPr>
              <w:pStyle w:val="Tabletext"/>
              <w:jc w:val="center"/>
              <w:rPr>
                <w:szCs w:val="18"/>
              </w:rPr>
            </w:pPr>
            <w:r w:rsidRPr="002A5710">
              <w:rPr>
                <w:szCs w:val="18"/>
              </w:rPr>
              <w:t>-</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5710E22" w14:textId="77777777" w:rsidR="000B173B" w:rsidRPr="002A5710" w:rsidRDefault="000B173B" w:rsidP="00A15226">
            <w:pPr>
              <w:pStyle w:val="Tabletext"/>
              <w:rPr>
                <w:szCs w:val="18"/>
              </w:rPr>
            </w:pPr>
            <w:r w:rsidRPr="002A5710">
              <w:rPr>
                <w:szCs w:val="18"/>
              </w:rPr>
              <w:t>This species has been triggered as a Category 1 threatened species.</w:t>
            </w:r>
          </w:p>
          <w:p w14:paraId="7D37FDC6" w14:textId="77777777" w:rsidR="000B173B" w:rsidRPr="002A5710" w:rsidRDefault="000B173B" w:rsidP="00A15226">
            <w:pPr>
              <w:pStyle w:val="Tabletext"/>
              <w:rPr>
                <w:szCs w:val="18"/>
              </w:rPr>
            </w:pPr>
            <w:r w:rsidRPr="002A5710">
              <w:rPr>
                <w:szCs w:val="18"/>
              </w:rPr>
              <w:t>Note that assessment of this species is contained within the threatened fauna assessment in Chapter 19.</w:t>
            </w:r>
            <w:r>
              <w:rPr>
                <w:szCs w:val="18"/>
              </w:rPr>
              <w:t xml:space="preserve"> </w:t>
            </w:r>
            <w:r>
              <w:t>Refer to Section 19.4 of Part 4 for the detailed impact assessment of the Great Knot.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80F8372" w14:textId="77777777" w:rsidR="000B173B" w:rsidRPr="002A5710" w:rsidRDefault="000B173B" w:rsidP="00A15226">
            <w:pPr>
              <w:pStyle w:val="Tabletext"/>
              <w:rPr>
                <w:szCs w:val="18"/>
              </w:rPr>
            </w:pPr>
            <w:r w:rsidRPr="002A5710">
              <w:rPr>
                <w:szCs w:val="18"/>
              </w:rPr>
              <w:t>Category 1</w:t>
            </w:r>
          </w:p>
        </w:tc>
      </w:tr>
      <w:tr w:rsidR="000B173B" w:rsidRPr="002A5710" w14:paraId="1BCF5064"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0A2003E" w14:textId="77777777" w:rsidR="000B173B" w:rsidRPr="002A5710" w:rsidRDefault="000B173B" w:rsidP="00A15226">
            <w:pPr>
              <w:pStyle w:val="Tabletext"/>
              <w:rPr>
                <w:i/>
                <w:iCs/>
                <w:szCs w:val="18"/>
              </w:rPr>
            </w:pPr>
            <w:r w:rsidRPr="002A5710">
              <w:rPr>
                <w:i/>
                <w:iCs/>
                <w:szCs w:val="18"/>
              </w:rPr>
              <w:t>Charadrius bicinctus</w:t>
            </w:r>
          </w:p>
        </w:tc>
        <w:tc>
          <w:tcPr>
            <w:tcW w:w="447" w:type="pct"/>
            <w:tcBorders>
              <w:top w:val="single" w:sz="4" w:space="0" w:color="auto"/>
              <w:left w:val="single" w:sz="4" w:space="0" w:color="auto"/>
              <w:bottom w:val="single" w:sz="4" w:space="0" w:color="auto"/>
              <w:right w:val="single" w:sz="4" w:space="0" w:color="auto"/>
            </w:tcBorders>
            <w:vAlign w:val="center"/>
          </w:tcPr>
          <w:p w14:paraId="71F02F4D" w14:textId="77777777" w:rsidR="000B173B" w:rsidRPr="002A5710" w:rsidRDefault="000B173B" w:rsidP="00A15226">
            <w:pPr>
              <w:pStyle w:val="Tabletext"/>
              <w:rPr>
                <w:szCs w:val="18"/>
              </w:rPr>
            </w:pPr>
            <w:r w:rsidRPr="002A5710">
              <w:rPr>
                <w:szCs w:val="18"/>
              </w:rPr>
              <w:t>Double-banded Plover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26538294" w14:textId="77777777" w:rsidR="000B173B" w:rsidRPr="002A5710" w:rsidRDefault="000B173B" w:rsidP="00A15226">
            <w:pPr>
              <w:pStyle w:val="Tabletext"/>
              <w:rPr>
                <w:szCs w:val="18"/>
              </w:rPr>
            </w:pPr>
            <w:r w:rsidRPr="002A5710">
              <w:rPr>
                <w:szCs w:val="18"/>
              </w:rPr>
              <w:t>Mig, B</w:t>
            </w:r>
          </w:p>
        </w:tc>
        <w:tc>
          <w:tcPr>
            <w:tcW w:w="495" w:type="pct"/>
            <w:tcBorders>
              <w:top w:val="single" w:sz="4" w:space="0" w:color="auto"/>
              <w:left w:val="single" w:sz="4" w:space="0" w:color="auto"/>
              <w:bottom w:val="single" w:sz="4" w:space="0" w:color="auto"/>
              <w:right w:val="single" w:sz="4" w:space="0" w:color="auto"/>
            </w:tcBorders>
            <w:vAlign w:val="center"/>
          </w:tcPr>
          <w:p w14:paraId="6CC526EE"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NTRjYWZlZmQtZTA2OC00MjVkLTk5ODYtNDlhMWUxYmY1NTdk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937398526"/>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2735705"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7DDE3D7E"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51EA1371" w14:textId="77777777" w:rsidR="000B173B" w:rsidRPr="002A5710" w:rsidRDefault="000B173B" w:rsidP="00A15226">
            <w:pPr>
              <w:pStyle w:val="Tabletext"/>
              <w:rPr>
                <w:szCs w:val="18"/>
              </w:rPr>
            </w:pPr>
            <w:r w:rsidRPr="002A5710">
              <w:rPr>
                <w:szCs w:val="18"/>
              </w:rPr>
              <w:t xml:space="preserve">3 individuals of the Double-banded Plover have been recorded within the Study Area within the past 5 years, which is below the threshold of an ecologically significant proportion of the species (19 individuals within the last 5 years) </w:t>
            </w:r>
            <w:sdt>
              <w:sdtPr>
                <w:rPr>
                  <w:szCs w:val="18"/>
                </w:rPr>
                <w:tag w:val="MENDELEY_CITATION_v3_eyJjaXRhdGlvbklEIjoiTUVOREVMRVlfQ0lUQVRJT05fMWE4OWJmZDgtZWM1MS00MDU3LWJlNTctNTE2Yjg3OWNjZGU1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2074926849"/>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1BF8BBE1" w14:textId="77777777" w:rsidR="000B173B" w:rsidRPr="002A5710" w:rsidRDefault="000B173B" w:rsidP="00A15226">
            <w:pPr>
              <w:pStyle w:val="Tabletext"/>
              <w:rPr>
                <w:szCs w:val="18"/>
              </w:rPr>
            </w:pPr>
            <w:r w:rsidRPr="002A5710">
              <w:rPr>
                <w:szCs w:val="18"/>
              </w:rPr>
              <w:t>These individuals are recorded to occur along the northern coastline of Port Phillip Bay, adjacent to The Spit Wildlife Reserve. This area will not be impacted by the Plan as it is not located downstream of the Strategic Assessment Area.</w:t>
            </w:r>
          </w:p>
          <w:p w14:paraId="304C7ACF" w14:textId="77777777" w:rsidR="000B173B" w:rsidRPr="002A5710" w:rsidRDefault="000B173B" w:rsidP="00A15226">
            <w:pPr>
              <w:pStyle w:val="Tabletext"/>
              <w:rPr>
                <w:szCs w:val="18"/>
              </w:rPr>
            </w:pPr>
            <w:r w:rsidRPr="002A5710">
              <w:rPr>
                <w:szCs w:val="18"/>
              </w:rPr>
              <w:t xml:space="preserve">Important habitat for the Double-banded Plover has been mapped by Birdlife Australia within the Study Area in the following localities </w:t>
            </w:r>
            <w:sdt>
              <w:sdtPr>
                <w:rPr>
                  <w:szCs w:val="18"/>
                </w:rPr>
                <w:tag w:val="MENDELEY_CITATION_v3_eyJjaXRhdGlvbklEIjoiTUVOREVMRVlfQ0lUQVRJT05fZDlmNDlkZDgtN2EyZi00NGYxLTgyNTMtYTI5Y2YxNGNmMDRm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2130973342"/>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01102966" w14:textId="77777777" w:rsidR="000B173B" w:rsidRPr="002A5710" w:rsidRDefault="000B173B" w:rsidP="00A15226">
            <w:pPr>
              <w:pStyle w:val="Bullet1"/>
              <w:rPr>
                <w:szCs w:val="18"/>
              </w:rPr>
            </w:pPr>
            <w:r w:rsidRPr="002A5710">
              <w:rPr>
                <w:szCs w:val="18"/>
              </w:rPr>
              <w:t>Lake Connewarre and Barwon River Estuary IBA</w:t>
            </w:r>
          </w:p>
          <w:p w14:paraId="6410EB7E" w14:textId="77777777" w:rsidR="000B173B" w:rsidRPr="002A5710" w:rsidRDefault="000B173B" w:rsidP="00A15226">
            <w:pPr>
              <w:pStyle w:val="Bullet1"/>
              <w:rPr>
                <w:szCs w:val="18"/>
              </w:rPr>
            </w:pPr>
            <w:r w:rsidRPr="002A5710">
              <w:rPr>
                <w:szCs w:val="18"/>
              </w:rPr>
              <w:t>Werribee/Avalon IBA</w:t>
            </w:r>
          </w:p>
          <w:p w14:paraId="78273EE0" w14:textId="77777777" w:rsidR="000B173B" w:rsidRPr="002A5710" w:rsidRDefault="000B173B" w:rsidP="00A15226">
            <w:pPr>
              <w:pStyle w:val="Bullet1"/>
              <w:rPr>
                <w:szCs w:val="18"/>
              </w:rPr>
            </w:pPr>
            <w:r w:rsidRPr="002A5710">
              <w:rPr>
                <w:szCs w:val="18"/>
              </w:rPr>
              <w:t>Moolap IBA</w:t>
            </w:r>
          </w:p>
          <w:p w14:paraId="14A41795" w14:textId="77777777" w:rsidR="000B173B" w:rsidRPr="002A5710" w:rsidRDefault="000B173B" w:rsidP="00A15226">
            <w:pPr>
              <w:pStyle w:val="Tabletext"/>
              <w:rPr>
                <w:szCs w:val="18"/>
              </w:rPr>
            </w:pPr>
            <w:r w:rsidRPr="002A5710">
              <w:rPr>
                <w:szCs w:val="18"/>
              </w:rPr>
              <w:lastRenderedPageBreak/>
              <w:t>While few individuals of the Double-banded Plover have been recorded within the last 5 years, it is noted that when historical records are considered, a substantial number of individuals has been recorded within the Study Area within recent years (7,992 individuals from 1990 onwards).</w:t>
            </w:r>
          </w:p>
          <w:p w14:paraId="76295A82" w14:textId="77777777" w:rsidR="000B173B" w:rsidRPr="002A5710" w:rsidRDefault="000B173B" w:rsidP="00A15226">
            <w:pPr>
              <w:pStyle w:val="Tabletext"/>
              <w:rPr>
                <w:szCs w:val="18"/>
              </w:rPr>
            </w:pPr>
            <w:r w:rsidRPr="002A5710">
              <w:rPr>
                <w:szCs w:val="18"/>
              </w:rPr>
              <w:t>When records from 1990 onwards are considered, substantial records of the species occur within the Lake Connewarre wetland complex and in the Moolap locality. A small number of records also occur in the vicinity of Limeburners Lagoon.</w:t>
            </w:r>
          </w:p>
          <w:p w14:paraId="2B8233F3" w14:textId="77777777" w:rsidR="000B173B" w:rsidRPr="002A5710" w:rsidRDefault="000B173B" w:rsidP="00A15226">
            <w:pPr>
              <w:pStyle w:val="Tabletext"/>
              <w:rPr>
                <w:szCs w:val="18"/>
              </w:rPr>
            </w:pPr>
            <w:r w:rsidRPr="002A5710">
              <w:rPr>
                <w:szCs w:val="18"/>
              </w:rPr>
              <w:t>The Moolap IBA will not be impacted by the Plan as it is not located downstream of the Strategic Assessment Area.</w:t>
            </w:r>
          </w:p>
          <w:p w14:paraId="3D0FBB62" w14:textId="77777777" w:rsidR="000B173B" w:rsidRPr="002A5710" w:rsidRDefault="000B173B" w:rsidP="00A15226">
            <w:pPr>
              <w:pStyle w:val="Tabletext"/>
              <w:rPr>
                <w:szCs w:val="18"/>
              </w:rPr>
            </w:pPr>
            <w:r w:rsidRPr="002A5710">
              <w:rPr>
                <w:szCs w:val="18"/>
              </w:rPr>
              <w:t>However, there is potential for impacts to occur to the Lake Connewarre wetland complex and Limeburners Lagoon, as these localities are downstream of the Growth Areas. Historical records of the species in these habitats, and identification of these habitats as IBAs for the species by Birdlife Australia, suggest that these areas are important for the species, despite the lack of recent records in these localities. For this reason, this species has been assigned to Category 1 for a detailed assessment.</w:t>
            </w:r>
            <w:r>
              <w:rPr>
                <w:szCs w:val="18"/>
              </w:rPr>
              <w:t xml:space="preserve"> </w:t>
            </w:r>
            <w:r>
              <w:t>Refer to Chapter 23 of Part 4 for the detailed impact assessment of the Double-banded Plover.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946ABB" w14:textId="77777777" w:rsidR="000B173B" w:rsidRPr="002A5710" w:rsidRDefault="000B173B" w:rsidP="00A15226">
            <w:pPr>
              <w:pStyle w:val="Tabletext"/>
              <w:rPr>
                <w:szCs w:val="18"/>
              </w:rPr>
            </w:pPr>
            <w:r w:rsidRPr="002A5710">
              <w:rPr>
                <w:szCs w:val="18"/>
              </w:rPr>
              <w:lastRenderedPageBreak/>
              <w:t>Category 1</w:t>
            </w:r>
          </w:p>
        </w:tc>
      </w:tr>
      <w:tr w:rsidR="000B173B" w:rsidRPr="002A5710" w14:paraId="72CBEC02"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B4BD89A" w14:textId="77777777" w:rsidR="000B173B" w:rsidRPr="002A5710" w:rsidRDefault="000B173B" w:rsidP="00A15226">
            <w:pPr>
              <w:pStyle w:val="Tabletext"/>
              <w:rPr>
                <w:i/>
                <w:iCs/>
                <w:szCs w:val="18"/>
              </w:rPr>
            </w:pPr>
            <w:r w:rsidRPr="002A5710">
              <w:rPr>
                <w:i/>
                <w:iCs/>
                <w:szCs w:val="18"/>
              </w:rPr>
              <w:t>Charadrius leschenaultii</w:t>
            </w:r>
          </w:p>
        </w:tc>
        <w:tc>
          <w:tcPr>
            <w:tcW w:w="447" w:type="pct"/>
            <w:tcBorders>
              <w:top w:val="single" w:sz="4" w:space="0" w:color="auto"/>
              <w:left w:val="single" w:sz="4" w:space="0" w:color="auto"/>
              <w:bottom w:val="single" w:sz="4" w:space="0" w:color="auto"/>
              <w:right w:val="single" w:sz="4" w:space="0" w:color="auto"/>
            </w:tcBorders>
            <w:vAlign w:val="center"/>
          </w:tcPr>
          <w:p w14:paraId="27C188B4" w14:textId="77777777" w:rsidR="000B173B" w:rsidRPr="002A5710" w:rsidRDefault="000B173B" w:rsidP="00A15226">
            <w:pPr>
              <w:pStyle w:val="Tabletext"/>
              <w:rPr>
                <w:szCs w:val="18"/>
              </w:rPr>
            </w:pPr>
            <w:r w:rsidRPr="002A5710">
              <w:rPr>
                <w:szCs w:val="18"/>
              </w:rPr>
              <w:t>Greater Sand Plover, Large Sand Plover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46A62580" w14:textId="77777777" w:rsidR="000B173B" w:rsidRPr="002A5710" w:rsidRDefault="000B173B" w:rsidP="00A15226">
            <w:pPr>
              <w:pStyle w:val="Tabletext"/>
              <w:rPr>
                <w:szCs w:val="18"/>
              </w:rPr>
            </w:pPr>
            <w:r w:rsidRPr="002A5710">
              <w:rPr>
                <w:szCs w:val="18"/>
              </w:rPr>
              <w:t>V, 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6EF97D9B"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NmMzMGI0ODgtZDRjNC00YmM0LTgwOGQtYzA1Mzk0NzhjNDcw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962038241"/>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454A8E7" w14:textId="77777777" w:rsidR="000B173B" w:rsidRPr="002A5710" w:rsidRDefault="000B173B" w:rsidP="00A15226">
            <w:pPr>
              <w:pStyle w:val="Tabletext"/>
              <w:jc w:val="center"/>
              <w:rPr>
                <w:szCs w:val="18"/>
              </w:rPr>
            </w:pPr>
            <w:r w:rsidRPr="002A5710">
              <w:rPr>
                <w:szCs w:val="18"/>
              </w:rPr>
              <w:t>-</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EE0A106" w14:textId="77777777" w:rsidR="000B173B" w:rsidRPr="002A5710" w:rsidRDefault="000B173B" w:rsidP="00A15226">
            <w:pPr>
              <w:pStyle w:val="Tabletext"/>
              <w:jc w:val="center"/>
              <w:rPr>
                <w:szCs w:val="18"/>
              </w:rPr>
            </w:pPr>
            <w:r w:rsidRPr="002A5710">
              <w:rPr>
                <w:szCs w:val="18"/>
              </w:rPr>
              <w:t>-</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3A8E4DCE" w14:textId="77777777" w:rsidR="000B173B" w:rsidRPr="002A5710" w:rsidRDefault="000B173B" w:rsidP="00A15226">
            <w:pPr>
              <w:pStyle w:val="Tabletext"/>
              <w:rPr>
                <w:szCs w:val="18"/>
              </w:rPr>
            </w:pPr>
            <w:r w:rsidRPr="002A5710">
              <w:rPr>
                <w:szCs w:val="18"/>
              </w:rPr>
              <w:t>This species has been triggered as a Category 1 threatened species.</w:t>
            </w:r>
          </w:p>
          <w:p w14:paraId="004B9D99" w14:textId="77777777" w:rsidR="000B173B" w:rsidRPr="002A5710" w:rsidRDefault="000B173B" w:rsidP="00A15226">
            <w:pPr>
              <w:pStyle w:val="Tabletext"/>
              <w:rPr>
                <w:szCs w:val="18"/>
              </w:rPr>
            </w:pPr>
            <w:r w:rsidRPr="002A5710">
              <w:rPr>
                <w:szCs w:val="18"/>
              </w:rPr>
              <w:t>Note that assessment of this species is contained within the threatened fauna assessment in Chapter 19.</w:t>
            </w:r>
            <w:r>
              <w:rPr>
                <w:szCs w:val="18"/>
              </w:rPr>
              <w:t xml:space="preserve"> </w:t>
            </w:r>
            <w:r>
              <w:t>Refer to Section 19.4 of Part 4 for the detailed impact assessment of the Greater Sand Plover.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FE9AE2D" w14:textId="77777777" w:rsidR="000B173B" w:rsidRPr="002A5710" w:rsidRDefault="000B173B" w:rsidP="00A15226">
            <w:pPr>
              <w:pStyle w:val="Tabletext"/>
              <w:rPr>
                <w:szCs w:val="18"/>
              </w:rPr>
            </w:pPr>
            <w:r w:rsidRPr="002A5710">
              <w:rPr>
                <w:szCs w:val="18"/>
              </w:rPr>
              <w:t>Category 1</w:t>
            </w:r>
          </w:p>
        </w:tc>
      </w:tr>
      <w:tr w:rsidR="000B173B" w:rsidRPr="002A5710" w14:paraId="6EA14191" w14:textId="77777777" w:rsidTr="00A15226">
        <w:trPr>
          <w:trHeight w:val="795"/>
        </w:trPr>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429F3F4" w14:textId="77777777" w:rsidR="000B173B" w:rsidRPr="002A5710" w:rsidRDefault="000B173B" w:rsidP="00A15226">
            <w:pPr>
              <w:pStyle w:val="Tabletext"/>
              <w:rPr>
                <w:i/>
                <w:iCs/>
                <w:szCs w:val="18"/>
              </w:rPr>
            </w:pPr>
            <w:r w:rsidRPr="002A5710">
              <w:rPr>
                <w:i/>
                <w:iCs/>
                <w:szCs w:val="18"/>
              </w:rPr>
              <w:t>Charadrius mongolus</w:t>
            </w:r>
          </w:p>
        </w:tc>
        <w:tc>
          <w:tcPr>
            <w:tcW w:w="447" w:type="pct"/>
            <w:tcBorders>
              <w:top w:val="single" w:sz="4" w:space="0" w:color="auto"/>
              <w:left w:val="single" w:sz="4" w:space="0" w:color="auto"/>
              <w:bottom w:val="single" w:sz="4" w:space="0" w:color="auto"/>
              <w:right w:val="single" w:sz="4" w:space="0" w:color="auto"/>
            </w:tcBorders>
            <w:vAlign w:val="center"/>
          </w:tcPr>
          <w:p w14:paraId="2880886C" w14:textId="77777777" w:rsidR="000B173B" w:rsidRPr="002A5710" w:rsidRDefault="000B173B" w:rsidP="00A15226">
            <w:pPr>
              <w:pStyle w:val="Tabletext"/>
              <w:rPr>
                <w:szCs w:val="18"/>
              </w:rPr>
            </w:pPr>
            <w:r w:rsidRPr="002A5710">
              <w:rPr>
                <w:szCs w:val="18"/>
              </w:rPr>
              <w:t>Lesser Sand Plover, Mongolian Plover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5FE5439" w14:textId="77777777" w:rsidR="000B173B" w:rsidRPr="002A5710" w:rsidRDefault="000B173B" w:rsidP="00A15226">
            <w:pPr>
              <w:pStyle w:val="Tabletext"/>
              <w:rPr>
                <w:szCs w:val="18"/>
              </w:rPr>
            </w:pPr>
            <w:r w:rsidRPr="002A5710">
              <w:rPr>
                <w:szCs w:val="18"/>
              </w:rPr>
              <w:t>E, Mig, B, C, J, K</w:t>
            </w:r>
          </w:p>
        </w:tc>
        <w:tc>
          <w:tcPr>
            <w:tcW w:w="495" w:type="pct"/>
            <w:tcBorders>
              <w:top w:val="single" w:sz="4" w:space="0" w:color="auto"/>
              <w:left w:val="single" w:sz="4" w:space="0" w:color="auto"/>
              <w:bottom w:val="single" w:sz="4" w:space="0" w:color="auto"/>
              <w:right w:val="single" w:sz="4" w:space="0" w:color="auto"/>
            </w:tcBorders>
            <w:vAlign w:val="center"/>
          </w:tcPr>
          <w:p w14:paraId="68F2095D"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2E0NTBhODEtNTE5MS00MDMzLWIxN2MtNjQ5NDgzZDEzMDU4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16698227"/>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85E1BE3" w14:textId="77777777" w:rsidR="000B173B" w:rsidRPr="002A5710" w:rsidRDefault="000B173B" w:rsidP="00A15226">
            <w:pPr>
              <w:pStyle w:val="Tabletext"/>
              <w:jc w:val="center"/>
              <w:rPr>
                <w:szCs w:val="18"/>
              </w:rPr>
            </w:pPr>
            <w:r w:rsidRPr="002A5710">
              <w:rPr>
                <w:szCs w:val="18"/>
              </w:rPr>
              <w:t>-</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D60AAE8" w14:textId="77777777" w:rsidR="000B173B" w:rsidRPr="002A5710" w:rsidRDefault="000B173B" w:rsidP="00A15226">
            <w:pPr>
              <w:pStyle w:val="Tabletext"/>
              <w:jc w:val="center"/>
              <w:rPr>
                <w:szCs w:val="18"/>
              </w:rPr>
            </w:pPr>
            <w:r w:rsidRPr="002A5710">
              <w:rPr>
                <w:szCs w:val="18"/>
              </w:rPr>
              <w:t>-</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40895F26" w14:textId="77777777" w:rsidR="000B173B" w:rsidRPr="002A5710" w:rsidRDefault="000B173B" w:rsidP="00A15226">
            <w:pPr>
              <w:pStyle w:val="Tabletext"/>
              <w:rPr>
                <w:szCs w:val="18"/>
              </w:rPr>
            </w:pPr>
            <w:r w:rsidRPr="002A5710">
              <w:rPr>
                <w:szCs w:val="18"/>
              </w:rPr>
              <w:t>This species has been triggered as a Category 1 threatened species.</w:t>
            </w:r>
          </w:p>
          <w:p w14:paraId="7113F89D" w14:textId="77777777" w:rsidR="000B173B" w:rsidRPr="002A5710" w:rsidRDefault="000B173B" w:rsidP="00A15226">
            <w:pPr>
              <w:pStyle w:val="Tabletext"/>
              <w:rPr>
                <w:szCs w:val="18"/>
              </w:rPr>
            </w:pPr>
            <w:r w:rsidRPr="002A5710">
              <w:rPr>
                <w:szCs w:val="18"/>
              </w:rPr>
              <w:t>Note that assessment of this species is contained within the threatened fauna assessment in Chapter 19.</w:t>
            </w:r>
            <w:r>
              <w:rPr>
                <w:szCs w:val="18"/>
              </w:rPr>
              <w:t xml:space="preserve"> </w:t>
            </w:r>
            <w:r>
              <w:t>Refer to Section 19.4 of Part 4 for the detailed impact assessment of the Lesser Sand Plover.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63587A3" w14:textId="77777777" w:rsidR="000B173B" w:rsidRPr="002A5710" w:rsidRDefault="000B173B" w:rsidP="00A15226">
            <w:pPr>
              <w:pStyle w:val="Tabletext"/>
              <w:rPr>
                <w:szCs w:val="18"/>
              </w:rPr>
            </w:pPr>
            <w:r w:rsidRPr="002A5710">
              <w:rPr>
                <w:szCs w:val="18"/>
              </w:rPr>
              <w:t>Category 1</w:t>
            </w:r>
          </w:p>
        </w:tc>
      </w:tr>
      <w:tr w:rsidR="000B173B" w:rsidRPr="002A5710" w14:paraId="30470236"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B5D5136" w14:textId="77777777" w:rsidR="000B173B" w:rsidRPr="002A5710" w:rsidRDefault="000B173B" w:rsidP="00A15226">
            <w:pPr>
              <w:pStyle w:val="Tabletext"/>
              <w:rPr>
                <w:i/>
                <w:iCs/>
                <w:szCs w:val="18"/>
              </w:rPr>
            </w:pPr>
            <w:r w:rsidRPr="002A5710">
              <w:rPr>
                <w:i/>
                <w:iCs/>
                <w:szCs w:val="18"/>
              </w:rPr>
              <w:t>Diomedea antipodensis</w:t>
            </w:r>
          </w:p>
        </w:tc>
        <w:tc>
          <w:tcPr>
            <w:tcW w:w="447" w:type="pct"/>
            <w:tcBorders>
              <w:top w:val="single" w:sz="4" w:space="0" w:color="auto"/>
              <w:left w:val="single" w:sz="4" w:space="0" w:color="auto"/>
              <w:bottom w:val="single" w:sz="4" w:space="0" w:color="auto"/>
              <w:right w:val="single" w:sz="4" w:space="0" w:color="auto"/>
            </w:tcBorders>
            <w:vAlign w:val="center"/>
          </w:tcPr>
          <w:p w14:paraId="06014FED" w14:textId="77777777" w:rsidR="000B173B" w:rsidRPr="002A5710" w:rsidRDefault="000B173B" w:rsidP="00A15226">
            <w:pPr>
              <w:pStyle w:val="Tabletext"/>
              <w:rPr>
                <w:szCs w:val="18"/>
              </w:rPr>
            </w:pPr>
            <w:r w:rsidRPr="002A5710">
              <w:rPr>
                <w:szCs w:val="18"/>
              </w:rPr>
              <w:t>Antipodean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7B63D943"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4092D8F3"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C99B49F"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FB32982"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74C095C" w14:textId="77777777" w:rsidR="000B173B" w:rsidRPr="002A5710" w:rsidRDefault="000B173B" w:rsidP="00A15226">
            <w:pPr>
              <w:pStyle w:val="Tabletext"/>
              <w:rPr>
                <w:szCs w:val="18"/>
              </w:rPr>
            </w:pPr>
            <w:r w:rsidRPr="002A5710">
              <w:rPr>
                <w:szCs w:val="18"/>
              </w:rPr>
              <w:t>No individuals of the Antipodean Albatross have been recorded within the Study Area. Given the absence of records of the species, it is unlikely the Study Area supports important habitat for the species.</w:t>
            </w:r>
          </w:p>
          <w:p w14:paraId="6B1003E8"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72D44A" w14:textId="77777777" w:rsidR="000B173B" w:rsidRPr="002A5710" w:rsidRDefault="000B173B" w:rsidP="00A15226">
            <w:pPr>
              <w:pStyle w:val="Tabletext"/>
              <w:rPr>
                <w:szCs w:val="18"/>
              </w:rPr>
            </w:pPr>
            <w:r w:rsidRPr="002A5710">
              <w:rPr>
                <w:szCs w:val="18"/>
              </w:rPr>
              <w:t>Category 2</w:t>
            </w:r>
          </w:p>
        </w:tc>
      </w:tr>
      <w:tr w:rsidR="000B173B" w:rsidRPr="002A5710" w14:paraId="20FEBAB2"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F2C979A" w14:textId="77777777" w:rsidR="000B173B" w:rsidRPr="002A5710" w:rsidRDefault="000B173B" w:rsidP="00A15226">
            <w:pPr>
              <w:pStyle w:val="Tabletext"/>
              <w:rPr>
                <w:i/>
                <w:iCs/>
                <w:szCs w:val="18"/>
              </w:rPr>
            </w:pPr>
            <w:r w:rsidRPr="002A5710">
              <w:rPr>
                <w:i/>
                <w:iCs/>
                <w:szCs w:val="18"/>
              </w:rPr>
              <w:lastRenderedPageBreak/>
              <w:t>Diomedea epomophora</w:t>
            </w:r>
          </w:p>
        </w:tc>
        <w:tc>
          <w:tcPr>
            <w:tcW w:w="447" w:type="pct"/>
            <w:tcBorders>
              <w:top w:val="single" w:sz="4" w:space="0" w:color="auto"/>
              <w:left w:val="single" w:sz="4" w:space="0" w:color="auto"/>
              <w:bottom w:val="single" w:sz="4" w:space="0" w:color="auto"/>
              <w:right w:val="single" w:sz="4" w:space="0" w:color="auto"/>
            </w:tcBorders>
            <w:vAlign w:val="center"/>
          </w:tcPr>
          <w:p w14:paraId="5CC0BB72" w14:textId="77777777" w:rsidR="000B173B" w:rsidRPr="002A5710" w:rsidRDefault="000B173B" w:rsidP="00A15226">
            <w:pPr>
              <w:pStyle w:val="Tabletext"/>
              <w:rPr>
                <w:szCs w:val="18"/>
              </w:rPr>
            </w:pPr>
            <w:r w:rsidRPr="002A5710">
              <w:rPr>
                <w:szCs w:val="18"/>
              </w:rPr>
              <w:t>Southern Royal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8E3EFB6"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0B6FF728"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1696B6F"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44B5A1E"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79CCEDBD" w14:textId="77777777" w:rsidR="000B173B" w:rsidRPr="002A5710" w:rsidRDefault="000B173B" w:rsidP="00A15226">
            <w:pPr>
              <w:pStyle w:val="Tabletext"/>
              <w:rPr>
                <w:szCs w:val="18"/>
              </w:rPr>
            </w:pPr>
            <w:r w:rsidRPr="002A5710">
              <w:rPr>
                <w:szCs w:val="18"/>
              </w:rPr>
              <w:t>No individuals of the Southern Royal Albatross have been recorded within the Study Area. Given the absence of records of the species, it is unlikely the Study Area supports important habitat for the species.</w:t>
            </w:r>
          </w:p>
          <w:p w14:paraId="45C95862"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85070A8" w14:textId="77777777" w:rsidR="000B173B" w:rsidRPr="002A5710" w:rsidRDefault="000B173B" w:rsidP="00A15226">
            <w:pPr>
              <w:pStyle w:val="Tabletext"/>
              <w:rPr>
                <w:szCs w:val="18"/>
              </w:rPr>
            </w:pPr>
            <w:r w:rsidRPr="002A5710">
              <w:rPr>
                <w:szCs w:val="18"/>
              </w:rPr>
              <w:t>Category 2</w:t>
            </w:r>
          </w:p>
        </w:tc>
      </w:tr>
      <w:tr w:rsidR="000B173B" w:rsidRPr="002A5710" w14:paraId="77F900E0"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74CF416" w14:textId="77777777" w:rsidR="000B173B" w:rsidRPr="002A5710" w:rsidRDefault="000B173B" w:rsidP="00A15226">
            <w:pPr>
              <w:pStyle w:val="Tabletext"/>
              <w:rPr>
                <w:i/>
                <w:iCs/>
                <w:szCs w:val="18"/>
              </w:rPr>
            </w:pPr>
            <w:r w:rsidRPr="002A5710">
              <w:rPr>
                <w:i/>
                <w:iCs/>
                <w:szCs w:val="18"/>
              </w:rPr>
              <w:t>Diomedea exulans</w:t>
            </w:r>
          </w:p>
        </w:tc>
        <w:tc>
          <w:tcPr>
            <w:tcW w:w="447" w:type="pct"/>
            <w:tcBorders>
              <w:top w:val="single" w:sz="4" w:space="0" w:color="auto"/>
              <w:left w:val="single" w:sz="4" w:space="0" w:color="auto"/>
              <w:bottom w:val="single" w:sz="4" w:space="0" w:color="auto"/>
              <w:right w:val="single" w:sz="4" w:space="0" w:color="auto"/>
            </w:tcBorders>
            <w:vAlign w:val="center"/>
          </w:tcPr>
          <w:p w14:paraId="0E3CDD64" w14:textId="77777777" w:rsidR="000B173B" w:rsidRPr="002A5710" w:rsidRDefault="000B173B" w:rsidP="00A15226">
            <w:pPr>
              <w:pStyle w:val="Tabletext"/>
              <w:rPr>
                <w:szCs w:val="18"/>
              </w:rPr>
            </w:pPr>
            <w:r w:rsidRPr="002A5710">
              <w:rPr>
                <w:szCs w:val="18"/>
              </w:rPr>
              <w:t>Wandering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5006004C"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11463B94"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E6859AF"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14455BE7"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43E371C7" w14:textId="77777777" w:rsidR="000B173B" w:rsidRPr="002A5710" w:rsidRDefault="000B173B" w:rsidP="00A15226">
            <w:pPr>
              <w:pStyle w:val="Tabletext"/>
              <w:rPr>
                <w:szCs w:val="18"/>
              </w:rPr>
            </w:pPr>
            <w:r w:rsidRPr="002A5710">
              <w:rPr>
                <w:szCs w:val="18"/>
              </w:rPr>
              <w:t xml:space="preserve">16 individuals of the Wandering Albatross have been recorded within the Study Area, which is below the threshold of an ecologically significant proportion of the species (201 individuals) </w:t>
            </w:r>
            <w:sdt>
              <w:sdtPr>
                <w:rPr>
                  <w:color w:val="000000"/>
                  <w:szCs w:val="18"/>
                </w:rPr>
                <w:tag w:val="MENDELEY_CITATION_v3_eyJjaXRhdGlvbklEIjoiTUVOREVMRVlfQ0lUQVRJT05fZmIwMjlkYzAtNjkxZC00ZjZhLTgxYzMtMjIyMmU5NjEzMTVk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1046295625"/>
                <w:placeholder>
                  <w:docPart w:val="339B7D746526864D922760336FCFE603"/>
                </w:placeholder>
              </w:sdtPr>
              <w:sdtEndPr>
                <w:rPr>
                  <w:szCs w:val="20"/>
                </w:rPr>
              </w:sdtEndPr>
              <w:sdtContent>
                <w:r w:rsidRPr="008F2762">
                  <w:rPr>
                    <w:color w:val="000000"/>
                  </w:rPr>
                  <w:t>(Birdlife International, 2022)</w:t>
                </w:r>
              </w:sdtContent>
            </w:sdt>
            <w:r w:rsidRPr="002A5710">
              <w:rPr>
                <w:szCs w:val="18"/>
              </w:rPr>
              <w:t>.</w:t>
            </w:r>
          </w:p>
          <w:p w14:paraId="0790B65D" w14:textId="77777777" w:rsidR="000B173B" w:rsidRPr="002A5710" w:rsidRDefault="000B173B" w:rsidP="00A15226">
            <w:pPr>
              <w:pStyle w:val="Tabletext"/>
              <w:rPr>
                <w:szCs w:val="18"/>
              </w:rPr>
            </w:pPr>
            <w:r w:rsidRPr="002A5710">
              <w:rPr>
                <w:szCs w:val="18"/>
              </w:rPr>
              <w:t xml:space="preserve">The species is a wide-ranging marine species which breeds on a number </w:t>
            </w:r>
            <w:r>
              <w:rPr>
                <w:szCs w:val="18"/>
              </w:rPr>
              <w:t xml:space="preserve">of </w:t>
            </w:r>
            <w:r w:rsidRPr="002A5710">
              <w:rPr>
                <w:szCs w:val="18"/>
              </w:rPr>
              <w:t xml:space="preserve">subantarctic islands. It feeds mainly in pelagic, offshore and inshore waters, feeding mainly on squid and fish, but also crustaceans and carrion </w:t>
            </w:r>
            <w:sdt>
              <w:sdtPr>
                <w:rPr>
                  <w:color w:val="000000"/>
                  <w:szCs w:val="18"/>
                </w:rPr>
                <w:tag w:val="MENDELEY_CITATION_v3_eyJjaXRhdGlvbklEIjoiTUVOREVMRVlfQ0lUQVRJT05fMDhiMjY5OGEtNTRkNy00NzM5LWIyMDctZjQ3YzQyOTBjODl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561290393"/>
                <w:placeholder>
                  <w:docPart w:val="339B7D746526864D922760336FCFE603"/>
                </w:placeholder>
              </w:sdtPr>
              <w:sdtEndPr>
                <w:rPr>
                  <w:szCs w:val="20"/>
                </w:rPr>
              </w:sdtEndPr>
              <w:sdtContent>
                <w:r w:rsidRPr="008F2762">
                  <w:rPr>
                    <w:color w:val="000000"/>
                  </w:rPr>
                  <w:t>(DCCEEW, 2022)</w:t>
                </w:r>
              </w:sdtContent>
            </w:sdt>
            <w:r w:rsidRPr="002A5710">
              <w:rPr>
                <w:szCs w:val="18"/>
              </w:rPr>
              <w:t>.</w:t>
            </w:r>
          </w:p>
          <w:p w14:paraId="55B0C3CF" w14:textId="77777777" w:rsidR="000B173B" w:rsidRPr="002A5710" w:rsidRDefault="000B173B" w:rsidP="00A15226">
            <w:pPr>
              <w:pStyle w:val="Tabletext"/>
              <w:rPr>
                <w:szCs w:val="18"/>
              </w:rPr>
            </w:pPr>
            <w:r w:rsidRPr="002A5710">
              <w:rPr>
                <w:szCs w:val="18"/>
              </w:rPr>
              <w:t>Given the small number of records and the species’ ecological characteristics, it is unlikely that the Study Area supports important habitat for this species.</w:t>
            </w:r>
          </w:p>
          <w:p w14:paraId="7954B49D"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A1D1C3" w14:textId="77777777" w:rsidR="000B173B" w:rsidRPr="002A5710" w:rsidRDefault="000B173B" w:rsidP="00A15226">
            <w:pPr>
              <w:pStyle w:val="Tabletext"/>
              <w:rPr>
                <w:szCs w:val="18"/>
              </w:rPr>
            </w:pPr>
            <w:r w:rsidRPr="002A5710">
              <w:rPr>
                <w:szCs w:val="18"/>
              </w:rPr>
              <w:t>Category 2</w:t>
            </w:r>
          </w:p>
        </w:tc>
      </w:tr>
      <w:tr w:rsidR="000B173B" w:rsidRPr="002A5710" w14:paraId="10FEC340"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6A385D1" w14:textId="77777777" w:rsidR="000B173B" w:rsidRPr="002A5710" w:rsidRDefault="000B173B" w:rsidP="00A15226">
            <w:pPr>
              <w:pStyle w:val="Tabletext"/>
              <w:rPr>
                <w:i/>
                <w:iCs/>
                <w:szCs w:val="18"/>
              </w:rPr>
            </w:pPr>
            <w:r w:rsidRPr="002A5710">
              <w:rPr>
                <w:i/>
                <w:iCs/>
                <w:szCs w:val="18"/>
              </w:rPr>
              <w:t>Diomedea sanfordi</w:t>
            </w:r>
          </w:p>
        </w:tc>
        <w:tc>
          <w:tcPr>
            <w:tcW w:w="447" w:type="pct"/>
            <w:tcBorders>
              <w:top w:val="single" w:sz="4" w:space="0" w:color="auto"/>
              <w:left w:val="single" w:sz="4" w:space="0" w:color="auto"/>
              <w:bottom w:val="single" w:sz="4" w:space="0" w:color="auto"/>
              <w:right w:val="single" w:sz="4" w:space="0" w:color="auto"/>
            </w:tcBorders>
            <w:vAlign w:val="center"/>
          </w:tcPr>
          <w:p w14:paraId="6A5160BD" w14:textId="77777777" w:rsidR="000B173B" w:rsidRPr="002A5710" w:rsidRDefault="000B173B" w:rsidP="00A15226">
            <w:pPr>
              <w:pStyle w:val="Tabletext"/>
              <w:rPr>
                <w:szCs w:val="18"/>
              </w:rPr>
            </w:pPr>
            <w:r w:rsidRPr="002A5710">
              <w:rPr>
                <w:szCs w:val="18"/>
              </w:rPr>
              <w:t>Northern Royal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4EF92D3E" w14:textId="77777777" w:rsidR="000B173B" w:rsidRPr="002A5710" w:rsidRDefault="000B173B" w:rsidP="00A15226">
            <w:pPr>
              <w:pStyle w:val="Tabletext"/>
              <w:rPr>
                <w:szCs w:val="18"/>
              </w:rPr>
            </w:pPr>
            <w:r w:rsidRPr="002A5710">
              <w:rPr>
                <w:szCs w:val="18"/>
              </w:rPr>
              <w:t>E, Mig, B</w:t>
            </w:r>
          </w:p>
        </w:tc>
        <w:tc>
          <w:tcPr>
            <w:tcW w:w="495" w:type="pct"/>
            <w:tcBorders>
              <w:top w:val="single" w:sz="4" w:space="0" w:color="auto"/>
              <w:left w:val="single" w:sz="4" w:space="0" w:color="auto"/>
              <w:bottom w:val="single" w:sz="4" w:space="0" w:color="auto"/>
              <w:right w:val="single" w:sz="4" w:space="0" w:color="auto"/>
            </w:tcBorders>
            <w:vAlign w:val="center"/>
          </w:tcPr>
          <w:p w14:paraId="484983A8"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74C9F98"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19362B5"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E3EA772" w14:textId="77777777" w:rsidR="000B173B" w:rsidRPr="002A5710" w:rsidRDefault="000B173B" w:rsidP="00A15226">
            <w:pPr>
              <w:pStyle w:val="Tabletext"/>
              <w:rPr>
                <w:szCs w:val="18"/>
              </w:rPr>
            </w:pPr>
            <w:r w:rsidRPr="002A5710">
              <w:rPr>
                <w:szCs w:val="18"/>
              </w:rPr>
              <w:t>No individuals of the Northern Royal Albatross have been recorded within the Study Area. Given the absence of records of the species, it is unlikely the Study Area supports important habitat for the species.</w:t>
            </w:r>
          </w:p>
          <w:p w14:paraId="74AABD9E"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5394451" w14:textId="77777777" w:rsidR="000B173B" w:rsidRPr="002A5710" w:rsidRDefault="000B173B" w:rsidP="00A15226">
            <w:pPr>
              <w:pStyle w:val="Tabletext"/>
              <w:rPr>
                <w:szCs w:val="18"/>
              </w:rPr>
            </w:pPr>
            <w:r w:rsidRPr="002A5710">
              <w:rPr>
                <w:szCs w:val="18"/>
              </w:rPr>
              <w:t>Category 2</w:t>
            </w:r>
          </w:p>
        </w:tc>
      </w:tr>
      <w:tr w:rsidR="000B173B" w:rsidRPr="002A5710" w14:paraId="2F1E3165"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8953057" w14:textId="77777777" w:rsidR="000B173B" w:rsidRPr="002A5710" w:rsidRDefault="000B173B" w:rsidP="00A15226">
            <w:pPr>
              <w:pStyle w:val="Tabletext"/>
              <w:rPr>
                <w:i/>
                <w:iCs/>
                <w:szCs w:val="18"/>
              </w:rPr>
            </w:pPr>
            <w:r w:rsidRPr="002A5710">
              <w:rPr>
                <w:i/>
                <w:iCs/>
                <w:szCs w:val="18"/>
              </w:rPr>
              <w:t>Gallinago hardwickii</w:t>
            </w:r>
          </w:p>
        </w:tc>
        <w:tc>
          <w:tcPr>
            <w:tcW w:w="447" w:type="pct"/>
            <w:tcBorders>
              <w:top w:val="single" w:sz="4" w:space="0" w:color="auto"/>
              <w:left w:val="single" w:sz="4" w:space="0" w:color="auto"/>
              <w:bottom w:val="single" w:sz="4" w:space="0" w:color="auto"/>
              <w:right w:val="single" w:sz="4" w:space="0" w:color="auto"/>
            </w:tcBorders>
            <w:vAlign w:val="center"/>
          </w:tcPr>
          <w:p w14:paraId="2E6C3506" w14:textId="77777777" w:rsidR="000B173B" w:rsidRPr="002A5710" w:rsidRDefault="000B173B" w:rsidP="00A15226">
            <w:pPr>
              <w:pStyle w:val="Tabletext"/>
              <w:rPr>
                <w:szCs w:val="18"/>
              </w:rPr>
            </w:pPr>
            <w:r w:rsidRPr="002A5710">
              <w:rPr>
                <w:szCs w:val="18"/>
              </w:rPr>
              <w:t>Latham's Snipe, Japanese Snipe</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83B0299" w14:textId="77777777" w:rsidR="000B173B" w:rsidRPr="002A5710" w:rsidRDefault="000B173B" w:rsidP="00A15226">
            <w:pPr>
              <w:pStyle w:val="Tabletext"/>
              <w:rPr>
                <w:szCs w:val="18"/>
              </w:rPr>
            </w:pPr>
            <w:r w:rsidRPr="002A5710">
              <w:rPr>
                <w:szCs w:val="18"/>
              </w:rPr>
              <w:t>Mig, B, J, K, FPAL</w:t>
            </w:r>
          </w:p>
        </w:tc>
        <w:tc>
          <w:tcPr>
            <w:tcW w:w="495" w:type="pct"/>
            <w:tcBorders>
              <w:top w:val="single" w:sz="4" w:space="0" w:color="auto"/>
              <w:left w:val="single" w:sz="4" w:space="0" w:color="auto"/>
              <w:bottom w:val="single" w:sz="4" w:space="0" w:color="auto"/>
              <w:right w:val="single" w:sz="4" w:space="0" w:color="auto"/>
            </w:tcBorders>
            <w:vAlign w:val="center"/>
          </w:tcPr>
          <w:p w14:paraId="5ADF4BC5"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ZTYyMjFmYTMtYjdkYi00MjA3LTk3ZTAtNzU1ODQ2MzFjNWJm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657883954"/>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36ABA81"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7081BCF4"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3C3AD188" w14:textId="77777777" w:rsidR="000B173B" w:rsidRPr="002A5710" w:rsidRDefault="000B173B" w:rsidP="00A15226">
            <w:pPr>
              <w:pStyle w:val="Tabletext"/>
              <w:rPr>
                <w:szCs w:val="18"/>
              </w:rPr>
            </w:pPr>
            <w:r w:rsidRPr="002A5710">
              <w:rPr>
                <w:szCs w:val="18"/>
              </w:rPr>
              <w:t xml:space="preserve">940 individuals of the Latham’s Snipe have been recorded within the Study Area within the past 5 years, which is above the threshold of an ecologically significant proportion of the species (18 individuals within the last 5 years) </w:t>
            </w:r>
            <w:sdt>
              <w:sdtPr>
                <w:rPr>
                  <w:szCs w:val="18"/>
                </w:rPr>
                <w:tag w:val="MENDELEY_CITATION_v3_eyJjaXRhdGlvbklEIjoiTUVOREVMRVlfQ0lUQVRJT05fZGYwOGQyZDgtODhjZC00YThkLThiMTAtZTkwZjJjNDdlYTM4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993948057"/>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37850FAB" w14:textId="77777777" w:rsidR="000B173B" w:rsidRPr="002A5710" w:rsidRDefault="000B173B" w:rsidP="00A15226">
            <w:pPr>
              <w:pStyle w:val="Tabletext"/>
              <w:rPr>
                <w:szCs w:val="18"/>
              </w:rPr>
            </w:pPr>
            <w:r w:rsidRPr="002A5710">
              <w:rPr>
                <w:szCs w:val="18"/>
              </w:rPr>
              <w:t>The majority of these individuals (over 580 individuals) occur either within the downstream reaches of the Barwon River or within the Lake Connewarre wetland complex. These localities are downstream of the WGGA and have potential to be impacted under the Plan.</w:t>
            </w:r>
          </w:p>
          <w:p w14:paraId="06B6F4FB" w14:textId="77777777" w:rsidR="000B173B" w:rsidRPr="002A5710" w:rsidRDefault="000B173B" w:rsidP="00A15226">
            <w:pPr>
              <w:pStyle w:val="Tabletext"/>
              <w:rPr>
                <w:szCs w:val="18"/>
              </w:rPr>
            </w:pPr>
            <w:r w:rsidRPr="002A5710">
              <w:rPr>
                <w:szCs w:val="18"/>
              </w:rPr>
              <w:t>One of the recent individuals occurs within the Strategic Assessment Area adjacent to Cowies Creek, approximately 600 m east of the boundary of WGGA. This locality is downstream of both Growth Areas and has potential to be impacted by the Plan.</w:t>
            </w:r>
          </w:p>
          <w:p w14:paraId="33E0FD34" w14:textId="77777777" w:rsidR="000B173B" w:rsidRPr="002A5710" w:rsidRDefault="000B173B" w:rsidP="00A15226">
            <w:pPr>
              <w:pStyle w:val="Tabletext"/>
              <w:rPr>
                <w:szCs w:val="18"/>
              </w:rPr>
            </w:pPr>
            <w:r w:rsidRPr="002A5710">
              <w:rPr>
                <w:szCs w:val="18"/>
              </w:rPr>
              <w:lastRenderedPageBreak/>
              <w:t>Further, a small number of recent individuals have been recorded in proximity to Limeburners Lagoon, slightly upstream of the Lagoon. While the habitat in the location of the records themselves will not be impacted by the Plan, it is noted that Limeburners Lagoon is downstream of sections of the NGGA and therefore may be impacted by the Plan. Further, when date filters are removed, records of the Latham’s Snipe are identified to occur within Limeburners Lagoon (the most recent record occurring in 1990). It is considered possible that the Latham’s Snipe may utilise this habitat, based on proximity of recent records, and presence of historical records.</w:t>
            </w:r>
          </w:p>
          <w:p w14:paraId="595E7A52" w14:textId="77777777" w:rsidR="000B173B" w:rsidRPr="002A5710" w:rsidRDefault="000B173B" w:rsidP="00A15226">
            <w:pPr>
              <w:pStyle w:val="Tabletext"/>
              <w:rPr>
                <w:szCs w:val="18"/>
              </w:rPr>
            </w:pPr>
            <w:r w:rsidRPr="002A5710">
              <w:rPr>
                <w:szCs w:val="18"/>
              </w:rPr>
              <w:t>Otherwise, the majority of remaining individuals occur along the northern coastline of Port Phillip Bay, adjacent to The Spit Wildlife Reserve. This area will not be impacted by the Plan as it is not located downstream of the Strategic Assessment Area.</w:t>
            </w:r>
          </w:p>
          <w:p w14:paraId="1887921B" w14:textId="77777777" w:rsidR="000B173B" w:rsidRPr="002A5710" w:rsidRDefault="000B173B" w:rsidP="00A15226">
            <w:pPr>
              <w:pStyle w:val="Tabletext"/>
              <w:rPr>
                <w:szCs w:val="18"/>
              </w:rPr>
            </w:pPr>
            <w:r w:rsidRPr="002A5710">
              <w:rPr>
                <w:szCs w:val="18"/>
              </w:rPr>
              <w:t>A small number of records also occur in the southern area of the Study Area along Thompson Creek and adjacent to Merrigig Creek. Some records also occur near the Moolap locality. These areas will not be impacted by the Plan as they are not located downstream of the Strategic Assessment Area.</w:t>
            </w:r>
          </w:p>
          <w:p w14:paraId="23FCC205" w14:textId="77777777" w:rsidR="000B173B" w:rsidRPr="002A5710" w:rsidRDefault="000B173B" w:rsidP="00A15226">
            <w:pPr>
              <w:pStyle w:val="Tabletext"/>
              <w:rPr>
                <w:szCs w:val="18"/>
              </w:rPr>
            </w:pPr>
            <w:r w:rsidRPr="002A5710">
              <w:rPr>
                <w:szCs w:val="18"/>
              </w:rPr>
              <w:t xml:space="preserve">Important habitat for the Latham’s Snipe has been mapped by Birdlife Australia within the Study Area in the following localities </w:t>
            </w:r>
            <w:sdt>
              <w:sdtPr>
                <w:rPr>
                  <w:szCs w:val="18"/>
                </w:rPr>
                <w:tag w:val="MENDELEY_CITATION_v3_eyJjaXRhdGlvbklEIjoiTUVOREVMRVlfQ0lUQVRJT05fMGEwOWE4ZjktNzY1Ny00MzJlLTk5NGEtZDQ1NDI3NGEzYWYx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241996420"/>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32ABF3BD" w14:textId="77777777" w:rsidR="000B173B" w:rsidRPr="002A5710" w:rsidRDefault="000B173B" w:rsidP="00A15226">
            <w:pPr>
              <w:pStyle w:val="Bullet1"/>
              <w:rPr>
                <w:szCs w:val="18"/>
              </w:rPr>
            </w:pPr>
            <w:r w:rsidRPr="002A5710">
              <w:rPr>
                <w:szCs w:val="18"/>
              </w:rPr>
              <w:t>Lake Connewarre and Barwon River Estuary IBA</w:t>
            </w:r>
          </w:p>
          <w:p w14:paraId="09B25CCD" w14:textId="77777777" w:rsidR="000B173B" w:rsidRPr="002A5710" w:rsidRDefault="000B173B" w:rsidP="00A15226">
            <w:pPr>
              <w:pStyle w:val="Bullet1"/>
              <w:rPr>
                <w:szCs w:val="18"/>
              </w:rPr>
            </w:pPr>
            <w:r w:rsidRPr="002A5710">
              <w:rPr>
                <w:szCs w:val="18"/>
              </w:rPr>
              <w:t>Moolap IBA</w:t>
            </w:r>
          </w:p>
          <w:p w14:paraId="1A9ECE5C" w14:textId="77777777" w:rsidR="000B173B" w:rsidRPr="002A5710" w:rsidRDefault="000B173B" w:rsidP="00A15226">
            <w:pPr>
              <w:pStyle w:val="Tabletext"/>
              <w:rPr>
                <w:szCs w:val="18"/>
              </w:rPr>
            </w:pPr>
            <w:r w:rsidRPr="002A5710">
              <w:rPr>
                <w:szCs w:val="18"/>
              </w:rPr>
              <w:t>The Lake Connewarre and Barwon River Estuary IBA has potential to be impacted by the Plan as this site is downstream from the WGGA.</w:t>
            </w:r>
          </w:p>
          <w:p w14:paraId="595F6780" w14:textId="77777777" w:rsidR="000B173B" w:rsidRPr="002A5710" w:rsidRDefault="000B173B" w:rsidP="00A15226">
            <w:pPr>
              <w:pStyle w:val="Tabletext"/>
              <w:rPr>
                <w:szCs w:val="18"/>
              </w:rPr>
            </w:pPr>
            <w:r w:rsidRPr="002A5710">
              <w:rPr>
                <w:szCs w:val="18"/>
              </w:rPr>
              <w:t>The Moolap IBA will not be impacted by the Plan as it is not located downstream of the Strategic Assessment Area.</w:t>
            </w:r>
            <w:r>
              <w:rPr>
                <w:szCs w:val="18"/>
              </w:rPr>
              <w:t xml:space="preserve"> </w:t>
            </w:r>
            <w:r>
              <w:t>Refer to Chapter 23 of Part 4 for the detailed impact assessment of the Latham’s Snipe.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128FAA" w14:textId="77777777" w:rsidR="000B173B" w:rsidRPr="002A5710" w:rsidRDefault="000B173B" w:rsidP="00A15226">
            <w:pPr>
              <w:pStyle w:val="Tabletext"/>
              <w:rPr>
                <w:szCs w:val="18"/>
              </w:rPr>
            </w:pPr>
            <w:r w:rsidRPr="002A5710">
              <w:rPr>
                <w:szCs w:val="18"/>
              </w:rPr>
              <w:lastRenderedPageBreak/>
              <w:t>Category 1</w:t>
            </w:r>
          </w:p>
        </w:tc>
      </w:tr>
      <w:tr w:rsidR="000B173B" w:rsidRPr="002A5710" w14:paraId="5830DA99"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459B1DB" w14:textId="77777777" w:rsidR="000B173B" w:rsidRPr="002A5710" w:rsidRDefault="000B173B" w:rsidP="00A15226">
            <w:pPr>
              <w:pStyle w:val="Tabletext"/>
              <w:rPr>
                <w:i/>
                <w:iCs/>
                <w:szCs w:val="18"/>
              </w:rPr>
            </w:pPr>
            <w:r w:rsidRPr="002A5710">
              <w:rPr>
                <w:i/>
                <w:iCs/>
                <w:szCs w:val="18"/>
              </w:rPr>
              <w:t>Gallinago megala</w:t>
            </w:r>
          </w:p>
        </w:tc>
        <w:tc>
          <w:tcPr>
            <w:tcW w:w="447" w:type="pct"/>
            <w:tcBorders>
              <w:top w:val="single" w:sz="4" w:space="0" w:color="auto"/>
              <w:left w:val="single" w:sz="4" w:space="0" w:color="auto"/>
              <w:bottom w:val="single" w:sz="4" w:space="0" w:color="auto"/>
              <w:right w:val="single" w:sz="4" w:space="0" w:color="auto"/>
            </w:tcBorders>
            <w:vAlign w:val="center"/>
          </w:tcPr>
          <w:p w14:paraId="7008E0F1" w14:textId="77777777" w:rsidR="000B173B" w:rsidRPr="002A5710" w:rsidRDefault="000B173B" w:rsidP="00A15226">
            <w:pPr>
              <w:pStyle w:val="Tabletext"/>
              <w:rPr>
                <w:szCs w:val="18"/>
              </w:rPr>
            </w:pPr>
            <w:r w:rsidRPr="002A5710">
              <w:rPr>
                <w:szCs w:val="18"/>
              </w:rPr>
              <w:t>Swinhoe's Snipe</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FAA7B35"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6A456B41"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NjMxNjEzMDUtZmMzZC00ZjE0LWIzMWMtMGUxNzUzNmYxYWI1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801448707"/>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4309600"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6F73B5D"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5AD55EB" w14:textId="77777777" w:rsidR="000B173B" w:rsidRPr="002A5710" w:rsidRDefault="000B173B" w:rsidP="00A15226">
            <w:pPr>
              <w:pStyle w:val="Tabletext"/>
              <w:rPr>
                <w:szCs w:val="18"/>
              </w:rPr>
            </w:pPr>
            <w:r w:rsidRPr="002A5710">
              <w:rPr>
                <w:szCs w:val="18"/>
              </w:rPr>
              <w:t xml:space="preserve">No individuals of the Swinhoe’s Snipe have been recorded within the Study Area within the past 5 years, which is below the threshold of an ecologically significant proportion of the species (40 individuals within the last 5 years) </w:t>
            </w:r>
            <w:sdt>
              <w:sdtPr>
                <w:rPr>
                  <w:szCs w:val="18"/>
                </w:rPr>
                <w:tag w:val="MENDELEY_CITATION_v3_eyJjaXRhdGlvbklEIjoiTUVOREVMRVlfQ0lUQVRJT05fY2E5MDY0ZjgtM2E3Ny00NzhiLWEzMWMtOTg3Nzc5NGY0Nzk1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21854084"/>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45C6113B" w14:textId="77777777" w:rsidR="000B173B" w:rsidRPr="002A5710" w:rsidRDefault="000B173B" w:rsidP="00A15226">
            <w:pPr>
              <w:pStyle w:val="Tabletext"/>
              <w:rPr>
                <w:szCs w:val="18"/>
              </w:rPr>
            </w:pPr>
            <w:r w:rsidRPr="002A5710">
              <w:rPr>
                <w:szCs w:val="18"/>
              </w:rPr>
              <w:lastRenderedPageBreak/>
              <w:t xml:space="preserve">No important habitat for the Swinhoe’s Snipe has been mapped by Birdlife Australia within the Study Area </w:t>
            </w:r>
            <w:sdt>
              <w:sdtPr>
                <w:rPr>
                  <w:szCs w:val="18"/>
                </w:rPr>
                <w:tag w:val="MENDELEY_CITATION_v3_eyJjaXRhdGlvbklEIjoiTUVOREVMRVlfQ0lUQVRJT05fZDg4MGZhNzEtNGE0OC00ZWZkLWE5MGUtOGFjN2FhMTU0OGMy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466463481"/>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5A8FDDBF"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C3AD601"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44EF271D"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53F118C" w14:textId="77777777" w:rsidR="000B173B" w:rsidRPr="002A5710" w:rsidRDefault="000B173B" w:rsidP="00A15226">
            <w:pPr>
              <w:pStyle w:val="Tabletext"/>
              <w:rPr>
                <w:i/>
                <w:iCs/>
                <w:szCs w:val="18"/>
              </w:rPr>
            </w:pPr>
            <w:r w:rsidRPr="002A5710">
              <w:rPr>
                <w:i/>
                <w:iCs/>
                <w:szCs w:val="18"/>
              </w:rPr>
              <w:t>Gallinago stenura</w:t>
            </w:r>
          </w:p>
        </w:tc>
        <w:tc>
          <w:tcPr>
            <w:tcW w:w="447" w:type="pct"/>
            <w:tcBorders>
              <w:top w:val="single" w:sz="4" w:space="0" w:color="auto"/>
              <w:left w:val="single" w:sz="4" w:space="0" w:color="auto"/>
              <w:bottom w:val="single" w:sz="4" w:space="0" w:color="auto"/>
              <w:right w:val="single" w:sz="4" w:space="0" w:color="auto"/>
            </w:tcBorders>
            <w:vAlign w:val="center"/>
          </w:tcPr>
          <w:p w14:paraId="3F910C43" w14:textId="77777777" w:rsidR="000B173B" w:rsidRPr="002A5710" w:rsidRDefault="000B173B" w:rsidP="00A15226">
            <w:pPr>
              <w:pStyle w:val="Tabletext"/>
              <w:rPr>
                <w:szCs w:val="18"/>
              </w:rPr>
            </w:pPr>
            <w:r w:rsidRPr="002A5710">
              <w:rPr>
                <w:szCs w:val="18"/>
              </w:rPr>
              <w:t>Pin-tailed Snipe</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A904F77"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4D455C00"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GVhYTJjMjUtYTA0Ni00NmE5LWJlMTQtMTdhZDAwMTg0MGQ2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00746357"/>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8E748AF"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BDC55DD"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ED6D587" w14:textId="77777777" w:rsidR="000B173B" w:rsidRPr="002A5710" w:rsidRDefault="000B173B" w:rsidP="00A15226">
            <w:pPr>
              <w:pStyle w:val="Tabletext"/>
              <w:rPr>
                <w:szCs w:val="18"/>
              </w:rPr>
            </w:pPr>
            <w:r w:rsidRPr="002A5710">
              <w:rPr>
                <w:szCs w:val="18"/>
              </w:rPr>
              <w:t xml:space="preserve">No individuals of the Pin-tailed Snipe have been recorded within the Study Area within the past 5 years, which is below the threshold of an ecologically significant proportion of the species (170 individuals within the last 5 years) </w:t>
            </w:r>
            <w:sdt>
              <w:sdtPr>
                <w:rPr>
                  <w:szCs w:val="18"/>
                </w:rPr>
                <w:tag w:val="MENDELEY_CITATION_v3_eyJjaXRhdGlvbklEIjoiTUVOREVMRVlfQ0lUQVRJT05fZDhiMTRlMzktNDZiYy00OTc4LThkNTgtYmYzN2M4ZmM3NDU0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487065831"/>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02CA7882" w14:textId="77777777" w:rsidR="000B173B" w:rsidRPr="002A5710" w:rsidRDefault="000B173B" w:rsidP="00A15226">
            <w:pPr>
              <w:pStyle w:val="Tabletext"/>
              <w:rPr>
                <w:szCs w:val="18"/>
              </w:rPr>
            </w:pPr>
            <w:r w:rsidRPr="002A5710">
              <w:rPr>
                <w:szCs w:val="18"/>
              </w:rPr>
              <w:t xml:space="preserve">No important habitat for the Pin-tailed Snipe has been mapped by Birdlife Australia within the Study Area </w:t>
            </w:r>
            <w:sdt>
              <w:sdtPr>
                <w:rPr>
                  <w:szCs w:val="18"/>
                </w:rPr>
                <w:tag w:val="MENDELEY_CITATION_v3_eyJjaXRhdGlvbklEIjoiTUVOREVMRVlfQ0lUQVRJT05fMTQzZWNiMDYtMzg1NS00YjliLWExZDAtYzA1Njc2NjU2ZjM0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556391835"/>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2C7DCC40"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1116F7E" w14:textId="77777777" w:rsidR="000B173B" w:rsidRPr="002A5710" w:rsidRDefault="000B173B" w:rsidP="00A15226">
            <w:pPr>
              <w:pStyle w:val="Tabletext"/>
              <w:rPr>
                <w:szCs w:val="18"/>
              </w:rPr>
            </w:pPr>
            <w:r w:rsidRPr="002A5710">
              <w:rPr>
                <w:szCs w:val="18"/>
              </w:rPr>
              <w:t>Category 2</w:t>
            </w:r>
          </w:p>
        </w:tc>
      </w:tr>
      <w:tr w:rsidR="000B173B" w:rsidRPr="002A5710" w14:paraId="06B99EB5"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5BC646B" w14:textId="77777777" w:rsidR="000B173B" w:rsidRPr="002A5710" w:rsidRDefault="000B173B" w:rsidP="00A15226">
            <w:pPr>
              <w:pStyle w:val="Tabletext"/>
              <w:rPr>
                <w:i/>
                <w:iCs/>
                <w:szCs w:val="18"/>
              </w:rPr>
            </w:pPr>
            <w:r w:rsidRPr="002A5710">
              <w:rPr>
                <w:i/>
                <w:iCs/>
                <w:szCs w:val="18"/>
              </w:rPr>
              <w:t>Hirundapus caudacutus</w:t>
            </w:r>
          </w:p>
        </w:tc>
        <w:tc>
          <w:tcPr>
            <w:tcW w:w="447" w:type="pct"/>
            <w:tcBorders>
              <w:top w:val="single" w:sz="4" w:space="0" w:color="auto"/>
              <w:left w:val="single" w:sz="4" w:space="0" w:color="auto"/>
              <w:bottom w:val="single" w:sz="4" w:space="0" w:color="auto"/>
              <w:right w:val="single" w:sz="4" w:space="0" w:color="auto"/>
            </w:tcBorders>
            <w:vAlign w:val="center"/>
          </w:tcPr>
          <w:p w14:paraId="47653164" w14:textId="77777777" w:rsidR="000B173B" w:rsidRPr="002A5710" w:rsidRDefault="000B173B" w:rsidP="00A15226">
            <w:pPr>
              <w:pStyle w:val="Tabletext"/>
              <w:rPr>
                <w:szCs w:val="18"/>
              </w:rPr>
            </w:pPr>
            <w:r w:rsidRPr="002A5710">
              <w:rPr>
                <w:szCs w:val="18"/>
              </w:rPr>
              <w:t>White-throated Needletail</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0249EF9" w14:textId="77777777" w:rsidR="000B173B" w:rsidRPr="002A5710" w:rsidRDefault="000B173B" w:rsidP="00A15226">
            <w:pPr>
              <w:pStyle w:val="Tabletext"/>
              <w:rPr>
                <w:szCs w:val="18"/>
              </w:rPr>
            </w:pPr>
            <w:r w:rsidRPr="002A5710">
              <w:rPr>
                <w:szCs w:val="18"/>
              </w:rPr>
              <w:t>V, Mig, C, J, K</w:t>
            </w:r>
          </w:p>
        </w:tc>
        <w:tc>
          <w:tcPr>
            <w:tcW w:w="495" w:type="pct"/>
            <w:tcBorders>
              <w:top w:val="single" w:sz="4" w:space="0" w:color="auto"/>
              <w:left w:val="single" w:sz="4" w:space="0" w:color="auto"/>
              <w:bottom w:val="single" w:sz="4" w:space="0" w:color="auto"/>
              <w:right w:val="single" w:sz="4" w:space="0" w:color="auto"/>
            </w:tcBorders>
            <w:vAlign w:val="center"/>
          </w:tcPr>
          <w:p w14:paraId="67F38188" w14:textId="77777777" w:rsidR="000B173B" w:rsidRPr="002A5710" w:rsidRDefault="000B173B" w:rsidP="00A15226">
            <w:pPr>
              <w:pStyle w:val="Tabletext"/>
              <w:rPr>
                <w:szCs w:val="18"/>
              </w:rPr>
            </w:pPr>
            <w:r w:rsidRPr="002A5710">
              <w:rPr>
                <w:szCs w:val="18"/>
              </w:rPr>
              <w:t xml:space="preserve">Draft referral guidelines for 14 migratory birds </w:t>
            </w:r>
            <w:sdt>
              <w:sdtPr>
                <w:rPr>
                  <w:color w:val="000000"/>
                  <w:szCs w:val="18"/>
                </w:rPr>
                <w:tag w:val="MENDELEY_CITATION_v3_eyJjaXRhdGlvbklEIjoiTUVOREVMRVlfQ0lUQVRJT05fMzQ1ZmViYjMtYzEwNy00ZWFlLTg1N2EtNDkxODVlNDM5ZTU5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03271051"/>
                <w:placeholder>
                  <w:docPart w:val="339B7D746526864D922760336FCFE603"/>
                </w:placeholder>
              </w:sdtPr>
              <w:sdtEndPr>
                <w:rPr>
                  <w:szCs w:val="20"/>
                </w:rPr>
              </w:sdtEndPr>
              <w:sdtContent>
                <w:r w:rsidRPr="008F2762">
                  <w:rPr>
                    <w:color w:val="000000"/>
                  </w:rPr>
                  <w:t>(DoE, 2015c)</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3BD3EC3"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E1D7817"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1B94B524" w14:textId="77777777" w:rsidR="000B173B" w:rsidRPr="002A5710" w:rsidRDefault="000B173B" w:rsidP="00A15226">
            <w:pPr>
              <w:pStyle w:val="Tabletext"/>
              <w:rPr>
                <w:szCs w:val="18"/>
              </w:rPr>
            </w:pPr>
            <w:r w:rsidRPr="002A5710">
              <w:rPr>
                <w:szCs w:val="18"/>
              </w:rPr>
              <w:t xml:space="preserve">745 individuals of the White-throated Needletail have been recorded within the Study Area, which is above the threshold of an ecologically significant proportion of the species (10 individuals) </w:t>
            </w:r>
            <w:sdt>
              <w:sdtPr>
                <w:rPr>
                  <w:color w:val="000000"/>
                  <w:szCs w:val="18"/>
                </w:rPr>
                <w:tag w:val="MENDELEY_CITATION_v3_eyJjaXRhdGlvbklEIjoiTUVOREVMRVlfQ0lUQVRJT05fMDI3NGU5MWYtMTU5Mi00YzljLWI5ZDQtYTI5OTM3ZjE5MWVm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687366999"/>
                <w:placeholder>
                  <w:docPart w:val="339B7D746526864D922760336FCFE603"/>
                </w:placeholder>
              </w:sdtPr>
              <w:sdtEndPr>
                <w:rPr>
                  <w:szCs w:val="20"/>
                </w:rPr>
              </w:sdtEndPr>
              <w:sdtContent>
                <w:r w:rsidRPr="008F2762">
                  <w:rPr>
                    <w:color w:val="000000"/>
                  </w:rPr>
                  <w:t>(DoE, 2015c)</w:t>
                </w:r>
              </w:sdtContent>
            </w:sdt>
            <w:r w:rsidRPr="002A5710">
              <w:rPr>
                <w:szCs w:val="18"/>
              </w:rPr>
              <w:t xml:space="preserve">. </w:t>
            </w:r>
          </w:p>
          <w:p w14:paraId="32F5F50E" w14:textId="77777777" w:rsidR="000B173B" w:rsidRPr="002A5710" w:rsidRDefault="000B173B" w:rsidP="00A15226">
            <w:pPr>
              <w:pStyle w:val="Tabletext"/>
              <w:rPr>
                <w:szCs w:val="18"/>
              </w:rPr>
            </w:pPr>
            <w:r w:rsidRPr="002A5710">
              <w:rPr>
                <w:szCs w:val="18"/>
              </w:rPr>
              <w:t>Records range in age from 1800 through to 2019. From 1990 to onwards, 670 individuals have been recorded within the Study Area.</w:t>
            </w:r>
          </w:p>
          <w:p w14:paraId="20C6DECC" w14:textId="77777777" w:rsidR="000B173B" w:rsidRPr="002A5710" w:rsidRDefault="000B173B" w:rsidP="00A15226">
            <w:pPr>
              <w:pStyle w:val="Tabletext"/>
              <w:rPr>
                <w:szCs w:val="18"/>
              </w:rPr>
            </w:pPr>
            <w:r w:rsidRPr="002A5710">
              <w:rPr>
                <w:szCs w:val="18"/>
              </w:rPr>
              <w:t>Records occur scattered throughout the Study Area, with slightly higher densities of records occurring within Geelong, You Yangs Regional Park, and within Brisbane Ranges National Park. The majority of records within You Yangs Regional Park, and within Brisbane Ranges National Park occur prior to 1990.</w:t>
            </w:r>
          </w:p>
          <w:p w14:paraId="085E013E" w14:textId="77777777" w:rsidR="000B173B" w:rsidRPr="002A5710" w:rsidRDefault="000B173B" w:rsidP="00A15226">
            <w:pPr>
              <w:pStyle w:val="Tabletext"/>
              <w:rPr>
                <w:szCs w:val="18"/>
              </w:rPr>
            </w:pPr>
            <w:r w:rsidRPr="002A5710">
              <w:rPr>
                <w:szCs w:val="18"/>
              </w:rPr>
              <w:t xml:space="preserve">The species has a widespread distribution in eastern and south-eastern Australia, occurring in all coastal regions of Queensland and NSW, and extending inland to the western slopes of the Great Dividing Range. In Victoria, the species is widespread, with most records occurring on or south of the Great Dividing Range, with few records in western Victoria. It is also widespread in Tasmania </w:t>
            </w:r>
            <w:sdt>
              <w:sdtPr>
                <w:rPr>
                  <w:color w:val="000000"/>
                  <w:szCs w:val="18"/>
                </w:rPr>
                <w:tag w:val="MENDELEY_CITATION_v3_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"/>
                <w:id w:val="-2012279357"/>
                <w:placeholder>
                  <w:docPart w:val="339B7D746526864D922760336FCFE603"/>
                </w:placeholder>
              </w:sdtPr>
              <w:sdtEndPr>
                <w:rPr>
                  <w:szCs w:val="20"/>
                </w:rPr>
              </w:sdtEndPr>
              <w:sdtContent>
                <w:r w:rsidRPr="008F2762">
                  <w:rPr>
                    <w:color w:val="000000"/>
                  </w:rPr>
                  <w:t>(TSSC, 2019b)</w:t>
                </w:r>
              </w:sdtContent>
            </w:sdt>
            <w:r w:rsidRPr="002A5710">
              <w:rPr>
                <w:szCs w:val="18"/>
              </w:rPr>
              <w:t>.</w:t>
            </w:r>
          </w:p>
          <w:p w14:paraId="196265CB" w14:textId="77777777" w:rsidR="000B173B" w:rsidRPr="002A5710" w:rsidRDefault="000B173B" w:rsidP="00A15226">
            <w:pPr>
              <w:pStyle w:val="Tabletext"/>
              <w:rPr>
                <w:szCs w:val="18"/>
              </w:rPr>
            </w:pPr>
            <w:r w:rsidRPr="002A5710">
              <w:rPr>
                <w:szCs w:val="18"/>
              </w:rPr>
              <w:t xml:space="preserve">The Migratory Bird Referral Guidelines describe important habitat for the species as follows: “Non-breeding habitat only: Found across a range of habitats, more often over wooded areas, where it is almost exclusively aerial. Large tracts of native vegetation, particularly forest, may be a key habitat requirement for species. Found to roost in tree hollows in tall trees </w:t>
            </w:r>
            <w:r w:rsidRPr="002A5710">
              <w:rPr>
                <w:szCs w:val="18"/>
              </w:rPr>
              <w:lastRenderedPageBreak/>
              <w:t xml:space="preserve">on ridge-tops, on bark or rock faces. Appears to have traditional roost sites.” </w:t>
            </w:r>
            <w:sdt>
              <w:sdtPr>
                <w:rPr>
                  <w:color w:val="000000"/>
                  <w:szCs w:val="18"/>
                </w:rPr>
                <w:tag w:val="MENDELEY_CITATION_v3_eyJjaXRhdGlvbklEIjoiTUVOREVMRVlfQ0lUQVRJT05fNmU0NjE4ZjEtYWMwYi00ZmI5LTg0ZTItN2E0NDUzYWJjZjU4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848989529"/>
                <w:placeholder>
                  <w:docPart w:val="339B7D746526864D922760336FCFE603"/>
                </w:placeholder>
              </w:sdtPr>
              <w:sdtEndPr>
                <w:rPr>
                  <w:szCs w:val="20"/>
                </w:rPr>
              </w:sdtEndPr>
              <w:sdtContent>
                <w:r w:rsidRPr="008F2762">
                  <w:rPr>
                    <w:color w:val="000000"/>
                  </w:rPr>
                  <w:t>(DoE, 2015c)</w:t>
                </w:r>
              </w:sdtContent>
            </w:sdt>
          </w:p>
          <w:p w14:paraId="6EE7CE0C" w14:textId="77777777" w:rsidR="000B173B" w:rsidRPr="002A5710" w:rsidRDefault="000B173B" w:rsidP="00A15226">
            <w:pPr>
              <w:pStyle w:val="Tabletext"/>
              <w:rPr>
                <w:szCs w:val="18"/>
              </w:rPr>
            </w:pPr>
            <w:r w:rsidRPr="002A5710">
              <w:rPr>
                <w:szCs w:val="18"/>
              </w:rPr>
              <w:t xml:space="preserve">The species is insectivorous. In Australia, threats to the species include use of insecticides, loss of forests and woodland habitats which may be contributing to loss of roosting sites and reduction in invertebrate prey, and collisions with infrastructure such as wind turbines, windows and overhead wires </w:t>
            </w:r>
            <w:sdt>
              <w:sdtPr>
                <w:rPr>
                  <w:color w:val="000000"/>
                  <w:szCs w:val="18"/>
                </w:rPr>
                <w:tag w:val="MENDELEY_CITATION_v3_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"/>
                <w:id w:val="865874120"/>
                <w:placeholder>
                  <w:docPart w:val="339B7D746526864D922760336FCFE603"/>
                </w:placeholder>
              </w:sdtPr>
              <w:sdtEndPr>
                <w:rPr>
                  <w:szCs w:val="20"/>
                </w:rPr>
              </w:sdtEndPr>
              <w:sdtContent>
                <w:r w:rsidRPr="008F2762">
                  <w:rPr>
                    <w:color w:val="000000"/>
                  </w:rPr>
                  <w:t>(TSSC, 2019b)</w:t>
                </w:r>
              </w:sdtContent>
            </w:sdt>
            <w:r w:rsidRPr="002A5710">
              <w:rPr>
                <w:szCs w:val="18"/>
              </w:rPr>
              <w:t>.</w:t>
            </w:r>
          </w:p>
          <w:p w14:paraId="4DD89021" w14:textId="77777777" w:rsidR="000B173B" w:rsidRPr="002A5710" w:rsidRDefault="000B173B" w:rsidP="00A15226">
            <w:pPr>
              <w:pStyle w:val="Tabletext"/>
              <w:rPr>
                <w:szCs w:val="18"/>
              </w:rPr>
            </w:pPr>
            <w:r w:rsidRPr="002A5710">
              <w:rPr>
                <w:szCs w:val="18"/>
              </w:rPr>
              <w:t>The Growth Areas and surrounds are likely to represent more marginal foraging habitat for the species. Development under the Plan is unlikely to affect the species or contribute to any recognised threats.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81E1FE1"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4F02D984"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A0A406D" w14:textId="77777777" w:rsidR="000B173B" w:rsidRPr="002A5710" w:rsidRDefault="000B173B" w:rsidP="00A15226">
            <w:pPr>
              <w:pStyle w:val="Tabletext"/>
              <w:rPr>
                <w:i/>
                <w:iCs/>
                <w:szCs w:val="18"/>
              </w:rPr>
            </w:pPr>
            <w:r w:rsidRPr="002A5710">
              <w:rPr>
                <w:i/>
                <w:iCs/>
                <w:szCs w:val="18"/>
              </w:rPr>
              <w:t>Limicola falcinellus</w:t>
            </w:r>
          </w:p>
        </w:tc>
        <w:tc>
          <w:tcPr>
            <w:tcW w:w="447" w:type="pct"/>
            <w:tcBorders>
              <w:top w:val="single" w:sz="4" w:space="0" w:color="auto"/>
              <w:left w:val="single" w:sz="4" w:space="0" w:color="auto"/>
              <w:bottom w:val="single" w:sz="4" w:space="0" w:color="auto"/>
              <w:right w:val="single" w:sz="4" w:space="0" w:color="auto"/>
            </w:tcBorders>
            <w:vAlign w:val="center"/>
          </w:tcPr>
          <w:p w14:paraId="165651B1" w14:textId="77777777" w:rsidR="000B173B" w:rsidRPr="002A5710" w:rsidRDefault="000B173B" w:rsidP="00A15226">
            <w:pPr>
              <w:pStyle w:val="Tabletext"/>
              <w:rPr>
                <w:szCs w:val="18"/>
              </w:rPr>
            </w:pPr>
            <w:r w:rsidRPr="002A5710">
              <w:rPr>
                <w:szCs w:val="18"/>
              </w:rPr>
              <w:t>Broad-billed Sandpiper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888C0B5"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01558539"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YjdiM2JiMDgtMTA1MS00NmUxLWFmYTMtYWFiYjBjM2JhNGQ3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117261459"/>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8E4884A"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24D5BA6"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CC1A94C" w14:textId="77777777" w:rsidR="000B173B" w:rsidRPr="002A5710" w:rsidRDefault="000B173B" w:rsidP="00A15226">
            <w:pPr>
              <w:pStyle w:val="Tabletext"/>
              <w:rPr>
                <w:szCs w:val="18"/>
              </w:rPr>
            </w:pPr>
            <w:r w:rsidRPr="002A5710">
              <w:rPr>
                <w:szCs w:val="18"/>
              </w:rPr>
              <w:t xml:space="preserve">One individual of the Broad-billed Sandpiper has been recorded within the Study Area within the past 5 years, which is below the threshold of an ecologically significant proportion of the species (30 individuals within the last 5 years) </w:t>
            </w:r>
            <w:sdt>
              <w:sdtPr>
                <w:rPr>
                  <w:szCs w:val="18"/>
                </w:rPr>
                <w:tag w:val="MENDELEY_CITATION_v3_eyJjaXRhdGlvbklEIjoiTUVOREVMRVlfQ0lUQVRJT05fMDkxYTEyNDctMWJkMy00MWM2LWIyOGMtNmQxZDNlMWEwZjMx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103992402"/>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5C88B914" w14:textId="77777777" w:rsidR="000B173B" w:rsidRPr="002A5710" w:rsidRDefault="000B173B" w:rsidP="00A15226">
            <w:pPr>
              <w:pStyle w:val="Tabletext"/>
              <w:rPr>
                <w:szCs w:val="18"/>
              </w:rPr>
            </w:pPr>
            <w:r w:rsidRPr="002A5710">
              <w:rPr>
                <w:szCs w:val="18"/>
              </w:rPr>
              <w:t xml:space="preserve">No important habitat for the Broad-billed Sandpiper has been mapped by Birdlife Australia within the Study Area </w:t>
            </w:r>
            <w:sdt>
              <w:sdtPr>
                <w:rPr>
                  <w:szCs w:val="18"/>
                </w:rPr>
                <w:tag w:val="MENDELEY_CITATION_v3_eyJjaXRhdGlvbklEIjoiTUVOREVMRVlfQ0lUQVRJT05fMTNlNjM1NWItMmY4Zi00NWE1LTg4MDktMzQ2ZTZjZjEyZTg4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213931211"/>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04311766"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A5B6371" w14:textId="77777777" w:rsidR="000B173B" w:rsidRPr="002A5710" w:rsidRDefault="000B173B" w:rsidP="00A15226">
            <w:pPr>
              <w:pStyle w:val="Tabletext"/>
              <w:rPr>
                <w:szCs w:val="18"/>
              </w:rPr>
            </w:pPr>
            <w:r w:rsidRPr="002A5710">
              <w:rPr>
                <w:szCs w:val="18"/>
              </w:rPr>
              <w:t>Category 2</w:t>
            </w:r>
          </w:p>
        </w:tc>
      </w:tr>
      <w:tr w:rsidR="000B173B" w:rsidRPr="002A5710" w14:paraId="2AE53353"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B5F7345" w14:textId="77777777" w:rsidR="000B173B" w:rsidRPr="002A5710" w:rsidRDefault="000B173B" w:rsidP="00A15226">
            <w:pPr>
              <w:pStyle w:val="Tabletext"/>
              <w:rPr>
                <w:i/>
                <w:iCs/>
                <w:szCs w:val="18"/>
              </w:rPr>
            </w:pPr>
            <w:r w:rsidRPr="002A5710">
              <w:rPr>
                <w:i/>
                <w:iCs/>
                <w:szCs w:val="18"/>
              </w:rPr>
              <w:t>Limosa lapponica</w:t>
            </w:r>
          </w:p>
        </w:tc>
        <w:tc>
          <w:tcPr>
            <w:tcW w:w="447" w:type="pct"/>
            <w:tcBorders>
              <w:top w:val="single" w:sz="4" w:space="0" w:color="auto"/>
              <w:left w:val="single" w:sz="4" w:space="0" w:color="auto"/>
              <w:bottom w:val="single" w:sz="4" w:space="0" w:color="auto"/>
              <w:right w:val="single" w:sz="4" w:space="0" w:color="auto"/>
            </w:tcBorders>
            <w:vAlign w:val="center"/>
          </w:tcPr>
          <w:p w14:paraId="57D6017F" w14:textId="77777777" w:rsidR="000B173B" w:rsidRPr="002A5710" w:rsidRDefault="000B173B" w:rsidP="00A15226">
            <w:pPr>
              <w:pStyle w:val="Tabletext"/>
              <w:rPr>
                <w:szCs w:val="18"/>
              </w:rPr>
            </w:pPr>
            <w:r w:rsidRPr="002A5710">
              <w:rPr>
                <w:szCs w:val="18"/>
              </w:rPr>
              <w:t>Bar-tailed Godwit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48044066"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66276C08"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OGRiZmRhZDctZGZkZi00MmU1LTlmNzAtOGU0YmM4ZGFlMTA0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2129430304"/>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1686D17"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E2DBA55"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B524ACF" w14:textId="77777777" w:rsidR="000B173B" w:rsidRPr="002A5710" w:rsidRDefault="000B173B" w:rsidP="00A15226">
            <w:pPr>
              <w:pStyle w:val="Tabletext"/>
              <w:rPr>
                <w:szCs w:val="18"/>
              </w:rPr>
            </w:pPr>
            <w:r w:rsidRPr="002A5710">
              <w:rPr>
                <w:szCs w:val="18"/>
              </w:rPr>
              <w:t xml:space="preserve">This species has been triggered as a Category 1 threatened species (as </w:t>
            </w:r>
            <w:r w:rsidRPr="002A5710">
              <w:rPr>
                <w:i/>
                <w:iCs/>
                <w:szCs w:val="18"/>
              </w:rPr>
              <w:t>Limosa lapponica baueri</w:t>
            </w:r>
            <w:r w:rsidRPr="002A5710">
              <w:rPr>
                <w:szCs w:val="18"/>
              </w:rPr>
              <w:t>).</w:t>
            </w:r>
          </w:p>
          <w:p w14:paraId="4F0CD1AC" w14:textId="77777777" w:rsidR="000B173B" w:rsidRPr="002A5710" w:rsidRDefault="000B173B" w:rsidP="00A15226">
            <w:pPr>
              <w:pStyle w:val="Tabletext"/>
              <w:rPr>
                <w:szCs w:val="18"/>
              </w:rPr>
            </w:pPr>
            <w:r w:rsidRPr="002A5710">
              <w:rPr>
                <w:szCs w:val="18"/>
              </w:rPr>
              <w:t>Note that assessment of this species is contained within the threatened fauna assessment in Chapter 19.</w:t>
            </w:r>
            <w:r>
              <w:rPr>
                <w:szCs w:val="18"/>
              </w:rPr>
              <w:t xml:space="preserve"> </w:t>
            </w:r>
            <w:r>
              <w:t>Refer to Section 19.4 of Part 4 for the detailed impact assessment of the Bar-tailed Godwit.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D491AC" w14:textId="77777777" w:rsidR="000B173B" w:rsidRPr="002A5710" w:rsidRDefault="000B173B" w:rsidP="00A15226">
            <w:pPr>
              <w:pStyle w:val="Tabletext"/>
              <w:rPr>
                <w:szCs w:val="18"/>
              </w:rPr>
            </w:pPr>
            <w:r w:rsidRPr="002A5710">
              <w:rPr>
                <w:szCs w:val="18"/>
              </w:rPr>
              <w:t>Category 1</w:t>
            </w:r>
          </w:p>
        </w:tc>
      </w:tr>
      <w:tr w:rsidR="000B173B" w:rsidRPr="002A5710" w14:paraId="20BB9EB9"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5EEC7B4" w14:textId="77777777" w:rsidR="000B173B" w:rsidRPr="002A5710" w:rsidRDefault="000B173B" w:rsidP="00A15226">
            <w:pPr>
              <w:pStyle w:val="Tabletext"/>
              <w:rPr>
                <w:i/>
                <w:iCs/>
                <w:szCs w:val="18"/>
              </w:rPr>
            </w:pPr>
            <w:r w:rsidRPr="002A5710">
              <w:rPr>
                <w:i/>
                <w:iCs/>
                <w:szCs w:val="18"/>
              </w:rPr>
              <w:t>Limosa limosa</w:t>
            </w:r>
          </w:p>
        </w:tc>
        <w:tc>
          <w:tcPr>
            <w:tcW w:w="447" w:type="pct"/>
            <w:tcBorders>
              <w:top w:val="single" w:sz="4" w:space="0" w:color="auto"/>
              <w:left w:val="single" w:sz="4" w:space="0" w:color="auto"/>
              <w:bottom w:val="single" w:sz="4" w:space="0" w:color="auto"/>
              <w:right w:val="single" w:sz="4" w:space="0" w:color="auto"/>
            </w:tcBorders>
            <w:vAlign w:val="center"/>
          </w:tcPr>
          <w:p w14:paraId="247001FC" w14:textId="77777777" w:rsidR="000B173B" w:rsidRPr="002A5710" w:rsidRDefault="000B173B" w:rsidP="00A15226">
            <w:pPr>
              <w:pStyle w:val="Tabletext"/>
              <w:rPr>
                <w:szCs w:val="18"/>
              </w:rPr>
            </w:pPr>
            <w:r w:rsidRPr="002A5710">
              <w:rPr>
                <w:szCs w:val="18"/>
              </w:rPr>
              <w:t>Black-tailed Godwit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7808DFDC"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0780E76C"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ODYzMWFjN2MtYjUwMi00ZDM1LWJkODYtNDcyNmVkMDJlZWNj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606274383"/>
                <w:placeholder>
                  <w:docPart w:val="339B7D746526864D922760336FCFE603"/>
                </w:placeholder>
              </w:sdtPr>
              <w:sdtEndPr>
                <w:rPr>
                  <w:szCs w:val="20"/>
                </w:rPr>
              </w:sdtEndPr>
              <w:sdtContent>
                <w:r w:rsidRPr="008F2762">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73ACE4E"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6098FC2"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57DCBDE5" w14:textId="77777777" w:rsidR="000B173B" w:rsidRPr="002A5710" w:rsidRDefault="000B173B" w:rsidP="00A15226">
            <w:pPr>
              <w:pStyle w:val="Tabletext"/>
              <w:rPr>
                <w:szCs w:val="18"/>
              </w:rPr>
            </w:pPr>
            <w:r w:rsidRPr="002A5710">
              <w:rPr>
                <w:szCs w:val="18"/>
              </w:rPr>
              <w:t xml:space="preserve">892 individuals of the Black-tailed Godwit have been recorded within the Study Area within the past 5 years, which is above the threshold of an ecologically significant proportion of the species (160 individuals within the last 5 years) </w:t>
            </w:r>
            <w:sdt>
              <w:sdtPr>
                <w:rPr>
                  <w:szCs w:val="18"/>
                </w:rPr>
                <w:tag w:val="MENDELEY_CITATION_v3_eyJjaXRhdGlvbklEIjoiTUVOREVMRVlfQ0lUQVRJT05fZWM1ZTI3NzEtZDkzZi00NGViLWIwOTgtNDEwZjQzYjJiODli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581649191"/>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4A6DF1C7" w14:textId="77777777" w:rsidR="000B173B" w:rsidRPr="002A5710" w:rsidRDefault="000B173B" w:rsidP="00A15226">
            <w:pPr>
              <w:pStyle w:val="Tabletext"/>
              <w:rPr>
                <w:szCs w:val="18"/>
              </w:rPr>
            </w:pPr>
            <w:r w:rsidRPr="002A5710">
              <w:rPr>
                <w:szCs w:val="18"/>
              </w:rPr>
              <w:t>Of these, the majority of individuals (over 800) occur along the northern coastline of Port Phillip Bay, adjacent to The Spit Wildlife Reserve. This area will not be impacted by the Plan as it is not located downstream of the Strategic Assessment Area.</w:t>
            </w:r>
          </w:p>
          <w:p w14:paraId="76E1353C" w14:textId="77777777" w:rsidR="000B173B" w:rsidRPr="002A5710" w:rsidRDefault="000B173B" w:rsidP="00A15226">
            <w:pPr>
              <w:pStyle w:val="Tabletext"/>
              <w:rPr>
                <w:szCs w:val="18"/>
              </w:rPr>
            </w:pPr>
            <w:r w:rsidRPr="002A5710">
              <w:rPr>
                <w:szCs w:val="18"/>
              </w:rPr>
              <w:lastRenderedPageBreak/>
              <w:t xml:space="preserve">A smaller number of recent individuals (48) occur within or adjacent to the Lake Connewarre wetland complex. While this area has potential to be impacted by the Plan as it is downstream of the WGGA, the number of individuals present at this site is substantially below the threshold of an ecologically significant proportion of the species within this habitat area. </w:t>
            </w:r>
          </w:p>
          <w:p w14:paraId="38C425C0" w14:textId="77777777" w:rsidR="000B173B" w:rsidRPr="002A5710" w:rsidRDefault="000B173B" w:rsidP="00A15226">
            <w:pPr>
              <w:pStyle w:val="Tabletext"/>
              <w:rPr>
                <w:szCs w:val="18"/>
              </w:rPr>
            </w:pPr>
            <w:r w:rsidRPr="002A5710">
              <w:rPr>
                <w:szCs w:val="18"/>
              </w:rPr>
              <w:t xml:space="preserve">No important habitat for the Black-tailed Godwit has been mapped by Birdlife Australia within the Study Area </w:t>
            </w:r>
            <w:sdt>
              <w:sdtPr>
                <w:rPr>
                  <w:szCs w:val="18"/>
                </w:rPr>
                <w:tag w:val="MENDELEY_CITATION_v3_eyJjaXRhdGlvbklEIjoiTUVOREVMRVlfQ0lUQVRJT05fMjUwYzIzY2QtMWExOC00MGVkLThjZWYtM2I3ZDZjOTg1YWVh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289095844"/>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E90041"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4E1965A3"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8C4E244" w14:textId="77777777" w:rsidR="000B173B" w:rsidRPr="002A5710" w:rsidRDefault="000B173B" w:rsidP="00A15226">
            <w:pPr>
              <w:pStyle w:val="Tabletext"/>
              <w:rPr>
                <w:i/>
                <w:iCs/>
                <w:szCs w:val="18"/>
              </w:rPr>
            </w:pPr>
            <w:r w:rsidRPr="002A5710">
              <w:rPr>
                <w:i/>
                <w:iCs/>
                <w:szCs w:val="18"/>
              </w:rPr>
              <w:t>Macronectes giganteus</w:t>
            </w:r>
          </w:p>
        </w:tc>
        <w:tc>
          <w:tcPr>
            <w:tcW w:w="447" w:type="pct"/>
            <w:tcBorders>
              <w:top w:val="single" w:sz="4" w:space="0" w:color="auto"/>
              <w:left w:val="single" w:sz="4" w:space="0" w:color="auto"/>
              <w:bottom w:val="single" w:sz="4" w:space="0" w:color="auto"/>
              <w:right w:val="single" w:sz="4" w:space="0" w:color="auto"/>
            </w:tcBorders>
            <w:vAlign w:val="center"/>
          </w:tcPr>
          <w:p w14:paraId="14293A59" w14:textId="77777777" w:rsidR="000B173B" w:rsidRPr="002A5710" w:rsidRDefault="000B173B" w:rsidP="00A15226">
            <w:pPr>
              <w:pStyle w:val="Tabletext"/>
              <w:rPr>
                <w:szCs w:val="18"/>
              </w:rPr>
            </w:pPr>
            <w:r w:rsidRPr="002A5710">
              <w:rPr>
                <w:szCs w:val="18"/>
              </w:rPr>
              <w:t>Southern Giant-Petrel, Southern Giant Petrel</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CB0348A" w14:textId="77777777" w:rsidR="000B173B" w:rsidRPr="002A5710" w:rsidRDefault="000B173B" w:rsidP="00A15226">
            <w:pPr>
              <w:pStyle w:val="Tabletext"/>
              <w:rPr>
                <w:szCs w:val="18"/>
              </w:rPr>
            </w:pPr>
            <w:r w:rsidRPr="002A5710">
              <w:rPr>
                <w:szCs w:val="18"/>
              </w:rPr>
              <w:t>E, Mig, B</w:t>
            </w:r>
          </w:p>
        </w:tc>
        <w:tc>
          <w:tcPr>
            <w:tcW w:w="495" w:type="pct"/>
            <w:tcBorders>
              <w:top w:val="single" w:sz="4" w:space="0" w:color="auto"/>
              <w:left w:val="single" w:sz="4" w:space="0" w:color="auto"/>
              <w:bottom w:val="single" w:sz="4" w:space="0" w:color="auto"/>
              <w:right w:val="single" w:sz="4" w:space="0" w:color="auto"/>
            </w:tcBorders>
            <w:vAlign w:val="center"/>
          </w:tcPr>
          <w:p w14:paraId="5EDC3B31"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1D7B552"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B53E18F"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C00EB77" w14:textId="77777777" w:rsidR="000B173B" w:rsidRPr="002A5710" w:rsidRDefault="000B173B" w:rsidP="00A15226">
            <w:pPr>
              <w:pStyle w:val="Tabletext"/>
              <w:rPr>
                <w:szCs w:val="18"/>
              </w:rPr>
            </w:pPr>
            <w:r w:rsidRPr="002A5710">
              <w:rPr>
                <w:szCs w:val="18"/>
              </w:rPr>
              <w:t xml:space="preserve">31 individuals of the Southern Giant-Petrel have been recorded within the Study Area, which is below the threshold of an ecologically significant proportion of the species (956 individuals) </w:t>
            </w:r>
            <w:sdt>
              <w:sdtPr>
                <w:rPr>
                  <w:color w:val="000000"/>
                  <w:szCs w:val="18"/>
                </w:rPr>
                <w:tag w:val="MENDELEY_CITATION_v3_eyJjaXRhdGlvbklEIjoiTUVOREVMRVlfQ0lUQVRJT05fYmI3MGJjODAtZmE4MS00MGI0LWE1YjUtYWY1ZmY2MmM1Yzcx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10219916"/>
                <w:placeholder>
                  <w:docPart w:val="339B7D746526864D922760336FCFE603"/>
                </w:placeholder>
              </w:sdtPr>
              <w:sdtEndPr>
                <w:rPr>
                  <w:szCs w:val="20"/>
                </w:rPr>
              </w:sdtEndPr>
              <w:sdtContent>
                <w:r w:rsidRPr="008F2762">
                  <w:rPr>
                    <w:color w:val="000000"/>
                  </w:rPr>
                  <w:t>(Birdlife International, 2022)</w:t>
                </w:r>
              </w:sdtContent>
            </w:sdt>
            <w:r w:rsidRPr="002A5710">
              <w:rPr>
                <w:szCs w:val="18"/>
              </w:rPr>
              <w:t>.</w:t>
            </w:r>
          </w:p>
          <w:p w14:paraId="3A55F6C4" w14:textId="77777777" w:rsidR="000B173B" w:rsidRPr="002A5710" w:rsidRDefault="000B173B" w:rsidP="00A15226">
            <w:pPr>
              <w:pStyle w:val="Tabletext"/>
              <w:rPr>
                <w:szCs w:val="18"/>
              </w:rPr>
            </w:pPr>
            <w:r w:rsidRPr="002A5710">
              <w:rPr>
                <w:szCs w:val="18"/>
              </w:rPr>
              <w:t xml:space="preserve">The Southern Giant-Petrel breeds on the Antarctic continent, subantarctic islands, and in South America. The species is widespread throughout the Southern Ocean, yet also occurs north into subtropical waters. It is a predator and a scavenger, feeding on penguin, seal, and whale carcasses. It also catches live birds such as albatrosses and smaller seabirds, in addition to marine food sources including cephalopods, krill and fish </w:t>
            </w:r>
            <w:sdt>
              <w:sdtPr>
                <w:rPr>
                  <w:color w:val="000000"/>
                  <w:szCs w:val="18"/>
                </w:rPr>
                <w:tag w:val="MENDELEY_CITATION_v3_eyJjaXRhdGlvbklEIjoiTUVOREVMRVlfQ0lUQVRJT05fY2U2MGM2ZDQtNjM5NC00NzQ5LTk3OGUtYmRhY2FkNmEzZDc3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950119700"/>
                <w:placeholder>
                  <w:docPart w:val="339B7D746526864D922760336FCFE603"/>
                </w:placeholder>
              </w:sdtPr>
              <w:sdtEndPr>
                <w:rPr>
                  <w:szCs w:val="20"/>
                </w:rPr>
              </w:sdtEndPr>
              <w:sdtContent>
                <w:r w:rsidRPr="008F2762">
                  <w:rPr>
                    <w:color w:val="000000"/>
                  </w:rPr>
                  <w:t>(DCCEEW, 2022)</w:t>
                </w:r>
              </w:sdtContent>
            </w:sdt>
            <w:r w:rsidRPr="002A5710">
              <w:rPr>
                <w:szCs w:val="18"/>
              </w:rPr>
              <w:t>.</w:t>
            </w:r>
          </w:p>
          <w:p w14:paraId="0EE8A26F" w14:textId="77777777" w:rsidR="000B173B" w:rsidRPr="002A5710" w:rsidRDefault="000B173B" w:rsidP="00A15226">
            <w:pPr>
              <w:pStyle w:val="Tabletext"/>
              <w:rPr>
                <w:szCs w:val="18"/>
              </w:rPr>
            </w:pPr>
            <w:r w:rsidRPr="002A5710">
              <w:rPr>
                <w:szCs w:val="18"/>
              </w:rPr>
              <w:t>Given the small number of records and the species’ ecological characteristics, it is unlikely that the Study Area supports important habitat for this species.</w:t>
            </w:r>
          </w:p>
          <w:p w14:paraId="0DAC3F04"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FA22E5" w14:textId="77777777" w:rsidR="000B173B" w:rsidRPr="002A5710" w:rsidRDefault="000B173B" w:rsidP="00A15226">
            <w:pPr>
              <w:pStyle w:val="Tabletext"/>
              <w:rPr>
                <w:szCs w:val="18"/>
              </w:rPr>
            </w:pPr>
            <w:r w:rsidRPr="002A5710">
              <w:rPr>
                <w:szCs w:val="18"/>
              </w:rPr>
              <w:t>Category 2</w:t>
            </w:r>
          </w:p>
        </w:tc>
      </w:tr>
      <w:tr w:rsidR="000B173B" w:rsidRPr="002A5710" w14:paraId="08C609F1"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F5CEBC4" w14:textId="77777777" w:rsidR="000B173B" w:rsidRPr="002A5710" w:rsidRDefault="000B173B" w:rsidP="00A15226">
            <w:pPr>
              <w:pStyle w:val="Tabletext"/>
              <w:rPr>
                <w:i/>
                <w:iCs/>
                <w:szCs w:val="18"/>
              </w:rPr>
            </w:pPr>
            <w:r w:rsidRPr="002A5710">
              <w:rPr>
                <w:i/>
                <w:iCs/>
                <w:szCs w:val="18"/>
              </w:rPr>
              <w:t>Macronectes halli</w:t>
            </w:r>
          </w:p>
        </w:tc>
        <w:tc>
          <w:tcPr>
            <w:tcW w:w="447" w:type="pct"/>
            <w:tcBorders>
              <w:top w:val="single" w:sz="4" w:space="0" w:color="auto"/>
              <w:left w:val="single" w:sz="4" w:space="0" w:color="auto"/>
              <w:bottom w:val="single" w:sz="4" w:space="0" w:color="auto"/>
              <w:right w:val="single" w:sz="4" w:space="0" w:color="auto"/>
            </w:tcBorders>
            <w:vAlign w:val="center"/>
          </w:tcPr>
          <w:p w14:paraId="6ACD97F7" w14:textId="77777777" w:rsidR="000B173B" w:rsidRPr="002A5710" w:rsidRDefault="000B173B" w:rsidP="00A15226">
            <w:pPr>
              <w:pStyle w:val="Tabletext"/>
              <w:rPr>
                <w:szCs w:val="18"/>
              </w:rPr>
            </w:pPr>
            <w:r w:rsidRPr="002A5710">
              <w:rPr>
                <w:szCs w:val="18"/>
              </w:rPr>
              <w:t>Northern Giant Petrel</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C4BCFCB"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336FA2B2"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CC15B8E"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0E24F13"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05004261" w14:textId="77777777" w:rsidR="000B173B" w:rsidRPr="002A5710" w:rsidRDefault="000B173B" w:rsidP="00A15226">
            <w:pPr>
              <w:pStyle w:val="Tabletext"/>
              <w:rPr>
                <w:szCs w:val="18"/>
              </w:rPr>
            </w:pPr>
            <w:r w:rsidRPr="002A5710">
              <w:rPr>
                <w:szCs w:val="18"/>
              </w:rPr>
              <w:t xml:space="preserve">11 individuals of the Northern Giant Petrel have been recorded within the Study Area, which is below the threshold of an ecologically significant proportion of the species (236 individuals) </w:t>
            </w:r>
            <w:sdt>
              <w:sdtPr>
                <w:rPr>
                  <w:color w:val="000000"/>
                  <w:szCs w:val="18"/>
                </w:rPr>
                <w:tag w:val="MENDELEY_CITATION_v3_eyJjaXRhdGlvbklEIjoiTUVOREVMRVlfQ0lUQVRJT05fNzIxMmZiZjctMTgxYi00MmVjLWIyNWUtYmVlNmVmYzYxNGM0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613407885"/>
                <w:placeholder>
                  <w:docPart w:val="339B7D746526864D922760336FCFE603"/>
                </w:placeholder>
              </w:sdtPr>
              <w:sdtEndPr>
                <w:rPr>
                  <w:szCs w:val="20"/>
                </w:rPr>
              </w:sdtEndPr>
              <w:sdtContent>
                <w:r>
                  <w:rPr>
                    <w:color w:val="000000"/>
                  </w:rPr>
                  <w:t>(Birdlife International, 2022)</w:t>
                </w:r>
              </w:sdtContent>
            </w:sdt>
            <w:r w:rsidRPr="002A5710">
              <w:rPr>
                <w:szCs w:val="18"/>
              </w:rPr>
              <w:t>.</w:t>
            </w:r>
          </w:p>
          <w:p w14:paraId="75FF38BC" w14:textId="77777777" w:rsidR="000B173B" w:rsidRPr="002A5710" w:rsidRDefault="000B173B" w:rsidP="00A15226">
            <w:pPr>
              <w:pStyle w:val="Tabletext"/>
              <w:rPr>
                <w:szCs w:val="18"/>
              </w:rPr>
            </w:pPr>
            <w:r w:rsidRPr="002A5710">
              <w:rPr>
                <w:szCs w:val="18"/>
              </w:rPr>
              <w:t xml:space="preserve">The Northern Giant Petrel breeds on a range of islands, including South Georgia, Prince Edward Islands (South Africa), Crozet and Kerguelen Islands (French Southern Territories), Macquarie Island (Australia) and a range of New Zealand islands </w:t>
            </w:r>
            <w:sdt>
              <w:sdtPr>
                <w:rPr>
                  <w:color w:val="000000"/>
                  <w:szCs w:val="18"/>
                </w:rPr>
                <w:tag w:val="MENDELEY_CITATION_v3_eyJjaXRhdGlvbklEIjoiTUVOREVMRVlfQ0lUQVRJT05fYTU3NjJkYjctODUzZS00MTkwLThiZGUtNjE2MjJlMTljNmE5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643006631"/>
                <w:placeholder>
                  <w:docPart w:val="339B7D746526864D922760336FCFE603"/>
                </w:placeholder>
              </w:sdtPr>
              <w:sdtEndPr>
                <w:rPr>
                  <w:szCs w:val="20"/>
                </w:rPr>
              </w:sdtEndPr>
              <w:sdtContent>
                <w:r w:rsidRPr="002F46CE">
                  <w:rPr>
                    <w:color w:val="000000"/>
                  </w:rPr>
                  <w:t>(Birdlife International, 2022)</w:t>
                </w:r>
              </w:sdtContent>
            </w:sdt>
            <w:r w:rsidRPr="002A5710">
              <w:rPr>
                <w:szCs w:val="18"/>
              </w:rPr>
              <w:t>.</w:t>
            </w:r>
          </w:p>
          <w:p w14:paraId="5B308429" w14:textId="77777777" w:rsidR="000B173B" w:rsidRPr="002A5710" w:rsidRDefault="000B173B" w:rsidP="00A15226">
            <w:pPr>
              <w:pStyle w:val="Tabletext"/>
              <w:rPr>
                <w:szCs w:val="18"/>
              </w:rPr>
            </w:pPr>
            <w:r w:rsidRPr="002A5710">
              <w:rPr>
                <w:szCs w:val="18"/>
              </w:rPr>
              <w:t xml:space="preserve">The species primarily occurs within sub-Antarctic to Antarctic waters yet can occur north into subtropical waters. It is a wide-ranging marine, oceanic species, feeding on seal, whale and penguin carrion, krill, cephalopods, and fish. It will kill and eat immature albatross and other </w:t>
            </w:r>
            <w:r w:rsidRPr="002A5710">
              <w:rPr>
                <w:szCs w:val="18"/>
              </w:rPr>
              <w:lastRenderedPageBreak/>
              <w:t xml:space="preserve">seabird species. The species often follows ships to obtain offal </w:t>
            </w:r>
            <w:sdt>
              <w:sdtPr>
                <w:rPr>
                  <w:color w:val="000000"/>
                  <w:szCs w:val="18"/>
                </w:rPr>
                <w:tag w:val="MENDELEY_CITATION_v3_eyJjaXRhdGlvbklEIjoiTUVOREVMRVlfQ0lUQVRJT05fZDFkZWJkN2QtZWQwNC00ODkwLWJiOTItMzczMTEyNzQzNTM1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71313599"/>
                <w:placeholder>
                  <w:docPart w:val="339B7D746526864D922760336FCFE603"/>
                </w:placeholder>
              </w:sdtPr>
              <w:sdtEndPr>
                <w:rPr>
                  <w:szCs w:val="20"/>
                </w:rPr>
              </w:sdtEndPr>
              <w:sdtContent>
                <w:r w:rsidRPr="002F46CE">
                  <w:rPr>
                    <w:color w:val="000000"/>
                  </w:rPr>
                  <w:t>(DCCEEW, 2022)</w:t>
                </w:r>
              </w:sdtContent>
            </w:sdt>
            <w:r w:rsidRPr="002A5710">
              <w:rPr>
                <w:szCs w:val="18"/>
              </w:rPr>
              <w:t>.</w:t>
            </w:r>
          </w:p>
          <w:p w14:paraId="6F4B04B7" w14:textId="77777777" w:rsidR="000B173B" w:rsidRPr="002A5710" w:rsidRDefault="000B173B" w:rsidP="00A15226">
            <w:pPr>
              <w:pStyle w:val="Tabletext"/>
              <w:rPr>
                <w:szCs w:val="18"/>
              </w:rPr>
            </w:pPr>
            <w:r w:rsidRPr="002A5710">
              <w:rPr>
                <w:szCs w:val="18"/>
              </w:rPr>
              <w:t>Given the small number of records and the species’ ecological characteristics, it is unlikely that the Study Area supports important habitat for this species.</w:t>
            </w:r>
          </w:p>
          <w:p w14:paraId="2C00C8EF"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29343E"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5B704E5C"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07806BE" w14:textId="77777777" w:rsidR="000B173B" w:rsidRPr="002A5710" w:rsidRDefault="000B173B" w:rsidP="00A15226">
            <w:pPr>
              <w:pStyle w:val="Tabletext"/>
              <w:rPr>
                <w:i/>
                <w:iCs/>
                <w:szCs w:val="18"/>
              </w:rPr>
            </w:pPr>
            <w:r w:rsidRPr="002A5710">
              <w:rPr>
                <w:i/>
                <w:iCs/>
                <w:szCs w:val="18"/>
              </w:rPr>
              <w:t>Monarcha melanopsis</w:t>
            </w:r>
          </w:p>
        </w:tc>
        <w:tc>
          <w:tcPr>
            <w:tcW w:w="447" w:type="pct"/>
            <w:tcBorders>
              <w:top w:val="single" w:sz="4" w:space="0" w:color="auto"/>
              <w:left w:val="single" w:sz="4" w:space="0" w:color="auto"/>
              <w:bottom w:val="single" w:sz="4" w:space="0" w:color="auto"/>
              <w:right w:val="single" w:sz="4" w:space="0" w:color="auto"/>
            </w:tcBorders>
            <w:vAlign w:val="center"/>
          </w:tcPr>
          <w:p w14:paraId="07A7769A" w14:textId="77777777" w:rsidR="000B173B" w:rsidRPr="002A5710" w:rsidRDefault="000B173B" w:rsidP="00A15226">
            <w:pPr>
              <w:pStyle w:val="Tabletext"/>
              <w:rPr>
                <w:szCs w:val="18"/>
              </w:rPr>
            </w:pPr>
            <w:r w:rsidRPr="002A5710">
              <w:rPr>
                <w:szCs w:val="18"/>
              </w:rPr>
              <w:t>Black-faced Monarch</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E7DA1AD" w14:textId="77777777" w:rsidR="000B173B" w:rsidRPr="002A5710" w:rsidRDefault="000B173B" w:rsidP="00A15226">
            <w:pPr>
              <w:pStyle w:val="Tabletext"/>
              <w:rPr>
                <w:szCs w:val="18"/>
              </w:rPr>
            </w:pPr>
            <w:r w:rsidRPr="002A5710">
              <w:rPr>
                <w:szCs w:val="18"/>
              </w:rPr>
              <w:t>Mig, B</w:t>
            </w:r>
          </w:p>
        </w:tc>
        <w:tc>
          <w:tcPr>
            <w:tcW w:w="495" w:type="pct"/>
            <w:tcBorders>
              <w:top w:val="single" w:sz="4" w:space="0" w:color="auto"/>
              <w:left w:val="single" w:sz="4" w:space="0" w:color="auto"/>
              <w:bottom w:val="single" w:sz="4" w:space="0" w:color="auto"/>
              <w:right w:val="single" w:sz="4" w:space="0" w:color="auto"/>
            </w:tcBorders>
            <w:vAlign w:val="center"/>
          </w:tcPr>
          <w:p w14:paraId="74B0385F" w14:textId="77777777" w:rsidR="000B173B" w:rsidRPr="002A5710" w:rsidRDefault="000B173B" w:rsidP="00A15226">
            <w:pPr>
              <w:pStyle w:val="Tabletext"/>
              <w:rPr>
                <w:szCs w:val="18"/>
              </w:rPr>
            </w:pPr>
            <w:r w:rsidRPr="002A5710">
              <w:rPr>
                <w:szCs w:val="18"/>
              </w:rPr>
              <w:t xml:space="preserve">Draft referral guidelines for 14 migratory birds </w:t>
            </w:r>
            <w:sdt>
              <w:sdtPr>
                <w:rPr>
                  <w:color w:val="000000"/>
                  <w:szCs w:val="18"/>
                </w:rPr>
                <w:tag w:val="MENDELEY_CITATION_v3_eyJjaXRhdGlvbklEIjoiTUVOREVMRVlfQ0lUQVRJT05fNDNmZTdlZTItMjk1OS00Y2ViLWE2M2EtYjQwMTJmY2Q3OTcx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483697880"/>
                <w:placeholder>
                  <w:docPart w:val="339B7D746526864D922760336FCFE603"/>
                </w:placeholder>
              </w:sdtPr>
              <w:sdtEndPr>
                <w:rPr>
                  <w:szCs w:val="20"/>
                </w:rPr>
              </w:sdtEndPr>
              <w:sdtContent>
                <w:r w:rsidRPr="002F46CE">
                  <w:rPr>
                    <w:color w:val="000000"/>
                  </w:rPr>
                  <w:t>(DoE, 2015c)</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76F7C24"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7AFA2CA5"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A8F9F4A" w14:textId="77777777" w:rsidR="000B173B" w:rsidRPr="002A5710" w:rsidRDefault="000B173B" w:rsidP="00A15226">
            <w:pPr>
              <w:pStyle w:val="Tabletext"/>
              <w:rPr>
                <w:szCs w:val="18"/>
              </w:rPr>
            </w:pPr>
            <w:r w:rsidRPr="002A5710">
              <w:rPr>
                <w:szCs w:val="18"/>
              </w:rPr>
              <w:t xml:space="preserve">2 individuals of the Black-faced Monarch have been recorded within the Study Area, which is below the threshold of an ecologically significant proportion of the species (460 individuals) </w:t>
            </w:r>
            <w:sdt>
              <w:sdtPr>
                <w:rPr>
                  <w:color w:val="000000"/>
                  <w:szCs w:val="18"/>
                </w:rPr>
                <w:tag w:val="MENDELEY_CITATION_v3_eyJjaXRhdGlvbklEIjoiTUVOREVMRVlfQ0lUQVRJT05fMDZhMDAzZmMtZjA2Ni00YjBmLThkZjEtZDJkMjBhZWM0ZWU5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33297125"/>
                <w:placeholder>
                  <w:docPart w:val="339B7D746526864D922760336FCFE603"/>
                </w:placeholder>
              </w:sdtPr>
              <w:sdtEndPr>
                <w:rPr>
                  <w:szCs w:val="20"/>
                </w:rPr>
              </w:sdtEndPr>
              <w:sdtContent>
                <w:r w:rsidRPr="002F46CE">
                  <w:rPr>
                    <w:color w:val="000000"/>
                  </w:rPr>
                  <w:t>(DoE, 2015c)</w:t>
                </w:r>
              </w:sdtContent>
            </w:sdt>
            <w:r w:rsidRPr="002A5710">
              <w:rPr>
                <w:szCs w:val="18"/>
              </w:rPr>
              <w:t>. These individuals are recorded as two separate records, one from 1993 and one from 1950. The more recent record occurs in the south-west of the Study Area, with the older record occurring near You Yangs Regional Park.</w:t>
            </w:r>
          </w:p>
          <w:p w14:paraId="22DEC28F" w14:textId="77777777" w:rsidR="000B173B" w:rsidRPr="002A5710" w:rsidRDefault="000B173B" w:rsidP="00A15226">
            <w:pPr>
              <w:pStyle w:val="Tabletext"/>
              <w:rPr>
                <w:szCs w:val="18"/>
              </w:rPr>
            </w:pPr>
            <w:r w:rsidRPr="002A5710">
              <w:rPr>
                <w:szCs w:val="18"/>
              </w:rPr>
              <w:t xml:space="preserve">The Migratory Bird Referral Guidelines describe important habitat for this species as follows: “Wet forest specialist, found mainly in rainforest and wet sclerophyll forest, especially in sheltered gullies and slopes with a dense understorey of ferns and/or shrubs.” </w:t>
            </w:r>
            <w:sdt>
              <w:sdtPr>
                <w:rPr>
                  <w:color w:val="000000"/>
                  <w:szCs w:val="18"/>
                </w:rPr>
                <w:tag w:val="MENDELEY_CITATION_v3_eyJjaXRhdGlvbklEIjoiTUVOREVMRVlfQ0lUQVRJT05fYjExMjMzYWYtNzI5NC00YzNlLWEwMGYtMjBmMzViMDgyODY1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39876088"/>
                <w:placeholder>
                  <w:docPart w:val="339B7D746526864D922760336FCFE603"/>
                </w:placeholder>
              </w:sdtPr>
              <w:sdtEndPr>
                <w:rPr>
                  <w:szCs w:val="20"/>
                </w:rPr>
              </w:sdtEndPr>
              <w:sdtContent>
                <w:r w:rsidRPr="002F46CE">
                  <w:rPr>
                    <w:color w:val="000000"/>
                  </w:rPr>
                  <w:t>(DoE, 2015c)</w:t>
                </w:r>
              </w:sdtContent>
            </w:sdt>
            <w:r w:rsidRPr="002A5710">
              <w:rPr>
                <w:szCs w:val="18"/>
              </w:rPr>
              <w:t xml:space="preserve">. It is noted that this habitat is absent from the Strategic Assessment Area and generally not present within the wider Study Area. </w:t>
            </w:r>
          </w:p>
          <w:p w14:paraId="56DAB845"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DC247B" w14:textId="77777777" w:rsidR="000B173B" w:rsidRPr="002A5710" w:rsidRDefault="000B173B" w:rsidP="00A15226">
            <w:pPr>
              <w:pStyle w:val="Tabletext"/>
              <w:rPr>
                <w:szCs w:val="18"/>
              </w:rPr>
            </w:pPr>
            <w:r w:rsidRPr="002A5710">
              <w:rPr>
                <w:szCs w:val="18"/>
              </w:rPr>
              <w:t>Category 2</w:t>
            </w:r>
          </w:p>
        </w:tc>
      </w:tr>
      <w:tr w:rsidR="000B173B" w:rsidRPr="002A5710" w14:paraId="0AA88F67"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E7B0ACA" w14:textId="77777777" w:rsidR="000B173B" w:rsidRPr="002A5710" w:rsidRDefault="000B173B" w:rsidP="00A15226">
            <w:pPr>
              <w:pStyle w:val="Tabletext"/>
              <w:rPr>
                <w:i/>
                <w:iCs/>
                <w:szCs w:val="18"/>
              </w:rPr>
            </w:pPr>
            <w:r w:rsidRPr="002A5710">
              <w:rPr>
                <w:i/>
                <w:iCs/>
                <w:szCs w:val="18"/>
              </w:rPr>
              <w:t>Motacilla flava</w:t>
            </w:r>
          </w:p>
        </w:tc>
        <w:tc>
          <w:tcPr>
            <w:tcW w:w="447" w:type="pct"/>
            <w:tcBorders>
              <w:top w:val="single" w:sz="4" w:space="0" w:color="auto"/>
              <w:left w:val="single" w:sz="4" w:space="0" w:color="auto"/>
              <w:bottom w:val="single" w:sz="4" w:space="0" w:color="auto"/>
              <w:right w:val="single" w:sz="4" w:space="0" w:color="auto"/>
            </w:tcBorders>
            <w:vAlign w:val="center"/>
          </w:tcPr>
          <w:p w14:paraId="5159F2C0" w14:textId="77777777" w:rsidR="000B173B" w:rsidRPr="002A5710" w:rsidRDefault="000B173B" w:rsidP="00A15226">
            <w:pPr>
              <w:pStyle w:val="Tabletext"/>
              <w:rPr>
                <w:szCs w:val="18"/>
              </w:rPr>
            </w:pPr>
            <w:r w:rsidRPr="002A5710">
              <w:rPr>
                <w:szCs w:val="18"/>
              </w:rPr>
              <w:t>Yellow Wagtail</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2C283E6" w14:textId="77777777" w:rsidR="000B173B" w:rsidRPr="002A5710" w:rsidRDefault="000B173B" w:rsidP="00A15226">
            <w:pPr>
              <w:pStyle w:val="Tabletext"/>
              <w:rPr>
                <w:szCs w:val="18"/>
              </w:rPr>
            </w:pPr>
            <w:r w:rsidRPr="002A5710">
              <w:rPr>
                <w:szCs w:val="18"/>
              </w:rPr>
              <w:t>Mig, C, J, K</w:t>
            </w:r>
          </w:p>
        </w:tc>
        <w:tc>
          <w:tcPr>
            <w:tcW w:w="495" w:type="pct"/>
            <w:tcBorders>
              <w:top w:val="single" w:sz="4" w:space="0" w:color="auto"/>
              <w:left w:val="single" w:sz="4" w:space="0" w:color="auto"/>
              <w:bottom w:val="single" w:sz="4" w:space="0" w:color="auto"/>
              <w:right w:val="single" w:sz="4" w:space="0" w:color="auto"/>
            </w:tcBorders>
            <w:vAlign w:val="center"/>
          </w:tcPr>
          <w:p w14:paraId="7B4AC15A" w14:textId="77777777" w:rsidR="000B173B" w:rsidRPr="002A5710" w:rsidRDefault="000B173B" w:rsidP="00A15226">
            <w:pPr>
              <w:pStyle w:val="Tabletext"/>
              <w:rPr>
                <w:szCs w:val="18"/>
              </w:rPr>
            </w:pPr>
            <w:r w:rsidRPr="002A5710">
              <w:rPr>
                <w:szCs w:val="18"/>
              </w:rPr>
              <w:t xml:space="preserve">Draft referral guidelines for 14 migratory birds </w:t>
            </w:r>
            <w:sdt>
              <w:sdtPr>
                <w:rPr>
                  <w:color w:val="000000"/>
                  <w:szCs w:val="18"/>
                </w:rPr>
                <w:tag w:val="MENDELEY_CITATION_v3_eyJjaXRhdGlvbklEIjoiTUVOREVMRVlfQ0lUQVRJT05fYjFkNjU2NWMtNDRmMS00MmMyLWI0NGMtZDlkYmE3YmRhMDcx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68914272"/>
                <w:placeholder>
                  <w:docPart w:val="339B7D746526864D922760336FCFE603"/>
                </w:placeholder>
              </w:sdtPr>
              <w:sdtEndPr>
                <w:rPr>
                  <w:szCs w:val="20"/>
                </w:rPr>
              </w:sdtEndPr>
              <w:sdtContent>
                <w:r w:rsidRPr="002F46CE">
                  <w:rPr>
                    <w:color w:val="000000"/>
                  </w:rPr>
                  <w:t>(DoE, 2015c)</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DE89FBE"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0452B24"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5894EC4D" w14:textId="77777777" w:rsidR="000B173B" w:rsidRPr="002A5710" w:rsidRDefault="000B173B" w:rsidP="00A15226">
            <w:pPr>
              <w:pStyle w:val="Tabletext"/>
              <w:rPr>
                <w:szCs w:val="18"/>
              </w:rPr>
            </w:pPr>
            <w:r w:rsidRPr="002A5710">
              <w:rPr>
                <w:szCs w:val="18"/>
              </w:rPr>
              <w:t xml:space="preserve">No individuals of the Yellow Wagtail have been recorded within the Study Area, which is below the threshold of an ecologically significant proportion of the species (1,000 individuals) </w:t>
            </w:r>
            <w:sdt>
              <w:sdtPr>
                <w:rPr>
                  <w:color w:val="000000"/>
                  <w:szCs w:val="18"/>
                </w:rPr>
                <w:tag w:val="MENDELEY_CITATION_v3_eyJjaXRhdGlvbklEIjoiTUVOREVMRVlfQ0lUQVRJT05fYTZkNjM2OTktODFiZi00MTY3LTg1Y2YtZmJlMWI2YTlhY2M0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2111084585"/>
                <w:placeholder>
                  <w:docPart w:val="339B7D746526864D922760336FCFE603"/>
                </w:placeholder>
              </w:sdtPr>
              <w:sdtEndPr>
                <w:rPr>
                  <w:szCs w:val="20"/>
                </w:rPr>
              </w:sdtEndPr>
              <w:sdtContent>
                <w:r w:rsidRPr="002F46CE">
                  <w:rPr>
                    <w:color w:val="000000"/>
                  </w:rPr>
                  <w:t>(DoE, 2015c)</w:t>
                </w:r>
              </w:sdtContent>
            </w:sdt>
            <w:r w:rsidRPr="002A5710">
              <w:rPr>
                <w:szCs w:val="18"/>
              </w:rPr>
              <w:t xml:space="preserve">. </w:t>
            </w:r>
          </w:p>
          <w:p w14:paraId="643A3936" w14:textId="77777777" w:rsidR="000B173B" w:rsidRPr="002A5710" w:rsidRDefault="000B173B" w:rsidP="00A15226">
            <w:pPr>
              <w:pStyle w:val="Tabletext"/>
              <w:rPr>
                <w:szCs w:val="18"/>
              </w:rPr>
            </w:pPr>
            <w:r w:rsidRPr="002A5710">
              <w:rPr>
                <w:szCs w:val="18"/>
              </w:rPr>
              <w:t>Given the absence of records of the species, it is unlikely that the Study Area supports important habitat for the species.</w:t>
            </w:r>
          </w:p>
          <w:p w14:paraId="28B1B465"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62501F" w14:textId="77777777" w:rsidR="000B173B" w:rsidRPr="002A5710" w:rsidRDefault="000B173B" w:rsidP="00A15226">
            <w:pPr>
              <w:pStyle w:val="Tabletext"/>
              <w:rPr>
                <w:szCs w:val="18"/>
              </w:rPr>
            </w:pPr>
            <w:r w:rsidRPr="002A5710">
              <w:rPr>
                <w:szCs w:val="18"/>
              </w:rPr>
              <w:t>Category 2</w:t>
            </w:r>
          </w:p>
        </w:tc>
      </w:tr>
      <w:tr w:rsidR="000B173B" w:rsidRPr="002A5710" w14:paraId="288FC35E"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F922999" w14:textId="77777777" w:rsidR="000B173B" w:rsidRPr="002A5710" w:rsidRDefault="000B173B" w:rsidP="00A15226">
            <w:pPr>
              <w:pStyle w:val="Tabletext"/>
              <w:rPr>
                <w:i/>
                <w:iCs/>
                <w:szCs w:val="18"/>
              </w:rPr>
            </w:pPr>
            <w:r w:rsidRPr="002A5710">
              <w:rPr>
                <w:i/>
                <w:iCs/>
                <w:szCs w:val="18"/>
              </w:rPr>
              <w:t>Myiagra cyanoleuca</w:t>
            </w:r>
          </w:p>
        </w:tc>
        <w:tc>
          <w:tcPr>
            <w:tcW w:w="447" w:type="pct"/>
            <w:tcBorders>
              <w:top w:val="single" w:sz="4" w:space="0" w:color="auto"/>
              <w:left w:val="single" w:sz="4" w:space="0" w:color="auto"/>
              <w:bottom w:val="single" w:sz="4" w:space="0" w:color="auto"/>
              <w:right w:val="single" w:sz="4" w:space="0" w:color="auto"/>
            </w:tcBorders>
            <w:vAlign w:val="center"/>
          </w:tcPr>
          <w:p w14:paraId="2552C1DA" w14:textId="77777777" w:rsidR="000B173B" w:rsidRPr="002A5710" w:rsidRDefault="000B173B" w:rsidP="00A15226">
            <w:pPr>
              <w:pStyle w:val="Tabletext"/>
              <w:rPr>
                <w:szCs w:val="18"/>
              </w:rPr>
            </w:pPr>
            <w:r w:rsidRPr="002A5710">
              <w:rPr>
                <w:szCs w:val="18"/>
              </w:rPr>
              <w:t>Satin Flycatcher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72E397FE" w14:textId="77777777" w:rsidR="000B173B" w:rsidRPr="002A5710" w:rsidRDefault="000B173B" w:rsidP="00A15226">
            <w:pPr>
              <w:pStyle w:val="Tabletext"/>
              <w:rPr>
                <w:szCs w:val="18"/>
              </w:rPr>
            </w:pPr>
            <w:r w:rsidRPr="002A5710">
              <w:rPr>
                <w:szCs w:val="18"/>
              </w:rPr>
              <w:t>Mig, B</w:t>
            </w:r>
          </w:p>
        </w:tc>
        <w:tc>
          <w:tcPr>
            <w:tcW w:w="495" w:type="pct"/>
            <w:tcBorders>
              <w:top w:val="single" w:sz="4" w:space="0" w:color="auto"/>
              <w:left w:val="single" w:sz="4" w:space="0" w:color="auto"/>
              <w:bottom w:val="single" w:sz="4" w:space="0" w:color="auto"/>
              <w:right w:val="single" w:sz="4" w:space="0" w:color="auto"/>
            </w:tcBorders>
            <w:vAlign w:val="center"/>
          </w:tcPr>
          <w:p w14:paraId="204AD646" w14:textId="77777777" w:rsidR="000B173B" w:rsidRPr="002A5710" w:rsidRDefault="000B173B" w:rsidP="00A15226">
            <w:pPr>
              <w:pStyle w:val="Tabletext"/>
              <w:rPr>
                <w:szCs w:val="18"/>
              </w:rPr>
            </w:pPr>
            <w:r w:rsidRPr="002A5710">
              <w:rPr>
                <w:szCs w:val="18"/>
              </w:rPr>
              <w:t xml:space="preserve">Draft referral guidelines for 14 migratory birds </w:t>
            </w:r>
            <w:sdt>
              <w:sdtPr>
                <w:rPr>
                  <w:color w:val="000000"/>
                  <w:szCs w:val="18"/>
                </w:rPr>
                <w:tag w:val="MENDELEY_CITATION_v3_eyJjaXRhdGlvbklEIjoiTUVOREVMRVlfQ0lUQVRJT05fZWNhNTkwMjYtOTEyNy00MmEzLWI3YWEtN2NjMjEwMzg0NGJk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141005156"/>
                <w:placeholder>
                  <w:docPart w:val="339B7D746526864D922760336FCFE603"/>
                </w:placeholder>
              </w:sdtPr>
              <w:sdtEndPr>
                <w:rPr>
                  <w:szCs w:val="20"/>
                </w:rPr>
              </w:sdtEndPr>
              <w:sdtContent>
                <w:r w:rsidRPr="002F46CE">
                  <w:rPr>
                    <w:color w:val="000000"/>
                  </w:rPr>
                  <w:t>(DoE, 2015c)</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20AFD97"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AAF729B"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7CC7B9A" w14:textId="77777777" w:rsidR="000B173B" w:rsidRPr="002A5710" w:rsidRDefault="000B173B" w:rsidP="00A15226">
            <w:pPr>
              <w:pStyle w:val="Tabletext"/>
              <w:rPr>
                <w:szCs w:val="18"/>
              </w:rPr>
            </w:pPr>
            <w:r w:rsidRPr="002A5710">
              <w:rPr>
                <w:szCs w:val="18"/>
              </w:rPr>
              <w:t xml:space="preserve">155 individuals of the Satin Flycatcher have been recorded within the Study Area, which is below the threshold of an ecologically significant proportion of the species (1,700 individuals) </w:t>
            </w:r>
            <w:sdt>
              <w:sdtPr>
                <w:rPr>
                  <w:color w:val="000000"/>
                  <w:szCs w:val="18"/>
                </w:rPr>
                <w:tag w:val="MENDELEY_CITATION_v3_eyJjaXRhdGlvbklEIjoiTUVOREVMRVlfQ0lUQVRJT05fNjVkZDhhMmYtNzMyMi00NjE5LThjNTgtNzEzOGRmMjA3NGJj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538205495"/>
                <w:placeholder>
                  <w:docPart w:val="339B7D746526864D922760336FCFE603"/>
                </w:placeholder>
              </w:sdtPr>
              <w:sdtEndPr>
                <w:rPr>
                  <w:szCs w:val="20"/>
                </w:rPr>
              </w:sdtEndPr>
              <w:sdtContent>
                <w:r w:rsidRPr="002F46CE">
                  <w:rPr>
                    <w:color w:val="000000"/>
                  </w:rPr>
                  <w:t>(DoE, 2015c)</w:t>
                </w:r>
              </w:sdtContent>
            </w:sdt>
            <w:r w:rsidRPr="002A5710">
              <w:rPr>
                <w:szCs w:val="18"/>
              </w:rPr>
              <w:t xml:space="preserve">. </w:t>
            </w:r>
          </w:p>
          <w:p w14:paraId="6AAE8DDF" w14:textId="77777777" w:rsidR="000B173B" w:rsidRPr="002A5710" w:rsidRDefault="000B173B" w:rsidP="00A15226">
            <w:pPr>
              <w:pStyle w:val="Tabletext"/>
              <w:rPr>
                <w:szCs w:val="18"/>
              </w:rPr>
            </w:pPr>
            <w:r w:rsidRPr="002A5710">
              <w:rPr>
                <w:szCs w:val="18"/>
              </w:rPr>
              <w:t>Records are scattered throughout the Study Area, with the highest record densities occurring within the Brisbane Ranges National Park locality, and in You Yangs Regional Park.</w:t>
            </w:r>
          </w:p>
          <w:p w14:paraId="4585966D" w14:textId="77777777" w:rsidR="000B173B" w:rsidRPr="002A5710" w:rsidRDefault="000B173B" w:rsidP="00A15226">
            <w:pPr>
              <w:pStyle w:val="Tabletext"/>
              <w:rPr>
                <w:rFonts w:eastAsia="Times New Roman"/>
                <w:szCs w:val="18"/>
                <w:lang w:eastAsia="en-GB"/>
              </w:rPr>
            </w:pPr>
            <w:r w:rsidRPr="002A5710">
              <w:rPr>
                <w:szCs w:val="18"/>
              </w:rPr>
              <w:lastRenderedPageBreak/>
              <w:t xml:space="preserve">The Migratory Bird Referral Guidelines describe important habitat for this species as follows: “Eucalypt forest and woodlands, at high elevations when breeding. They are particularly common in tall wet sclerophyll forest, often in gullies or along water courses. In woodlands they prefer open, grassy woodland types. During migration, habitat preferences expand, with the species recorded in most wooded habitats except rainforests. Wintering birds in northern Qld will use rainforest - gallery forests interfaces, and birds have been recorded wintering in mangroves and paperbark swamps.” </w:t>
            </w:r>
            <w:sdt>
              <w:sdtPr>
                <w:rPr>
                  <w:color w:val="000000"/>
                  <w:szCs w:val="18"/>
                </w:rPr>
                <w:tag w:val="MENDELEY_CITATION_v3_eyJjaXRhdGlvbklEIjoiTUVOREVMRVlfQ0lUQVRJT05fMGQyODFkMzktY2ViNC00MjE0LWFiM2ItM2U1ZmE5MWNkYmMw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646702902"/>
                <w:placeholder>
                  <w:docPart w:val="339B7D746526864D922760336FCFE603"/>
                </w:placeholder>
              </w:sdtPr>
              <w:sdtEndPr>
                <w:rPr>
                  <w:szCs w:val="20"/>
                </w:rPr>
              </w:sdtEndPr>
              <w:sdtContent>
                <w:r w:rsidRPr="002F46CE">
                  <w:rPr>
                    <w:color w:val="000000"/>
                  </w:rPr>
                  <w:t>(DoE, 2015c)</w:t>
                </w:r>
              </w:sdtContent>
            </w:sdt>
            <w:r w:rsidRPr="002A5710">
              <w:rPr>
                <w:szCs w:val="18"/>
              </w:rPr>
              <w:t>.</w:t>
            </w:r>
          </w:p>
          <w:p w14:paraId="30E8BB73" w14:textId="77777777" w:rsidR="000B173B" w:rsidRPr="002A5710" w:rsidRDefault="000B173B" w:rsidP="00A15226">
            <w:pPr>
              <w:pStyle w:val="Tabletext"/>
              <w:rPr>
                <w:szCs w:val="18"/>
              </w:rPr>
            </w:pPr>
            <w:r w:rsidRPr="002A5710">
              <w:rPr>
                <w:szCs w:val="18"/>
              </w:rPr>
              <w:t>Given the low number of individuals recorded within the Study Area, and the general absence of habitat matching the description of important habitat within the Study Area, it is considered unlikely that the Study Area provides important habitat for this species. While some individuals may occur in more elevated regions, these localities are considered unlikely to be impacted by the Plan.</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B6BFB2C"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3EF3D249" w14:textId="77777777" w:rsidTr="00A15226">
        <w:trPr>
          <w:trHeight w:val="145"/>
        </w:trPr>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E46B4B5" w14:textId="77777777" w:rsidR="000B173B" w:rsidRPr="002A5710" w:rsidRDefault="000B173B" w:rsidP="00A15226">
            <w:pPr>
              <w:pStyle w:val="Tabletext"/>
              <w:rPr>
                <w:i/>
                <w:iCs/>
                <w:szCs w:val="18"/>
              </w:rPr>
            </w:pPr>
            <w:r w:rsidRPr="002A5710">
              <w:rPr>
                <w:i/>
                <w:iCs/>
                <w:szCs w:val="18"/>
              </w:rPr>
              <w:t>Numenius madagascariensis</w:t>
            </w:r>
          </w:p>
        </w:tc>
        <w:tc>
          <w:tcPr>
            <w:tcW w:w="447" w:type="pct"/>
            <w:tcBorders>
              <w:top w:val="single" w:sz="4" w:space="0" w:color="auto"/>
              <w:left w:val="single" w:sz="4" w:space="0" w:color="auto"/>
              <w:bottom w:val="single" w:sz="4" w:space="0" w:color="auto"/>
              <w:right w:val="single" w:sz="4" w:space="0" w:color="auto"/>
            </w:tcBorders>
            <w:vAlign w:val="center"/>
          </w:tcPr>
          <w:p w14:paraId="698F4923" w14:textId="77777777" w:rsidR="000B173B" w:rsidRPr="002A5710" w:rsidRDefault="000B173B" w:rsidP="00A15226">
            <w:pPr>
              <w:pStyle w:val="Tabletext"/>
              <w:rPr>
                <w:szCs w:val="18"/>
              </w:rPr>
            </w:pPr>
            <w:r w:rsidRPr="002A5710">
              <w:rPr>
                <w:szCs w:val="18"/>
              </w:rPr>
              <w:t>Eastern Curlew, Far Eastern Curlew</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8F5A533" w14:textId="77777777" w:rsidR="000B173B" w:rsidRPr="002A5710" w:rsidRDefault="000B173B" w:rsidP="00A15226">
            <w:pPr>
              <w:pStyle w:val="Tabletext"/>
              <w:rPr>
                <w:szCs w:val="18"/>
              </w:rPr>
            </w:pPr>
            <w:r w:rsidRPr="002A5710">
              <w:rPr>
                <w:szCs w:val="18"/>
              </w:rPr>
              <w:t>CE, 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42CF5511"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ZWRlNGRlZTctYThiZi00MTUwLTkwOWQtMDc5ZGMwODAyNGNh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017203559"/>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6FF4837" w14:textId="77777777" w:rsidR="000B173B" w:rsidRPr="002A5710" w:rsidRDefault="000B173B" w:rsidP="00A15226">
            <w:pPr>
              <w:pStyle w:val="Tabletext"/>
              <w:jc w:val="center"/>
              <w:rPr>
                <w:szCs w:val="18"/>
              </w:rPr>
            </w:pPr>
            <w:r w:rsidRPr="002A5710">
              <w:rPr>
                <w:szCs w:val="18"/>
              </w:rPr>
              <w:t>-</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A82340F" w14:textId="77777777" w:rsidR="000B173B" w:rsidRPr="002A5710" w:rsidRDefault="000B173B" w:rsidP="00A15226">
            <w:pPr>
              <w:pStyle w:val="Tabletext"/>
              <w:jc w:val="center"/>
              <w:rPr>
                <w:szCs w:val="18"/>
              </w:rPr>
            </w:pPr>
            <w:r w:rsidRPr="002A5710">
              <w:rPr>
                <w:szCs w:val="18"/>
              </w:rPr>
              <w:t>-</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013E143" w14:textId="77777777" w:rsidR="000B173B" w:rsidRPr="002A5710" w:rsidRDefault="000B173B" w:rsidP="00A15226">
            <w:pPr>
              <w:pStyle w:val="Tabletext"/>
              <w:rPr>
                <w:szCs w:val="18"/>
              </w:rPr>
            </w:pPr>
            <w:r w:rsidRPr="002A5710">
              <w:rPr>
                <w:szCs w:val="18"/>
              </w:rPr>
              <w:t>This species has been triggered as a Category 1 threatened species.</w:t>
            </w:r>
          </w:p>
          <w:p w14:paraId="75B5C1EB" w14:textId="77777777" w:rsidR="000B173B" w:rsidRPr="002A5710" w:rsidRDefault="000B173B" w:rsidP="00A15226">
            <w:pPr>
              <w:pStyle w:val="Tabletext"/>
              <w:rPr>
                <w:szCs w:val="18"/>
              </w:rPr>
            </w:pPr>
            <w:r w:rsidRPr="002A5710">
              <w:rPr>
                <w:szCs w:val="18"/>
              </w:rPr>
              <w:t>Note that assessment of this species is contained within the threatened fauna assessment in Chapter 19.</w:t>
            </w:r>
            <w:r>
              <w:rPr>
                <w:szCs w:val="18"/>
              </w:rPr>
              <w:t xml:space="preserve"> </w:t>
            </w:r>
            <w:r>
              <w:t>Refer to Section 19.4 of Part 4 for the detailed impact assessment of the Eastern Curlew.</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8DD5ADE" w14:textId="77777777" w:rsidR="000B173B" w:rsidRPr="002A5710" w:rsidRDefault="000B173B" w:rsidP="00A15226">
            <w:pPr>
              <w:pStyle w:val="Tabletext"/>
              <w:rPr>
                <w:szCs w:val="18"/>
              </w:rPr>
            </w:pPr>
            <w:r w:rsidRPr="002A5710">
              <w:rPr>
                <w:szCs w:val="18"/>
              </w:rPr>
              <w:t>Category 1</w:t>
            </w:r>
          </w:p>
        </w:tc>
      </w:tr>
      <w:tr w:rsidR="000B173B" w:rsidRPr="002A5710" w14:paraId="7479E366"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AD719FB" w14:textId="77777777" w:rsidR="000B173B" w:rsidRPr="002A5710" w:rsidRDefault="000B173B" w:rsidP="00A15226">
            <w:pPr>
              <w:pStyle w:val="Tabletext"/>
              <w:rPr>
                <w:i/>
                <w:iCs/>
                <w:szCs w:val="18"/>
              </w:rPr>
            </w:pPr>
            <w:r w:rsidRPr="002A5710">
              <w:rPr>
                <w:i/>
                <w:iCs/>
                <w:szCs w:val="18"/>
              </w:rPr>
              <w:t>Numenius minutus</w:t>
            </w:r>
          </w:p>
        </w:tc>
        <w:tc>
          <w:tcPr>
            <w:tcW w:w="447" w:type="pct"/>
            <w:tcBorders>
              <w:top w:val="single" w:sz="4" w:space="0" w:color="auto"/>
              <w:left w:val="single" w:sz="4" w:space="0" w:color="auto"/>
              <w:bottom w:val="single" w:sz="4" w:space="0" w:color="auto"/>
              <w:right w:val="single" w:sz="4" w:space="0" w:color="auto"/>
            </w:tcBorders>
            <w:vAlign w:val="center"/>
          </w:tcPr>
          <w:p w14:paraId="190C7566" w14:textId="77777777" w:rsidR="000B173B" w:rsidRPr="002A5710" w:rsidRDefault="000B173B" w:rsidP="00A15226">
            <w:pPr>
              <w:pStyle w:val="Tabletext"/>
              <w:rPr>
                <w:szCs w:val="18"/>
              </w:rPr>
            </w:pPr>
            <w:r w:rsidRPr="002A5710">
              <w:rPr>
                <w:szCs w:val="18"/>
              </w:rPr>
              <w:t>Little Curlew, Little Whimbrel</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E007AE9"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4378009B"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NzNiYWQ0MDUtY2VlNC00YzIyLTliOWEtZmRlZjA3YmViNDhk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99229018"/>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DBC0A7B"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1EAF828"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0E3F10E4" w14:textId="77777777" w:rsidR="000B173B" w:rsidRPr="002A5710" w:rsidRDefault="000B173B" w:rsidP="00A15226">
            <w:pPr>
              <w:pStyle w:val="Tabletext"/>
              <w:rPr>
                <w:szCs w:val="18"/>
              </w:rPr>
            </w:pPr>
            <w:r w:rsidRPr="002A5710">
              <w:rPr>
                <w:szCs w:val="18"/>
              </w:rPr>
              <w:t xml:space="preserve">No individuals of the Little Curlew have been recorded within the Study Area within the past 5 years, which is below the threshold of an ecologically significant proportion of the species (110 individuals within the last 5 years) </w:t>
            </w:r>
            <w:sdt>
              <w:sdtPr>
                <w:rPr>
                  <w:szCs w:val="18"/>
                </w:rPr>
                <w:tag w:val="MENDELEY_CITATION_v3_eyJjaXRhdGlvbklEIjoiTUVOREVMRVlfQ0lUQVRJT05fODEzMWRkOTgtYjFiMi00OWFiLWExMDYtN2RhNzg0Y2IxNzg4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887026753"/>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2477C60F" w14:textId="77777777" w:rsidR="000B173B" w:rsidRPr="002A5710" w:rsidRDefault="000B173B" w:rsidP="00A15226">
            <w:pPr>
              <w:pStyle w:val="Tabletext"/>
              <w:rPr>
                <w:szCs w:val="18"/>
              </w:rPr>
            </w:pPr>
            <w:r w:rsidRPr="002A5710">
              <w:rPr>
                <w:szCs w:val="18"/>
              </w:rPr>
              <w:t xml:space="preserve">No important habitat for the Little Curlew has been mapped by Birdlife Australia within the Study Area </w:t>
            </w:r>
            <w:sdt>
              <w:sdtPr>
                <w:rPr>
                  <w:szCs w:val="18"/>
                </w:rPr>
                <w:tag w:val="MENDELEY_CITATION_v3_eyJjaXRhdGlvbklEIjoiTUVOREVMRVlfQ0lUQVRJT05fOGJmZDlhNWMtNTIzOC00NzVkLWE0NzItZTk3NDQzNTE1MWJj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2088912868"/>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21F5EF03"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2DF1D74" w14:textId="77777777" w:rsidR="000B173B" w:rsidRPr="002A5710" w:rsidRDefault="000B173B" w:rsidP="00A15226">
            <w:pPr>
              <w:pStyle w:val="Tabletext"/>
              <w:rPr>
                <w:szCs w:val="18"/>
              </w:rPr>
            </w:pPr>
            <w:r w:rsidRPr="002A5710">
              <w:rPr>
                <w:szCs w:val="18"/>
              </w:rPr>
              <w:t>Category 2</w:t>
            </w:r>
          </w:p>
        </w:tc>
      </w:tr>
      <w:tr w:rsidR="000B173B" w:rsidRPr="002A5710" w14:paraId="745FF547"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315AE6E" w14:textId="77777777" w:rsidR="000B173B" w:rsidRPr="002A5710" w:rsidRDefault="000B173B" w:rsidP="00A15226">
            <w:pPr>
              <w:pStyle w:val="Tabletext"/>
              <w:rPr>
                <w:i/>
                <w:iCs/>
                <w:szCs w:val="18"/>
              </w:rPr>
            </w:pPr>
            <w:r w:rsidRPr="002A5710">
              <w:rPr>
                <w:i/>
                <w:iCs/>
                <w:szCs w:val="18"/>
              </w:rPr>
              <w:t>Numenius phaeopus</w:t>
            </w:r>
          </w:p>
        </w:tc>
        <w:tc>
          <w:tcPr>
            <w:tcW w:w="447" w:type="pct"/>
            <w:tcBorders>
              <w:top w:val="single" w:sz="4" w:space="0" w:color="auto"/>
              <w:left w:val="single" w:sz="4" w:space="0" w:color="auto"/>
              <w:bottom w:val="single" w:sz="4" w:space="0" w:color="auto"/>
              <w:right w:val="single" w:sz="4" w:space="0" w:color="auto"/>
            </w:tcBorders>
            <w:vAlign w:val="center"/>
          </w:tcPr>
          <w:p w14:paraId="71D15480" w14:textId="77777777" w:rsidR="000B173B" w:rsidRPr="002A5710" w:rsidRDefault="000B173B" w:rsidP="00A15226">
            <w:pPr>
              <w:pStyle w:val="Tabletext"/>
              <w:rPr>
                <w:szCs w:val="18"/>
              </w:rPr>
            </w:pPr>
            <w:r w:rsidRPr="002A5710">
              <w:rPr>
                <w:szCs w:val="18"/>
              </w:rPr>
              <w:t>Whimbrel</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6A3A898"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4F877D73"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YWNhYjZkNzItNDZkOS00MDA0LTg5YzYtMWYwYWQ0ZGY4ODdi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123768435"/>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BE48164"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844A049"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BC5EAE1" w14:textId="77777777" w:rsidR="000B173B" w:rsidRPr="002A5710" w:rsidRDefault="000B173B" w:rsidP="00A15226">
            <w:pPr>
              <w:pStyle w:val="Tabletext"/>
              <w:rPr>
                <w:szCs w:val="18"/>
              </w:rPr>
            </w:pPr>
            <w:r w:rsidRPr="002A5710">
              <w:rPr>
                <w:szCs w:val="18"/>
              </w:rPr>
              <w:t xml:space="preserve">5 individuals of the Whimbrel have been recorded within the Study Area within the past 5 years, which is below the threshold of an ecologically significant proportion of the species (65 individuals within the last 5 years) </w:t>
            </w:r>
            <w:sdt>
              <w:sdtPr>
                <w:rPr>
                  <w:szCs w:val="18"/>
                </w:rPr>
                <w:tag w:val="MENDELEY_CITATION_v3_eyJjaXRhdGlvbklEIjoiTUVOREVMRVlfQ0lUQVRJT05fZGFlMDNjN2UtNmZhOS00NGQ0LTg0OTUtMDMyZmY4ZTgyY2Rk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374694997"/>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22D0BC31" w14:textId="77777777" w:rsidR="000B173B" w:rsidRPr="002A5710" w:rsidRDefault="000B173B" w:rsidP="00A15226">
            <w:pPr>
              <w:pStyle w:val="Tabletext"/>
              <w:rPr>
                <w:szCs w:val="18"/>
              </w:rPr>
            </w:pPr>
            <w:r w:rsidRPr="002A5710">
              <w:rPr>
                <w:szCs w:val="18"/>
              </w:rPr>
              <w:lastRenderedPageBreak/>
              <w:t xml:space="preserve">No important habitat for the Whimbrel has been mapped by Birdlife Australia within the Study Area </w:t>
            </w:r>
            <w:sdt>
              <w:sdtPr>
                <w:rPr>
                  <w:szCs w:val="18"/>
                </w:rPr>
                <w:tag w:val="MENDELEY_CITATION_v3_eyJjaXRhdGlvbklEIjoiTUVOREVMRVlfQ0lUQVRJT05fZTg0ZGFkZDctYmE3ZC00Y2MwLWJlMjYtNWQ2MzBhMzUxYjY3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640623149"/>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3CD0606B"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10FC0B0"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23B73327"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051A0BA" w14:textId="77777777" w:rsidR="000B173B" w:rsidRPr="002A5710" w:rsidRDefault="000B173B" w:rsidP="00A15226">
            <w:pPr>
              <w:pStyle w:val="Tabletext"/>
              <w:rPr>
                <w:i/>
                <w:iCs/>
                <w:szCs w:val="18"/>
              </w:rPr>
            </w:pPr>
            <w:r w:rsidRPr="002A5710">
              <w:rPr>
                <w:i/>
                <w:iCs/>
                <w:szCs w:val="18"/>
              </w:rPr>
              <w:t>Pandion haliaetus</w:t>
            </w:r>
          </w:p>
        </w:tc>
        <w:tc>
          <w:tcPr>
            <w:tcW w:w="447" w:type="pct"/>
            <w:tcBorders>
              <w:top w:val="single" w:sz="4" w:space="0" w:color="auto"/>
              <w:left w:val="single" w:sz="4" w:space="0" w:color="auto"/>
              <w:bottom w:val="single" w:sz="4" w:space="0" w:color="auto"/>
              <w:right w:val="single" w:sz="4" w:space="0" w:color="auto"/>
            </w:tcBorders>
            <w:vAlign w:val="center"/>
          </w:tcPr>
          <w:p w14:paraId="768FC3AD" w14:textId="77777777" w:rsidR="000B173B" w:rsidRPr="002A5710" w:rsidRDefault="000B173B" w:rsidP="00A15226">
            <w:pPr>
              <w:pStyle w:val="Tabletext"/>
              <w:rPr>
                <w:szCs w:val="18"/>
              </w:rPr>
            </w:pPr>
            <w:r w:rsidRPr="002A5710">
              <w:rPr>
                <w:szCs w:val="18"/>
              </w:rPr>
              <w:t>Osprey</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452C853" w14:textId="77777777" w:rsidR="000B173B" w:rsidRPr="002A5710" w:rsidRDefault="000B173B" w:rsidP="00A15226">
            <w:pPr>
              <w:pStyle w:val="Tabletext"/>
              <w:rPr>
                <w:szCs w:val="18"/>
              </w:rPr>
            </w:pPr>
            <w:r w:rsidRPr="002A5710">
              <w:rPr>
                <w:szCs w:val="18"/>
              </w:rPr>
              <w:t>Mig, B</w:t>
            </w:r>
          </w:p>
        </w:tc>
        <w:tc>
          <w:tcPr>
            <w:tcW w:w="495" w:type="pct"/>
            <w:tcBorders>
              <w:top w:val="single" w:sz="4" w:space="0" w:color="auto"/>
              <w:left w:val="single" w:sz="4" w:space="0" w:color="auto"/>
              <w:bottom w:val="single" w:sz="4" w:space="0" w:color="auto"/>
              <w:right w:val="single" w:sz="4" w:space="0" w:color="auto"/>
            </w:tcBorders>
            <w:vAlign w:val="center"/>
          </w:tcPr>
          <w:p w14:paraId="76DBD105" w14:textId="77777777" w:rsidR="000B173B" w:rsidRPr="002A5710" w:rsidRDefault="000B173B" w:rsidP="00A15226">
            <w:pPr>
              <w:pStyle w:val="Tabletext"/>
              <w:rPr>
                <w:szCs w:val="18"/>
              </w:rPr>
            </w:pPr>
            <w:r w:rsidRPr="002A5710">
              <w:rPr>
                <w:szCs w:val="18"/>
              </w:rPr>
              <w:t xml:space="preserve">Draft referral guidelines for 14 migratory birds </w:t>
            </w:r>
            <w:sdt>
              <w:sdtPr>
                <w:rPr>
                  <w:color w:val="000000"/>
                  <w:szCs w:val="18"/>
                </w:rPr>
                <w:tag w:val="MENDELEY_CITATION_v3_eyJjaXRhdGlvbklEIjoiTUVOREVMRVlfQ0lUQVRJT05fMTM2MWQzMDctNGRhMy00ZmFhLWE2NTAtNmQzOTkyZGYyOGVh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33731048"/>
                <w:placeholder>
                  <w:docPart w:val="339B7D746526864D922760336FCFE603"/>
                </w:placeholder>
              </w:sdtPr>
              <w:sdtEndPr>
                <w:rPr>
                  <w:szCs w:val="20"/>
                </w:rPr>
              </w:sdtEndPr>
              <w:sdtContent>
                <w:r w:rsidRPr="002F46CE">
                  <w:rPr>
                    <w:color w:val="000000"/>
                  </w:rPr>
                  <w:t>(DoE, 2015c)</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9EEA7D9"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3AA136A"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EB78C58" w14:textId="77777777" w:rsidR="000B173B" w:rsidRPr="002A5710" w:rsidRDefault="000B173B" w:rsidP="00A15226">
            <w:pPr>
              <w:pStyle w:val="Tabletext"/>
              <w:rPr>
                <w:szCs w:val="18"/>
              </w:rPr>
            </w:pPr>
            <w:r w:rsidRPr="002A5710">
              <w:rPr>
                <w:szCs w:val="18"/>
              </w:rPr>
              <w:t xml:space="preserve">No individuals of the Osprey have been recorded within the Study Area, which is below the threshold of an ecologically significant proportion of the species (24 individuals) </w:t>
            </w:r>
            <w:sdt>
              <w:sdtPr>
                <w:rPr>
                  <w:color w:val="000000"/>
                  <w:szCs w:val="18"/>
                </w:rPr>
                <w:tag w:val="MENDELEY_CITATION_v3_eyJjaXRhdGlvbklEIjoiTUVOREVMRVlfQ0lUQVRJT05fNThiYzE1MmEtYTFiMi00YmEyLTliNzQtMmJlOTA1YjM2NmZi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1433045277"/>
                <w:placeholder>
                  <w:docPart w:val="339B7D746526864D922760336FCFE603"/>
                </w:placeholder>
              </w:sdtPr>
              <w:sdtEndPr>
                <w:rPr>
                  <w:szCs w:val="20"/>
                </w:rPr>
              </w:sdtEndPr>
              <w:sdtContent>
                <w:r w:rsidRPr="002F46CE">
                  <w:rPr>
                    <w:color w:val="000000"/>
                  </w:rPr>
                  <w:t>(DoE, 2015c)</w:t>
                </w:r>
              </w:sdtContent>
            </w:sdt>
            <w:r w:rsidRPr="002A5710">
              <w:rPr>
                <w:szCs w:val="18"/>
              </w:rPr>
              <w:t xml:space="preserve">. </w:t>
            </w:r>
          </w:p>
          <w:p w14:paraId="528FE6B5" w14:textId="77777777" w:rsidR="000B173B" w:rsidRPr="002A5710" w:rsidRDefault="000B173B" w:rsidP="00A15226">
            <w:pPr>
              <w:pStyle w:val="Tabletext"/>
              <w:rPr>
                <w:szCs w:val="18"/>
              </w:rPr>
            </w:pPr>
            <w:r w:rsidRPr="002A5710">
              <w:rPr>
                <w:szCs w:val="18"/>
              </w:rPr>
              <w:t>Given the absence of records of the species, it is unlikely that the Study Area supports important habitat for the species.</w:t>
            </w:r>
          </w:p>
          <w:p w14:paraId="75928651"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137C618" w14:textId="77777777" w:rsidR="000B173B" w:rsidRPr="002A5710" w:rsidRDefault="000B173B" w:rsidP="00A15226">
            <w:pPr>
              <w:pStyle w:val="Tabletext"/>
              <w:rPr>
                <w:szCs w:val="18"/>
              </w:rPr>
            </w:pPr>
            <w:r w:rsidRPr="002A5710">
              <w:rPr>
                <w:szCs w:val="18"/>
              </w:rPr>
              <w:t>Category 2</w:t>
            </w:r>
          </w:p>
        </w:tc>
      </w:tr>
      <w:tr w:rsidR="000B173B" w:rsidRPr="002A5710" w14:paraId="180D76C2"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46322DFE" w14:textId="77777777" w:rsidR="000B173B" w:rsidRPr="002A5710" w:rsidRDefault="000B173B" w:rsidP="00A15226">
            <w:pPr>
              <w:pStyle w:val="Tabletext"/>
              <w:rPr>
                <w:i/>
                <w:iCs/>
                <w:szCs w:val="18"/>
              </w:rPr>
            </w:pPr>
            <w:r w:rsidRPr="002A5710">
              <w:rPr>
                <w:i/>
                <w:iCs/>
                <w:szCs w:val="18"/>
              </w:rPr>
              <w:t>Phalaropus lobatus</w:t>
            </w:r>
          </w:p>
        </w:tc>
        <w:tc>
          <w:tcPr>
            <w:tcW w:w="447" w:type="pct"/>
            <w:tcBorders>
              <w:top w:val="single" w:sz="4" w:space="0" w:color="auto"/>
              <w:left w:val="single" w:sz="4" w:space="0" w:color="auto"/>
              <w:bottom w:val="single" w:sz="4" w:space="0" w:color="auto"/>
              <w:right w:val="single" w:sz="4" w:space="0" w:color="auto"/>
            </w:tcBorders>
            <w:vAlign w:val="center"/>
          </w:tcPr>
          <w:p w14:paraId="0E1B466A" w14:textId="77777777" w:rsidR="000B173B" w:rsidRPr="002A5710" w:rsidRDefault="000B173B" w:rsidP="00A15226">
            <w:pPr>
              <w:pStyle w:val="Tabletext"/>
              <w:rPr>
                <w:szCs w:val="18"/>
              </w:rPr>
            </w:pPr>
            <w:r w:rsidRPr="002A5710">
              <w:rPr>
                <w:szCs w:val="18"/>
              </w:rPr>
              <w:t>Red-necked Phalarope</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4768FB84"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2185DAD6"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TY3MDcyYmMtOGUxZi00ZDcyLWEyMDctYzYwNDAwOGVjNTZk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606423964"/>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728FC17"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A5BC89B"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5E2BE2BC" w14:textId="77777777" w:rsidR="000B173B" w:rsidRPr="002A5710" w:rsidRDefault="000B173B" w:rsidP="00A15226">
            <w:pPr>
              <w:pStyle w:val="Tabletext"/>
              <w:rPr>
                <w:szCs w:val="18"/>
              </w:rPr>
            </w:pPr>
            <w:r w:rsidRPr="002A5710">
              <w:rPr>
                <w:szCs w:val="18"/>
              </w:rPr>
              <w:t xml:space="preserve">No individuals of the Red-necked Phalarope have been recorded within the Study Area within the past 5 years, which is below the threshold of an ecologically significant proportion of the species (250 individuals within the last 5 years) </w:t>
            </w:r>
            <w:sdt>
              <w:sdtPr>
                <w:rPr>
                  <w:szCs w:val="18"/>
                </w:rPr>
                <w:tag w:val="MENDELEY_CITATION_v3_eyJjaXRhdGlvbklEIjoiTUVOREVMRVlfQ0lUQVRJT05fNmEwOTQzNmItYThjMi00ZTBiLTgxYmUtNTZhYTEzZjFkZGNl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286244551"/>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54A62CDF" w14:textId="77777777" w:rsidR="000B173B" w:rsidRPr="002A5710" w:rsidRDefault="000B173B" w:rsidP="00A15226">
            <w:pPr>
              <w:pStyle w:val="Tabletext"/>
              <w:rPr>
                <w:szCs w:val="18"/>
              </w:rPr>
            </w:pPr>
            <w:r w:rsidRPr="002A5710">
              <w:rPr>
                <w:szCs w:val="18"/>
              </w:rPr>
              <w:t xml:space="preserve">No important habitat for the Red-necked Phalarope has been mapped by Birdlife Australia within the Study Area </w:t>
            </w:r>
            <w:sdt>
              <w:sdtPr>
                <w:rPr>
                  <w:szCs w:val="18"/>
                </w:rPr>
                <w:tag w:val="MENDELEY_CITATION_v3_eyJjaXRhdGlvbklEIjoiTUVOREVMRVlfQ0lUQVRJT05fZmZmOTQ2ZTgtMTNiNS00MmIwLTgwNTEtZTRkM2JmNmI4YWI5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407118874"/>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06145A68"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5DCF0C4" w14:textId="77777777" w:rsidR="000B173B" w:rsidRPr="002A5710" w:rsidRDefault="000B173B" w:rsidP="00A15226">
            <w:pPr>
              <w:pStyle w:val="Tabletext"/>
              <w:rPr>
                <w:szCs w:val="18"/>
              </w:rPr>
            </w:pPr>
            <w:r w:rsidRPr="002A5710">
              <w:rPr>
                <w:szCs w:val="18"/>
              </w:rPr>
              <w:t>Category 2</w:t>
            </w:r>
          </w:p>
        </w:tc>
      </w:tr>
      <w:tr w:rsidR="000B173B" w:rsidRPr="002A5710" w14:paraId="36157179"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791A500" w14:textId="77777777" w:rsidR="000B173B" w:rsidRPr="002A5710" w:rsidRDefault="000B173B" w:rsidP="00A15226">
            <w:pPr>
              <w:pStyle w:val="Tabletext"/>
              <w:rPr>
                <w:i/>
                <w:iCs/>
                <w:szCs w:val="18"/>
              </w:rPr>
            </w:pPr>
            <w:r w:rsidRPr="002A5710">
              <w:rPr>
                <w:i/>
                <w:iCs/>
                <w:szCs w:val="18"/>
              </w:rPr>
              <w:t>Philomachus pugnax</w:t>
            </w:r>
          </w:p>
        </w:tc>
        <w:tc>
          <w:tcPr>
            <w:tcW w:w="447" w:type="pct"/>
            <w:tcBorders>
              <w:top w:val="single" w:sz="4" w:space="0" w:color="auto"/>
              <w:left w:val="single" w:sz="4" w:space="0" w:color="auto"/>
              <w:bottom w:val="single" w:sz="4" w:space="0" w:color="auto"/>
              <w:right w:val="single" w:sz="4" w:space="0" w:color="auto"/>
            </w:tcBorders>
            <w:vAlign w:val="center"/>
          </w:tcPr>
          <w:p w14:paraId="0973D781" w14:textId="77777777" w:rsidR="000B173B" w:rsidRPr="002A5710" w:rsidRDefault="000B173B" w:rsidP="00A15226">
            <w:pPr>
              <w:pStyle w:val="Tabletext"/>
              <w:rPr>
                <w:szCs w:val="18"/>
              </w:rPr>
            </w:pPr>
            <w:r w:rsidRPr="002A5710">
              <w:rPr>
                <w:szCs w:val="18"/>
              </w:rPr>
              <w:t>Ruff (Reeve)</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C1F35EC"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14647235"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C7E1C11"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D079696"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728CD3C" w14:textId="77777777" w:rsidR="000B173B" w:rsidRPr="002A5710" w:rsidRDefault="000B173B" w:rsidP="00A15226">
            <w:pPr>
              <w:pStyle w:val="Tabletext"/>
              <w:rPr>
                <w:szCs w:val="18"/>
              </w:rPr>
            </w:pPr>
            <w:r w:rsidRPr="002A5710">
              <w:rPr>
                <w:szCs w:val="18"/>
              </w:rPr>
              <w:t>No individuals of the Ruff have been recorded within the Study Area. Given the absence of records of the species, it is unlikely the Study Area supports important habitat for the species.</w:t>
            </w:r>
          </w:p>
          <w:p w14:paraId="23566159"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E1520C" w14:textId="77777777" w:rsidR="000B173B" w:rsidRPr="002A5710" w:rsidRDefault="000B173B" w:rsidP="00A15226">
            <w:pPr>
              <w:pStyle w:val="Tabletext"/>
              <w:rPr>
                <w:szCs w:val="18"/>
              </w:rPr>
            </w:pPr>
            <w:r w:rsidRPr="002A5710">
              <w:rPr>
                <w:szCs w:val="18"/>
              </w:rPr>
              <w:t>Category 2</w:t>
            </w:r>
          </w:p>
        </w:tc>
      </w:tr>
      <w:tr w:rsidR="000B173B" w:rsidRPr="002A5710" w14:paraId="00E60BC1"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FAF0400" w14:textId="77777777" w:rsidR="000B173B" w:rsidRPr="002A5710" w:rsidRDefault="000B173B" w:rsidP="00A15226">
            <w:pPr>
              <w:pStyle w:val="Tabletext"/>
              <w:rPr>
                <w:i/>
                <w:iCs/>
                <w:szCs w:val="18"/>
              </w:rPr>
            </w:pPr>
            <w:r w:rsidRPr="002A5710">
              <w:rPr>
                <w:i/>
                <w:iCs/>
                <w:szCs w:val="18"/>
              </w:rPr>
              <w:t>Phoebetria fusca</w:t>
            </w:r>
          </w:p>
        </w:tc>
        <w:tc>
          <w:tcPr>
            <w:tcW w:w="447" w:type="pct"/>
            <w:tcBorders>
              <w:top w:val="single" w:sz="4" w:space="0" w:color="auto"/>
              <w:left w:val="single" w:sz="4" w:space="0" w:color="auto"/>
              <w:bottom w:val="single" w:sz="4" w:space="0" w:color="auto"/>
              <w:right w:val="single" w:sz="4" w:space="0" w:color="auto"/>
            </w:tcBorders>
            <w:vAlign w:val="center"/>
          </w:tcPr>
          <w:p w14:paraId="2839540F" w14:textId="77777777" w:rsidR="000B173B" w:rsidRPr="002A5710" w:rsidRDefault="000B173B" w:rsidP="00A15226">
            <w:pPr>
              <w:pStyle w:val="Tabletext"/>
              <w:rPr>
                <w:szCs w:val="18"/>
              </w:rPr>
            </w:pPr>
            <w:r w:rsidRPr="002A5710">
              <w:rPr>
                <w:szCs w:val="18"/>
              </w:rPr>
              <w:t>Sooty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A5A980B"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4087BA9C"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20EB9A1"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79F42FD9"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7DC9A49" w14:textId="77777777" w:rsidR="000B173B" w:rsidRPr="002A5710" w:rsidRDefault="000B173B" w:rsidP="00A15226">
            <w:pPr>
              <w:pStyle w:val="Tabletext"/>
              <w:rPr>
                <w:szCs w:val="18"/>
              </w:rPr>
            </w:pPr>
            <w:r w:rsidRPr="002A5710">
              <w:rPr>
                <w:szCs w:val="18"/>
              </w:rPr>
              <w:t>No individuals of the Sooty Albatross have been recorded within the Study Area. Given the absence of records of the species, it is unlikely the Study Area supports important habitat for the species.</w:t>
            </w:r>
          </w:p>
          <w:p w14:paraId="55179F23"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640D989" w14:textId="77777777" w:rsidR="000B173B" w:rsidRPr="002A5710" w:rsidRDefault="000B173B" w:rsidP="00A15226">
            <w:pPr>
              <w:pStyle w:val="Tabletext"/>
              <w:rPr>
                <w:szCs w:val="18"/>
              </w:rPr>
            </w:pPr>
            <w:r w:rsidRPr="002A5710">
              <w:rPr>
                <w:szCs w:val="18"/>
              </w:rPr>
              <w:t>Category 2</w:t>
            </w:r>
          </w:p>
        </w:tc>
      </w:tr>
      <w:tr w:rsidR="000B173B" w:rsidRPr="002A5710" w14:paraId="76077AD8"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45D9A52" w14:textId="77777777" w:rsidR="000B173B" w:rsidRPr="002A5710" w:rsidRDefault="000B173B" w:rsidP="00A15226">
            <w:pPr>
              <w:pStyle w:val="Tabletext"/>
              <w:rPr>
                <w:i/>
                <w:iCs/>
                <w:szCs w:val="18"/>
              </w:rPr>
            </w:pPr>
            <w:r w:rsidRPr="002A5710">
              <w:rPr>
                <w:i/>
                <w:iCs/>
                <w:szCs w:val="18"/>
              </w:rPr>
              <w:t>Pluvialis fulva</w:t>
            </w:r>
          </w:p>
        </w:tc>
        <w:tc>
          <w:tcPr>
            <w:tcW w:w="447" w:type="pct"/>
            <w:tcBorders>
              <w:top w:val="single" w:sz="4" w:space="0" w:color="auto"/>
              <w:left w:val="single" w:sz="4" w:space="0" w:color="auto"/>
              <w:bottom w:val="single" w:sz="4" w:space="0" w:color="auto"/>
              <w:right w:val="single" w:sz="4" w:space="0" w:color="auto"/>
            </w:tcBorders>
            <w:vAlign w:val="center"/>
          </w:tcPr>
          <w:p w14:paraId="65F5FFE6" w14:textId="77777777" w:rsidR="000B173B" w:rsidRPr="002A5710" w:rsidRDefault="000B173B" w:rsidP="00A15226">
            <w:pPr>
              <w:pStyle w:val="Tabletext"/>
              <w:rPr>
                <w:szCs w:val="18"/>
              </w:rPr>
            </w:pPr>
            <w:r w:rsidRPr="002A5710">
              <w:rPr>
                <w:szCs w:val="18"/>
              </w:rPr>
              <w:t>Pacific Golden Plover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2967042B"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7017AD2D"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Dg4NjFkZWEtNTg1YS00NTU0LWJlMzgtMGE4NmNkOTViZjQw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718009317"/>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75B8318"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CC11133"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45BDB76E" w14:textId="77777777" w:rsidR="000B173B" w:rsidRPr="002A5710" w:rsidRDefault="000B173B" w:rsidP="00A15226">
            <w:pPr>
              <w:pStyle w:val="Tabletext"/>
              <w:rPr>
                <w:szCs w:val="18"/>
              </w:rPr>
            </w:pPr>
            <w:r w:rsidRPr="002A5710">
              <w:rPr>
                <w:szCs w:val="18"/>
              </w:rPr>
              <w:t xml:space="preserve">298 individuals of the Pacific Golden Plover have been recorded within the Study Area within the past 5 years, which is above the threshold of an ecologically significant proportion of the species (120 individuals within the last 5 years) </w:t>
            </w:r>
            <w:sdt>
              <w:sdtPr>
                <w:rPr>
                  <w:szCs w:val="18"/>
                </w:rPr>
                <w:tag w:val="MENDELEY_CITATION_v3_eyJjaXRhdGlvbklEIjoiTUVOREVMRVlfQ0lUQVRJT05fYjM5ZDM3MzktNzEyNy00NTcxLWIwOGUtMDgwODU1NGYwZTM4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369271250"/>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1A32D200" w14:textId="77777777" w:rsidR="000B173B" w:rsidRPr="002A5710" w:rsidRDefault="000B173B" w:rsidP="00A15226">
            <w:pPr>
              <w:pStyle w:val="Tabletext"/>
              <w:rPr>
                <w:szCs w:val="18"/>
              </w:rPr>
            </w:pPr>
            <w:r w:rsidRPr="002A5710">
              <w:rPr>
                <w:szCs w:val="18"/>
              </w:rPr>
              <w:t xml:space="preserve">All individuals occur along the northern coastline of Port Phillip Bay, extending from Point Lillias in the west to the boundary of the Study Area </w:t>
            </w:r>
            <w:r w:rsidRPr="002A5710">
              <w:rPr>
                <w:szCs w:val="18"/>
              </w:rPr>
              <w:lastRenderedPageBreak/>
              <w:t>in the east. This area will not be impacted by the Plan as it is not located downstream of the Strategic Assessment Area.</w:t>
            </w:r>
          </w:p>
          <w:p w14:paraId="2AAF1814" w14:textId="77777777" w:rsidR="000B173B" w:rsidRPr="002A5710" w:rsidRDefault="000B173B" w:rsidP="00A15226">
            <w:pPr>
              <w:pStyle w:val="Tabletext"/>
              <w:rPr>
                <w:szCs w:val="18"/>
              </w:rPr>
            </w:pPr>
            <w:r w:rsidRPr="002A5710">
              <w:rPr>
                <w:szCs w:val="18"/>
              </w:rPr>
              <w:t>No important habitat for the Pacific Golden Plover has been mapped by Birdlife Australia within the Study Area</w:t>
            </w:r>
            <w:sdt>
              <w:sdtPr>
                <w:rPr>
                  <w:szCs w:val="18"/>
                </w:rPr>
                <w:tag w:val="MENDELEY_CITATION_v3_eyJjaXRhdGlvbklEIjoiTUVOREVMRVlfQ0lUQVRJT05fNzVmZjMzNDItNDU5My00OTZkLWFmZGEtNmI0NDE2MmE5YzUy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41300017"/>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B7516"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37740660"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800B6F8" w14:textId="77777777" w:rsidR="000B173B" w:rsidRPr="002A5710" w:rsidRDefault="000B173B" w:rsidP="00A15226">
            <w:pPr>
              <w:pStyle w:val="Tabletext"/>
              <w:rPr>
                <w:i/>
                <w:iCs/>
                <w:szCs w:val="18"/>
              </w:rPr>
            </w:pPr>
            <w:r w:rsidRPr="002A5710">
              <w:rPr>
                <w:i/>
                <w:iCs/>
                <w:szCs w:val="18"/>
              </w:rPr>
              <w:t>Pluvialis squatarola</w:t>
            </w:r>
          </w:p>
        </w:tc>
        <w:tc>
          <w:tcPr>
            <w:tcW w:w="447" w:type="pct"/>
            <w:tcBorders>
              <w:top w:val="single" w:sz="4" w:space="0" w:color="auto"/>
              <w:left w:val="single" w:sz="4" w:space="0" w:color="auto"/>
              <w:bottom w:val="single" w:sz="4" w:space="0" w:color="auto"/>
              <w:right w:val="single" w:sz="4" w:space="0" w:color="auto"/>
            </w:tcBorders>
            <w:vAlign w:val="center"/>
          </w:tcPr>
          <w:p w14:paraId="6E77FD5E" w14:textId="77777777" w:rsidR="000B173B" w:rsidRPr="002A5710" w:rsidRDefault="000B173B" w:rsidP="00A15226">
            <w:pPr>
              <w:pStyle w:val="Tabletext"/>
              <w:rPr>
                <w:szCs w:val="18"/>
              </w:rPr>
            </w:pPr>
            <w:r w:rsidRPr="002A5710">
              <w:rPr>
                <w:szCs w:val="18"/>
              </w:rPr>
              <w:t>Grey Plover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C3FDE9C" w14:textId="77777777" w:rsidR="000B173B" w:rsidRPr="002A5710" w:rsidRDefault="000B173B" w:rsidP="00A15226">
            <w:pPr>
              <w:pStyle w:val="Tabletext"/>
              <w:rPr>
                <w:szCs w:val="18"/>
              </w:rPr>
            </w:pPr>
            <w:r w:rsidRPr="002A5710">
              <w:rPr>
                <w:szCs w:val="18"/>
              </w:rPr>
              <w:t>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094BC9E3"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NDMyYTkzMTgtMGEzZi00NWVjLWI5ZjQtNTMyMDAzNmExNzVl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302230305"/>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B8CBA52"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0D49FC0"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180158ED" w14:textId="77777777" w:rsidR="000B173B" w:rsidRPr="002A5710" w:rsidRDefault="000B173B" w:rsidP="00A15226">
            <w:pPr>
              <w:pStyle w:val="Tabletext"/>
              <w:rPr>
                <w:szCs w:val="18"/>
              </w:rPr>
            </w:pPr>
            <w:r w:rsidRPr="002A5710">
              <w:rPr>
                <w:szCs w:val="18"/>
              </w:rPr>
              <w:t xml:space="preserve">11 individuals of the Grey Plover have been recorded within the Study Area within the past 5 years, which is below the threshold of an ecologically significant proportion of the species (80 individuals within the last 5 years) </w:t>
            </w:r>
            <w:sdt>
              <w:sdtPr>
                <w:rPr>
                  <w:szCs w:val="18"/>
                </w:rPr>
                <w:tag w:val="MENDELEY_CITATION_v3_eyJjaXRhdGlvbklEIjoiTUVOREVMRVlfQ0lUQVRJT05fZmMxYzBiM2MtOGE1NS00YzBhLWE1ZmYtYmJlMDM0ZWExZWYz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912664759"/>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06BD3D37" w14:textId="77777777" w:rsidR="000B173B" w:rsidRPr="002A5710" w:rsidRDefault="000B173B" w:rsidP="00A15226">
            <w:pPr>
              <w:pStyle w:val="Tabletext"/>
              <w:rPr>
                <w:szCs w:val="18"/>
              </w:rPr>
            </w:pPr>
            <w:r w:rsidRPr="002A5710">
              <w:rPr>
                <w:szCs w:val="18"/>
              </w:rPr>
              <w:t xml:space="preserve">No important habitat for the Grey Plover has been mapped by Birdlife Australia within the Study Area </w:t>
            </w:r>
            <w:sdt>
              <w:sdtPr>
                <w:rPr>
                  <w:szCs w:val="18"/>
                </w:rPr>
                <w:tag w:val="MENDELEY_CITATION_v3_eyJjaXRhdGlvbklEIjoiTUVOREVMRVlfQ0lUQVRJT05fMzVlNWY5MWQtZjc2MS00ZjkzLTg4ZGQtMTU0NzZkNTc0YTAx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457796545"/>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24E2148A"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03AB665" w14:textId="77777777" w:rsidR="000B173B" w:rsidRPr="002A5710" w:rsidRDefault="000B173B" w:rsidP="00A15226">
            <w:pPr>
              <w:pStyle w:val="Tabletext"/>
              <w:rPr>
                <w:szCs w:val="18"/>
              </w:rPr>
            </w:pPr>
            <w:r w:rsidRPr="002A5710">
              <w:rPr>
                <w:szCs w:val="18"/>
              </w:rPr>
              <w:t>Category 2</w:t>
            </w:r>
          </w:p>
        </w:tc>
      </w:tr>
      <w:tr w:rsidR="000B173B" w:rsidRPr="002A5710" w14:paraId="2A2F18C7"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92567DD" w14:textId="77777777" w:rsidR="000B173B" w:rsidRPr="002A5710" w:rsidRDefault="000B173B" w:rsidP="00A15226">
            <w:pPr>
              <w:pStyle w:val="Tabletext"/>
              <w:rPr>
                <w:i/>
                <w:iCs/>
                <w:szCs w:val="18"/>
              </w:rPr>
            </w:pPr>
            <w:r w:rsidRPr="002A5710">
              <w:rPr>
                <w:i/>
                <w:iCs/>
                <w:szCs w:val="18"/>
              </w:rPr>
              <w:t>Rhipidura rufifrons</w:t>
            </w:r>
          </w:p>
        </w:tc>
        <w:tc>
          <w:tcPr>
            <w:tcW w:w="447" w:type="pct"/>
            <w:tcBorders>
              <w:top w:val="single" w:sz="4" w:space="0" w:color="auto"/>
              <w:left w:val="single" w:sz="4" w:space="0" w:color="auto"/>
              <w:bottom w:val="single" w:sz="4" w:space="0" w:color="auto"/>
              <w:right w:val="single" w:sz="4" w:space="0" w:color="auto"/>
            </w:tcBorders>
            <w:vAlign w:val="center"/>
          </w:tcPr>
          <w:p w14:paraId="2B0E8511" w14:textId="77777777" w:rsidR="000B173B" w:rsidRPr="002A5710" w:rsidRDefault="000B173B" w:rsidP="00A15226">
            <w:pPr>
              <w:pStyle w:val="Tabletext"/>
              <w:rPr>
                <w:szCs w:val="18"/>
              </w:rPr>
            </w:pPr>
            <w:r w:rsidRPr="002A5710">
              <w:rPr>
                <w:szCs w:val="18"/>
              </w:rPr>
              <w:t>Rufous Fantail</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713B9B6" w14:textId="77777777" w:rsidR="000B173B" w:rsidRPr="002A5710" w:rsidRDefault="000B173B" w:rsidP="00A15226">
            <w:pPr>
              <w:pStyle w:val="Tabletext"/>
              <w:rPr>
                <w:szCs w:val="18"/>
              </w:rPr>
            </w:pPr>
            <w:r w:rsidRPr="002A5710">
              <w:rPr>
                <w:szCs w:val="18"/>
              </w:rPr>
              <w:t>Mig, B</w:t>
            </w:r>
          </w:p>
        </w:tc>
        <w:tc>
          <w:tcPr>
            <w:tcW w:w="495" w:type="pct"/>
            <w:tcBorders>
              <w:top w:val="single" w:sz="4" w:space="0" w:color="auto"/>
              <w:left w:val="single" w:sz="4" w:space="0" w:color="auto"/>
              <w:bottom w:val="single" w:sz="4" w:space="0" w:color="auto"/>
              <w:right w:val="single" w:sz="4" w:space="0" w:color="auto"/>
            </w:tcBorders>
            <w:vAlign w:val="center"/>
          </w:tcPr>
          <w:p w14:paraId="7AC86177" w14:textId="77777777" w:rsidR="000B173B" w:rsidRPr="002A5710" w:rsidRDefault="000B173B" w:rsidP="00A15226">
            <w:pPr>
              <w:pStyle w:val="Tabletext"/>
              <w:rPr>
                <w:szCs w:val="18"/>
              </w:rPr>
            </w:pPr>
            <w:r w:rsidRPr="002A5710">
              <w:rPr>
                <w:szCs w:val="18"/>
              </w:rPr>
              <w:t xml:space="preserve">Draft referral guidelines for 14 migratory birds </w:t>
            </w:r>
            <w:sdt>
              <w:sdtPr>
                <w:rPr>
                  <w:color w:val="000000"/>
                  <w:szCs w:val="18"/>
                </w:rPr>
                <w:tag w:val="MENDELEY_CITATION_v3_eyJjaXRhdGlvbklEIjoiTUVOREVMRVlfQ0lUQVRJT05fN2RjYTJkMmEtNmYwYS00ZDJmLWFiZDEtODdhNzE4ZDg4NDg3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81807973"/>
                <w:placeholder>
                  <w:docPart w:val="339B7D746526864D922760336FCFE603"/>
                </w:placeholder>
              </w:sdtPr>
              <w:sdtEndPr>
                <w:rPr>
                  <w:szCs w:val="20"/>
                </w:rPr>
              </w:sdtEndPr>
              <w:sdtContent>
                <w:r w:rsidRPr="002F46CE">
                  <w:rPr>
                    <w:color w:val="000000"/>
                  </w:rPr>
                  <w:t>(DoE, 2015c)</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4501713"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F92360E"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7307E31" w14:textId="77777777" w:rsidR="000B173B" w:rsidRPr="002A5710" w:rsidRDefault="000B173B" w:rsidP="00A15226">
            <w:pPr>
              <w:pStyle w:val="Tabletext"/>
              <w:rPr>
                <w:szCs w:val="18"/>
              </w:rPr>
            </w:pPr>
            <w:r w:rsidRPr="002A5710">
              <w:rPr>
                <w:szCs w:val="18"/>
              </w:rPr>
              <w:t xml:space="preserve">110 individuals of the Rufous Fantail have been recorded within the Study Area, which is below the threshold of an ecologically significant proportion of the species (4,800 individuals) </w:t>
            </w:r>
            <w:sdt>
              <w:sdtPr>
                <w:rPr>
                  <w:color w:val="000000"/>
                  <w:szCs w:val="18"/>
                </w:rPr>
                <w:tag w:val="MENDELEY_CITATION_v3_eyJjaXRhdGlvbklEIjoiTUVOREVMRVlfQ0lUQVRJT05fODU4MTdlNWItYWYxNC00MjgxLWIyNWYtMDRiMTMwMTQwODk1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529490288"/>
                <w:placeholder>
                  <w:docPart w:val="339B7D746526864D922760336FCFE603"/>
                </w:placeholder>
              </w:sdtPr>
              <w:sdtEndPr>
                <w:rPr>
                  <w:szCs w:val="20"/>
                </w:rPr>
              </w:sdtEndPr>
              <w:sdtContent>
                <w:r w:rsidRPr="002F46CE">
                  <w:rPr>
                    <w:color w:val="000000"/>
                  </w:rPr>
                  <w:t>(DoE, 2015c)</w:t>
                </w:r>
              </w:sdtContent>
            </w:sdt>
            <w:r w:rsidRPr="002A5710">
              <w:rPr>
                <w:szCs w:val="18"/>
              </w:rPr>
              <w:t xml:space="preserve">. </w:t>
            </w:r>
          </w:p>
          <w:p w14:paraId="4A66061A" w14:textId="77777777" w:rsidR="000B173B" w:rsidRPr="002A5710" w:rsidRDefault="000B173B" w:rsidP="00A15226">
            <w:pPr>
              <w:pStyle w:val="Tabletext"/>
              <w:rPr>
                <w:szCs w:val="18"/>
              </w:rPr>
            </w:pPr>
            <w:r w:rsidRPr="002A5710">
              <w:rPr>
                <w:szCs w:val="18"/>
              </w:rPr>
              <w:t>Records occur scattered throughout the Study Area, with higher record densities in You Yangs Regional Park and in the Brisbane Ranges National Park.</w:t>
            </w:r>
          </w:p>
          <w:p w14:paraId="4704E74A" w14:textId="77777777" w:rsidR="000B173B" w:rsidRPr="002A5710" w:rsidRDefault="000B173B" w:rsidP="00A15226">
            <w:pPr>
              <w:pStyle w:val="Tabletext"/>
              <w:rPr>
                <w:szCs w:val="18"/>
              </w:rPr>
            </w:pPr>
            <w:r w:rsidRPr="002A5710">
              <w:rPr>
                <w:szCs w:val="18"/>
              </w:rPr>
              <w:t xml:space="preserve">The Migratory Bird Referral Guidelines describe important habitat for this species as follows: “Moist, dense habitats, including mangroves, rainforest, riparian forests and thickets, and wet eucalypt forests with a dense understorey. When on passage a wider range of habitats are used including dry eucalypt forests and woodlands and Brigalow shrublands.” </w:t>
            </w:r>
            <w:sdt>
              <w:sdtPr>
                <w:rPr>
                  <w:color w:val="000000"/>
                  <w:szCs w:val="18"/>
                </w:rPr>
                <w:tag w:val="MENDELEY_CITATION_v3_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"/>
                <w:id w:val="666215400"/>
                <w:placeholder>
                  <w:docPart w:val="339B7D746526864D922760336FCFE603"/>
                </w:placeholder>
              </w:sdtPr>
              <w:sdtEndPr>
                <w:rPr>
                  <w:szCs w:val="20"/>
                </w:rPr>
              </w:sdtEndPr>
              <w:sdtContent>
                <w:r w:rsidRPr="002F46CE">
                  <w:rPr>
                    <w:color w:val="000000"/>
                  </w:rPr>
                  <w:t>(DoE, 2015c)</w:t>
                </w:r>
              </w:sdtContent>
            </w:sdt>
            <w:r w:rsidRPr="002A5710">
              <w:rPr>
                <w:szCs w:val="18"/>
              </w:rPr>
              <w:t>.</w:t>
            </w:r>
          </w:p>
          <w:p w14:paraId="2229E58A" w14:textId="77777777" w:rsidR="000B173B" w:rsidRPr="002A5710" w:rsidRDefault="000B173B" w:rsidP="00A15226">
            <w:pPr>
              <w:pStyle w:val="Tabletext"/>
              <w:rPr>
                <w:szCs w:val="18"/>
              </w:rPr>
            </w:pPr>
            <w:r w:rsidRPr="002A5710">
              <w:rPr>
                <w:szCs w:val="18"/>
              </w:rPr>
              <w:t>It is noted that important habitat characteristics are not present within the Strategic Assessment Area.</w:t>
            </w:r>
          </w:p>
          <w:p w14:paraId="3C57A8F0" w14:textId="77777777" w:rsidR="000B173B" w:rsidRPr="002A5710" w:rsidRDefault="000B173B" w:rsidP="00A15226">
            <w:pPr>
              <w:pStyle w:val="Tabletext"/>
              <w:rPr>
                <w:szCs w:val="18"/>
              </w:rPr>
            </w:pPr>
            <w:r w:rsidRPr="002A5710">
              <w:rPr>
                <w:szCs w:val="18"/>
              </w:rPr>
              <w:t xml:space="preserve">Given the low number of individuals recorded within the Study Area, and the general absence of habitat matching the description of important habitat within the Study Area, it is considered unlikely that the Study Area provides important habitat for this species. </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F8D5CF" w14:textId="77777777" w:rsidR="000B173B" w:rsidRPr="002A5710" w:rsidRDefault="000B173B" w:rsidP="00A15226">
            <w:pPr>
              <w:pStyle w:val="Tabletext"/>
              <w:rPr>
                <w:szCs w:val="18"/>
              </w:rPr>
            </w:pPr>
            <w:r w:rsidRPr="002A5710">
              <w:rPr>
                <w:szCs w:val="18"/>
              </w:rPr>
              <w:t>Category 2</w:t>
            </w:r>
          </w:p>
        </w:tc>
      </w:tr>
      <w:tr w:rsidR="000B173B" w:rsidRPr="002A5710" w14:paraId="61A74799"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BD65512" w14:textId="77777777" w:rsidR="000B173B" w:rsidRPr="002A5710" w:rsidRDefault="000B173B" w:rsidP="00A15226">
            <w:pPr>
              <w:pStyle w:val="Tabletext"/>
              <w:rPr>
                <w:i/>
                <w:iCs/>
                <w:szCs w:val="18"/>
              </w:rPr>
            </w:pPr>
            <w:r w:rsidRPr="002A5710">
              <w:rPr>
                <w:i/>
                <w:iCs/>
                <w:szCs w:val="18"/>
              </w:rPr>
              <w:lastRenderedPageBreak/>
              <w:t>Sternula albifrons</w:t>
            </w:r>
          </w:p>
        </w:tc>
        <w:tc>
          <w:tcPr>
            <w:tcW w:w="447" w:type="pct"/>
            <w:tcBorders>
              <w:top w:val="single" w:sz="4" w:space="0" w:color="auto"/>
              <w:left w:val="single" w:sz="4" w:space="0" w:color="auto"/>
              <w:bottom w:val="single" w:sz="4" w:space="0" w:color="auto"/>
              <w:right w:val="single" w:sz="4" w:space="0" w:color="auto"/>
            </w:tcBorders>
            <w:vAlign w:val="center"/>
          </w:tcPr>
          <w:p w14:paraId="188A7805" w14:textId="77777777" w:rsidR="000B173B" w:rsidRPr="002A5710" w:rsidRDefault="000B173B" w:rsidP="00A15226">
            <w:pPr>
              <w:pStyle w:val="Tabletext"/>
              <w:rPr>
                <w:szCs w:val="18"/>
              </w:rPr>
            </w:pPr>
            <w:r w:rsidRPr="002A5710">
              <w:rPr>
                <w:szCs w:val="18"/>
              </w:rPr>
              <w:t>Little Tern</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32B21A0" w14:textId="77777777" w:rsidR="000B173B" w:rsidRPr="002A5710" w:rsidRDefault="000B173B" w:rsidP="00A15226">
            <w:pPr>
              <w:pStyle w:val="Tabletext"/>
              <w:rPr>
                <w:szCs w:val="18"/>
              </w:rPr>
            </w:pPr>
            <w:r w:rsidRPr="002A5710">
              <w:rPr>
                <w:szCs w:val="18"/>
              </w:rPr>
              <w:t>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78B5A760"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BE30D2D"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07D6892"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62147D5" w14:textId="77777777" w:rsidR="000B173B" w:rsidRPr="002A5710" w:rsidRDefault="000B173B" w:rsidP="00A15226">
            <w:pPr>
              <w:pStyle w:val="Tabletext"/>
              <w:rPr>
                <w:szCs w:val="18"/>
              </w:rPr>
            </w:pPr>
            <w:r w:rsidRPr="002A5710">
              <w:rPr>
                <w:szCs w:val="18"/>
              </w:rPr>
              <w:t>While the Little Tern is a species which has a large global distribution and population size, the Australian population is geographically distinct. Its occurrence in Australia can be divided into three groups:</w:t>
            </w:r>
          </w:p>
          <w:p w14:paraId="25CDA952" w14:textId="77777777" w:rsidR="000B173B" w:rsidRPr="002A5710" w:rsidRDefault="000B173B" w:rsidP="00A15226">
            <w:pPr>
              <w:pStyle w:val="Bullet1"/>
              <w:rPr>
                <w:szCs w:val="18"/>
              </w:rPr>
            </w:pPr>
            <w:r w:rsidRPr="002A5710">
              <w:rPr>
                <w:szCs w:val="18"/>
              </w:rPr>
              <w:t xml:space="preserve">A sub-population that occurs in south-eastern Australia and New Zealand. It breeds in multiple areas in Australia, including Tasmania, South Australia, Victoria, NSW, and in Queensland </w:t>
            </w:r>
            <w:sdt>
              <w:sdtPr>
                <w:rPr>
                  <w:color w:val="000000"/>
                  <w:szCs w:val="18"/>
                </w:rPr>
                <w:tag w:val="MENDELEY_CITATION_v3_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"/>
                <w:id w:val="208073579"/>
                <w:placeholder>
                  <w:docPart w:val="339B7D746526864D922760336FCFE603"/>
                </w:placeholder>
              </w:sdtPr>
              <w:sdtEndPr>
                <w:rPr>
                  <w:szCs w:val="20"/>
                </w:rPr>
              </w:sdtEndPr>
              <w:sdtContent>
                <w:r w:rsidRPr="002F46CE">
                  <w:rPr>
                    <w:color w:val="000000"/>
                  </w:rPr>
                  <w:t>(DAWE, 2022g)</w:t>
                </w:r>
              </w:sdtContent>
            </w:sdt>
            <w:r w:rsidRPr="002A5710">
              <w:rPr>
                <w:szCs w:val="18"/>
              </w:rPr>
              <w:t xml:space="preserve">. This sub-population may be at risk from the Plan </w:t>
            </w:r>
          </w:p>
          <w:p w14:paraId="5DE58627" w14:textId="77777777" w:rsidR="000B173B" w:rsidRPr="002A5710" w:rsidRDefault="000B173B" w:rsidP="00A15226">
            <w:pPr>
              <w:pStyle w:val="Bullet1"/>
              <w:rPr>
                <w:szCs w:val="18"/>
              </w:rPr>
            </w:pPr>
            <w:r w:rsidRPr="002A5710">
              <w:rPr>
                <w:szCs w:val="18"/>
              </w:rPr>
              <w:t xml:space="preserve">A sub-population that breeds in northern Australia between Cape York and Broome </w:t>
            </w:r>
            <w:sdt>
              <w:sdtPr>
                <w:rPr>
                  <w:color w:val="000000"/>
                  <w:szCs w:val="18"/>
                </w:rPr>
                <w:tag w:val="MENDELEY_CITATION_v3_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"/>
                <w:id w:val="599071537"/>
                <w:placeholder>
                  <w:docPart w:val="339B7D746526864D922760336FCFE603"/>
                </w:placeholder>
              </w:sdtPr>
              <w:sdtEndPr>
                <w:rPr>
                  <w:szCs w:val="20"/>
                </w:rPr>
              </w:sdtEndPr>
              <w:sdtContent>
                <w:r w:rsidRPr="002F46CE">
                  <w:rPr>
                    <w:color w:val="000000"/>
                  </w:rPr>
                  <w:t>(DAWE, 2022g)</w:t>
                </w:r>
              </w:sdtContent>
            </w:sdt>
            <w:r w:rsidRPr="002A5710">
              <w:rPr>
                <w:szCs w:val="18"/>
              </w:rPr>
              <w:t>. This sub-population is not at risk from the Plan</w:t>
            </w:r>
          </w:p>
          <w:p w14:paraId="49587E6D" w14:textId="77777777" w:rsidR="000B173B" w:rsidRPr="002A5710" w:rsidRDefault="000B173B" w:rsidP="00A15226">
            <w:pPr>
              <w:pStyle w:val="Bullet1"/>
              <w:rPr>
                <w:szCs w:val="18"/>
              </w:rPr>
            </w:pPr>
            <w:r w:rsidRPr="002A5710">
              <w:rPr>
                <w:szCs w:val="18"/>
              </w:rPr>
              <w:t xml:space="preserve">A sub-population that breeds in north-east Asia and migrates to northern and eastern Australia during the non-breeding season. It is recognised that most threats to the species are associated with breeding, and therefore that the sub-population of non-breeding visitors is unlikely to be at risk </w:t>
            </w:r>
            <w:sdt>
              <w:sdtPr>
                <w:rPr>
                  <w:color w:val="000000"/>
                  <w:szCs w:val="18"/>
                </w:rPr>
                <w:tag w:val="MENDELEY_CITATION_v3_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"/>
                <w:id w:val="1805345928"/>
                <w:placeholder>
                  <w:docPart w:val="339B7D746526864D922760336FCFE603"/>
                </w:placeholder>
              </w:sdtPr>
              <w:sdtEndPr>
                <w:rPr>
                  <w:szCs w:val="20"/>
                </w:rPr>
              </w:sdtEndPr>
              <w:sdtContent>
                <w:r w:rsidRPr="002F46CE">
                  <w:rPr>
                    <w:color w:val="000000"/>
                  </w:rPr>
                  <w:t>(DAWE, 2022g)</w:t>
                </w:r>
              </w:sdtContent>
            </w:sdt>
            <w:r w:rsidRPr="002A5710">
              <w:rPr>
                <w:szCs w:val="18"/>
              </w:rPr>
              <w:t>. This sub-population is not at risk from the Plan</w:t>
            </w:r>
          </w:p>
          <w:p w14:paraId="62F709E4" w14:textId="77777777" w:rsidR="000B173B" w:rsidRPr="002A5710" w:rsidRDefault="000B173B" w:rsidP="00A15226">
            <w:pPr>
              <w:pStyle w:val="Tabletext"/>
              <w:rPr>
                <w:szCs w:val="18"/>
              </w:rPr>
            </w:pPr>
            <w:r w:rsidRPr="002A5710">
              <w:rPr>
                <w:szCs w:val="18"/>
              </w:rPr>
              <w:t xml:space="preserve">For the purpose of this assessment, only the south-eastern sub-population of the species is considered. </w:t>
            </w:r>
          </w:p>
          <w:p w14:paraId="3A43580E" w14:textId="77777777" w:rsidR="000B173B" w:rsidRPr="002A5710" w:rsidRDefault="000B173B" w:rsidP="00A15226">
            <w:pPr>
              <w:pStyle w:val="Tabletext"/>
              <w:rPr>
                <w:szCs w:val="18"/>
              </w:rPr>
            </w:pPr>
            <w:r w:rsidRPr="002A5710">
              <w:rPr>
                <w:szCs w:val="18"/>
              </w:rPr>
              <w:t xml:space="preserve">The estimated population size of the south-eastern sub-population is 1,200 mature individuals </w:t>
            </w:r>
            <w:sdt>
              <w:sdtPr>
                <w:rPr>
                  <w:color w:val="000000"/>
                  <w:szCs w:val="18"/>
                </w:rPr>
                <w:tag w:val="MENDELEY_CITATION_v3_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"/>
                <w:id w:val="-1567945475"/>
                <w:placeholder>
                  <w:docPart w:val="339B7D746526864D922760336FCFE603"/>
                </w:placeholder>
              </w:sdtPr>
              <w:sdtEndPr>
                <w:rPr>
                  <w:szCs w:val="20"/>
                </w:rPr>
              </w:sdtEndPr>
              <w:sdtContent>
                <w:r w:rsidRPr="002F46CE">
                  <w:rPr>
                    <w:color w:val="000000"/>
                  </w:rPr>
                  <w:t>(DAWE, 2022g)</w:t>
                </w:r>
              </w:sdtContent>
            </w:sdt>
            <w:r w:rsidRPr="002A5710">
              <w:rPr>
                <w:szCs w:val="18"/>
              </w:rPr>
              <w:t>. The threshold of an ecologically significant proportion of this species is therefore 12 individuals.</w:t>
            </w:r>
          </w:p>
          <w:p w14:paraId="4495DDF6" w14:textId="77777777" w:rsidR="000B173B" w:rsidRPr="002A5710" w:rsidRDefault="000B173B" w:rsidP="00A15226">
            <w:pPr>
              <w:pStyle w:val="Tabletext"/>
              <w:rPr>
                <w:szCs w:val="18"/>
              </w:rPr>
            </w:pPr>
            <w:r w:rsidRPr="002A5710">
              <w:rPr>
                <w:szCs w:val="18"/>
              </w:rPr>
              <w:t xml:space="preserve">3,779 individuals of the Little Tern have been recorded within the Study Area, which is above the threshold of an ecologically significant proportion of the species. Of these, 3,188 have been recorded from 1990 onwards. </w:t>
            </w:r>
          </w:p>
          <w:p w14:paraId="44710E25" w14:textId="77777777" w:rsidR="000B173B" w:rsidRPr="002A5710" w:rsidRDefault="000B173B" w:rsidP="00A15226">
            <w:pPr>
              <w:pStyle w:val="Tabletext"/>
              <w:rPr>
                <w:szCs w:val="18"/>
              </w:rPr>
            </w:pPr>
            <w:r w:rsidRPr="002A5710">
              <w:rPr>
                <w:szCs w:val="18"/>
              </w:rPr>
              <w:t>Of the records from 1990 onwards, most (over 2,500) occur along the northern coastline of Port Phillip Bay, extending from Avalon Beach in the west to the boundary of the Study Area in the east. Over 300 individuals have also been recorded in the Moolap locality. This area will not be impacted by the Plan as it is not located downstream of the Strategic Assessment Area.</w:t>
            </w:r>
          </w:p>
          <w:p w14:paraId="40386ADF" w14:textId="77777777" w:rsidR="000B173B" w:rsidRPr="002A5710" w:rsidRDefault="000B173B" w:rsidP="00A15226">
            <w:pPr>
              <w:pStyle w:val="Tabletext"/>
              <w:rPr>
                <w:szCs w:val="18"/>
              </w:rPr>
            </w:pPr>
            <w:r w:rsidRPr="002A5710">
              <w:rPr>
                <w:szCs w:val="18"/>
              </w:rPr>
              <w:lastRenderedPageBreak/>
              <w:t>A smaller number of individuals (67) have been recorded since 1990 within the Lake Connewarre wetland complex. This area has potential to be impacted by the Plan, as it is downstream of WGGA.</w:t>
            </w:r>
          </w:p>
          <w:p w14:paraId="4F68C726" w14:textId="77777777" w:rsidR="000B173B" w:rsidRPr="002A5710" w:rsidRDefault="000B173B" w:rsidP="00A15226">
            <w:pPr>
              <w:pStyle w:val="Tabletext"/>
              <w:rPr>
                <w:szCs w:val="18"/>
              </w:rPr>
            </w:pPr>
            <w:r w:rsidRPr="002A5710">
              <w:rPr>
                <w:szCs w:val="18"/>
              </w:rPr>
              <w:t>This species has been assigned to Category 1 for a detailed assessment.</w:t>
            </w:r>
            <w:r>
              <w:rPr>
                <w:szCs w:val="18"/>
              </w:rPr>
              <w:t xml:space="preserve"> </w:t>
            </w:r>
            <w:r>
              <w:t>Refer to Chapter 23 of Part 4 for the detailed impact assessment of the Little Tern.</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1ACEA5B" w14:textId="77777777" w:rsidR="000B173B" w:rsidRPr="002A5710" w:rsidRDefault="000B173B" w:rsidP="00A15226">
            <w:pPr>
              <w:pStyle w:val="Tabletext"/>
              <w:rPr>
                <w:szCs w:val="18"/>
              </w:rPr>
            </w:pPr>
            <w:r w:rsidRPr="002A5710">
              <w:rPr>
                <w:szCs w:val="18"/>
              </w:rPr>
              <w:lastRenderedPageBreak/>
              <w:t>Category 1</w:t>
            </w:r>
          </w:p>
        </w:tc>
      </w:tr>
      <w:tr w:rsidR="000B173B" w:rsidRPr="002A5710" w14:paraId="2336A9A3"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6972AEAB" w14:textId="77777777" w:rsidR="000B173B" w:rsidRPr="002A5710" w:rsidRDefault="000B173B" w:rsidP="00A15226">
            <w:pPr>
              <w:pStyle w:val="Tabletext"/>
              <w:rPr>
                <w:i/>
                <w:iCs/>
                <w:szCs w:val="18"/>
              </w:rPr>
            </w:pPr>
            <w:r w:rsidRPr="002A5710">
              <w:rPr>
                <w:i/>
                <w:iCs/>
                <w:szCs w:val="18"/>
              </w:rPr>
              <w:t>Thalassarche bulleri</w:t>
            </w:r>
          </w:p>
        </w:tc>
        <w:tc>
          <w:tcPr>
            <w:tcW w:w="447" w:type="pct"/>
            <w:tcBorders>
              <w:top w:val="single" w:sz="4" w:space="0" w:color="auto"/>
              <w:left w:val="single" w:sz="4" w:space="0" w:color="auto"/>
              <w:bottom w:val="single" w:sz="4" w:space="0" w:color="auto"/>
              <w:right w:val="single" w:sz="4" w:space="0" w:color="auto"/>
            </w:tcBorders>
            <w:vAlign w:val="center"/>
          </w:tcPr>
          <w:p w14:paraId="6FA3D127" w14:textId="77777777" w:rsidR="000B173B" w:rsidRPr="002A5710" w:rsidRDefault="000B173B" w:rsidP="00A15226">
            <w:pPr>
              <w:pStyle w:val="Tabletext"/>
              <w:rPr>
                <w:szCs w:val="18"/>
              </w:rPr>
            </w:pPr>
            <w:r w:rsidRPr="002A5710">
              <w:rPr>
                <w:szCs w:val="18"/>
              </w:rPr>
              <w:t>Buller's Albatross, Pacific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7A9BA8BF"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40A590A9"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AAB852D"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1120EAC3"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36DB0565" w14:textId="77777777" w:rsidR="000B173B" w:rsidRPr="002A5710" w:rsidRDefault="000B173B" w:rsidP="00A15226">
            <w:pPr>
              <w:pStyle w:val="Tabletext"/>
              <w:rPr>
                <w:szCs w:val="18"/>
              </w:rPr>
            </w:pPr>
            <w:r w:rsidRPr="002A5710">
              <w:rPr>
                <w:szCs w:val="18"/>
              </w:rPr>
              <w:t>No individuals of the Buller’s Albatross have been recorded within the Study Area. Given the absence of records of the species, it is unlikely the Study Area supports important habitat for the species.</w:t>
            </w:r>
          </w:p>
          <w:p w14:paraId="0B6AC345"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D1DDCC" w14:textId="77777777" w:rsidR="000B173B" w:rsidRPr="002A5710" w:rsidRDefault="000B173B" w:rsidP="00A15226">
            <w:pPr>
              <w:pStyle w:val="Tabletext"/>
              <w:rPr>
                <w:szCs w:val="18"/>
              </w:rPr>
            </w:pPr>
            <w:r w:rsidRPr="002A5710">
              <w:rPr>
                <w:szCs w:val="18"/>
              </w:rPr>
              <w:t>Category 2</w:t>
            </w:r>
          </w:p>
        </w:tc>
      </w:tr>
      <w:tr w:rsidR="000B173B" w:rsidRPr="002A5710" w14:paraId="27073F3F"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316937B" w14:textId="77777777" w:rsidR="000B173B" w:rsidRPr="002A5710" w:rsidRDefault="000B173B" w:rsidP="00A15226">
            <w:pPr>
              <w:pStyle w:val="Tabletext"/>
              <w:rPr>
                <w:i/>
                <w:iCs/>
                <w:szCs w:val="18"/>
              </w:rPr>
            </w:pPr>
            <w:r w:rsidRPr="002A5710">
              <w:rPr>
                <w:i/>
                <w:iCs/>
                <w:szCs w:val="18"/>
              </w:rPr>
              <w:t>Thalassarche carteri</w:t>
            </w:r>
          </w:p>
        </w:tc>
        <w:tc>
          <w:tcPr>
            <w:tcW w:w="447" w:type="pct"/>
            <w:tcBorders>
              <w:top w:val="single" w:sz="4" w:space="0" w:color="auto"/>
              <w:left w:val="single" w:sz="4" w:space="0" w:color="auto"/>
              <w:bottom w:val="single" w:sz="4" w:space="0" w:color="auto"/>
              <w:right w:val="single" w:sz="4" w:space="0" w:color="auto"/>
            </w:tcBorders>
            <w:vAlign w:val="center"/>
          </w:tcPr>
          <w:p w14:paraId="1424912E" w14:textId="77777777" w:rsidR="000B173B" w:rsidRPr="002A5710" w:rsidRDefault="000B173B" w:rsidP="00A15226">
            <w:pPr>
              <w:pStyle w:val="Tabletext"/>
              <w:rPr>
                <w:szCs w:val="18"/>
              </w:rPr>
            </w:pPr>
            <w:r w:rsidRPr="002A5710">
              <w:rPr>
                <w:szCs w:val="18"/>
              </w:rPr>
              <w:t>Indian Yellow-nosed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59E24DBB"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59CCDC5E"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32EEF65"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AA2C916"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32093134" w14:textId="77777777" w:rsidR="000B173B" w:rsidRPr="002A5710" w:rsidRDefault="000B173B" w:rsidP="00A15226">
            <w:pPr>
              <w:pStyle w:val="Tabletext"/>
              <w:rPr>
                <w:szCs w:val="18"/>
              </w:rPr>
            </w:pPr>
            <w:r w:rsidRPr="002A5710">
              <w:rPr>
                <w:szCs w:val="18"/>
              </w:rPr>
              <w:t xml:space="preserve">4 individuals of the Indian Yellow-nosed Albatross have been recorded within the Study Area, which is below the threshold of an ecologically significant proportion of the species (160 individuals) </w:t>
            </w:r>
            <w:sdt>
              <w:sdtPr>
                <w:rPr>
                  <w:color w:val="000000"/>
                  <w:szCs w:val="18"/>
                </w:rPr>
                <w:tag w:val="MENDELEY_CITATION_v3_eyJjaXRhdGlvbklEIjoiTUVOREVMRVlfQ0lUQVRJT05fMmIxNjQ2ZDEtNjZjMC00MjQzLTg1MDYtMmEyNDdlYzdjODEw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266776065"/>
                <w:placeholder>
                  <w:docPart w:val="339B7D746526864D922760336FCFE603"/>
                </w:placeholder>
              </w:sdtPr>
              <w:sdtEndPr>
                <w:rPr>
                  <w:szCs w:val="20"/>
                </w:rPr>
              </w:sdtEndPr>
              <w:sdtContent>
                <w:r w:rsidRPr="002F46CE">
                  <w:rPr>
                    <w:color w:val="000000"/>
                  </w:rPr>
                  <w:t>(Birdlife International, 2022)</w:t>
                </w:r>
              </w:sdtContent>
            </w:sdt>
            <w:r w:rsidRPr="002A5710">
              <w:rPr>
                <w:szCs w:val="18"/>
              </w:rPr>
              <w:t>.</w:t>
            </w:r>
          </w:p>
          <w:p w14:paraId="25B1540F" w14:textId="77777777" w:rsidR="000B173B" w:rsidRPr="002A5710" w:rsidRDefault="000B173B" w:rsidP="00A15226">
            <w:pPr>
              <w:pStyle w:val="Tabletext"/>
              <w:rPr>
                <w:szCs w:val="18"/>
              </w:rPr>
            </w:pPr>
            <w:r w:rsidRPr="002A5710">
              <w:rPr>
                <w:szCs w:val="18"/>
              </w:rPr>
              <w:t xml:space="preserve">The species is a marine bird which breeds on islands of the southern Indian Ocean, and which mostly forages in the Indian Ocean. In the Australasian region, the species occurs in inshore and offshore waters. It occurs along the entirety of the southern coast of Australia, ranging from north of Perth in Western Australia, to northern NSW in the east. It is most abundant off the coast of Western Australia. Its diet includes cephalopods and fish </w:t>
            </w:r>
            <w:sdt>
              <w:sdtPr>
                <w:rPr>
                  <w:color w:val="000000"/>
                  <w:szCs w:val="18"/>
                </w:rPr>
                <w:tag w:val="MENDELEY_CITATION_v3_eyJjaXRhdGlvbklEIjoiTUVOREVMRVlfQ0lUQVRJT05fMGVhZDM5MGEtMDA2Mi00NjJjLTkzYzAtN2QyOTU5OWY2ODF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960189816"/>
                <w:placeholder>
                  <w:docPart w:val="339B7D746526864D922760336FCFE603"/>
                </w:placeholder>
              </w:sdtPr>
              <w:sdtEndPr>
                <w:rPr>
                  <w:szCs w:val="20"/>
                </w:rPr>
              </w:sdtEndPr>
              <w:sdtContent>
                <w:r w:rsidRPr="002F46CE">
                  <w:rPr>
                    <w:color w:val="000000"/>
                  </w:rPr>
                  <w:t>(DCCEEW, 2022)</w:t>
                </w:r>
              </w:sdtContent>
            </w:sdt>
            <w:r w:rsidRPr="002A5710">
              <w:rPr>
                <w:szCs w:val="18"/>
              </w:rPr>
              <w:t>.</w:t>
            </w:r>
          </w:p>
          <w:p w14:paraId="1EF297D2" w14:textId="77777777" w:rsidR="000B173B" w:rsidRPr="002A5710" w:rsidRDefault="000B173B" w:rsidP="00A15226">
            <w:pPr>
              <w:pStyle w:val="Tabletext"/>
              <w:rPr>
                <w:szCs w:val="18"/>
              </w:rPr>
            </w:pPr>
            <w:r w:rsidRPr="002A5710">
              <w:rPr>
                <w:szCs w:val="18"/>
              </w:rPr>
              <w:t>Given the small number of records and the species’ ecological characteristics, it is unlikely that the Study Area supports important habitat for this species.</w:t>
            </w:r>
          </w:p>
          <w:p w14:paraId="5BB71AFE"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937BF6" w14:textId="77777777" w:rsidR="000B173B" w:rsidRPr="002A5710" w:rsidRDefault="000B173B" w:rsidP="00A15226">
            <w:pPr>
              <w:pStyle w:val="Tabletext"/>
              <w:rPr>
                <w:szCs w:val="18"/>
              </w:rPr>
            </w:pPr>
            <w:r w:rsidRPr="002A5710">
              <w:rPr>
                <w:szCs w:val="18"/>
              </w:rPr>
              <w:t>Category 2</w:t>
            </w:r>
          </w:p>
        </w:tc>
      </w:tr>
      <w:tr w:rsidR="000B173B" w:rsidRPr="002A5710" w14:paraId="0D39C6EA"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5C12142C" w14:textId="77777777" w:rsidR="000B173B" w:rsidRPr="002A5710" w:rsidRDefault="000B173B" w:rsidP="00A15226">
            <w:pPr>
              <w:pStyle w:val="Tabletext"/>
              <w:rPr>
                <w:i/>
                <w:iCs/>
                <w:szCs w:val="18"/>
              </w:rPr>
            </w:pPr>
            <w:r w:rsidRPr="002A5710">
              <w:rPr>
                <w:i/>
                <w:iCs/>
                <w:szCs w:val="18"/>
              </w:rPr>
              <w:t>Thalassarche cauta</w:t>
            </w:r>
          </w:p>
        </w:tc>
        <w:tc>
          <w:tcPr>
            <w:tcW w:w="447" w:type="pct"/>
            <w:tcBorders>
              <w:top w:val="single" w:sz="4" w:space="0" w:color="auto"/>
              <w:left w:val="single" w:sz="4" w:space="0" w:color="auto"/>
              <w:bottom w:val="single" w:sz="4" w:space="0" w:color="auto"/>
              <w:right w:val="single" w:sz="4" w:space="0" w:color="auto"/>
            </w:tcBorders>
            <w:vAlign w:val="center"/>
          </w:tcPr>
          <w:p w14:paraId="3C9CD658" w14:textId="77777777" w:rsidR="000B173B" w:rsidRPr="002A5710" w:rsidRDefault="000B173B" w:rsidP="00A15226">
            <w:pPr>
              <w:pStyle w:val="Tabletext"/>
              <w:rPr>
                <w:szCs w:val="18"/>
              </w:rPr>
            </w:pPr>
            <w:r w:rsidRPr="002A5710">
              <w:rPr>
                <w:szCs w:val="18"/>
              </w:rPr>
              <w:t>Shy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67D7B932" w14:textId="77777777" w:rsidR="000B173B" w:rsidRPr="002A5710" w:rsidRDefault="000B173B" w:rsidP="00A15226">
            <w:pPr>
              <w:pStyle w:val="Tabletext"/>
              <w:rPr>
                <w:szCs w:val="18"/>
              </w:rPr>
            </w:pPr>
            <w:r w:rsidRPr="002A5710">
              <w:rPr>
                <w:szCs w:val="18"/>
              </w:rPr>
              <w:t>E, Mig, B</w:t>
            </w:r>
          </w:p>
        </w:tc>
        <w:tc>
          <w:tcPr>
            <w:tcW w:w="495" w:type="pct"/>
            <w:tcBorders>
              <w:top w:val="single" w:sz="4" w:space="0" w:color="auto"/>
              <w:left w:val="single" w:sz="4" w:space="0" w:color="auto"/>
              <w:bottom w:val="single" w:sz="4" w:space="0" w:color="auto"/>
              <w:right w:val="single" w:sz="4" w:space="0" w:color="auto"/>
            </w:tcBorders>
            <w:vAlign w:val="center"/>
          </w:tcPr>
          <w:p w14:paraId="59E89B17"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B9298B9"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1F9C31A"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75BEAABD" w14:textId="77777777" w:rsidR="000B173B" w:rsidRPr="002A5710" w:rsidRDefault="000B173B" w:rsidP="00A15226">
            <w:pPr>
              <w:pStyle w:val="Tabletext"/>
              <w:rPr>
                <w:szCs w:val="18"/>
              </w:rPr>
            </w:pPr>
            <w:r w:rsidRPr="002A5710">
              <w:rPr>
                <w:szCs w:val="18"/>
              </w:rPr>
              <w:t xml:space="preserve">14 individuals of the Shy Albatross have been recorded within the Study Area, which is below the threshold of an ecologically significant proportion of the species (307 individuals) </w:t>
            </w:r>
            <w:sdt>
              <w:sdtPr>
                <w:rPr>
                  <w:color w:val="000000"/>
                  <w:szCs w:val="18"/>
                </w:rPr>
                <w:tag w:val="MENDELEY_CITATION_v3_eyJjaXRhdGlvbklEIjoiTUVOREVMRVlfQ0lUQVRJT05fMjE0MTNlZWQtMjA2My00NWVmLTk3MTItZjIyNjcyMzc5YjJl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671178659"/>
                <w:placeholder>
                  <w:docPart w:val="339B7D746526864D922760336FCFE603"/>
                </w:placeholder>
              </w:sdtPr>
              <w:sdtEndPr>
                <w:rPr>
                  <w:szCs w:val="20"/>
                </w:rPr>
              </w:sdtEndPr>
              <w:sdtContent>
                <w:r w:rsidRPr="002F46CE">
                  <w:rPr>
                    <w:color w:val="000000"/>
                  </w:rPr>
                  <w:t>(Birdlife International, 2022)</w:t>
                </w:r>
              </w:sdtContent>
            </w:sdt>
            <w:r w:rsidRPr="002A5710">
              <w:rPr>
                <w:szCs w:val="18"/>
              </w:rPr>
              <w:t>.</w:t>
            </w:r>
          </w:p>
          <w:p w14:paraId="2EA8FCE3" w14:textId="77777777" w:rsidR="000B173B" w:rsidRPr="002A5710" w:rsidRDefault="000B173B" w:rsidP="00A15226">
            <w:pPr>
              <w:pStyle w:val="Tabletext"/>
              <w:rPr>
                <w:szCs w:val="18"/>
              </w:rPr>
            </w:pPr>
            <w:r w:rsidRPr="002A5710">
              <w:rPr>
                <w:szCs w:val="18"/>
              </w:rPr>
              <w:t xml:space="preserve">The Shy Albatross is the only albatross species which is endemic to Australia, with breeding colonies on three small islands off Tasmania. Adults of the species primarily occur in waters adjacent to Tasmania and </w:t>
            </w:r>
            <w:r w:rsidRPr="002A5710">
              <w:rPr>
                <w:szCs w:val="18"/>
              </w:rPr>
              <w:lastRenderedPageBreak/>
              <w:t xml:space="preserve">southern Australia, while juveniles have a much larger range, extending across the Indian Ocean to Africa and potentially to the south-western Atlantic Ocean. The species feeds primarily on fish and cephalopods, foraging in the marine environment </w:t>
            </w:r>
            <w:sdt>
              <w:sdtPr>
                <w:rPr>
                  <w:color w:val="000000"/>
                  <w:szCs w:val="18"/>
                </w:rPr>
                <w:tag w:val="MENDELEY_CITATION_v3_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"/>
                <w:id w:val="1183702324"/>
                <w:placeholder>
                  <w:docPart w:val="339B7D746526864D922760336FCFE603"/>
                </w:placeholder>
              </w:sdtPr>
              <w:sdtEndPr>
                <w:rPr>
                  <w:szCs w:val="20"/>
                </w:rPr>
              </w:sdtEndPr>
              <w:sdtContent>
                <w:r w:rsidRPr="002F46CE">
                  <w:rPr>
                    <w:color w:val="000000"/>
                  </w:rPr>
                  <w:t>(TSSC, 2020a)</w:t>
                </w:r>
              </w:sdtContent>
            </w:sdt>
            <w:r w:rsidRPr="002A5710">
              <w:rPr>
                <w:szCs w:val="18"/>
              </w:rPr>
              <w:t>.</w:t>
            </w:r>
          </w:p>
          <w:p w14:paraId="23FA5D6B" w14:textId="77777777" w:rsidR="000B173B" w:rsidRPr="002A5710" w:rsidRDefault="000B173B" w:rsidP="00A15226">
            <w:pPr>
              <w:pStyle w:val="Tabletext"/>
              <w:rPr>
                <w:szCs w:val="18"/>
              </w:rPr>
            </w:pPr>
            <w:r w:rsidRPr="002A5710">
              <w:rPr>
                <w:szCs w:val="18"/>
              </w:rPr>
              <w:t xml:space="preserve">Threats to the species include fisheries bycatch, climate change, disease, interspecies competition, marine pollution, human disturbance of nesting colonies and historical harvest from the wild </w:t>
            </w:r>
            <w:sdt>
              <w:sdtPr>
                <w:rPr>
                  <w:color w:val="000000"/>
                  <w:szCs w:val="18"/>
                </w:rPr>
                <w:tag w:val="MENDELEY_CITATION_v3_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"/>
                <w:id w:val="-432440574"/>
                <w:placeholder>
                  <w:docPart w:val="339B7D746526864D922760336FCFE603"/>
                </w:placeholder>
              </w:sdtPr>
              <w:sdtEndPr>
                <w:rPr>
                  <w:szCs w:val="20"/>
                </w:rPr>
              </w:sdtEndPr>
              <w:sdtContent>
                <w:r w:rsidRPr="002F46CE">
                  <w:rPr>
                    <w:color w:val="000000"/>
                  </w:rPr>
                  <w:t>(TSSC, 2020a)</w:t>
                </w:r>
              </w:sdtContent>
            </w:sdt>
            <w:r w:rsidRPr="002A5710">
              <w:rPr>
                <w:szCs w:val="18"/>
              </w:rPr>
              <w:t>.</w:t>
            </w:r>
          </w:p>
          <w:p w14:paraId="56DE9A40" w14:textId="77777777" w:rsidR="000B173B" w:rsidRPr="002A5710" w:rsidRDefault="000B173B" w:rsidP="00A15226">
            <w:pPr>
              <w:pStyle w:val="Tabletext"/>
              <w:rPr>
                <w:szCs w:val="18"/>
              </w:rPr>
            </w:pPr>
            <w:r w:rsidRPr="002A5710">
              <w:rPr>
                <w:szCs w:val="18"/>
              </w:rPr>
              <w:t>Given the small number of records and the species’ ecological characteristics, it is unlikely that the Study Area supports important habitat for this species.</w:t>
            </w:r>
          </w:p>
          <w:p w14:paraId="34D074EC" w14:textId="77777777" w:rsidR="000B173B" w:rsidRPr="002A5710" w:rsidRDefault="000B173B" w:rsidP="00A15226">
            <w:pPr>
              <w:pStyle w:val="Tabletext"/>
              <w:rPr>
                <w:szCs w:val="18"/>
              </w:rPr>
            </w:pPr>
            <w:r w:rsidRPr="002A5710">
              <w:rPr>
                <w:szCs w:val="18"/>
              </w:rPr>
              <w:t>Further, the Plan will not exacerbate any threats to this species, and subsequently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225C40"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64949160"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C90B34E" w14:textId="77777777" w:rsidR="000B173B" w:rsidRPr="002A5710" w:rsidRDefault="000B173B" w:rsidP="00A15226">
            <w:pPr>
              <w:pStyle w:val="Tabletext"/>
              <w:rPr>
                <w:i/>
                <w:iCs/>
                <w:szCs w:val="18"/>
              </w:rPr>
            </w:pPr>
            <w:r w:rsidRPr="002A5710">
              <w:rPr>
                <w:i/>
                <w:iCs/>
                <w:szCs w:val="18"/>
              </w:rPr>
              <w:t>Thalassarche chrysostoma</w:t>
            </w:r>
          </w:p>
        </w:tc>
        <w:tc>
          <w:tcPr>
            <w:tcW w:w="447" w:type="pct"/>
            <w:tcBorders>
              <w:top w:val="single" w:sz="4" w:space="0" w:color="auto"/>
              <w:left w:val="single" w:sz="4" w:space="0" w:color="auto"/>
              <w:bottom w:val="single" w:sz="4" w:space="0" w:color="auto"/>
              <w:right w:val="single" w:sz="4" w:space="0" w:color="auto"/>
            </w:tcBorders>
            <w:vAlign w:val="center"/>
          </w:tcPr>
          <w:p w14:paraId="563BAF4C" w14:textId="77777777" w:rsidR="000B173B" w:rsidRPr="002A5710" w:rsidRDefault="000B173B" w:rsidP="00A15226">
            <w:pPr>
              <w:pStyle w:val="Tabletext"/>
              <w:rPr>
                <w:szCs w:val="18"/>
              </w:rPr>
            </w:pPr>
            <w:r w:rsidRPr="002A5710">
              <w:rPr>
                <w:szCs w:val="18"/>
              </w:rPr>
              <w:t>Grey-headed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4AC0C91B" w14:textId="77777777" w:rsidR="000B173B" w:rsidRPr="002A5710" w:rsidRDefault="000B173B" w:rsidP="00A15226">
            <w:pPr>
              <w:pStyle w:val="Tabletext"/>
              <w:rPr>
                <w:szCs w:val="18"/>
              </w:rPr>
            </w:pPr>
            <w:r w:rsidRPr="002A5710">
              <w:rPr>
                <w:szCs w:val="18"/>
              </w:rPr>
              <w:t>E, Mig, B</w:t>
            </w:r>
          </w:p>
        </w:tc>
        <w:tc>
          <w:tcPr>
            <w:tcW w:w="495" w:type="pct"/>
            <w:tcBorders>
              <w:top w:val="single" w:sz="4" w:space="0" w:color="auto"/>
              <w:left w:val="single" w:sz="4" w:space="0" w:color="auto"/>
              <w:bottom w:val="single" w:sz="4" w:space="0" w:color="auto"/>
              <w:right w:val="single" w:sz="4" w:space="0" w:color="auto"/>
            </w:tcBorders>
            <w:vAlign w:val="center"/>
          </w:tcPr>
          <w:p w14:paraId="60EFEA1F"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EF594E1"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5E5D71F9"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41EA4F6C" w14:textId="77777777" w:rsidR="000B173B" w:rsidRPr="002A5710" w:rsidRDefault="000B173B" w:rsidP="00A15226">
            <w:pPr>
              <w:pStyle w:val="Tabletext"/>
              <w:rPr>
                <w:szCs w:val="18"/>
              </w:rPr>
            </w:pPr>
            <w:r w:rsidRPr="002A5710">
              <w:rPr>
                <w:szCs w:val="18"/>
              </w:rPr>
              <w:t>No individuals of the Grey-headed Albatross have been recorded within the Study Area. Given the absence of records of the species, it is unlikely the Study Area supports important habitat for the species.</w:t>
            </w:r>
          </w:p>
          <w:p w14:paraId="54F5C6A3"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24456" w14:textId="77777777" w:rsidR="000B173B" w:rsidRPr="002A5710" w:rsidRDefault="000B173B" w:rsidP="00A15226">
            <w:pPr>
              <w:pStyle w:val="Tabletext"/>
              <w:rPr>
                <w:szCs w:val="18"/>
              </w:rPr>
            </w:pPr>
            <w:r w:rsidRPr="002A5710">
              <w:rPr>
                <w:szCs w:val="18"/>
              </w:rPr>
              <w:t>Category 2</w:t>
            </w:r>
          </w:p>
        </w:tc>
      </w:tr>
      <w:tr w:rsidR="000B173B" w:rsidRPr="002A5710" w14:paraId="1EA9BB62"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299EC90" w14:textId="77777777" w:rsidR="000B173B" w:rsidRPr="002A5710" w:rsidRDefault="000B173B" w:rsidP="00A15226">
            <w:pPr>
              <w:pStyle w:val="Tabletext"/>
              <w:rPr>
                <w:i/>
                <w:iCs/>
                <w:szCs w:val="18"/>
              </w:rPr>
            </w:pPr>
            <w:r w:rsidRPr="002A5710">
              <w:rPr>
                <w:i/>
                <w:iCs/>
                <w:szCs w:val="18"/>
              </w:rPr>
              <w:t>Thalassarche impavida</w:t>
            </w:r>
          </w:p>
        </w:tc>
        <w:tc>
          <w:tcPr>
            <w:tcW w:w="447" w:type="pct"/>
            <w:tcBorders>
              <w:top w:val="single" w:sz="4" w:space="0" w:color="auto"/>
              <w:left w:val="single" w:sz="4" w:space="0" w:color="auto"/>
              <w:bottom w:val="single" w:sz="4" w:space="0" w:color="auto"/>
              <w:right w:val="single" w:sz="4" w:space="0" w:color="auto"/>
            </w:tcBorders>
            <w:vAlign w:val="center"/>
          </w:tcPr>
          <w:p w14:paraId="56151E3D" w14:textId="77777777" w:rsidR="000B173B" w:rsidRPr="002A5710" w:rsidRDefault="000B173B" w:rsidP="00A15226">
            <w:pPr>
              <w:pStyle w:val="Tabletext"/>
              <w:rPr>
                <w:szCs w:val="18"/>
              </w:rPr>
            </w:pPr>
            <w:r w:rsidRPr="002A5710">
              <w:rPr>
                <w:szCs w:val="18"/>
              </w:rPr>
              <w:t>Campbell Albatross, Campbell Black-browed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335E068"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44EEABE1"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344B621"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4E0BBCDF"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33598949" w14:textId="77777777" w:rsidR="000B173B" w:rsidRPr="002A5710" w:rsidRDefault="000B173B" w:rsidP="00A15226">
            <w:pPr>
              <w:pStyle w:val="Tabletext"/>
              <w:rPr>
                <w:szCs w:val="18"/>
              </w:rPr>
            </w:pPr>
            <w:r w:rsidRPr="002A5710">
              <w:rPr>
                <w:szCs w:val="18"/>
              </w:rPr>
              <w:t>No individuals of the Campbell Albatross have been recorded within the Study Area. Given the absence of records of the species, it is unlikely the Study Area supports important habitat for the species.</w:t>
            </w:r>
          </w:p>
          <w:p w14:paraId="0CF479EF"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F67315" w14:textId="77777777" w:rsidR="000B173B" w:rsidRPr="002A5710" w:rsidRDefault="000B173B" w:rsidP="00A15226">
            <w:pPr>
              <w:pStyle w:val="Tabletext"/>
              <w:rPr>
                <w:szCs w:val="18"/>
              </w:rPr>
            </w:pPr>
            <w:r w:rsidRPr="002A5710">
              <w:rPr>
                <w:szCs w:val="18"/>
              </w:rPr>
              <w:t>Category 2</w:t>
            </w:r>
          </w:p>
        </w:tc>
      </w:tr>
      <w:tr w:rsidR="000B173B" w:rsidRPr="002A5710" w14:paraId="5592CDF8"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0864E67" w14:textId="77777777" w:rsidR="000B173B" w:rsidRPr="002A5710" w:rsidRDefault="000B173B" w:rsidP="00A15226">
            <w:pPr>
              <w:pStyle w:val="Tabletext"/>
              <w:rPr>
                <w:i/>
                <w:iCs/>
                <w:szCs w:val="18"/>
              </w:rPr>
            </w:pPr>
            <w:r w:rsidRPr="002A5710">
              <w:rPr>
                <w:i/>
                <w:iCs/>
                <w:szCs w:val="18"/>
              </w:rPr>
              <w:t>Thalassarche melanophris</w:t>
            </w:r>
          </w:p>
        </w:tc>
        <w:tc>
          <w:tcPr>
            <w:tcW w:w="447" w:type="pct"/>
            <w:tcBorders>
              <w:top w:val="single" w:sz="4" w:space="0" w:color="auto"/>
              <w:left w:val="single" w:sz="4" w:space="0" w:color="auto"/>
              <w:bottom w:val="single" w:sz="4" w:space="0" w:color="auto"/>
              <w:right w:val="single" w:sz="4" w:space="0" w:color="auto"/>
            </w:tcBorders>
            <w:vAlign w:val="center"/>
          </w:tcPr>
          <w:p w14:paraId="6B7AC146" w14:textId="77777777" w:rsidR="000B173B" w:rsidRPr="002A5710" w:rsidRDefault="000B173B" w:rsidP="00A15226">
            <w:pPr>
              <w:pStyle w:val="Tabletext"/>
              <w:rPr>
                <w:szCs w:val="18"/>
              </w:rPr>
            </w:pPr>
            <w:r w:rsidRPr="002A5710">
              <w:rPr>
                <w:szCs w:val="18"/>
              </w:rPr>
              <w:t>Black-browed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5F557E02"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6DCFFC00"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F036DB4"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1948D33"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5AF9AC33" w14:textId="77777777" w:rsidR="000B173B" w:rsidRPr="002A5710" w:rsidRDefault="000B173B" w:rsidP="00A15226">
            <w:pPr>
              <w:pStyle w:val="Tabletext"/>
              <w:rPr>
                <w:szCs w:val="18"/>
              </w:rPr>
            </w:pPr>
            <w:r w:rsidRPr="002A5710">
              <w:rPr>
                <w:szCs w:val="18"/>
              </w:rPr>
              <w:t xml:space="preserve">36 individuals of the Black-browed Albatross have been recorded within the Study Area, which is below the threshold of an ecologically significant proportion of the species (14,000 individuals) </w:t>
            </w:r>
            <w:sdt>
              <w:sdtPr>
                <w:rPr>
                  <w:color w:val="000000"/>
                  <w:szCs w:val="18"/>
                </w:rPr>
                <w:tag w:val="MENDELEY_CITATION_v3_eyJjaXRhdGlvbklEIjoiTUVOREVMRVlfQ0lUQVRJT05fYjI2YTc3NDYtYzU5Ni00NzcwLTkxNGItMGYyZDMwMjJiYzA3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1629164177"/>
                <w:placeholder>
                  <w:docPart w:val="339B7D746526864D922760336FCFE603"/>
                </w:placeholder>
              </w:sdtPr>
              <w:sdtEndPr>
                <w:rPr>
                  <w:szCs w:val="20"/>
                </w:rPr>
              </w:sdtEndPr>
              <w:sdtContent>
                <w:r w:rsidRPr="002F46CE">
                  <w:rPr>
                    <w:color w:val="000000"/>
                  </w:rPr>
                  <w:t>(Birdlife International, 2022)</w:t>
                </w:r>
              </w:sdtContent>
            </w:sdt>
            <w:r w:rsidRPr="002A5710">
              <w:rPr>
                <w:szCs w:val="18"/>
              </w:rPr>
              <w:t>.</w:t>
            </w:r>
          </w:p>
          <w:p w14:paraId="37501617" w14:textId="77777777" w:rsidR="000B173B" w:rsidRPr="002A5710" w:rsidRDefault="000B173B" w:rsidP="00A15226">
            <w:pPr>
              <w:pStyle w:val="Tabletext"/>
              <w:rPr>
                <w:szCs w:val="18"/>
              </w:rPr>
            </w:pPr>
            <w:r w:rsidRPr="002A5710">
              <w:rPr>
                <w:szCs w:val="18"/>
              </w:rPr>
              <w:t xml:space="preserve">The species breeds on subantarctic islands under Australian jurisdiction and is mostly confined to subantarctic and Antarctic waters during the breeding season. Outside of the breeding season, the species migrates north and forages across a wide area marine area, including along the southern continental shelf of Australia. The species forages on fish, cephalopods and crustaceans in the marine environment </w:t>
            </w:r>
            <w:sdt>
              <w:sdtPr>
                <w:rPr>
                  <w:color w:val="000000"/>
                  <w:szCs w:val="18"/>
                </w:rPr>
                <w:tag w:val="MENDELEY_CITATION_v3_eyJjaXRhdGlvbklEIjoiTUVOREVMRVlfQ0lUQVRJT05fZTcwYmJkZDUtYzI0Yy00MTY4LTkyYjItZDAzYjk2MDI0ZjB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531651049"/>
                <w:placeholder>
                  <w:docPart w:val="339B7D746526864D922760336FCFE603"/>
                </w:placeholder>
              </w:sdtPr>
              <w:sdtEndPr>
                <w:rPr>
                  <w:szCs w:val="20"/>
                </w:rPr>
              </w:sdtEndPr>
              <w:sdtContent>
                <w:r w:rsidRPr="002F46CE">
                  <w:rPr>
                    <w:color w:val="000000"/>
                  </w:rPr>
                  <w:t>(DCCEEW, 2022)</w:t>
                </w:r>
              </w:sdtContent>
            </w:sdt>
            <w:r w:rsidRPr="002A5710">
              <w:rPr>
                <w:szCs w:val="18"/>
              </w:rPr>
              <w:t>.</w:t>
            </w:r>
          </w:p>
          <w:p w14:paraId="166C49F9" w14:textId="77777777" w:rsidR="000B173B" w:rsidRPr="002A5710" w:rsidRDefault="000B173B" w:rsidP="00A15226">
            <w:pPr>
              <w:pStyle w:val="Tabletext"/>
              <w:rPr>
                <w:szCs w:val="18"/>
              </w:rPr>
            </w:pPr>
            <w:r w:rsidRPr="002A5710">
              <w:rPr>
                <w:szCs w:val="18"/>
              </w:rPr>
              <w:lastRenderedPageBreak/>
              <w:t>Given the small number of records and the species’ ecological characteristics, it is unlikely that the Study Area supports important habitat for this species.</w:t>
            </w:r>
          </w:p>
          <w:p w14:paraId="535E9239"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E1C7A75"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34148FDD"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BF4797C" w14:textId="77777777" w:rsidR="000B173B" w:rsidRPr="002A5710" w:rsidRDefault="000B173B" w:rsidP="00A15226">
            <w:pPr>
              <w:pStyle w:val="Tabletext"/>
              <w:rPr>
                <w:i/>
                <w:iCs/>
                <w:szCs w:val="18"/>
              </w:rPr>
            </w:pPr>
            <w:r w:rsidRPr="002A5710">
              <w:rPr>
                <w:i/>
                <w:iCs/>
                <w:szCs w:val="18"/>
              </w:rPr>
              <w:t>Thalassarche salvini</w:t>
            </w:r>
          </w:p>
        </w:tc>
        <w:tc>
          <w:tcPr>
            <w:tcW w:w="447" w:type="pct"/>
            <w:tcBorders>
              <w:top w:val="single" w:sz="4" w:space="0" w:color="auto"/>
              <w:left w:val="single" w:sz="4" w:space="0" w:color="auto"/>
              <w:bottom w:val="single" w:sz="4" w:space="0" w:color="auto"/>
              <w:right w:val="single" w:sz="4" w:space="0" w:color="auto"/>
            </w:tcBorders>
            <w:vAlign w:val="center"/>
          </w:tcPr>
          <w:p w14:paraId="6CE57471" w14:textId="77777777" w:rsidR="000B173B" w:rsidRPr="002A5710" w:rsidRDefault="000B173B" w:rsidP="00A15226">
            <w:pPr>
              <w:pStyle w:val="Tabletext"/>
              <w:rPr>
                <w:szCs w:val="18"/>
              </w:rPr>
            </w:pPr>
            <w:r w:rsidRPr="002A5710">
              <w:rPr>
                <w:szCs w:val="18"/>
              </w:rPr>
              <w:t>Salvin's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9B1108E"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58D4FB04"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DAEA3B6"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2FCB8676"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2DF234C2" w14:textId="77777777" w:rsidR="000B173B" w:rsidRPr="002A5710" w:rsidRDefault="000B173B" w:rsidP="00A15226">
            <w:pPr>
              <w:pStyle w:val="Tabletext"/>
              <w:rPr>
                <w:szCs w:val="18"/>
              </w:rPr>
            </w:pPr>
            <w:r w:rsidRPr="002A5710">
              <w:rPr>
                <w:szCs w:val="18"/>
              </w:rPr>
              <w:t>No individuals of the Salvin’s Albatross have been recorded within the Study Area. Given the absence of records of the species, it is unlikely the Study Area supports important habitat for the species.</w:t>
            </w:r>
          </w:p>
          <w:p w14:paraId="3FDED2CA"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4960D4" w14:textId="77777777" w:rsidR="000B173B" w:rsidRPr="002A5710" w:rsidRDefault="000B173B" w:rsidP="00A15226">
            <w:pPr>
              <w:pStyle w:val="Tabletext"/>
              <w:rPr>
                <w:szCs w:val="18"/>
              </w:rPr>
            </w:pPr>
            <w:r w:rsidRPr="002A5710">
              <w:rPr>
                <w:szCs w:val="18"/>
              </w:rPr>
              <w:t>Category 2</w:t>
            </w:r>
          </w:p>
        </w:tc>
      </w:tr>
      <w:tr w:rsidR="000B173B" w:rsidRPr="002A5710" w14:paraId="3D4BA0F3"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3DFEBE0" w14:textId="77777777" w:rsidR="000B173B" w:rsidRPr="002A5710" w:rsidRDefault="000B173B" w:rsidP="00A15226">
            <w:pPr>
              <w:pStyle w:val="Tabletext"/>
              <w:rPr>
                <w:i/>
                <w:iCs/>
                <w:szCs w:val="18"/>
              </w:rPr>
            </w:pPr>
            <w:r w:rsidRPr="002A5710">
              <w:rPr>
                <w:i/>
                <w:iCs/>
                <w:szCs w:val="18"/>
              </w:rPr>
              <w:t>Thalassarche steadi</w:t>
            </w:r>
          </w:p>
        </w:tc>
        <w:tc>
          <w:tcPr>
            <w:tcW w:w="447" w:type="pct"/>
            <w:tcBorders>
              <w:top w:val="single" w:sz="4" w:space="0" w:color="auto"/>
              <w:left w:val="single" w:sz="4" w:space="0" w:color="auto"/>
              <w:bottom w:val="single" w:sz="4" w:space="0" w:color="auto"/>
              <w:right w:val="single" w:sz="4" w:space="0" w:color="auto"/>
            </w:tcBorders>
            <w:vAlign w:val="center"/>
          </w:tcPr>
          <w:p w14:paraId="1068BB02" w14:textId="77777777" w:rsidR="000B173B" w:rsidRPr="002A5710" w:rsidRDefault="000B173B" w:rsidP="00A15226">
            <w:pPr>
              <w:pStyle w:val="Tabletext"/>
              <w:rPr>
                <w:szCs w:val="18"/>
              </w:rPr>
            </w:pPr>
            <w:r w:rsidRPr="002A5710">
              <w:rPr>
                <w:szCs w:val="18"/>
              </w:rPr>
              <w:t>White-capped Albatross</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CDAEBE8" w14:textId="77777777" w:rsidR="000B173B" w:rsidRPr="002A5710" w:rsidRDefault="000B173B" w:rsidP="00A15226">
            <w:pPr>
              <w:pStyle w:val="Tabletext"/>
              <w:rPr>
                <w:szCs w:val="18"/>
              </w:rPr>
            </w:pPr>
            <w:r w:rsidRPr="002A5710">
              <w:rPr>
                <w:szCs w:val="18"/>
              </w:rPr>
              <w:t>V, Mig, B</w:t>
            </w:r>
          </w:p>
        </w:tc>
        <w:tc>
          <w:tcPr>
            <w:tcW w:w="495" w:type="pct"/>
            <w:tcBorders>
              <w:top w:val="single" w:sz="4" w:space="0" w:color="auto"/>
              <w:left w:val="single" w:sz="4" w:space="0" w:color="auto"/>
              <w:bottom w:val="single" w:sz="4" w:space="0" w:color="auto"/>
              <w:right w:val="single" w:sz="4" w:space="0" w:color="auto"/>
            </w:tcBorders>
            <w:vAlign w:val="center"/>
          </w:tcPr>
          <w:p w14:paraId="1598F541"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8058D84"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7812BEB1"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022A7FEB" w14:textId="77777777" w:rsidR="000B173B" w:rsidRPr="002A5710" w:rsidRDefault="000B173B" w:rsidP="00A15226">
            <w:pPr>
              <w:pStyle w:val="Tabletext"/>
              <w:rPr>
                <w:szCs w:val="18"/>
              </w:rPr>
            </w:pPr>
            <w:r w:rsidRPr="002A5710">
              <w:rPr>
                <w:szCs w:val="18"/>
              </w:rPr>
              <w:t>No individuals of the White-capped Albatross have been recorded within the Study Area. Given the absence of records of the species, it is unlikely the Study Area supports important habitat for the species.</w:t>
            </w:r>
          </w:p>
          <w:p w14:paraId="337A1856"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E047D66" w14:textId="77777777" w:rsidR="000B173B" w:rsidRPr="002A5710" w:rsidRDefault="000B173B" w:rsidP="00A15226">
            <w:pPr>
              <w:pStyle w:val="Tabletext"/>
              <w:rPr>
                <w:szCs w:val="18"/>
              </w:rPr>
            </w:pPr>
            <w:r w:rsidRPr="002A5710">
              <w:rPr>
                <w:szCs w:val="18"/>
              </w:rPr>
              <w:t>Category 2</w:t>
            </w:r>
          </w:p>
        </w:tc>
      </w:tr>
      <w:tr w:rsidR="000B173B" w:rsidRPr="002A5710" w14:paraId="30783C9A"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196A5D86" w14:textId="77777777" w:rsidR="000B173B" w:rsidRPr="002A5710" w:rsidRDefault="000B173B" w:rsidP="00A15226">
            <w:pPr>
              <w:pStyle w:val="Tabletext"/>
              <w:rPr>
                <w:i/>
                <w:iCs/>
                <w:szCs w:val="18"/>
              </w:rPr>
            </w:pPr>
            <w:r w:rsidRPr="002A5710">
              <w:rPr>
                <w:i/>
                <w:iCs/>
                <w:szCs w:val="18"/>
              </w:rPr>
              <w:t>Tringa brevipes</w:t>
            </w:r>
          </w:p>
        </w:tc>
        <w:tc>
          <w:tcPr>
            <w:tcW w:w="447" w:type="pct"/>
            <w:tcBorders>
              <w:top w:val="single" w:sz="4" w:space="0" w:color="auto"/>
              <w:left w:val="single" w:sz="4" w:space="0" w:color="auto"/>
              <w:bottom w:val="single" w:sz="4" w:space="0" w:color="auto"/>
              <w:right w:val="single" w:sz="4" w:space="0" w:color="auto"/>
            </w:tcBorders>
            <w:vAlign w:val="center"/>
          </w:tcPr>
          <w:p w14:paraId="2092AFF4" w14:textId="77777777" w:rsidR="000B173B" w:rsidRPr="002A5710" w:rsidRDefault="000B173B" w:rsidP="00A15226">
            <w:pPr>
              <w:pStyle w:val="Tabletext"/>
              <w:rPr>
                <w:szCs w:val="18"/>
              </w:rPr>
            </w:pPr>
            <w:r w:rsidRPr="002A5710">
              <w:rPr>
                <w:szCs w:val="18"/>
              </w:rPr>
              <w:t>Grey-tailed Tattler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674E80D"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3DF70E58"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WQxMTRjNWEtZmUxNy00MmUyLThjMTQtMjgwMmM0MTVkZmVl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9012287"/>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9EE14B8"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4D9DAD03"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35032196" w14:textId="77777777" w:rsidR="000B173B" w:rsidRPr="002A5710" w:rsidRDefault="000B173B" w:rsidP="00A15226">
            <w:pPr>
              <w:pStyle w:val="Tabletext"/>
              <w:rPr>
                <w:szCs w:val="18"/>
              </w:rPr>
            </w:pPr>
            <w:r w:rsidRPr="002A5710">
              <w:rPr>
                <w:szCs w:val="18"/>
              </w:rPr>
              <w:t xml:space="preserve">5 individuals of the Grey-tailed Tattler have been recorded within the Study Area within the past 5 years, which is below the threshold of an ecologically significant proportion of the species (70 individuals within the last 5 years) </w:t>
            </w:r>
            <w:sdt>
              <w:sdtPr>
                <w:rPr>
                  <w:szCs w:val="18"/>
                </w:rPr>
                <w:tag w:val="MENDELEY_CITATION_v3_eyJjaXRhdGlvbklEIjoiTUVOREVMRVlfQ0lUQVRJT05fNTcxMzlmZDctMmVjMS00MzVkLWFiYTYtZDNmZmI5OThhYzVh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858476080"/>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w:t>
            </w:r>
          </w:p>
          <w:p w14:paraId="542C34A2" w14:textId="77777777" w:rsidR="000B173B" w:rsidRPr="002A5710" w:rsidRDefault="000B173B" w:rsidP="00A15226">
            <w:pPr>
              <w:pStyle w:val="Tabletext"/>
              <w:rPr>
                <w:szCs w:val="18"/>
              </w:rPr>
            </w:pPr>
            <w:r w:rsidRPr="002A5710">
              <w:rPr>
                <w:szCs w:val="18"/>
              </w:rPr>
              <w:t xml:space="preserve">No important habitat for the Grey-tailed Tattler has been mapped by Birdlife Australia within the Study Area </w:t>
            </w:r>
            <w:sdt>
              <w:sdtPr>
                <w:rPr>
                  <w:szCs w:val="18"/>
                </w:rPr>
                <w:tag w:val="MENDELEY_CITATION_v3_eyJjaXRhdGlvbklEIjoiTUVOREVMRVlfQ0lUQVRJT05fNWJkYTQ3NTUtMDA2YS00ZmFmLWE5YTktMDk3MDhjYmMxMDlj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947838756"/>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3EEC0D15" w14:textId="77777777" w:rsidR="000B173B" w:rsidRPr="002A5710" w:rsidRDefault="000B173B" w:rsidP="00A15226">
            <w:pPr>
              <w:pStyle w:val="Tabletext"/>
              <w:rPr>
                <w:szCs w:val="18"/>
              </w:rPr>
            </w:pPr>
            <w:r w:rsidRPr="002A5710">
              <w:rPr>
                <w:szCs w:val="18"/>
              </w:rPr>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0BEBD7E" w14:textId="77777777" w:rsidR="000B173B" w:rsidRPr="002A5710" w:rsidRDefault="000B173B" w:rsidP="00A15226">
            <w:pPr>
              <w:pStyle w:val="Tabletext"/>
              <w:rPr>
                <w:szCs w:val="18"/>
              </w:rPr>
            </w:pPr>
            <w:r w:rsidRPr="002A5710">
              <w:rPr>
                <w:szCs w:val="18"/>
              </w:rPr>
              <w:t>Category 2</w:t>
            </w:r>
          </w:p>
        </w:tc>
      </w:tr>
      <w:tr w:rsidR="000B173B" w:rsidRPr="002A5710" w14:paraId="731E9CCB"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0FB9B1C5" w14:textId="77777777" w:rsidR="000B173B" w:rsidRPr="002A5710" w:rsidRDefault="000B173B" w:rsidP="00A15226">
            <w:pPr>
              <w:pStyle w:val="Tabletext"/>
              <w:rPr>
                <w:i/>
                <w:iCs/>
                <w:szCs w:val="18"/>
              </w:rPr>
            </w:pPr>
            <w:r w:rsidRPr="002A5710">
              <w:rPr>
                <w:i/>
                <w:iCs/>
                <w:szCs w:val="18"/>
              </w:rPr>
              <w:t>Tringa glareola</w:t>
            </w:r>
          </w:p>
        </w:tc>
        <w:tc>
          <w:tcPr>
            <w:tcW w:w="447" w:type="pct"/>
            <w:tcBorders>
              <w:top w:val="single" w:sz="4" w:space="0" w:color="auto"/>
              <w:left w:val="single" w:sz="4" w:space="0" w:color="auto"/>
              <w:bottom w:val="single" w:sz="4" w:space="0" w:color="auto"/>
              <w:right w:val="single" w:sz="4" w:space="0" w:color="auto"/>
            </w:tcBorders>
            <w:vAlign w:val="center"/>
          </w:tcPr>
          <w:p w14:paraId="61E59F07" w14:textId="77777777" w:rsidR="000B173B" w:rsidRPr="002A5710" w:rsidRDefault="000B173B" w:rsidP="00A15226">
            <w:pPr>
              <w:pStyle w:val="Tabletext"/>
              <w:rPr>
                <w:szCs w:val="18"/>
              </w:rPr>
            </w:pPr>
            <w:r w:rsidRPr="002A5710">
              <w:rPr>
                <w:szCs w:val="18"/>
              </w:rPr>
              <w:t>Wood Sandpiper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4112CA8A"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08F0DD16" w14:textId="77777777" w:rsidR="000B173B" w:rsidRPr="002A5710" w:rsidRDefault="000B173B" w:rsidP="00A15226">
            <w:pPr>
              <w:pStyle w:val="Tabletext"/>
              <w:rPr>
                <w:szCs w:val="18"/>
              </w:rPr>
            </w:pPr>
            <w:r w:rsidRPr="002A5710">
              <w:rPr>
                <w:szCs w:val="18"/>
              </w:rPr>
              <w:t>None</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B5E5D60" w14:textId="77777777" w:rsidR="000B173B" w:rsidRPr="002A5710" w:rsidRDefault="000B173B" w:rsidP="00A15226">
            <w:pPr>
              <w:pStyle w:val="Tabletext"/>
              <w:jc w:val="center"/>
              <w:rPr>
                <w:szCs w:val="18"/>
              </w:rPr>
            </w:pPr>
            <w:r w:rsidRPr="002A5710">
              <w:rPr>
                <w:szCs w:val="18"/>
              </w:rPr>
              <w:t>No</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0E30F130"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06A17297" w14:textId="77777777" w:rsidR="000B173B" w:rsidRPr="002A5710" w:rsidRDefault="000B173B" w:rsidP="00A15226">
            <w:pPr>
              <w:pStyle w:val="Tabletext"/>
              <w:rPr>
                <w:szCs w:val="18"/>
              </w:rPr>
            </w:pPr>
            <w:r w:rsidRPr="002A5710">
              <w:rPr>
                <w:szCs w:val="18"/>
              </w:rPr>
              <w:t xml:space="preserve">276 individuals of the Wood Sandpiper have been recorded within the Study Area, which is below the threshold of an ecologically significant proportion of the species (31,000 individuals) </w:t>
            </w:r>
            <w:sdt>
              <w:sdtPr>
                <w:rPr>
                  <w:color w:val="000000"/>
                  <w:szCs w:val="18"/>
                </w:rPr>
                <w:tag w:val="MENDELEY_CITATION_v3_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"/>
                <w:id w:val="-1690832874"/>
                <w:placeholder>
                  <w:docPart w:val="339B7D746526864D922760336FCFE603"/>
                </w:placeholder>
              </w:sdtPr>
              <w:sdtEndPr>
                <w:rPr>
                  <w:szCs w:val="20"/>
                </w:rPr>
              </w:sdtEndPr>
              <w:sdtContent>
                <w:r w:rsidRPr="002F46CE">
                  <w:rPr>
                    <w:color w:val="000000"/>
                  </w:rPr>
                  <w:t>(Birdlife International, 2022)</w:t>
                </w:r>
              </w:sdtContent>
            </w:sdt>
            <w:r w:rsidRPr="002A5710">
              <w:rPr>
                <w:szCs w:val="18"/>
              </w:rPr>
              <w:t>.</w:t>
            </w:r>
          </w:p>
          <w:p w14:paraId="7AB5CE83" w14:textId="77777777" w:rsidR="000B173B" w:rsidRPr="002A5710" w:rsidRDefault="000B173B" w:rsidP="00A15226">
            <w:pPr>
              <w:pStyle w:val="Tabletext"/>
              <w:rPr>
                <w:szCs w:val="18"/>
              </w:rPr>
            </w:pPr>
            <w:r w:rsidRPr="002A5710">
              <w:rPr>
                <w:szCs w:val="18"/>
              </w:rPr>
              <w:t xml:space="preserve">The species is a small wader which breeds across Eurasia, and during its non-breeding season, most of the species’ flyway population occurs in South-East Asia. In Australia, the largest numbers of the species are recorded in north-west Australia, with all areas of national importance occurring in Western Australia </w:t>
            </w:r>
            <w:sdt>
              <w:sdtPr>
                <w:rPr>
                  <w:color w:val="000000"/>
                  <w:szCs w:val="18"/>
                </w:rPr>
                <w:tag w:val="MENDELEY_CITATION_v3_eyJjaXRhdGlvbklEIjoiTUVOREVMRVlfQ0lUQVRJT05fZWUzZGY0ZjktZTdmNS00OTQ4LWFkNWYtOTA2ZDNiODdjZmI2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255866700"/>
                <w:placeholder>
                  <w:docPart w:val="339B7D746526864D922760336FCFE603"/>
                </w:placeholder>
              </w:sdtPr>
              <w:sdtEndPr>
                <w:rPr>
                  <w:szCs w:val="20"/>
                </w:rPr>
              </w:sdtEndPr>
              <w:sdtContent>
                <w:r w:rsidRPr="002F46CE">
                  <w:rPr>
                    <w:color w:val="000000"/>
                  </w:rPr>
                  <w:t>(DCCEEW, 2022)</w:t>
                </w:r>
              </w:sdtContent>
            </w:sdt>
            <w:r w:rsidRPr="002A5710">
              <w:rPr>
                <w:szCs w:val="18"/>
              </w:rPr>
              <w:t>.</w:t>
            </w:r>
          </w:p>
          <w:p w14:paraId="2BC0789E" w14:textId="77777777" w:rsidR="000B173B" w:rsidRPr="002A5710" w:rsidRDefault="000B173B" w:rsidP="00A15226">
            <w:pPr>
              <w:pStyle w:val="Tabletext"/>
              <w:rPr>
                <w:szCs w:val="18"/>
              </w:rPr>
            </w:pPr>
            <w:r w:rsidRPr="002A5710">
              <w:rPr>
                <w:szCs w:val="18"/>
              </w:rPr>
              <w:t xml:space="preserve">Given the small number of records of the species within the Study Area and the global distribution of the species, it is considered unlikely that the Study Area supports important habitat for this species. </w:t>
            </w:r>
          </w:p>
          <w:p w14:paraId="11E01700" w14:textId="77777777" w:rsidR="000B173B" w:rsidRPr="002A5710" w:rsidRDefault="000B173B" w:rsidP="00A15226">
            <w:pPr>
              <w:pStyle w:val="Tabletext"/>
              <w:rPr>
                <w:szCs w:val="18"/>
              </w:rPr>
            </w:pPr>
            <w:r w:rsidRPr="002A5710">
              <w:rPr>
                <w:szCs w:val="18"/>
              </w:rPr>
              <w:lastRenderedPageBreak/>
              <w:t>The Plan will not impact this species.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CDF070E" w14:textId="77777777" w:rsidR="000B173B" w:rsidRPr="002A5710" w:rsidRDefault="000B173B" w:rsidP="00A15226">
            <w:pPr>
              <w:pStyle w:val="Tabletext"/>
              <w:rPr>
                <w:szCs w:val="18"/>
              </w:rPr>
            </w:pPr>
            <w:r w:rsidRPr="002A5710">
              <w:rPr>
                <w:szCs w:val="18"/>
              </w:rPr>
              <w:lastRenderedPageBreak/>
              <w:t>Category 2</w:t>
            </w:r>
          </w:p>
        </w:tc>
      </w:tr>
      <w:tr w:rsidR="000B173B" w:rsidRPr="002A5710" w14:paraId="031E5BDE"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7872097C" w14:textId="77777777" w:rsidR="000B173B" w:rsidRPr="002A5710" w:rsidRDefault="000B173B" w:rsidP="00A15226">
            <w:pPr>
              <w:pStyle w:val="Tabletext"/>
              <w:rPr>
                <w:i/>
                <w:iCs/>
                <w:szCs w:val="18"/>
              </w:rPr>
            </w:pPr>
            <w:r w:rsidRPr="002A5710">
              <w:rPr>
                <w:i/>
                <w:iCs/>
                <w:szCs w:val="18"/>
              </w:rPr>
              <w:t>Tringa nebularia</w:t>
            </w:r>
          </w:p>
        </w:tc>
        <w:tc>
          <w:tcPr>
            <w:tcW w:w="447" w:type="pct"/>
            <w:tcBorders>
              <w:top w:val="single" w:sz="4" w:space="0" w:color="auto"/>
              <w:left w:val="single" w:sz="4" w:space="0" w:color="auto"/>
              <w:bottom w:val="single" w:sz="4" w:space="0" w:color="auto"/>
              <w:right w:val="single" w:sz="4" w:space="0" w:color="auto"/>
            </w:tcBorders>
            <w:vAlign w:val="center"/>
          </w:tcPr>
          <w:p w14:paraId="49E2CFE9" w14:textId="77777777" w:rsidR="000B173B" w:rsidRPr="002A5710" w:rsidRDefault="000B173B" w:rsidP="00A15226">
            <w:pPr>
              <w:pStyle w:val="Tabletext"/>
              <w:rPr>
                <w:szCs w:val="18"/>
              </w:rPr>
            </w:pPr>
            <w:r w:rsidRPr="002A5710">
              <w:rPr>
                <w:szCs w:val="18"/>
              </w:rPr>
              <w:t>Common Greenshank, Greenshank</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D4EECD9" w14:textId="77777777" w:rsidR="000B173B" w:rsidRPr="002A5710" w:rsidRDefault="000B173B" w:rsidP="00A15226">
            <w:pPr>
              <w:pStyle w:val="Tabletext"/>
              <w:rPr>
                <w:szCs w:val="18"/>
              </w:rPr>
            </w:pPr>
            <w:r w:rsidRPr="002A5710">
              <w:rPr>
                <w:szCs w:val="18"/>
              </w:rPr>
              <w:t>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77E0F414"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MGY2ZjNiNGEtMjU3Zi00OTczLTllYzktZDQyMmNjZjhkMmE1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850443700"/>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C00ACC3"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10F0744F"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73AAA867" w14:textId="77777777" w:rsidR="000B173B" w:rsidRPr="002A5710" w:rsidRDefault="000B173B" w:rsidP="00A15226">
            <w:pPr>
              <w:pStyle w:val="Tabletext"/>
              <w:rPr>
                <w:szCs w:val="18"/>
              </w:rPr>
            </w:pPr>
            <w:r w:rsidRPr="002A5710">
              <w:rPr>
                <w:szCs w:val="18"/>
              </w:rPr>
              <w:t xml:space="preserve">4,625 individuals of the Common Greenshank have been recorded within the Study Area within the past 5 years, which is above the threshold of an ecologically significant proportion of the species (110 individuals within the last 5 years) </w:t>
            </w:r>
            <w:sdt>
              <w:sdtPr>
                <w:rPr>
                  <w:szCs w:val="18"/>
                </w:rPr>
                <w:tag w:val="MENDELEY_CITATION_v3_eyJjaXRhdGlvbklEIjoiTUVOREVMRVlfQ0lUQVRJT05fNjEwOGU5MGEtZmQ3Ni00YjYwLWE4MWItMDA2YzU1YjQ3OTY3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658314933"/>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750B6FFA" w14:textId="77777777" w:rsidR="000B173B" w:rsidRPr="002A5710" w:rsidRDefault="000B173B" w:rsidP="00A15226">
            <w:pPr>
              <w:pStyle w:val="Tabletext"/>
              <w:rPr>
                <w:szCs w:val="18"/>
              </w:rPr>
            </w:pPr>
            <w:r w:rsidRPr="002A5710">
              <w:rPr>
                <w:szCs w:val="18"/>
              </w:rPr>
              <w:t>Most of these individuals (over 2,800) occur along the northern coastline of Port Phillip Bay, extending from Avalon Beach in the west to the boundary of the Study Area in the east. This area will not be impacted by the Plan as it is not located downstream of the Strategic Assessment Area.</w:t>
            </w:r>
          </w:p>
          <w:p w14:paraId="52D3ADB3" w14:textId="77777777" w:rsidR="000B173B" w:rsidRPr="002A5710" w:rsidRDefault="000B173B" w:rsidP="00A15226">
            <w:pPr>
              <w:pStyle w:val="Tabletext"/>
              <w:rPr>
                <w:szCs w:val="18"/>
              </w:rPr>
            </w:pPr>
            <w:r w:rsidRPr="002A5710">
              <w:rPr>
                <w:szCs w:val="18"/>
              </w:rPr>
              <w:t>A substantial proportion of individuals (approximately 800) also occur within the Lake Connewarre wetland complex. This area has potential to be impacted by the Plan, as it is downstream of WGGA.</w:t>
            </w:r>
          </w:p>
          <w:p w14:paraId="1DBB8AD0" w14:textId="77777777" w:rsidR="000B173B" w:rsidRPr="002A5710" w:rsidRDefault="000B173B" w:rsidP="00A15226">
            <w:pPr>
              <w:pStyle w:val="Tabletext"/>
              <w:rPr>
                <w:szCs w:val="18"/>
              </w:rPr>
            </w:pPr>
            <w:r w:rsidRPr="002A5710">
              <w:rPr>
                <w:szCs w:val="18"/>
              </w:rPr>
              <w:t>Individuals are also recorded to occur within the Moolap region. This area will not be impacted by the Plan as it is not located downstream of the Strategic Assessment Area.</w:t>
            </w:r>
          </w:p>
          <w:p w14:paraId="3EC91EC9" w14:textId="77777777" w:rsidR="000B173B" w:rsidRPr="002A5710" w:rsidRDefault="000B173B" w:rsidP="00A15226">
            <w:pPr>
              <w:pStyle w:val="Tabletext"/>
              <w:rPr>
                <w:szCs w:val="18"/>
              </w:rPr>
            </w:pPr>
            <w:r w:rsidRPr="002A5710">
              <w:rPr>
                <w:szCs w:val="18"/>
              </w:rPr>
              <w:t xml:space="preserve">Important habitat for the Common Greenshank has been mapped by Birdlife Australia within the Study Area in the following localities </w:t>
            </w:r>
            <w:sdt>
              <w:sdtPr>
                <w:rPr>
                  <w:szCs w:val="18"/>
                </w:rPr>
                <w:tag w:val="MENDELEY_CITATION_v3_eyJjaXRhdGlvbklEIjoiTUVOREVMRVlfQ0lUQVRJT05fOTg4YmVlNDctNzAzMS00ZTU4LWJiZGYtYzdiMDc3ZDE2MjU1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2102222879"/>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44AEDAF6" w14:textId="77777777" w:rsidR="000B173B" w:rsidRPr="002A5710" w:rsidRDefault="000B173B" w:rsidP="00A15226">
            <w:pPr>
              <w:pStyle w:val="Bullet1"/>
              <w:rPr>
                <w:szCs w:val="18"/>
              </w:rPr>
            </w:pPr>
            <w:r w:rsidRPr="002A5710">
              <w:rPr>
                <w:szCs w:val="18"/>
              </w:rPr>
              <w:t>Lake Connewarre and Barwon River Estuary IBA</w:t>
            </w:r>
          </w:p>
          <w:p w14:paraId="0312F653" w14:textId="77777777" w:rsidR="000B173B" w:rsidRPr="002A5710" w:rsidRDefault="000B173B" w:rsidP="00A15226">
            <w:pPr>
              <w:pStyle w:val="Bullet1"/>
              <w:rPr>
                <w:szCs w:val="18"/>
              </w:rPr>
            </w:pPr>
            <w:r w:rsidRPr="002A5710">
              <w:rPr>
                <w:szCs w:val="18"/>
              </w:rPr>
              <w:t>Werribee/Avalon IBA</w:t>
            </w:r>
          </w:p>
          <w:p w14:paraId="0980714C" w14:textId="77777777" w:rsidR="000B173B" w:rsidRPr="002A5710" w:rsidRDefault="000B173B" w:rsidP="00A15226">
            <w:pPr>
              <w:pStyle w:val="Tabletext"/>
              <w:rPr>
                <w:szCs w:val="18"/>
              </w:rPr>
            </w:pPr>
            <w:r w:rsidRPr="002A5710">
              <w:rPr>
                <w:szCs w:val="18"/>
              </w:rPr>
              <w:t>The Lake Connewarre and Barwon River Estuary IBA has potential to be impacted by the Plan as this site is downstream from the WGGA.</w:t>
            </w:r>
          </w:p>
          <w:p w14:paraId="1F872B5C" w14:textId="77777777" w:rsidR="000B173B" w:rsidRPr="002A5710" w:rsidRDefault="000B173B" w:rsidP="00A15226">
            <w:pPr>
              <w:pStyle w:val="Tabletext"/>
              <w:rPr>
                <w:szCs w:val="18"/>
              </w:rPr>
            </w:pPr>
            <w:r w:rsidRPr="002A5710">
              <w:rPr>
                <w:szCs w:val="18"/>
              </w:rPr>
              <w:t>The Werribee/Avalon IBA to the east of Avalon Beach (where the species is recorded to occur) will not be adversely impacted by development under the Plan as this area is not downstream of the Strategic Assessment Area.</w:t>
            </w:r>
            <w:r>
              <w:rPr>
                <w:szCs w:val="18"/>
              </w:rPr>
              <w:t xml:space="preserve"> </w:t>
            </w:r>
            <w:r>
              <w:t>Refer to Chapter 23 of Part 4 for the detailed impact assessment of the Common Greenshank.</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971C1E" w14:textId="77777777" w:rsidR="000B173B" w:rsidRPr="002A5710" w:rsidRDefault="000B173B" w:rsidP="00A15226">
            <w:pPr>
              <w:pStyle w:val="Tabletext"/>
              <w:rPr>
                <w:szCs w:val="18"/>
              </w:rPr>
            </w:pPr>
            <w:r w:rsidRPr="002A5710">
              <w:rPr>
                <w:szCs w:val="18"/>
              </w:rPr>
              <w:t>Category 1</w:t>
            </w:r>
          </w:p>
        </w:tc>
      </w:tr>
      <w:tr w:rsidR="000B173B" w:rsidRPr="002A5710" w14:paraId="229414B9"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3EB70EE1" w14:textId="77777777" w:rsidR="000B173B" w:rsidRPr="002A5710" w:rsidRDefault="000B173B" w:rsidP="00A15226">
            <w:pPr>
              <w:pStyle w:val="Tabletext"/>
              <w:rPr>
                <w:i/>
                <w:iCs/>
                <w:szCs w:val="18"/>
              </w:rPr>
            </w:pPr>
            <w:r w:rsidRPr="002A5710">
              <w:rPr>
                <w:i/>
                <w:iCs/>
                <w:szCs w:val="18"/>
              </w:rPr>
              <w:t>Tringa stagnatilis</w:t>
            </w:r>
          </w:p>
        </w:tc>
        <w:tc>
          <w:tcPr>
            <w:tcW w:w="447" w:type="pct"/>
            <w:tcBorders>
              <w:top w:val="single" w:sz="4" w:space="0" w:color="auto"/>
              <w:left w:val="single" w:sz="4" w:space="0" w:color="auto"/>
              <w:bottom w:val="single" w:sz="4" w:space="0" w:color="auto"/>
              <w:right w:val="single" w:sz="4" w:space="0" w:color="auto"/>
            </w:tcBorders>
            <w:vAlign w:val="center"/>
          </w:tcPr>
          <w:p w14:paraId="0FC2AAEB" w14:textId="77777777" w:rsidR="000B173B" w:rsidRPr="002A5710" w:rsidRDefault="000B173B" w:rsidP="00A15226">
            <w:pPr>
              <w:pStyle w:val="Tabletext"/>
              <w:rPr>
                <w:szCs w:val="18"/>
              </w:rPr>
            </w:pPr>
            <w:r w:rsidRPr="002A5710">
              <w:rPr>
                <w:szCs w:val="18"/>
              </w:rPr>
              <w:t>Marsh Sandpiper, Little Greenshank</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A23ABA6" w14:textId="77777777" w:rsidR="000B173B" w:rsidRPr="002A5710" w:rsidRDefault="000B173B" w:rsidP="00A15226">
            <w:pPr>
              <w:pStyle w:val="Tabletext"/>
              <w:rPr>
                <w:szCs w:val="18"/>
              </w:rPr>
            </w:pPr>
            <w:r w:rsidRPr="002A5710">
              <w:rPr>
                <w:szCs w:val="18"/>
              </w:rPr>
              <w:t>Mig, B, C, J, K</w:t>
            </w:r>
          </w:p>
        </w:tc>
        <w:tc>
          <w:tcPr>
            <w:tcW w:w="495" w:type="pct"/>
            <w:tcBorders>
              <w:top w:val="single" w:sz="4" w:space="0" w:color="auto"/>
              <w:left w:val="single" w:sz="4" w:space="0" w:color="auto"/>
              <w:bottom w:val="single" w:sz="4" w:space="0" w:color="auto"/>
              <w:right w:val="single" w:sz="4" w:space="0" w:color="auto"/>
            </w:tcBorders>
            <w:vAlign w:val="center"/>
          </w:tcPr>
          <w:p w14:paraId="057CD494"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OGNlODNlMWEtN2Y1ZS00MTFmLThlZTUtM2I2ZTNmYTJhNTI0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401029320"/>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0F3DA01"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45FF2098" w14:textId="77777777" w:rsidR="000B173B" w:rsidRPr="002A5710" w:rsidRDefault="000B173B" w:rsidP="00A15226">
            <w:pPr>
              <w:pStyle w:val="Tabletext"/>
              <w:jc w:val="center"/>
              <w:rPr>
                <w:szCs w:val="18"/>
              </w:rPr>
            </w:pPr>
            <w:r w:rsidRPr="002A5710">
              <w:rPr>
                <w:szCs w:val="18"/>
              </w:rPr>
              <w:t>Yes</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679244F4" w14:textId="77777777" w:rsidR="000B173B" w:rsidRPr="002A5710" w:rsidRDefault="000B173B" w:rsidP="00A15226">
            <w:pPr>
              <w:pStyle w:val="Tabletext"/>
              <w:rPr>
                <w:szCs w:val="18"/>
              </w:rPr>
            </w:pPr>
            <w:r w:rsidRPr="002A5710">
              <w:rPr>
                <w:szCs w:val="18"/>
              </w:rPr>
              <w:t xml:space="preserve">4,714 individuals of the Marsh Sandpiper have been recorded within the Study Area within the past 5 years, which is above the threshold of an ecologically significant proportion of the species (130 individuals within the last 5 years) </w:t>
            </w:r>
            <w:sdt>
              <w:sdtPr>
                <w:rPr>
                  <w:szCs w:val="18"/>
                </w:rPr>
                <w:tag w:val="MENDELEY_CITATION_v3_eyJjaXRhdGlvbklEIjoiTUVOREVMRVlfQ0lUQVRJT05fMzY4OGYzNDEtZTY2MS00NTczLTkzMDctN2QyNTRjNWY1ZThi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716158379"/>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716C2765" w14:textId="77777777" w:rsidR="000B173B" w:rsidRPr="002A5710" w:rsidRDefault="000B173B" w:rsidP="00A15226">
            <w:pPr>
              <w:pStyle w:val="Tabletext"/>
              <w:rPr>
                <w:szCs w:val="18"/>
              </w:rPr>
            </w:pPr>
            <w:r w:rsidRPr="002A5710">
              <w:rPr>
                <w:szCs w:val="18"/>
              </w:rPr>
              <w:lastRenderedPageBreak/>
              <w:t>Most of these individuals (over 4,000) occur along the northern coastline of Port Phillip Bay, extending from Avalon Beach in the west to the boundary of the Study Area in the east. This area will not be impacted by the Plan as it is not located downstream of the Strategic Assessment Area.</w:t>
            </w:r>
          </w:p>
          <w:p w14:paraId="5D3036F7" w14:textId="77777777" w:rsidR="000B173B" w:rsidRPr="002A5710" w:rsidRDefault="000B173B" w:rsidP="00A15226">
            <w:pPr>
              <w:pStyle w:val="Tabletext"/>
              <w:rPr>
                <w:szCs w:val="18"/>
              </w:rPr>
            </w:pPr>
            <w:r w:rsidRPr="002A5710">
              <w:rPr>
                <w:szCs w:val="18"/>
              </w:rPr>
              <w:t>A substantial proportion of individuals (over 200) also occur within the Lake Connewarre wetland complex. This area has potential to be impacted by the Plan, as it is downstream of WGGA.</w:t>
            </w:r>
          </w:p>
          <w:p w14:paraId="1DB98384" w14:textId="77777777" w:rsidR="000B173B" w:rsidRPr="002A5710" w:rsidRDefault="000B173B" w:rsidP="00A15226">
            <w:pPr>
              <w:pStyle w:val="Tabletext"/>
              <w:rPr>
                <w:szCs w:val="18"/>
              </w:rPr>
            </w:pPr>
            <w:r w:rsidRPr="002A5710">
              <w:rPr>
                <w:szCs w:val="18"/>
              </w:rPr>
              <w:t>Individuals are also recorded to occur within the Moolap region. This area will not be impacted by the Plan as it is not located downstream of the Strategic Assessment Area.</w:t>
            </w:r>
          </w:p>
          <w:p w14:paraId="70F71400" w14:textId="77777777" w:rsidR="000B173B" w:rsidRPr="002A5710" w:rsidRDefault="000B173B" w:rsidP="00A15226">
            <w:pPr>
              <w:pStyle w:val="Tabletext"/>
              <w:rPr>
                <w:szCs w:val="18"/>
              </w:rPr>
            </w:pPr>
            <w:r w:rsidRPr="002A5710">
              <w:rPr>
                <w:szCs w:val="18"/>
              </w:rPr>
              <w:t xml:space="preserve">Important habitat for the Marsh Sandpiper has been mapped by Birdlife Australia within the Study Area in the following localities </w:t>
            </w:r>
            <w:sdt>
              <w:sdtPr>
                <w:rPr>
                  <w:szCs w:val="18"/>
                </w:rPr>
                <w:tag w:val="MENDELEY_CITATION_v3_eyJjaXRhdGlvbklEIjoiTUVOREVMRVlfQ0lUQVRJT05fMTc0MmM1ZTMtMGM4MC00MzIwLWFlYWItMjEyMTQ3ZWUwODlk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1424677881"/>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p w14:paraId="51C734EB" w14:textId="77777777" w:rsidR="000B173B" w:rsidRPr="002A5710" w:rsidRDefault="000B173B" w:rsidP="00A15226">
            <w:pPr>
              <w:pStyle w:val="Bullet1"/>
              <w:rPr>
                <w:szCs w:val="18"/>
              </w:rPr>
            </w:pPr>
            <w:r w:rsidRPr="002A5710">
              <w:rPr>
                <w:szCs w:val="18"/>
              </w:rPr>
              <w:t>Werribee/Avalon IBA</w:t>
            </w:r>
          </w:p>
          <w:p w14:paraId="6245EB05" w14:textId="77777777" w:rsidR="000B173B" w:rsidRPr="002A5710" w:rsidRDefault="000B173B" w:rsidP="00A15226">
            <w:pPr>
              <w:pStyle w:val="Bullet1"/>
              <w:rPr>
                <w:szCs w:val="18"/>
              </w:rPr>
            </w:pPr>
            <w:r w:rsidRPr="002A5710">
              <w:rPr>
                <w:szCs w:val="18"/>
              </w:rPr>
              <w:t>Moolap IBA</w:t>
            </w:r>
          </w:p>
          <w:p w14:paraId="2F55FBE1" w14:textId="77777777" w:rsidR="000B173B" w:rsidRPr="002A5710" w:rsidRDefault="000B173B" w:rsidP="00A15226">
            <w:pPr>
              <w:pStyle w:val="Tabletext"/>
              <w:rPr>
                <w:szCs w:val="18"/>
              </w:rPr>
            </w:pPr>
            <w:r w:rsidRPr="002A5710">
              <w:rPr>
                <w:szCs w:val="18"/>
              </w:rPr>
              <w:t>The Werribee/Avalon IBA to the east of Avalon Beach (where the species is recorded to occur) will not be adversely impacted by development under the Plan as this area is not downstream of the Strategic Assessment Area.</w:t>
            </w:r>
          </w:p>
          <w:p w14:paraId="10ACB125" w14:textId="77777777" w:rsidR="000B173B" w:rsidRPr="002A5710" w:rsidRDefault="000B173B" w:rsidP="00A15226">
            <w:pPr>
              <w:pStyle w:val="Tabletext"/>
              <w:rPr>
                <w:szCs w:val="18"/>
              </w:rPr>
            </w:pPr>
            <w:r w:rsidRPr="002A5710">
              <w:rPr>
                <w:szCs w:val="18"/>
              </w:rPr>
              <w:t>Further, the Moolap IBA will not be impacted by the Plan as it is not located downstream of the Strategic Assessment Area.</w:t>
            </w:r>
          </w:p>
          <w:p w14:paraId="4C149A14" w14:textId="77777777" w:rsidR="000B173B" w:rsidRPr="002A5710" w:rsidRDefault="000B173B" w:rsidP="00A15226">
            <w:pPr>
              <w:pStyle w:val="Tabletext"/>
              <w:rPr>
                <w:szCs w:val="18"/>
              </w:rPr>
            </w:pPr>
            <w:r w:rsidRPr="002A5710">
              <w:rPr>
                <w:szCs w:val="18"/>
              </w:rPr>
              <w:t xml:space="preserve">Although the Lake Connewarre and Barwon River Estuary IBA was not identified as important habitat for the Marsh Sandpiper by Birdlife Australia </w:t>
            </w:r>
            <w:sdt>
              <w:sdtPr>
                <w:rPr>
                  <w:szCs w:val="18"/>
                </w:rPr>
                <w:tag w:val="MENDELEY_CITATION_v3_eyJjaXRhdGlvbklEIjoiTUVOREVMRVlfQ0lUQVRJT05fMjQ1NTY0MWUtNTM3NC00ZjY1LWI4YmMtZTVmYjg5MDUzOTcz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2014634889"/>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 the presence of an ecologically significant proportion of individuals within this locality and the potential for impacts under the Plan means this species has been assigned to Category 1 for detailed assessment.</w:t>
            </w:r>
            <w:r>
              <w:rPr>
                <w:szCs w:val="18"/>
              </w:rPr>
              <w:t xml:space="preserve"> </w:t>
            </w:r>
            <w:r>
              <w:t>Refer to Chapter 23 of Part 4 for the detailed impact assessment of the Marsh Sandpiper.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D67CF9A" w14:textId="77777777" w:rsidR="000B173B" w:rsidRPr="002A5710" w:rsidRDefault="000B173B" w:rsidP="00A15226">
            <w:pPr>
              <w:pStyle w:val="Tabletext"/>
              <w:rPr>
                <w:szCs w:val="18"/>
              </w:rPr>
            </w:pPr>
            <w:r w:rsidRPr="002A5710">
              <w:rPr>
                <w:szCs w:val="18"/>
              </w:rPr>
              <w:lastRenderedPageBreak/>
              <w:t>Category 1</w:t>
            </w:r>
          </w:p>
        </w:tc>
      </w:tr>
      <w:tr w:rsidR="000B173B" w:rsidRPr="002A5710" w14:paraId="29E737D9" w14:textId="77777777" w:rsidTr="00A15226">
        <w:tc>
          <w:tcPr>
            <w:tcW w:w="517" w:type="pct"/>
            <w:tcBorders>
              <w:top w:val="single" w:sz="4" w:space="0" w:color="auto"/>
              <w:left w:val="single" w:sz="4" w:space="0" w:color="auto"/>
              <w:bottom w:val="single" w:sz="4" w:space="0" w:color="auto"/>
              <w:right w:val="single" w:sz="4" w:space="0" w:color="auto"/>
            </w:tcBorders>
            <w:shd w:val="clear" w:color="auto" w:fill="auto"/>
            <w:vAlign w:val="center"/>
          </w:tcPr>
          <w:p w14:paraId="25EBC584" w14:textId="77777777" w:rsidR="000B173B" w:rsidRPr="002A5710" w:rsidRDefault="000B173B" w:rsidP="00A15226">
            <w:pPr>
              <w:pStyle w:val="Tabletext"/>
              <w:rPr>
                <w:i/>
                <w:iCs/>
                <w:szCs w:val="18"/>
              </w:rPr>
            </w:pPr>
            <w:r w:rsidRPr="002A5710">
              <w:rPr>
                <w:i/>
                <w:iCs/>
                <w:szCs w:val="18"/>
              </w:rPr>
              <w:t>Xenus cinereus</w:t>
            </w:r>
          </w:p>
        </w:tc>
        <w:tc>
          <w:tcPr>
            <w:tcW w:w="447" w:type="pct"/>
            <w:tcBorders>
              <w:top w:val="single" w:sz="4" w:space="0" w:color="auto"/>
              <w:left w:val="single" w:sz="4" w:space="0" w:color="auto"/>
              <w:bottom w:val="single" w:sz="4" w:space="0" w:color="auto"/>
              <w:right w:val="single" w:sz="4" w:space="0" w:color="auto"/>
            </w:tcBorders>
            <w:vAlign w:val="center"/>
          </w:tcPr>
          <w:p w14:paraId="6105174B" w14:textId="77777777" w:rsidR="000B173B" w:rsidRPr="002A5710" w:rsidRDefault="000B173B" w:rsidP="00A15226">
            <w:pPr>
              <w:pStyle w:val="Tabletext"/>
              <w:rPr>
                <w:szCs w:val="18"/>
              </w:rPr>
            </w:pPr>
            <w:r w:rsidRPr="002A5710">
              <w:rPr>
                <w:szCs w:val="18"/>
              </w:rPr>
              <w:t>Terek Sandpiper</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B5B76E2" w14:textId="77777777" w:rsidR="000B173B" w:rsidRPr="002A5710" w:rsidRDefault="000B173B" w:rsidP="00A15226">
            <w:pPr>
              <w:pStyle w:val="Tabletext"/>
              <w:rPr>
                <w:szCs w:val="18"/>
              </w:rPr>
            </w:pPr>
            <w:r w:rsidRPr="002A5710">
              <w:rPr>
                <w:szCs w:val="18"/>
              </w:rPr>
              <w:t>Mig, B, C, J, K, FPAL</w:t>
            </w:r>
          </w:p>
        </w:tc>
        <w:tc>
          <w:tcPr>
            <w:tcW w:w="495" w:type="pct"/>
            <w:tcBorders>
              <w:top w:val="single" w:sz="4" w:space="0" w:color="auto"/>
              <w:left w:val="single" w:sz="4" w:space="0" w:color="auto"/>
              <w:bottom w:val="single" w:sz="4" w:space="0" w:color="auto"/>
              <w:right w:val="single" w:sz="4" w:space="0" w:color="auto"/>
            </w:tcBorders>
            <w:vAlign w:val="center"/>
          </w:tcPr>
          <w:p w14:paraId="1EEC7F64" w14:textId="77777777" w:rsidR="000B173B" w:rsidRPr="002A5710" w:rsidRDefault="000B173B" w:rsidP="00A15226">
            <w:pPr>
              <w:pStyle w:val="Tabletext"/>
              <w:rPr>
                <w:szCs w:val="18"/>
              </w:rPr>
            </w:pPr>
            <w:r w:rsidRPr="002A5710">
              <w:rPr>
                <w:szCs w:val="18"/>
              </w:rPr>
              <w:t xml:space="preserve">EPBC Act Policy Statement 3.21 </w:t>
            </w:r>
            <w:sdt>
              <w:sdtPr>
                <w:rPr>
                  <w:color w:val="000000"/>
                  <w:szCs w:val="18"/>
                </w:rPr>
                <w:tag w:val="MENDELEY_CITATION_v3_eyJjaXRhdGlvbklEIjoiTUVOREVMRVlfQ0lUQVRJT05fY2EwNzUyNmItYWY0Ni00NDg4LWJmZWQtZDI1NTVkMDhlM2Y2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902946673"/>
                <w:placeholder>
                  <w:docPart w:val="339B7D746526864D922760336FCFE603"/>
                </w:placeholder>
              </w:sdtPr>
              <w:sdtEndPr>
                <w:rPr>
                  <w:szCs w:val="20"/>
                </w:rPr>
              </w:sdtEndPr>
              <w:sdtContent>
                <w:r w:rsidRPr="002F46CE">
                  <w:rPr>
                    <w:color w:val="000000"/>
                  </w:rPr>
                  <w:t>(DoE, 2017)</w:t>
                </w:r>
              </w:sdtContent>
            </w:sdt>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1DFD726" w14:textId="77777777" w:rsidR="000B173B" w:rsidRPr="002A5710" w:rsidRDefault="000B173B" w:rsidP="00A15226">
            <w:pPr>
              <w:pStyle w:val="Tabletext"/>
              <w:jc w:val="center"/>
              <w:rPr>
                <w:szCs w:val="18"/>
              </w:rPr>
            </w:pPr>
            <w:r w:rsidRPr="002A5710">
              <w:rPr>
                <w:szCs w:val="18"/>
              </w:rPr>
              <w:t>Yes</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334DB302" w14:textId="77777777" w:rsidR="000B173B" w:rsidRPr="002A5710" w:rsidRDefault="000B173B" w:rsidP="00A15226">
            <w:pPr>
              <w:pStyle w:val="Tabletext"/>
              <w:jc w:val="center"/>
              <w:rPr>
                <w:szCs w:val="18"/>
              </w:rPr>
            </w:pPr>
            <w:r w:rsidRPr="002A5710">
              <w:rPr>
                <w:szCs w:val="18"/>
              </w:rPr>
              <w:t>No</w:t>
            </w:r>
          </w:p>
        </w:tc>
        <w:tc>
          <w:tcPr>
            <w:tcW w:w="2174" w:type="pct"/>
            <w:tcBorders>
              <w:top w:val="single" w:sz="4" w:space="0" w:color="auto"/>
              <w:left w:val="single" w:sz="4" w:space="0" w:color="auto"/>
              <w:bottom w:val="single" w:sz="4" w:space="0" w:color="auto"/>
              <w:right w:val="single" w:sz="4" w:space="0" w:color="auto"/>
            </w:tcBorders>
            <w:shd w:val="clear" w:color="auto" w:fill="auto"/>
          </w:tcPr>
          <w:p w14:paraId="46D92446" w14:textId="77777777" w:rsidR="000B173B" w:rsidRPr="002A5710" w:rsidRDefault="000B173B" w:rsidP="00A15226">
            <w:pPr>
              <w:pStyle w:val="Tabletext"/>
              <w:rPr>
                <w:szCs w:val="18"/>
              </w:rPr>
            </w:pPr>
            <w:r w:rsidRPr="002A5710">
              <w:rPr>
                <w:szCs w:val="18"/>
              </w:rPr>
              <w:t xml:space="preserve">136 individuals of the Terek Sandpiper have been recorded within the Study Area within the past 5 years, which is above the threshold of an ecologically significant proportion of the species (50 individuals within the last 5 years) </w:t>
            </w:r>
            <w:sdt>
              <w:sdtPr>
                <w:rPr>
                  <w:szCs w:val="18"/>
                </w:rPr>
                <w:tag w:val="MENDELEY_CITATION_v3_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2083749267"/>
                <w:placeholder>
                  <w:docPart w:val="339B7D746526864D922760336FCFE603"/>
                </w:placeholder>
              </w:sdtPr>
              <w:sdtEndPr>
                <w:rPr>
                  <w:szCs w:val="20"/>
                </w:rPr>
              </w:sdtEndPr>
              <w:sdtContent>
                <w:r>
                  <w:rPr>
                    <w:rFonts w:eastAsia="Times New Roman"/>
                  </w:rPr>
                  <w:t xml:space="preserve">(Hansen </w:t>
                </w:r>
                <w:r>
                  <w:rPr>
                    <w:rFonts w:eastAsia="Times New Roman"/>
                    <w:i/>
                    <w:iCs/>
                  </w:rPr>
                  <w:t>et al.</w:t>
                </w:r>
                <w:r>
                  <w:rPr>
                    <w:rFonts w:eastAsia="Times New Roman"/>
                  </w:rPr>
                  <w:t>, 2016; DoE, 2017)</w:t>
                </w:r>
              </w:sdtContent>
            </w:sdt>
            <w:r w:rsidRPr="002A5710">
              <w:rPr>
                <w:szCs w:val="18"/>
              </w:rPr>
              <w:t xml:space="preserve">. </w:t>
            </w:r>
          </w:p>
          <w:p w14:paraId="13517563" w14:textId="77777777" w:rsidR="000B173B" w:rsidRPr="002A5710" w:rsidRDefault="000B173B" w:rsidP="00A15226">
            <w:pPr>
              <w:pStyle w:val="Tabletext"/>
              <w:rPr>
                <w:szCs w:val="18"/>
              </w:rPr>
            </w:pPr>
            <w:r w:rsidRPr="002A5710">
              <w:rPr>
                <w:szCs w:val="18"/>
              </w:rPr>
              <w:lastRenderedPageBreak/>
              <w:t>These recent records primarily occur along the northern coastline of Port Phillip Bay, within or adjacent to The Spit Wildlife Reserve. There is also a single record of the species within the Moolap locality. This area will not be impacted by the Plan as it is not located downstream of the Strategic Assessment Area.</w:t>
            </w:r>
          </w:p>
          <w:p w14:paraId="37111648" w14:textId="77777777" w:rsidR="000B173B" w:rsidRPr="002A5710" w:rsidRDefault="000B173B" w:rsidP="00A15226">
            <w:pPr>
              <w:pStyle w:val="Tabletext"/>
              <w:rPr>
                <w:szCs w:val="18"/>
              </w:rPr>
            </w:pPr>
            <w:r w:rsidRPr="002A5710">
              <w:rPr>
                <w:szCs w:val="18"/>
              </w:rPr>
              <w:t>There are no recent records of the species within Limeburners Lagoon, the Lake Connewarre wetland complex, or in the vicinity of Cowies Creek, which are the areas which have been identified to be at risk of potential impacts under the Plan.</w:t>
            </w:r>
          </w:p>
          <w:p w14:paraId="25908E4B" w14:textId="77777777" w:rsidR="000B173B" w:rsidRPr="002A5710" w:rsidRDefault="000B173B" w:rsidP="00A15226">
            <w:pPr>
              <w:pStyle w:val="Tabletext"/>
              <w:rPr>
                <w:szCs w:val="18"/>
              </w:rPr>
            </w:pPr>
            <w:r w:rsidRPr="002A5710">
              <w:rPr>
                <w:szCs w:val="18"/>
              </w:rPr>
              <w:t xml:space="preserve">No important habitat for the Terek Sandpiper has been mapped by Birdlife Australia within the Study Area </w:t>
            </w:r>
            <w:sdt>
              <w:sdtPr>
                <w:rPr>
                  <w:szCs w:val="18"/>
                </w:rPr>
                <w:tag w:val="MENDELEY_CITATION_v3_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"/>
                <w:id w:val="398251948"/>
                <w:placeholder>
                  <w:docPart w:val="339B7D746526864D922760336FCFE603"/>
                </w:placeholder>
              </w:sdtPr>
              <w:sdtEndPr>
                <w:rPr>
                  <w:szCs w:val="20"/>
                </w:rPr>
              </w:sdtEndPr>
              <w:sdtContent>
                <w:r>
                  <w:rPr>
                    <w:rFonts w:eastAsia="Times New Roman"/>
                  </w:rPr>
                  <w:t xml:space="preserve">(Weller </w:t>
                </w:r>
                <w:r>
                  <w:rPr>
                    <w:rFonts w:eastAsia="Times New Roman"/>
                    <w:i/>
                    <w:iCs/>
                  </w:rPr>
                  <w:t>et al.</w:t>
                </w:r>
                <w:r>
                  <w:rPr>
                    <w:rFonts w:eastAsia="Times New Roman"/>
                  </w:rPr>
                  <w:t>, 2020)</w:t>
                </w:r>
              </w:sdtContent>
            </w:sdt>
            <w:r w:rsidRPr="002A5710">
              <w:rPr>
                <w:szCs w:val="18"/>
              </w:rPr>
              <w: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AF8752" w14:textId="77777777" w:rsidR="000B173B" w:rsidRPr="002A5710" w:rsidRDefault="000B173B" w:rsidP="00A15226">
            <w:pPr>
              <w:pStyle w:val="Tabletext"/>
              <w:rPr>
                <w:szCs w:val="18"/>
              </w:rPr>
            </w:pPr>
            <w:r w:rsidRPr="002A5710">
              <w:rPr>
                <w:szCs w:val="18"/>
              </w:rPr>
              <w:lastRenderedPageBreak/>
              <w:t>Category 2</w:t>
            </w:r>
          </w:p>
        </w:tc>
      </w:tr>
    </w:tbl>
    <w:p w14:paraId="26563841" w14:textId="77777777" w:rsidR="000B173B" w:rsidRPr="000D42B4" w:rsidRDefault="000B173B" w:rsidP="000B173B">
      <w:pPr>
        <w:rPr>
          <w:sz w:val="16"/>
          <w:szCs w:val="16"/>
        </w:rPr>
      </w:pPr>
      <w:r w:rsidRPr="000D42B4">
        <w:rPr>
          <w:sz w:val="16"/>
          <w:szCs w:val="16"/>
        </w:rPr>
        <w:t>1: To save space, the following abbreviations are used:</w:t>
      </w:r>
      <w:r>
        <w:rPr>
          <w:sz w:val="16"/>
          <w:szCs w:val="16"/>
        </w:rPr>
        <w:t xml:space="preserve"> V: Vulnerable, E: Endangered, CE: Critically Endangered, P. Ex: Presumed Extinct, Ex: Extinct, FPAL: Finalised Priority Assessment List (meaning the species is currently undergoing a listing assessment),</w:t>
      </w:r>
      <w:r w:rsidRPr="000D42B4">
        <w:rPr>
          <w:sz w:val="16"/>
          <w:szCs w:val="16"/>
        </w:rPr>
        <w:t xml:space="preserve"> Mig: Migratory, B: Bonn, C: CAMBA, J: JAMBA, K: ROKAMBA</w:t>
      </w:r>
    </w:p>
    <w:p w14:paraId="54B8E6D6" w14:textId="77777777" w:rsidR="000B173B" w:rsidRDefault="000B173B" w:rsidP="000B173B">
      <w:pPr>
        <w:rPr>
          <w:sz w:val="16"/>
          <w:szCs w:val="16"/>
        </w:rPr>
      </w:pPr>
      <w:r w:rsidRPr="000D42B4">
        <w:rPr>
          <w:sz w:val="16"/>
          <w:szCs w:val="16"/>
        </w:rPr>
        <w:t>2: Categorisation criteria are given in</w:t>
      </w:r>
      <w:r>
        <w:rPr>
          <w:sz w:val="16"/>
          <w:szCs w:val="16"/>
        </w:rPr>
        <w:t xml:space="preserve"> </w:t>
      </w:r>
      <w:r w:rsidRPr="001B36C2">
        <w:rPr>
          <w:sz w:val="16"/>
          <w:szCs w:val="16"/>
        </w:rPr>
        <w:t xml:space="preserve">Chapter 12, </w:t>
      </w:r>
      <w:r w:rsidRPr="006900FB">
        <w:rPr>
          <w:sz w:val="16"/>
          <w:szCs w:val="16"/>
        </w:rPr>
        <w:t>Section 12.3</w:t>
      </w:r>
    </w:p>
    <w:p w14:paraId="547C75AF" w14:textId="77777777" w:rsidR="000B173B" w:rsidRDefault="000B173B" w:rsidP="000B173B">
      <w:pPr>
        <w:rPr>
          <w:sz w:val="16"/>
          <w:szCs w:val="16"/>
        </w:rPr>
      </w:pPr>
      <w:r>
        <w:rPr>
          <w:sz w:val="16"/>
          <w:szCs w:val="16"/>
        </w:rPr>
        <w:t xml:space="preserve">3: </w:t>
      </w:r>
      <w:r w:rsidRPr="000D42B4">
        <w:rPr>
          <w:sz w:val="16"/>
          <w:szCs w:val="16"/>
        </w:rPr>
        <w:t>To save space, the follow</w:t>
      </w:r>
      <w:r w:rsidRPr="00F25692">
        <w:rPr>
          <w:sz w:val="16"/>
          <w:szCs w:val="16"/>
        </w:rPr>
        <w:t>ing abbreviations are used: ESP: Ecologically significant proportion of individuals present within Study Area, IH: Important habitat present within Study Area</w:t>
      </w:r>
    </w:p>
    <w:p w14:paraId="45BBA187" w14:textId="77777777" w:rsidR="000B173B" w:rsidRPr="00BD2AFB" w:rsidRDefault="000B173B" w:rsidP="000B173B">
      <w:pPr>
        <w:rPr>
          <w:sz w:val="16"/>
          <w:szCs w:val="16"/>
        </w:rPr>
      </w:pPr>
      <w:r>
        <w:br w:type="page"/>
      </w:r>
    </w:p>
    <w:p w14:paraId="4A30818C" w14:textId="77777777" w:rsidR="000B173B" w:rsidRDefault="000B173B" w:rsidP="000B173B">
      <w:pPr>
        <w:pStyle w:val="Caption"/>
      </w:pPr>
      <w:bookmarkStart w:id="242" w:name="_Ref116653227"/>
      <w:bookmarkStart w:id="243" w:name="_Toc134697917"/>
      <w:r>
        <w:lastRenderedPageBreak/>
        <w:t xml:space="preserve">Table </w:t>
      </w:r>
      <w:r>
        <w:fldChar w:fldCharType="begin"/>
      </w:r>
      <w:r>
        <w:instrText xml:space="preserve"> STYLEREF 1 \s </w:instrText>
      </w:r>
      <w:r>
        <w:fldChar w:fldCharType="separate"/>
      </w:r>
      <w:r>
        <w:rPr>
          <w:noProof/>
        </w:rPr>
        <w:t>A</w:t>
      </w:r>
      <w:r>
        <w:fldChar w:fldCharType="end"/>
      </w:r>
      <w:r>
        <w:noBreakHyphen/>
      </w:r>
      <w:r>
        <w:fldChar w:fldCharType="begin"/>
      </w:r>
      <w:r>
        <w:instrText xml:space="preserve"> SEQ Table \* ARABIC \s 1 </w:instrText>
      </w:r>
      <w:r>
        <w:fldChar w:fldCharType="separate"/>
      </w:r>
      <w:r>
        <w:rPr>
          <w:noProof/>
        </w:rPr>
        <w:t>7</w:t>
      </w:r>
      <w:r>
        <w:fldChar w:fldCharType="end"/>
      </w:r>
      <w:bookmarkEnd w:id="242"/>
      <w:r>
        <w:t>: Categorisation results for other Commonwealth-listed migratory species</w:t>
      </w:r>
      <w:bookmarkEnd w:id="2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2130"/>
        <w:gridCol w:w="2130"/>
        <w:gridCol w:w="1067"/>
        <w:gridCol w:w="1067"/>
        <w:gridCol w:w="4461"/>
        <w:gridCol w:w="1353"/>
      </w:tblGrid>
      <w:tr w:rsidR="000B173B" w:rsidRPr="002A5710" w14:paraId="2497A1B6" w14:textId="77777777" w:rsidTr="00A15226">
        <w:trPr>
          <w:cantSplit/>
          <w:tblHeader/>
        </w:trPr>
        <w:tc>
          <w:tcPr>
            <w:tcW w:w="742" w:type="pct"/>
            <w:vMerge w:val="restart"/>
            <w:shd w:val="clear" w:color="auto" w:fill="D9D9D9" w:themeFill="background1" w:themeFillShade="D9"/>
            <w:vAlign w:val="center"/>
          </w:tcPr>
          <w:p w14:paraId="41E6B8F7" w14:textId="77777777" w:rsidR="000B173B" w:rsidRPr="002A5710" w:rsidRDefault="000B173B" w:rsidP="00A15226">
            <w:pPr>
              <w:pStyle w:val="TableHeadingLarge"/>
              <w:rPr>
                <w:sz w:val="18"/>
                <w:szCs w:val="18"/>
                <w:lang w:eastAsia="ja-JP"/>
              </w:rPr>
            </w:pPr>
            <w:r w:rsidRPr="002A5710">
              <w:rPr>
                <w:sz w:val="18"/>
                <w:szCs w:val="18"/>
                <w:lang w:eastAsia="ja-JP"/>
              </w:rPr>
              <w:t>Scientific name</w:t>
            </w:r>
          </w:p>
        </w:tc>
        <w:tc>
          <w:tcPr>
            <w:tcW w:w="743" w:type="pct"/>
            <w:vMerge w:val="restart"/>
            <w:shd w:val="clear" w:color="auto" w:fill="D9D9D9" w:themeFill="background1" w:themeFillShade="D9"/>
            <w:vAlign w:val="center"/>
          </w:tcPr>
          <w:p w14:paraId="4B52C527" w14:textId="77777777" w:rsidR="000B173B" w:rsidRPr="002A5710" w:rsidRDefault="000B173B" w:rsidP="00A15226">
            <w:pPr>
              <w:pStyle w:val="TableHeadingLarge"/>
              <w:rPr>
                <w:sz w:val="18"/>
                <w:szCs w:val="18"/>
                <w:lang w:eastAsia="ja-JP"/>
              </w:rPr>
            </w:pPr>
            <w:r w:rsidRPr="002A5710">
              <w:rPr>
                <w:sz w:val="18"/>
                <w:szCs w:val="18"/>
                <w:lang w:eastAsia="ja-JP"/>
              </w:rPr>
              <w:t>Common name</w:t>
            </w:r>
          </w:p>
        </w:tc>
        <w:tc>
          <w:tcPr>
            <w:tcW w:w="743" w:type="pct"/>
            <w:vMerge w:val="restart"/>
            <w:shd w:val="clear" w:color="auto" w:fill="D9D9D9" w:themeFill="background1" w:themeFillShade="D9"/>
            <w:vAlign w:val="center"/>
          </w:tcPr>
          <w:p w14:paraId="416258D0" w14:textId="77777777" w:rsidR="000B173B" w:rsidRPr="002A5710" w:rsidRDefault="000B173B" w:rsidP="00A15226">
            <w:pPr>
              <w:pStyle w:val="TableHeadingLarge"/>
              <w:rPr>
                <w:sz w:val="18"/>
                <w:szCs w:val="18"/>
                <w:lang w:eastAsia="ja-JP"/>
              </w:rPr>
            </w:pPr>
            <w:r w:rsidRPr="002A5710">
              <w:rPr>
                <w:sz w:val="18"/>
                <w:szCs w:val="18"/>
                <w:lang w:eastAsia="ja-JP"/>
              </w:rPr>
              <w:t>EPBC Status</w:t>
            </w:r>
            <w:r w:rsidRPr="002A5710">
              <w:rPr>
                <w:sz w:val="18"/>
                <w:szCs w:val="18"/>
                <w:vertAlign w:val="superscript"/>
                <w:lang w:eastAsia="ja-JP"/>
              </w:rPr>
              <w:t>1</w:t>
            </w:r>
          </w:p>
        </w:tc>
        <w:tc>
          <w:tcPr>
            <w:tcW w:w="744" w:type="pct"/>
            <w:gridSpan w:val="2"/>
            <w:shd w:val="clear" w:color="auto" w:fill="D9D9D9" w:themeFill="background1" w:themeFillShade="D9"/>
            <w:vAlign w:val="center"/>
          </w:tcPr>
          <w:p w14:paraId="74F5EFC3" w14:textId="77777777" w:rsidR="000B173B" w:rsidRPr="002A5710" w:rsidRDefault="000B173B" w:rsidP="00A15226">
            <w:pPr>
              <w:pStyle w:val="TableHeadingLarge"/>
              <w:jc w:val="center"/>
              <w:rPr>
                <w:sz w:val="18"/>
                <w:szCs w:val="18"/>
                <w:vertAlign w:val="superscript"/>
                <w:lang w:eastAsia="ja-JP"/>
              </w:rPr>
            </w:pPr>
            <w:r w:rsidRPr="002A5710">
              <w:rPr>
                <w:sz w:val="18"/>
                <w:szCs w:val="18"/>
                <w:lang w:eastAsia="ja-JP"/>
              </w:rPr>
              <w:t>Categorisation criteria</w:t>
            </w:r>
            <w:r w:rsidRPr="002A5710">
              <w:rPr>
                <w:sz w:val="18"/>
                <w:szCs w:val="18"/>
                <w:vertAlign w:val="superscript"/>
                <w:lang w:eastAsia="ja-JP"/>
              </w:rPr>
              <w:t>2</w:t>
            </w:r>
          </w:p>
        </w:tc>
        <w:tc>
          <w:tcPr>
            <w:tcW w:w="1556" w:type="pct"/>
            <w:vMerge w:val="restart"/>
            <w:shd w:val="clear" w:color="auto" w:fill="D9D9D9" w:themeFill="background1" w:themeFillShade="D9"/>
            <w:vAlign w:val="center"/>
          </w:tcPr>
          <w:p w14:paraId="19FC01A1" w14:textId="77777777" w:rsidR="000B173B" w:rsidRPr="002A5710" w:rsidRDefault="000B173B" w:rsidP="00A15226">
            <w:pPr>
              <w:pStyle w:val="TableHeadingLarge"/>
              <w:rPr>
                <w:sz w:val="18"/>
                <w:szCs w:val="18"/>
                <w:lang w:eastAsia="ja-JP"/>
              </w:rPr>
            </w:pPr>
            <w:r w:rsidRPr="002A5710">
              <w:rPr>
                <w:sz w:val="18"/>
                <w:szCs w:val="18"/>
                <w:lang w:eastAsia="ja-JP"/>
              </w:rPr>
              <w:t>Reason</w:t>
            </w:r>
            <w:r w:rsidRPr="002A5710">
              <w:rPr>
                <w:sz w:val="18"/>
                <w:szCs w:val="18"/>
                <w:vertAlign w:val="superscript"/>
                <w:lang w:eastAsia="ja-JP"/>
              </w:rPr>
              <w:t>3</w:t>
            </w:r>
          </w:p>
        </w:tc>
        <w:tc>
          <w:tcPr>
            <w:tcW w:w="472" w:type="pct"/>
            <w:vMerge w:val="restart"/>
            <w:shd w:val="clear" w:color="auto" w:fill="D9D9D9" w:themeFill="background1" w:themeFillShade="D9"/>
            <w:vAlign w:val="center"/>
          </w:tcPr>
          <w:p w14:paraId="73D745A4" w14:textId="77777777" w:rsidR="000B173B" w:rsidRPr="002A5710" w:rsidRDefault="000B173B" w:rsidP="00A15226">
            <w:pPr>
              <w:pStyle w:val="TableHeadingLarge"/>
              <w:rPr>
                <w:sz w:val="18"/>
                <w:szCs w:val="18"/>
              </w:rPr>
            </w:pPr>
            <w:r w:rsidRPr="002A5710">
              <w:rPr>
                <w:sz w:val="18"/>
                <w:szCs w:val="18"/>
              </w:rPr>
              <w:t>Final category</w:t>
            </w:r>
          </w:p>
        </w:tc>
      </w:tr>
      <w:tr w:rsidR="000B173B" w:rsidRPr="002A5710" w14:paraId="7F19587E" w14:textId="77777777" w:rsidTr="00A15226">
        <w:trPr>
          <w:cantSplit/>
        </w:trPr>
        <w:tc>
          <w:tcPr>
            <w:tcW w:w="742" w:type="pct"/>
            <w:vMerge/>
            <w:shd w:val="clear" w:color="auto" w:fill="auto"/>
            <w:vAlign w:val="center"/>
            <w:hideMark/>
          </w:tcPr>
          <w:p w14:paraId="682383A1" w14:textId="77777777" w:rsidR="000B173B" w:rsidRPr="002A5710" w:rsidRDefault="000B173B" w:rsidP="00A15226">
            <w:pPr>
              <w:pStyle w:val="Tabletext"/>
              <w:rPr>
                <w:szCs w:val="18"/>
                <w:lang w:eastAsia="ja-JP"/>
              </w:rPr>
            </w:pPr>
          </w:p>
        </w:tc>
        <w:tc>
          <w:tcPr>
            <w:tcW w:w="743" w:type="pct"/>
            <w:vMerge/>
            <w:vAlign w:val="center"/>
          </w:tcPr>
          <w:p w14:paraId="357DA064" w14:textId="77777777" w:rsidR="000B173B" w:rsidRPr="002A5710" w:rsidRDefault="000B173B" w:rsidP="00A15226">
            <w:pPr>
              <w:pStyle w:val="Tabletext"/>
              <w:rPr>
                <w:szCs w:val="18"/>
                <w:lang w:eastAsia="ja-JP"/>
              </w:rPr>
            </w:pPr>
          </w:p>
        </w:tc>
        <w:tc>
          <w:tcPr>
            <w:tcW w:w="743" w:type="pct"/>
            <w:vMerge/>
            <w:shd w:val="clear" w:color="auto" w:fill="auto"/>
            <w:vAlign w:val="center"/>
            <w:hideMark/>
          </w:tcPr>
          <w:p w14:paraId="2F7EDB32" w14:textId="77777777" w:rsidR="000B173B" w:rsidRPr="002A5710" w:rsidRDefault="000B173B" w:rsidP="00A15226">
            <w:pPr>
              <w:pStyle w:val="Tabletext"/>
              <w:rPr>
                <w:szCs w:val="18"/>
                <w:lang w:eastAsia="ja-JP"/>
              </w:rPr>
            </w:pPr>
          </w:p>
        </w:tc>
        <w:tc>
          <w:tcPr>
            <w:tcW w:w="372" w:type="pct"/>
            <w:shd w:val="clear" w:color="auto" w:fill="D9D9D9" w:themeFill="background1" w:themeFillShade="D9"/>
            <w:vAlign w:val="center"/>
            <w:hideMark/>
          </w:tcPr>
          <w:p w14:paraId="30ABCFDA" w14:textId="77777777" w:rsidR="000B173B" w:rsidRPr="002A5710" w:rsidRDefault="000B173B" w:rsidP="00A15226">
            <w:pPr>
              <w:pStyle w:val="TableHeadingLarge"/>
              <w:jc w:val="center"/>
              <w:rPr>
                <w:sz w:val="18"/>
                <w:szCs w:val="18"/>
                <w:lang w:eastAsia="ja-JP"/>
              </w:rPr>
            </w:pPr>
            <w:r w:rsidRPr="002A5710">
              <w:rPr>
                <w:sz w:val="18"/>
                <w:szCs w:val="18"/>
                <w:lang w:eastAsia="ja-JP"/>
              </w:rPr>
              <w:t>ESP</w:t>
            </w:r>
            <w:r w:rsidRPr="002A5710">
              <w:rPr>
                <w:sz w:val="18"/>
                <w:szCs w:val="18"/>
                <w:vertAlign w:val="superscript"/>
                <w:lang w:eastAsia="ja-JP"/>
              </w:rPr>
              <w:t>4</w:t>
            </w:r>
          </w:p>
        </w:tc>
        <w:tc>
          <w:tcPr>
            <w:tcW w:w="372" w:type="pct"/>
            <w:shd w:val="clear" w:color="auto" w:fill="D9D9D9" w:themeFill="background1" w:themeFillShade="D9"/>
            <w:vAlign w:val="center"/>
            <w:hideMark/>
          </w:tcPr>
          <w:p w14:paraId="4A51AAFF" w14:textId="77777777" w:rsidR="000B173B" w:rsidRPr="002A5710" w:rsidRDefault="000B173B" w:rsidP="00A15226">
            <w:pPr>
              <w:pStyle w:val="TableHeadingLarge"/>
              <w:jc w:val="center"/>
              <w:rPr>
                <w:sz w:val="18"/>
                <w:szCs w:val="18"/>
                <w:lang w:eastAsia="ja-JP"/>
              </w:rPr>
            </w:pPr>
            <w:r w:rsidRPr="002A5710">
              <w:rPr>
                <w:sz w:val="18"/>
                <w:szCs w:val="18"/>
                <w:lang w:eastAsia="ja-JP"/>
              </w:rPr>
              <w:t>IH</w:t>
            </w:r>
            <w:r w:rsidRPr="002A5710">
              <w:rPr>
                <w:sz w:val="18"/>
                <w:szCs w:val="18"/>
                <w:vertAlign w:val="superscript"/>
                <w:lang w:eastAsia="ja-JP"/>
              </w:rPr>
              <w:t>4</w:t>
            </w:r>
          </w:p>
        </w:tc>
        <w:tc>
          <w:tcPr>
            <w:tcW w:w="1556" w:type="pct"/>
            <w:vMerge/>
            <w:shd w:val="clear" w:color="auto" w:fill="auto"/>
            <w:vAlign w:val="center"/>
            <w:hideMark/>
          </w:tcPr>
          <w:p w14:paraId="3A19D972" w14:textId="77777777" w:rsidR="000B173B" w:rsidRPr="002A5710" w:rsidRDefault="000B173B" w:rsidP="00A15226">
            <w:pPr>
              <w:pStyle w:val="Tabletext"/>
              <w:rPr>
                <w:szCs w:val="18"/>
                <w:lang w:eastAsia="ja-JP"/>
              </w:rPr>
            </w:pPr>
          </w:p>
        </w:tc>
        <w:tc>
          <w:tcPr>
            <w:tcW w:w="472" w:type="pct"/>
            <w:vMerge/>
            <w:shd w:val="clear" w:color="auto" w:fill="auto"/>
            <w:vAlign w:val="center"/>
            <w:hideMark/>
          </w:tcPr>
          <w:p w14:paraId="0CB7B7F8" w14:textId="77777777" w:rsidR="000B173B" w:rsidRPr="002A5710" w:rsidRDefault="000B173B" w:rsidP="00A15226">
            <w:pPr>
              <w:pStyle w:val="Tabletext"/>
              <w:rPr>
                <w:szCs w:val="18"/>
              </w:rPr>
            </w:pPr>
          </w:p>
        </w:tc>
      </w:tr>
      <w:tr w:rsidR="000B173B" w:rsidRPr="002A5710" w14:paraId="35AFFBC8"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0A64CAD8" w14:textId="77777777" w:rsidR="000B173B" w:rsidRPr="002A5710" w:rsidRDefault="000B173B" w:rsidP="00A15226">
            <w:pPr>
              <w:pStyle w:val="Tabletext"/>
              <w:rPr>
                <w:i/>
                <w:iCs/>
                <w:szCs w:val="18"/>
              </w:rPr>
            </w:pPr>
            <w:r w:rsidRPr="002A5710">
              <w:rPr>
                <w:i/>
                <w:iCs/>
                <w:szCs w:val="18"/>
              </w:rPr>
              <w:t xml:space="preserve">Balaena glacialis australis / Eubalaena australis </w:t>
            </w:r>
          </w:p>
        </w:tc>
        <w:tc>
          <w:tcPr>
            <w:tcW w:w="743" w:type="pct"/>
            <w:tcBorders>
              <w:top w:val="single" w:sz="4" w:space="0" w:color="auto"/>
              <w:left w:val="single" w:sz="4" w:space="0" w:color="auto"/>
              <w:bottom w:val="single" w:sz="4" w:space="0" w:color="auto"/>
              <w:right w:val="single" w:sz="4" w:space="0" w:color="auto"/>
            </w:tcBorders>
            <w:vAlign w:val="center"/>
          </w:tcPr>
          <w:p w14:paraId="57C677B1" w14:textId="77777777" w:rsidR="000B173B" w:rsidRPr="002A5710" w:rsidRDefault="000B173B" w:rsidP="00A15226">
            <w:pPr>
              <w:pStyle w:val="Tabletext"/>
              <w:rPr>
                <w:szCs w:val="18"/>
              </w:rPr>
            </w:pPr>
            <w:r w:rsidRPr="002A5710">
              <w:rPr>
                <w:szCs w:val="18"/>
              </w:rPr>
              <w:t>Southern Right Whale</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73EA961E" w14:textId="77777777" w:rsidR="000B173B" w:rsidRPr="002A5710" w:rsidRDefault="000B173B" w:rsidP="00A15226">
            <w:pPr>
              <w:pStyle w:val="Tabletext"/>
              <w:rPr>
                <w:szCs w:val="18"/>
              </w:rPr>
            </w:pPr>
            <w:r w:rsidRPr="002A5710">
              <w:rPr>
                <w:szCs w:val="18"/>
              </w:rPr>
              <w:t xml:space="preserve">Listed M as </w:t>
            </w:r>
            <w:r w:rsidRPr="002A5710">
              <w:rPr>
                <w:i/>
                <w:iCs/>
                <w:szCs w:val="18"/>
              </w:rPr>
              <w:t>B. glacialis australis</w:t>
            </w:r>
          </w:p>
          <w:p w14:paraId="098DEE6B" w14:textId="77777777" w:rsidR="000B173B" w:rsidRPr="002A5710" w:rsidRDefault="000B173B" w:rsidP="00A15226">
            <w:pPr>
              <w:pStyle w:val="Tabletext"/>
              <w:rPr>
                <w:szCs w:val="18"/>
              </w:rPr>
            </w:pPr>
            <w:r w:rsidRPr="002A5710">
              <w:rPr>
                <w:szCs w:val="18"/>
              </w:rPr>
              <w:t xml:space="preserve">Listed E, B as </w:t>
            </w:r>
            <w:r w:rsidRPr="002A5710">
              <w:rPr>
                <w:i/>
                <w:iCs/>
                <w:szCs w:val="18"/>
              </w:rPr>
              <w:t>E. australis.</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2500398B"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14AC4597"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2FF67F42" w14:textId="77777777" w:rsidR="000B173B" w:rsidRPr="002A5710" w:rsidRDefault="000B173B" w:rsidP="00A15226">
            <w:pPr>
              <w:pStyle w:val="Tabletext"/>
              <w:rPr>
                <w:szCs w:val="18"/>
                <w:lang w:eastAsia="ja-JP"/>
              </w:rPr>
            </w:pPr>
            <w:r w:rsidRPr="002A5710">
              <w:rPr>
                <w:szCs w:val="18"/>
                <w:lang w:eastAsia="ja-JP"/>
              </w:rPr>
              <w:t>2 records (one from 2006 and the other from 2007)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1E7CD2CE" w14:textId="77777777" w:rsidR="000B173B" w:rsidRPr="002A5710" w:rsidRDefault="000B173B" w:rsidP="00A15226">
            <w:pPr>
              <w:pStyle w:val="Tabletext"/>
              <w:rPr>
                <w:szCs w:val="18"/>
              </w:rPr>
            </w:pPr>
            <w:r w:rsidRPr="002A5710">
              <w:rPr>
                <w:szCs w:val="18"/>
              </w:rPr>
              <w:t>Category 2</w:t>
            </w:r>
          </w:p>
        </w:tc>
      </w:tr>
      <w:tr w:rsidR="000B173B" w:rsidRPr="002A5710" w14:paraId="53C0D5D3"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3B5B046B" w14:textId="77777777" w:rsidR="000B173B" w:rsidRPr="002A5710" w:rsidRDefault="000B173B" w:rsidP="00A15226">
            <w:pPr>
              <w:pStyle w:val="Tabletext"/>
              <w:rPr>
                <w:i/>
                <w:iCs/>
                <w:szCs w:val="18"/>
              </w:rPr>
            </w:pPr>
            <w:r w:rsidRPr="002A5710">
              <w:rPr>
                <w:i/>
                <w:iCs/>
                <w:szCs w:val="18"/>
              </w:rPr>
              <w:t>Balaenoptera musculus</w:t>
            </w:r>
          </w:p>
        </w:tc>
        <w:tc>
          <w:tcPr>
            <w:tcW w:w="743" w:type="pct"/>
            <w:tcBorders>
              <w:top w:val="single" w:sz="4" w:space="0" w:color="auto"/>
              <w:left w:val="single" w:sz="4" w:space="0" w:color="auto"/>
              <w:bottom w:val="single" w:sz="4" w:space="0" w:color="auto"/>
              <w:right w:val="single" w:sz="4" w:space="0" w:color="auto"/>
            </w:tcBorders>
            <w:vAlign w:val="center"/>
          </w:tcPr>
          <w:p w14:paraId="2DC551C4" w14:textId="77777777" w:rsidR="000B173B" w:rsidRPr="002A5710" w:rsidRDefault="000B173B" w:rsidP="00A15226">
            <w:pPr>
              <w:pStyle w:val="Tabletext"/>
              <w:rPr>
                <w:szCs w:val="18"/>
              </w:rPr>
            </w:pPr>
            <w:r w:rsidRPr="002A5710">
              <w:rPr>
                <w:szCs w:val="18"/>
              </w:rPr>
              <w:t>Blue Whale</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05DE9E54" w14:textId="77777777" w:rsidR="000B173B" w:rsidRPr="002A5710" w:rsidRDefault="000B173B" w:rsidP="00A15226">
            <w:pPr>
              <w:pStyle w:val="Tabletext"/>
              <w:rPr>
                <w:szCs w:val="18"/>
              </w:rPr>
            </w:pPr>
            <w:r w:rsidRPr="002A5710">
              <w:rPr>
                <w:szCs w:val="18"/>
              </w:rPr>
              <w:t>E, 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486CB2FD"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0D1B6FC7"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709BCCED" w14:textId="77777777" w:rsidR="000B173B" w:rsidRPr="002A5710" w:rsidRDefault="000B173B" w:rsidP="00A15226">
            <w:pPr>
              <w:pStyle w:val="Tabletext"/>
              <w:rPr>
                <w:szCs w:val="18"/>
                <w:lang w:eastAsia="ja-JP"/>
              </w:rPr>
            </w:pPr>
            <w:r w:rsidRPr="002A5710">
              <w:rPr>
                <w:szCs w:val="18"/>
                <w:lang w:eastAsia="ja-JP"/>
              </w:rPr>
              <w:t>No records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2411A3AC" w14:textId="77777777" w:rsidR="000B173B" w:rsidRPr="002A5710" w:rsidRDefault="000B173B" w:rsidP="00A15226">
            <w:pPr>
              <w:pStyle w:val="Tabletext"/>
              <w:rPr>
                <w:szCs w:val="18"/>
              </w:rPr>
            </w:pPr>
            <w:r w:rsidRPr="002A5710">
              <w:rPr>
                <w:szCs w:val="18"/>
              </w:rPr>
              <w:t>Category 2</w:t>
            </w:r>
          </w:p>
        </w:tc>
      </w:tr>
      <w:tr w:rsidR="000B173B" w:rsidRPr="002A5710" w14:paraId="519943AB"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27D7DF6A" w14:textId="77777777" w:rsidR="000B173B" w:rsidRPr="002A5710" w:rsidRDefault="000B173B" w:rsidP="00A15226">
            <w:pPr>
              <w:pStyle w:val="Tabletext"/>
              <w:rPr>
                <w:i/>
                <w:iCs/>
                <w:szCs w:val="18"/>
              </w:rPr>
            </w:pPr>
            <w:r w:rsidRPr="002A5710">
              <w:rPr>
                <w:i/>
                <w:iCs/>
                <w:szCs w:val="18"/>
              </w:rPr>
              <w:t>Caperea marginata</w:t>
            </w:r>
          </w:p>
        </w:tc>
        <w:tc>
          <w:tcPr>
            <w:tcW w:w="743" w:type="pct"/>
            <w:tcBorders>
              <w:top w:val="single" w:sz="4" w:space="0" w:color="auto"/>
              <w:left w:val="single" w:sz="4" w:space="0" w:color="auto"/>
              <w:bottom w:val="single" w:sz="4" w:space="0" w:color="auto"/>
              <w:right w:val="single" w:sz="4" w:space="0" w:color="auto"/>
            </w:tcBorders>
            <w:vAlign w:val="center"/>
          </w:tcPr>
          <w:p w14:paraId="1FA29E3B" w14:textId="77777777" w:rsidR="000B173B" w:rsidRPr="002A5710" w:rsidRDefault="000B173B" w:rsidP="00A15226">
            <w:pPr>
              <w:pStyle w:val="Tabletext"/>
              <w:rPr>
                <w:szCs w:val="18"/>
              </w:rPr>
            </w:pPr>
            <w:r w:rsidRPr="002A5710">
              <w:rPr>
                <w:szCs w:val="18"/>
              </w:rPr>
              <w:t>Pygmy Right Whale</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3C9D042B" w14:textId="77777777" w:rsidR="000B173B" w:rsidRPr="002A5710" w:rsidRDefault="000B173B" w:rsidP="00A15226">
            <w:pPr>
              <w:pStyle w:val="Tabletext"/>
              <w:rPr>
                <w:szCs w:val="18"/>
              </w:rPr>
            </w:pPr>
            <w:r w:rsidRPr="002A5710">
              <w:rPr>
                <w:szCs w:val="18"/>
              </w:rPr>
              <w:t>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6EB5AB14"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4A7106B7"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6D1B7C42" w14:textId="77777777" w:rsidR="000B173B" w:rsidRPr="002A5710" w:rsidRDefault="000B173B" w:rsidP="00A15226">
            <w:pPr>
              <w:pStyle w:val="Tabletext"/>
              <w:rPr>
                <w:szCs w:val="18"/>
                <w:lang w:eastAsia="ja-JP"/>
              </w:rPr>
            </w:pPr>
            <w:r w:rsidRPr="002A5710">
              <w:rPr>
                <w:szCs w:val="18"/>
                <w:lang w:eastAsia="ja-JP"/>
              </w:rPr>
              <w:t>No records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527AF1C0" w14:textId="77777777" w:rsidR="000B173B" w:rsidRPr="002A5710" w:rsidRDefault="000B173B" w:rsidP="00A15226">
            <w:pPr>
              <w:pStyle w:val="Tabletext"/>
              <w:rPr>
                <w:szCs w:val="18"/>
              </w:rPr>
            </w:pPr>
            <w:r w:rsidRPr="002A5710">
              <w:rPr>
                <w:szCs w:val="18"/>
              </w:rPr>
              <w:t>Category 2</w:t>
            </w:r>
          </w:p>
        </w:tc>
      </w:tr>
      <w:tr w:rsidR="000B173B" w:rsidRPr="002A5710" w14:paraId="5EA8F406"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7FC5C6B1" w14:textId="77777777" w:rsidR="000B173B" w:rsidRPr="002A5710" w:rsidRDefault="000B173B" w:rsidP="00A15226">
            <w:pPr>
              <w:pStyle w:val="Tabletext"/>
              <w:rPr>
                <w:i/>
                <w:iCs/>
                <w:szCs w:val="18"/>
              </w:rPr>
            </w:pPr>
            <w:r w:rsidRPr="002A5710">
              <w:rPr>
                <w:i/>
                <w:iCs/>
                <w:szCs w:val="18"/>
              </w:rPr>
              <w:t>Carcharodon carcharias</w:t>
            </w:r>
          </w:p>
        </w:tc>
        <w:tc>
          <w:tcPr>
            <w:tcW w:w="743" w:type="pct"/>
            <w:tcBorders>
              <w:top w:val="single" w:sz="4" w:space="0" w:color="auto"/>
              <w:left w:val="single" w:sz="4" w:space="0" w:color="auto"/>
              <w:bottom w:val="single" w:sz="4" w:space="0" w:color="auto"/>
              <w:right w:val="single" w:sz="4" w:space="0" w:color="auto"/>
            </w:tcBorders>
            <w:vAlign w:val="center"/>
          </w:tcPr>
          <w:p w14:paraId="616470C1" w14:textId="77777777" w:rsidR="000B173B" w:rsidRPr="002A5710" w:rsidRDefault="000B173B" w:rsidP="00A15226">
            <w:pPr>
              <w:pStyle w:val="Tabletext"/>
              <w:rPr>
                <w:szCs w:val="18"/>
              </w:rPr>
            </w:pPr>
            <w:r w:rsidRPr="002A5710">
              <w:rPr>
                <w:szCs w:val="18"/>
              </w:rPr>
              <w:t>White Shark, Great White Shark</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65469113" w14:textId="77777777" w:rsidR="000B173B" w:rsidRPr="002A5710" w:rsidRDefault="000B173B" w:rsidP="00A15226">
            <w:pPr>
              <w:pStyle w:val="Tabletext"/>
              <w:rPr>
                <w:szCs w:val="18"/>
              </w:rPr>
            </w:pPr>
            <w:r w:rsidRPr="002A5710">
              <w:rPr>
                <w:szCs w:val="18"/>
              </w:rPr>
              <w:t>V, 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5F38747F"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13DA09E0"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2EB992C5" w14:textId="77777777" w:rsidR="000B173B" w:rsidRPr="002A5710" w:rsidRDefault="000B173B" w:rsidP="00A15226">
            <w:pPr>
              <w:pStyle w:val="Tabletext"/>
              <w:rPr>
                <w:szCs w:val="18"/>
                <w:lang w:eastAsia="ja-JP"/>
              </w:rPr>
            </w:pPr>
            <w:r w:rsidRPr="002A5710">
              <w:rPr>
                <w:szCs w:val="18"/>
                <w:lang w:eastAsia="ja-JP"/>
              </w:rPr>
              <w:t>No records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2040527B" w14:textId="77777777" w:rsidR="000B173B" w:rsidRPr="002A5710" w:rsidRDefault="000B173B" w:rsidP="00A15226">
            <w:pPr>
              <w:pStyle w:val="Tabletext"/>
              <w:rPr>
                <w:szCs w:val="18"/>
              </w:rPr>
            </w:pPr>
            <w:r w:rsidRPr="002A5710">
              <w:rPr>
                <w:szCs w:val="18"/>
              </w:rPr>
              <w:t>Category 2</w:t>
            </w:r>
          </w:p>
        </w:tc>
      </w:tr>
      <w:tr w:rsidR="000B173B" w:rsidRPr="002A5710" w14:paraId="0CE522FD"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12A684FE" w14:textId="77777777" w:rsidR="000B173B" w:rsidRPr="002A5710" w:rsidRDefault="000B173B" w:rsidP="00A15226">
            <w:pPr>
              <w:pStyle w:val="Tabletext"/>
              <w:rPr>
                <w:i/>
                <w:iCs/>
                <w:szCs w:val="18"/>
              </w:rPr>
            </w:pPr>
            <w:r w:rsidRPr="002A5710">
              <w:rPr>
                <w:i/>
                <w:iCs/>
                <w:szCs w:val="18"/>
              </w:rPr>
              <w:t>Caretta caretta</w:t>
            </w:r>
          </w:p>
        </w:tc>
        <w:tc>
          <w:tcPr>
            <w:tcW w:w="743" w:type="pct"/>
            <w:tcBorders>
              <w:top w:val="single" w:sz="4" w:space="0" w:color="auto"/>
              <w:left w:val="single" w:sz="4" w:space="0" w:color="auto"/>
              <w:bottom w:val="single" w:sz="4" w:space="0" w:color="auto"/>
              <w:right w:val="single" w:sz="4" w:space="0" w:color="auto"/>
            </w:tcBorders>
            <w:vAlign w:val="center"/>
          </w:tcPr>
          <w:p w14:paraId="1948AC96" w14:textId="77777777" w:rsidR="000B173B" w:rsidRPr="002A5710" w:rsidRDefault="000B173B" w:rsidP="00A15226">
            <w:pPr>
              <w:pStyle w:val="Tabletext"/>
              <w:rPr>
                <w:szCs w:val="18"/>
              </w:rPr>
            </w:pPr>
            <w:r w:rsidRPr="002A5710">
              <w:rPr>
                <w:szCs w:val="18"/>
              </w:rPr>
              <w:t>Loggerhead Turtle</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1411C5B2" w14:textId="77777777" w:rsidR="000B173B" w:rsidRPr="002A5710" w:rsidRDefault="000B173B" w:rsidP="00A15226">
            <w:pPr>
              <w:pStyle w:val="Tabletext"/>
              <w:rPr>
                <w:szCs w:val="18"/>
              </w:rPr>
            </w:pPr>
            <w:r w:rsidRPr="002A5710">
              <w:rPr>
                <w:szCs w:val="18"/>
              </w:rPr>
              <w:t>E, 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08D9F0EB"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2BFC2424"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03033879" w14:textId="77777777" w:rsidR="000B173B" w:rsidRPr="002A5710" w:rsidRDefault="000B173B" w:rsidP="00A15226">
            <w:pPr>
              <w:pStyle w:val="Tabletext"/>
              <w:rPr>
                <w:szCs w:val="18"/>
                <w:lang w:eastAsia="ja-JP"/>
              </w:rPr>
            </w:pPr>
            <w:r w:rsidRPr="002A5710">
              <w:rPr>
                <w:szCs w:val="18"/>
                <w:lang w:eastAsia="ja-JP"/>
              </w:rPr>
              <w:t xml:space="preserve">No records occur within the Study Area. No nesting sites for the species occur within Victoria </w:t>
            </w:r>
            <w:sdt>
              <w:sdtPr>
                <w:rPr>
                  <w:color w:val="000000"/>
                  <w:szCs w:val="18"/>
                  <w:lang w:eastAsia="ja-JP"/>
                </w:rPr>
                <w:tag w:val="MENDELEY_CITATION_v3_eyJjaXRhdGlvbklEIjoiTUVOREVMRVlfQ0lUQVRJT05fMWM5YzI4NWMtYjFiOC00ZmE1LTg3N2MtYTZlZWRlYTY0ZjM0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1485356371"/>
                <w:placeholder>
                  <w:docPart w:val="339B7D746526864D922760336FCFE603"/>
                </w:placeholder>
              </w:sdtPr>
              <w:sdtEndPr>
                <w:rPr>
                  <w:szCs w:val="20"/>
                  <w:lang w:eastAsia="en-AU"/>
                </w:rPr>
              </w:sdtEndPr>
              <w:sdtContent>
                <w:r w:rsidRPr="002F46CE">
                  <w:rPr>
                    <w:color w:val="000000"/>
                  </w:rPr>
                  <w:t>(DoEE, 2017a)</w:t>
                </w:r>
              </w:sdtContent>
            </w:sdt>
            <w:r w:rsidRPr="002A5710">
              <w:rPr>
                <w:szCs w:val="18"/>
                <w:lang w:eastAsia="ja-JP"/>
              </w:rPr>
              <w:t>.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2D9A20B2" w14:textId="77777777" w:rsidR="000B173B" w:rsidRPr="002A5710" w:rsidRDefault="000B173B" w:rsidP="00A15226">
            <w:pPr>
              <w:pStyle w:val="Tabletext"/>
              <w:rPr>
                <w:szCs w:val="18"/>
              </w:rPr>
            </w:pPr>
            <w:r w:rsidRPr="002A5710">
              <w:rPr>
                <w:szCs w:val="18"/>
              </w:rPr>
              <w:t>Category 2</w:t>
            </w:r>
          </w:p>
        </w:tc>
      </w:tr>
      <w:tr w:rsidR="000B173B" w:rsidRPr="002A5710" w14:paraId="6F3C0272"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4D7BF19E" w14:textId="77777777" w:rsidR="000B173B" w:rsidRPr="002A5710" w:rsidRDefault="000B173B" w:rsidP="00A15226">
            <w:pPr>
              <w:pStyle w:val="Tabletext"/>
              <w:rPr>
                <w:i/>
                <w:iCs/>
                <w:szCs w:val="18"/>
              </w:rPr>
            </w:pPr>
            <w:r w:rsidRPr="002A5710">
              <w:rPr>
                <w:i/>
                <w:iCs/>
                <w:szCs w:val="18"/>
              </w:rPr>
              <w:t>Chelonia mydas</w:t>
            </w:r>
          </w:p>
        </w:tc>
        <w:tc>
          <w:tcPr>
            <w:tcW w:w="743" w:type="pct"/>
            <w:tcBorders>
              <w:top w:val="single" w:sz="4" w:space="0" w:color="auto"/>
              <w:left w:val="single" w:sz="4" w:space="0" w:color="auto"/>
              <w:bottom w:val="single" w:sz="4" w:space="0" w:color="auto"/>
              <w:right w:val="single" w:sz="4" w:space="0" w:color="auto"/>
            </w:tcBorders>
            <w:vAlign w:val="center"/>
          </w:tcPr>
          <w:p w14:paraId="26F10C99" w14:textId="77777777" w:rsidR="000B173B" w:rsidRPr="002A5710" w:rsidRDefault="000B173B" w:rsidP="00A15226">
            <w:pPr>
              <w:pStyle w:val="Tabletext"/>
              <w:rPr>
                <w:szCs w:val="18"/>
              </w:rPr>
            </w:pPr>
            <w:r w:rsidRPr="002A5710">
              <w:rPr>
                <w:szCs w:val="18"/>
              </w:rPr>
              <w:t>Green Turtle</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087D0707" w14:textId="77777777" w:rsidR="000B173B" w:rsidRPr="002A5710" w:rsidRDefault="000B173B" w:rsidP="00A15226">
            <w:pPr>
              <w:pStyle w:val="Tabletext"/>
              <w:rPr>
                <w:szCs w:val="18"/>
              </w:rPr>
            </w:pPr>
            <w:r w:rsidRPr="002A5710">
              <w:rPr>
                <w:szCs w:val="18"/>
              </w:rPr>
              <w:t>V, 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3F8348EC"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2A91541C"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24548FDD" w14:textId="77777777" w:rsidR="000B173B" w:rsidRPr="002A5710" w:rsidRDefault="000B173B" w:rsidP="00A15226">
            <w:pPr>
              <w:pStyle w:val="Tabletext"/>
              <w:rPr>
                <w:szCs w:val="18"/>
                <w:lang w:eastAsia="ja-JP"/>
              </w:rPr>
            </w:pPr>
            <w:r w:rsidRPr="002A5710">
              <w:rPr>
                <w:szCs w:val="18"/>
                <w:lang w:eastAsia="ja-JP"/>
              </w:rPr>
              <w:t xml:space="preserve">No records occur within the Study Area. No nesting sites for the species occur within Victoria </w:t>
            </w:r>
            <w:sdt>
              <w:sdtPr>
                <w:rPr>
                  <w:color w:val="000000"/>
                  <w:szCs w:val="18"/>
                  <w:lang w:eastAsia="ja-JP"/>
                </w:rPr>
                <w:tag w:val="MENDELEY_CITATION_v3_eyJjaXRhdGlvbklEIjoiTUVOREVMRVlfQ0lUQVRJT05fNmEzMDY2NzctMDZlZC00NzY0LWI2YjUtN2M4NzdhZmIxZmY1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1525852910"/>
                <w:placeholder>
                  <w:docPart w:val="339B7D746526864D922760336FCFE603"/>
                </w:placeholder>
              </w:sdtPr>
              <w:sdtEndPr>
                <w:rPr>
                  <w:szCs w:val="20"/>
                  <w:lang w:eastAsia="en-AU"/>
                </w:rPr>
              </w:sdtEndPr>
              <w:sdtContent>
                <w:r w:rsidRPr="002F46CE">
                  <w:rPr>
                    <w:color w:val="000000"/>
                  </w:rPr>
                  <w:t>(DoEE, 2017a)</w:t>
                </w:r>
              </w:sdtContent>
            </w:sdt>
            <w:r w:rsidRPr="002A5710">
              <w:rPr>
                <w:szCs w:val="18"/>
                <w:lang w:eastAsia="ja-JP"/>
              </w:rPr>
              <w:t>.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5B1FD505" w14:textId="77777777" w:rsidR="000B173B" w:rsidRPr="002A5710" w:rsidRDefault="000B173B" w:rsidP="00A15226">
            <w:pPr>
              <w:pStyle w:val="Tabletext"/>
              <w:rPr>
                <w:szCs w:val="18"/>
              </w:rPr>
            </w:pPr>
            <w:r w:rsidRPr="002A5710">
              <w:rPr>
                <w:szCs w:val="18"/>
              </w:rPr>
              <w:t>Category 2</w:t>
            </w:r>
          </w:p>
        </w:tc>
      </w:tr>
      <w:tr w:rsidR="000B173B" w:rsidRPr="002A5710" w14:paraId="28CCC5F7"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6C36C340" w14:textId="77777777" w:rsidR="000B173B" w:rsidRPr="002A5710" w:rsidRDefault="000B173B" w:rsidP="00A15226">
            <w:pPr>
              <w:pStyle w:val="Tabletext"/>
              <w:rPr>
                <w:i/>
                <w:iCs/>
                <w:szCs w:val="18"/>
              </w:rPr>
            </w:pPr>
            <w:r w:rsidRPr="002A5710">
              <w:rPr>
                <w:i/>
                <w:iCs/>
                <w:szCs w:val="18"/>
              </w:rPr>
              <w:t>Dermochelys coriacea</w:t>
            </w:r>
          </w:p>
        </w:tc>
        <w:tc>
          <w:tcPr>
            <w:tcW w:w="743" w:type="pct"/>
            <w:tcBorders>
              <w:top w:val="single" w:sz="4" w:space="0" w:color="auto"/>
              <w:left w:val="single" w:sz="4" w:space="0" w:color="auto"/>
              <w:bottom w:val="single" w:sz="4" w:space="0" w:color="auto"/>
              <w:right w:val="single" w:sz="4" w:space="0" w:color="auto"/>
            </w:tcBorders>
            <w:vAlign w:val="center"/>
          </w:tcPr>
          <w:p w14:paraId="0BED676A" w14:textId="77777777" w:rsidR="000B173B" w:rsidRPr="002A5710" w:rsidRDefault="000B173B" w:rsidP="00A15226">
            <w:pPr>
              <w:pStyle w:val="Tabletext"/>
              <w:rPr>
                <w:szCs w:val="18"/>
              </w:rPr>
            </w:pPr>
            <w:r w:rsidRPr="002A5710">
              <w:rPr>
                <w:szCs w:val="18"/>
              </w:rPr>
              <w:t>Leatherback Turtle, Leathery Turtle, Luth</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2DA4F60C" w14:textId="77777777" w:rsidR="000B173B" w:rsidRPr="002A5710" w:rsidRDefault="000B173B" w:rsidP="00A15226">
            <w:pPr>
              <w:pStyle w:val="Tabletext"/>
              <w:rPr>
                <w:szCs w:val="18"/>
              </w:rPr>
            </w:pPr>
            <w:r w:rsidRPr="002A5710">
              <w:rPr>
                <w:szCs w:val="18"/>
              </w:rPr>
              <w:t>E, 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2C7FE81A"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41F7FAB2"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615962EB" w14:textId="77777777" w:rsidR="000B173B" w:rsidRPr="002A5710" w:rsidRDefault="000B173B" w:rsidP="00A15226">
            <w:pPr>
              <w:pStyle w:val="Tabletext"/>
              <w:rPr>
                <w:szCs w:val="18"/>
                <w:lang w:eastAsia="ja-JP"/>
              </w:rPr>
            </w:pPr>
            <w:r w:rsidRPr="002A5710">
              <w:rPr>
                <w:szCs w:val="18"/>
                <w:lang w:eastAsia="ja-JP"/>
              </w:rPr>
              <w:t xml:space="preserve">2 records occur within the Study Area. Both are recorded on the same date in 2017 and likely relate to a single individual. No nesting sites for the species occur within Victoria </w:t>
            </w:r>
            <w:sdt>
              <w:sdtPr>
                <w:rPr>
                  <w:color w:val="000000"/>
                  <w:szCs w:val="18"/>
                  <w:lang w:eastAsia="ja-JP"/>
                </w:rPr>
                <w:tag w:val="MENDELEY_CITATION_v3_eyJjaXRhdGlvbklEIjoiTUVOREVMRVlfQ0lUQVRJT05fYzBmNzU1OGYtMzcwZC00MTdhLWIxZjktMmRkZTI4Mjk5YTdm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787973406"/>
                <w:placeholder>
                  <w:docPart w:val="339B7D746526864D922760336FCFE603"/>
                </w:placeholder>
              </w:sdtPr>
              <w:sdtEndPr>
                <w:rPr>
                  <w:szCs w:val="20"/>
                  <w:lang w:eastAsia="en-AU"/>
                </w:rPr>
              </w:sdtEndPr>
              <w:sdtContent>
                <w:r w:rsidRPr="002F46CE">
                  <w:rPr>
                    <w:color w:val="000000"/>
                  </w:rPr>
                  <w:t>(DoEE, 2017a)</w:t>
                </w:r>
              </w:sdtContent>
            </w:sdt>
            <w:r w:rsidRPr="002A5710">
              <w:rPr>
                <w:szCs w:val="18"/>
                <w:lang w:eastAsia="ja-JP"/>
              </w:rPr>
              <w:t>.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3D34AC8F" w14:textId="77777777" w:rsidR="000B173B" w:rsidRPr="002A5710" w:rsidRDefault="000B173B" w:rsidP="00A15226">
            <w:pPr>
              <w:pStyle w:val="Tabletext"/>
              <w:rPr>
                <w:szCs w:val="18"/>
              </w:rPr>
            </w:pPr>
            <w:r w:rsidRPr="002A5710">
              <w:rPr>
                <w:szCs w:val="18"/>
              </w:rPr>
              <w:t>Category 2</w:t>
            </w:r>
          </w:p>
        </w:tc>
      </w:tr>
      <w:tr w:rsidR="000B173B" w:rsidRPr="002A5710" w14:paraId="25C45E9A"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52D34A4E" w14:textId="77777777" w:rsidR="000B173B" w:rsidRPr="002A5710" w:rsidRDefault="000B173B" w:rsidP="00A15226">
            <w:pPr>
              <w:pStyle w:val="Tabletext"/>
              <w:rPr>
                <w:i/>
                <w:iCs/>
                <w:szCs w:val="18"/>
              </w:rPr>
            </w:pPr>
            <w:r w:rsidRPr="002A5710">
              <w:rPr>
                <w:i/>
                <w:iCs/>
                <w:szCs w:val="18"/>
              </w:rPr>
              <w:lastRenderedPageBreak/>
              <w:t>Lagenorhynchus obscurus</w:t>
            </w:r>
          </w:p>
        </w:tc>
        <w:tc>
          <w:tcPr>
            <w:tcW w:w="743" w:type="pct"/>
            <w:tcBorders>
              <w:top w:val="single" w:sz="4" w:space="0" w:color="auto"/>
              <w:left w:val="single" w:sz="4" w:space="0" w:color="auto"/>
              <w:bottom w:val="single" w:sz="4" w:space="0" w:color="auto"/>
              <w:right w:val="single" w:sz="4" w:space="0" w:color="auto"/>
            </w:tcBorders>
            <w:vAlign w:val="center"/>
          </w:tcPr>
          <w:p w14:paraId="0ED6674F" w14:textId="77777777" w:rsidR="000B173B" w:rsidRPr="002A5710" w:rsidRDefault="000B173B" w:rsidP="00A15226">
            <w:pPr>
              <w:pStyle w:val="Tabletext"/>
              <w:rPr>
                <w:szCs w:val="18"/>
              </w:rPr>
            </w:pPr>
            <w:r w:rsidRPr="002A5710">
              <w:rPr>
                <w:szCs w:val="18"/>
              </w:rPr>
              <w:t>Dusky Dolphin</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5245F46D" w14:textId="77777777" w:rsidR="000B173B" w:rsidRPr="002A5710" w:rsidRDefault="000B173B" w:rsidP="00A15226">
            <w:pPr>
              <w:pStyle w:val="Tabletext"/>
              <w:rPr>
                <w:szCs w:val="18"/>
              </w:rPr>
            </w:pPr>
            <w:r w:rsidRPr="002A5710">
              <w:rPr>
                <w:szCs w:val="18"/>
              </w:rPr>
              <w:t>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60BED250"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1397234D"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28320B74" w14:textId="77777777" w:rsidR="000B173B" w:rsidRPr="002A5710" w:rsidRDefault="000B173B" w:rsidP="00A15226">
            <w:pPr>
              <w:pStyle w:val="Tabletext"/>
              <w:rPr>
                <w:szCs w:val="18"/>
                <w:lang w:eastAsia="ja-JP"/>
              </w:rPr>
            </w:pPr>
            <w:r w:rsidRPr="002A5710">
              <w:rPr>
                <w:szCs w:val="18"/>
                <w:lang w:eastAsia="ja-JP"/>
              </w:rPr>
              <w:t>No records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22EE29C0" w14:textId="77777777" w:rsidR="000B173B" w:rsidRPr="002A5710" w:rsidRDefault="000B173B" w:rsidP="00A15226">
            <w:pPr>
              <w:pStyle w:val="Tabletext"/>
              <w:rPr>
                <w:szCs w:val="18"/>
              </w:rPr>
            </w:pPr>
            <w:r w:rsidRPr="002A5710">
              <w:rPr>
                <w:szCs w:val="18"/>
              </w:rPr>
              <w:t>Category 2</w:t>
            </w:r>
          </w:p>
        </w:tc>
      </w:tr>
      <w:tr w:rsidR="000B173B" w:rsidRPr="002A5710" w14:paraId="0E4BDDC9"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796E0818" w14:textId="77777777" w:rsidR="000B173B" w:rsidRPr="002A5710" w:rsidRDefault="000B173B" w:rsidP="00A15226">
            <w:pPr>
              <w:pStyle w:val="Tabletext"/>
              <w:rPr>
                <w:i/>
                <w:iCs/>
                <w:szCs w:val="18"/>
              </w:rPr>
            </w:pPr>
            <w:r w:rsidRPr="002A5710">
              <w:rPr>
                <w:i/>
                <w:iCs/>
                <w:szCs w:val="18"/>
              </w:rPr>
              <w:t>Lamna nasus</w:t>
            </w:r>
          </w:p>
        </w:tc>
        <w:tc>
          <w:tcPr>
            <w:tcW w:w="743" w:type="pct"/>
            <w:tcBorders>
              <w:top w:val="single" w:sz="4" w:space="0" w:color="auto"/>
              <w:left w:val="single" w:sz="4" w:space="0" w:color="auto"/>
              <w:bottom w:val="single" w:sz="4" w:space="0" w:color="auto"/>
              <w:right w:val="single" w:sz="4" w:space="0" w:color="auto"/>
            </w:tcBorders>
            <w:vAlign w:val="center"/>
          </w:tcPr>
          <w:p w14:paraId="0D396BDF" w14:textId="77777777" w:rsidR="000B173B" w:rsidRPr="002A5710" w:rsidRDefault="000B173B" w:rsidP="00A15226">
            <w:pPr>
              <w:pStyle w:val="Tabletext"/>
              <w:rPr>
                <w:szCs w:val="18"/>
              </w:rPr>
            </w:pPr>
            <w:r w:rsidRPr="002A5710">
              <w:rPr>
                <w:szCs w:val="18"/>
              </w:rPr>
              <w:t>Porbeagle, Mackerel Shark</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6EEBF3BF" w14:textId="77777777" w:rsidR="000B173B" w:rsidRPr="002A5710" w:rsidRDefault="000B173B" w:rsidP="00A15226">
            <w:pPr>
              <w:pStyle w:val="Tabletext"/>
              <w:rPr>
                <w:szCs w:val="18"/>
              </w:rPr>
            </w:pPr>
            <w:r w:rsidRPr="002A5710">
              <w:rPr>
                <w:szCs w:val="18"/>
              </w:rPr>
              <w:t>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6CF2C6E4"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38C5173C"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7C191CC1" w14:textId="77777777" w:rsidR="000B173B" w:rsidRPr="002A5710" w:rsidRDefault="000B173B" w:rsidP="00A15226">
            <w:pPr>
              <w:pStyle w:val="Tabletext"/>
              <w:rPr>
                <w:szCs w:val="18"/>
                <w:lang w:eastAsia="ja-JP"/>
              </w:rPr>
            </w:pPr>
            <w:r w:rsidRPr="002A5710">
              <w:rPr>
                <w:szCs w:val="18"/>
                <w:lang w:eastAsia="ja-JP"/>
              </w:rPr>
              <w:t>No records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6A710EA6" w14:textId="77777777" w:rsidR="000B173B" w:rsidRPr="002A5710" w:rsidRDefault="000B173B" w:rsidP="00A15226">
            <w:pPr>
              <w:pStyle w:val="Tabletext"/>
              <w:rPr>
                <w:szCs w:val="18"/>
              </w:rPr>
            </w:pPr>
            <w:r w:rsidRPr="002A5710">
              <w:rPr>
                <w:szCs w:val="18"/>
              </w:rPr>
              <w:t>Category 2</w:t>
            </w:r>
          </w:p>
        </w:tc>
      </w:tr>
      <w:tr w:rsidR="000B173B" w:rsidRPr="002A5710" w14:paraId="108C931B"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0F881594" w14:textId="77777777" w:rsidR="000B173B" w:rsidRPr="002A5710" w:rsidRDefault="000B173B" w:rsidP="00A15226">
            <w:pPr>
              <w:pStyle w:val="Tabletext"/>
              <w:rPr>
                <w:i/>
                <w:iCs/>
                <w:szCs w:val="18"/>
              </w:rPr>
            </w:pPr>
            <w:r w:rsidRPr="002A5710">
              <w:rPr>
                <w:i/>
                <w:iCs/>
                <w:szCs w:val="18"/>
              </w:rPr>
              <w:t>Lepidochelys olivacea</w:t>
            </w:r>
          </w:p>
        </w:tc>
        <w:tc>
          <w:tcPr>
            <w:tcW w:w="743" w:type="pct"/>
            <w:tcBorders>
              <w:top w:val="single" w:sz="4" w:space="0" w:color="auto"/>
              <w:left w:val="single" w:sz="4" w:space="0" w:color="auto"/>
              <w:bottom w:val="single" w:sz="4" w:space="0" w:color="auto"/>
              <w:right w:val="single" w:sz="4" w:space="0" w:color="auto"/>
            </w:tcBorders>
            <w:vAlign w:val="center"/>
          </w:tcPr>
          <w:p w14:paraId="72B09306" w14:textId="77777777" w:rsidR="000B173B" w:rsidRPr="002A5710" w:rsidRDefault="000B173B" w:rsidP="00A15226">
            <w:pPr>
              <w:pStyle w:val="Tabletext"/>
              <w:rPr>
                <w:szCs w:val="18"/>
              </w:rPr>
            </w:pPr>
            <w:r w:rsidRPr="002A5710">
              <w:rPr>
                <w:szCs w:val="18"/>
              </w:rPr>
              <w:t>Pacific (Olive) Ridley</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7B053939" w14:textId="77777777" w:rsidR="000B173B" w:rsidRPr="002A5710" w:rsidRDefault="000B173B" w:rsidP="00A15226">
            <w:pPr>
              <w:pStyle w:val="Tabletext"/>
              <w:rPr>
                <w:szCs w:val="18"/>
              </w:rPr>
            </w:pPr>
            <w:r w:rsidRPr="002A5710">
              <w:rPr>
                <w:szCs w:val="18"/>
              </w:rPr>
              <w:t>E, 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12713D11"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1D40644F"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4A54E7D7" w14:textId="77777777" w:rsidR="000B173B" w:rsidRPr="002A5710" w:rsidRDefault="000B173B" w:rsidP="00A15226">
            <w:pPr>
              <w:pStyle w:val="Tabletext"/>
              <w:rPr>
                <w:szCs w:val="18"/>
                <w:lang w:eastAsia="ja-JP"/>
              </w:rPr>
            </w:pPr>
            <w:r w:rsidRPr="002A5710">
              <w:rPr>
                <w:szCs w:val="18"/>
                <w:lang w:eastAsia="ja-JP"/>
              </w:rPr>
              <w:t xml:space="preserve">1 record occurs within the Study Area, which was recorded in 1974. There are no more recent records of the species in the Study Area. No nesting sites for the species occur within Victoria </w:t>
            </w:r>
            <w:sdt>
              <w:sdtPr>
                <w:rPr>
                  <w:color w:val="000000"/>
                  <w:szCs w:val="18"/>
                  <w:lang w:eastAsia="ja-JP"/>
                </w:rPr>
                <w:tag w:val="MENDELEY_CITATION_v3_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"/>
                <w:id w:val="-1008370135"/>
                <w:placeholder>
                  <w:docPart w:val="339B7D746526864D922760336FCFE603"/>
                </w:placeholder>
              </w:sdtPr>
              <w:sdtEndPr>
                <w:rPr>
                  <w:szCs w:val="20"/>
                  <w:lang w:eastAsia="en-AU"/>
                </w:rPr>
              </w:sdtEndPr>
              <w:sdtContent>
                <w:r w:rsidRPr="002F46CE">
                  <w:rPr>
                    <w:color w:val="000000"/>
                  </w:rPr>
                  <w:t>(DoEE, 2017a)</w:t>
                </w:r>
              </w:sdtContent>
            </w:sdt>
            <w:r w:rsidRPr="002A5710">
              <w:rPr>
                <w:szCs w:val="18"/>
                <w:lang w:eastAsia="ja-JP"/>
              </w:rPr>
              <w:t>.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364F0556" w14:textId="77777777" w:rsidR="000B173B" w:rsidRPr="002A5710" w:rsidRDefault="000B173B" w:rsidP="00A15226">
            <w:pPr>
              <w:pStyle w:val="Tabletext"/>
              <w:rPr>
                <w:szCs w:val="18"/>
              </w:rPr>
            </w:pPr>
            <w:r w:rsidRPr="002A5710">
              <w:rPr>
                <w:szCs w:val="18"/>
              </w:rPr>
              <w:t>Category 2</w:t>
            </w:r>
          </w:p>
        </w:tc>
      </w:tr>
      <w:tr w:rsidR="000B173B" w:rsidRPr="002A5710" w14:paraId="3EEEFC16" w14:textId="77777777" w:rsidTr="00A15226">
        <w:trPr>
          <w:cantSplit/>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7BF424A2" w14:textId="77777777" w:rsidR="000B173B" w:rsidRPr="002A5710" w:rsidRDefault="000B173B" w:rsidP="00A15226">
            <w:pPr>
              <w:pStyle w:val="Tabletext"/>
              <w:rPr>
                <w:i/>
                <w:iCs/>
                <w:szCs w:val="18"/>
              </w:rPr>
            </w:pPr>
            <w:r w:rsidRPr="002A5710">
              <w:rPr>
                <w:i/>
                <w:iCs/>
                <w:szCs w:val="18"/>
              </w:rPr>
              <w:t>Megaptera novaeangliae</w:t>
            </w:r>
          </w:p>
        </w:tc>
        <w:tc>
          <w:tcPr>
            <w:tcW w:w="743" w:type="pct"/>
            <w:tcBorders>
              <w:top w:val="single" w:sz="4" w:space="0" w:color="auto"/>
              <w:left w:val="single" w:sz="4" w:space="0" w:color="auto"/>
              <w:bottom w:val="single" w:sz="4" w:space="0" w:color="auto"/>
              <w:right w:val="single" w:sz="4" w:space="0" w:color="auto"/>
            </w:tcBorders>
            <w:vAlign w:val="center"/>
          </w:tcPr>
          <w:p w14:paraId="602E5309" w14:textId="77777777" w:rsidR="000B173B" w:rsidRPr="002A5710" w:rsidRDefault="000B173B" w:rsidP="00A15226">
            <w:pPr>
              <w:pStyle w:val="Tabletext"/>
              <w:rPr>
                <w:szCs w:val="18"/>
              </w:rPr>
            </w:pPr>
            <w:r w:rsidRPr="002A5710">
              <w:rPr>
                <w:szCs w:val="18"/>
              </w:rPr>
              <w:t>Humpback Whale</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6C346798" w14:textId="77777777" w:rsidR="000B173B" w:rsidRPr="002A5710" w:rsidRDefault="000B173B" w:rsidP="00A15226">
            <w:pPr>
              <w:pStyle w:val="Tabletext"/>
              <w:rPr>
                <w:szCs w:val="18"/>
              </w:rPr>
            </w:pPr>
            <w:r w:rsidRPr="002A5710">
              <w:rPr>
                <w:szCs w:val="18"/>
              </w:rPr>
              <w:t>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31771E91"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41DC6D2E"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405542A5" w14:textId="77777777" w:rsidR="000B173B" w:rsidRPr="002A5710" w:rsidRDefault="000B173B" w:rsidP="00A15226">
            <w:pPr>
              <w:pStyle w:val="Tabletext"/>
              <w:rPr>
                <w:szCs w:val="18"/>
                <w:lang w:eastAsia="ja-JP"/>
              </w:rPr>
            </w:pPr>
            <w:r w:rsidRPr="002A5710">
              <w:rPr>
                <w:szCs w:val="18"/>
                <w:lang w:eastAsia="ja-JP"/>
              </w:rPr>
              <w:t>No records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21EA91FB" w14:textId="77777777" w:rsidR="000B173B" w:rsidRPr="002A5710" w:rsidRDefault="000B173B" w:rsidP="00A15226">
            <w:pPr>
              <w:pStyle w:val="Tabletext"/>
              <w:rPr>
                <w:szCs w:val="18"/>
              </w:rPr>
            </w:pPr>
            <w:r w:rsidRPr="002A5710">
              <w:rPr>
                <w:szCs w:val="18"/>
              </w:rPr>
              <w:t>Category 2</w:t>
            </w:r>
          </w:p>
        </w:tc>
      </w:tr>
      <w:tr w:rsidR="000B173B" w:rsidRPr="002A5710" w14:paraId="23D6BBF3" w14:textId="77777777" w:rsidTr="00A15226">
        <w:trPr>
          <w:cantSplit/>
          <w:trHeight w:val="739"/>
        </w:trPr>
        <w:tc>
          <w:tcPr>
            <w:tcW w:w="742" w:type="pct"/>
            <w:tcBorders>
              <w:top w:val="single" w:sz="4" w:space="0" w:color="auto"/>
              <w:left w:val="single" w:sz="4" w:space="0" w:color="auto"/>
              <w:bottom w:val="single" w:sz="4" w:space="0" w:color="auto"/>
              <w:right w:val="single" w:sz="4" w:space="0" w:color="auto"/>
            </w:tcBorders>
            <w:shd w:val="clear" w:color="auto" w:fill="auto"/>
            <w:vAlign w:val="center"/>
          </w:tcPr>
          <w:p w14:paraId="7149B0C8" w14:textId="77777777" w:rsidR="000B173B" w:rsidRPr="002A5710" w:rsidRDefault="000B173B" w:rsidP="00A15226">
            <w:pPr>
              <w:pStyle w:val="Tabletext"/>
              <w:rPr>
                <w:i/>
                <w:iCs/>
                <w:szCs w:val="18"/>
              </w:rPr>
            </w:pPr>
            <w:r w:rsidRPr="002A5710">
              <w:rPr>
                <w:i/>
                <w:iCs/>
                <w:szCs w:val="18"/>
              </w:rPr>
              <w:t>Orcinus orca</w:t>
            </w:r>
          </w:p>
        </w:tc>
        <w:tc>
          <w:tcPr>
            <w:tcW w:w="743" w:type="pct"/>
            <w:tcBorders>
              <w:top w:val="single" w:sz="4" w:space="0" w:color="auto"/>
              <w:left w:val="single" w:sz="4" w:space="0" w:color="auto"/>
              <w:bottom w:val="single" w:sz="4" w:space="0" w:color="auto"/>
              <w:right w:val="single" w:sz="4" w:space="0" w:color="auto"/>
            </w:tcBorders>
            <w:vAlign w:val="center"/>
          </w:tcPr>
          <w:p w14:paraId="330FCBDD" w14:textId="77777777" w:rsidR="000B173B" w:rsidRPr="002A5710" w:rsidRDefault="000B173B" w:rsidP="00A15226">
            <w:pPr>
              <w:pStyle w:val="Tabletext"/>
              <w:rPr>
                <w:szCs w:val="18"/>
              </w:rPr>
            </w:pPr>
            <w:r w:rsidRPr="002A5710">
              <w:rPr>
                <w:szCs w:val="18"/>
              </w:rPr>
              <w:t>Killer Whale, Orca</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000CA3A6" w14:textId="77777777" w:rsidR="000B173B" w:rsidRPr="002A5710" w:rsidRDefault="000B173B" w:rsidP="00A15226">
            <w:pPr>
              <w:pStyle w:val="Tabletext"/>
              <w:rPr>
                <w:szCs w:val="18"/>
              </w:rPr>
            </w:pPr>
            <w:r w:rsidRPr="002A5710">
              <w:rPr>
                <w:szCs w:val="18"/>
              </w:rPr>
              <w:t>Mig, B</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7FEEB9EB" w14:textId="77777777" w:rsidR="000B173B" w:rsidRPr="002A5710" w:rsidRDefault="000B173B" w:rsidP="00A15226">
            <w:pPr>
              <w:pStyle w:val="Tabletext"/>
              <w:jc w:val="center"/>
              <w:rPr>
                <w:szCs w:val="18"/>
              </w:rPr>
            </w:pPr>
            <w:r w:rsidRPr="002A5710">
              <w:rPr>
                <w:szCs w:val="18"/>
              </w:rPr>
              <w:t>No</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14:paraId="045F696F" w14:textId="77777777" w:rsidR="000B173B" w:rsidRPr="002A5710" w:rsidRDefault="000B173B" w:rsidP="00A15226">
            <w:pPr>
              <w:pStyle w:val="Tabletext"/>
              <w:jc w:val="center"/>
              <w:rPr>
                <w:szCs w:val="18"/>
              </w:rPr>
            </w:pPr>
            <w:r w:rsidRPr="002A5710">
              <w:rPr>
                <w:szCs w:val="18"/>
              </w:rPr>
              <w:t>No</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14:paraId="5B5C6837" w14:textId="77777777" w:rsidR="000B173B" w:rsidRPr="002A5710" w:rsidRDefault="000B173B" w:rsidP="00A15226">
            <w:pPr>
              <w:pStyle w:val="Tabletext"/>
              <w:rPr>
                <w:szCs w:val="18"/>
                <w:lang w:eastAsia="ja-JP"/>
              </w:rPr>
            </w:pPr>
            <w:r w:rsidRPr="002A5710">
              <w:rPr>
                <w:szCs w:val="18"/>
                <w:lang w:eastAsia="ja-JP"/>
              </w:rPr>
              <w:t>No records occur within the Study Area. The species is</w:t>
            </w:r>
            <w:r w:rsidRPr="002A5710">
              <w:rPr>
                <w:szCs w:val="18"/>
              </w:rPr>
              <w:t xml:space="preserve"> a wide-ranging marine species and</w:t>
            </w:r>
            <w:r w:rsidRPr="002A5710">
              <w:rPr>
                <w:szCs w:val="18"/>
                <w:lang w:eastAsia="ja-JP"/>
              </w:rPr>
              <w:t xml:space="preserve"> will not be impacted by the Plan</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14:paraId="0316FC39" w14:textId="77777777" w:rsidR="000B173B" w:rsidRPr="002A5710" w:rsidRDefault="000B173B" w:rsidP="00A15226">
            <w:pPr>
              <w:pStyle w:val="Tabletext"/>
              <w:rPr>
                <w:szCs w:val="18"/>
              </w:rPr>
            </w:pPr>
            <w:r w:rsidRPr="002A5710">
              <w:rPr>
                <w:szCs w:val="18"/>
              </w:rPr>
              <w:t>Category 2</w:t>
            </w:r>
          </w:p>
        </w:tc>
      </w:tr>
    </w:tbl>
    <w:p w14:paraId="7FF51751" w14:textId="77777777" w:rsidR="000B173B" w:rsidRDefault="000B173B" w:rsidP="000B173B">
      <w:pPr>
        <w:rPr>
          <w:sz w:val="16"/>
          <w:szCs w:val="16"/>
        </w:rPr>
      </w:pPr>
      <w:r w:rsidRPr="000D42B4">
        <w:rPr>
          <w:sz w:val="16"/>
          <w:szCs w:val="16"/>
        </w:rPr>
        <w:t>1: To save space, the following abbreviations are used:</w:t>
      </w:r>
      <w:r>
        <w:rPr>
          <w:sz w:val="16"/>
          <w:szCs w:val="16"/>
        </w:rPr>
        <w:t xml:space="preserve"> V: Vulnerable, E: Endangered, CE: Critically Endangered, P. Ex: Presumed Extinct, Ex: Extinct, FPAL: Finalised Priority Assessment List (meaning the species is currently undergoing a listing assessment),</w:t>
      </w:r>
      <w:r w:rsidRPr="000D42B4">
        <w:rPr>
          <w:sz w:val="16"/>
          <w:szCs w:val="16"/>
        </w:rPr>
        <w:t xml:space="preserve"> Mig: Migratory, B: Bonn, C: CAMBA, J: JAMBA, K: ROKAMBA</w:t>
      </w:r>
    </w:p>
    <w:p w14:paraId="788C7E8D" w14:textId="77777777" w:rsidR="000B173B" w:rsidRDefault="000B173B" w:rsidP="000B173B">
      <w:pPr>
        <w:rPr>
          <w:sz w:val="16"/>
          <w:szCs w:val="16"/>
        </w:rPr>
      </w:pPr>
      <w:r w:rsidRPr="00AB0D84">
        <w:rPr>
          <w:sz w:val="16"/>
          <w:szCs w:val="16"/>
        </w:rPr>
        <w:t xml:space="preserve">2: Categorisation criteria are given in </w:t>
      </w:r>
      <w:r w:rsidRPr="001B36C2">
        <w:rPr>
          <w:sz w:val="16"/>
          <w:szCs w:val="16"/>
        </w:rPr>
        <w:t xml:space="preserve">Chapter 12, </w:t>
      </w:r>
      <w:r w:rsidRPr="0085400C">
        <w:rPr>
          <w:sz w:val="16"/>
          <w:szCs w:val="16"/>
        </w:rPr>
        <w:t>Section 12.3</w:t>
      </w:r>
    </w:p>
    <w:p w14:paraId="40DFD84A" w14:textId="77777777" w:rsidR="000B173B" w:rsidRDefault="000B173B" w:rsidP="000B173B">
      <w:pPr>
        <w:rPr>
          <w:sz w:val="16"/>
          <w:szCs w:val="16"/>
        </w:rPr>
      </w:pPr>
      <w:r w:rsidRPr="00B44C8D">
        <w:rPr>
          <w:sz w:val="16"/>
          <w:szCs w:val="16"/>
        </w:rPr>
        <w:t>3: Unless otherwise stated, all distribution information is taken from the species’ profile in the Species Profile and Threats Database</w:t>
      </w:r>
      <w:r>
        <w:rPr>
          <w:sz w:val="16"/>
          <w:szCs w:val="16"/>
        </w:rPr>
        <w:t xml:space="preserve"> </w:t>
      </w:r>
      <w:sdt>
        <w:sdtPr>
          <w:rPr>
            <w:color w:val="000000"/>
            <w:sz w:val="16"/>
            <w:szCs w:val="16"/>
          </w:rPr>
          <w:tag w:val="MENDELEY_CITATION_v3_eyJjaXRhdGlvbklEIjoiTUVOREVMRVlfQ0lUQVRJT05fYzJkOTM5ODUtNGJjNC00YjExLTgxYTQtY2MxZGQxZjRkODIz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334047695"/>
          <w:placeholder>
            <w:docPart w:val="339B7D746526864D922760336FCFE603"/>
          </w:placeholder>
        </w:sdtPr>
        <w:sdtEndPr>
          <w:rPr>
            <w:sz w:val="18"/>
            <w:szCs w:val="20"/>
          </w:rPr>
        </w:sdtEndPr>
        <w:sdtContent>
          <w:r w:rsidRPr="002F46CE">
            <w:rPr>
              <w:color w:val="000000"/>
            </w:rPr>
            <w:t>(DCCEEW, 2022)</w:t>
          </w:r>
        </w:sdtContent>
      </w:sdt>
    </w:p>
    <w:p w14:paraId="66796C77" w14:textId="77777777" w:rsidR="000B173B" w:rsidRDefault="000B173B" w:rsidP="000B173B">
      <w:pPr>
        <w:rPr>
          <w:sz w:val="16"/>
          <w:szCs w:val="16"/>
        </w:rPr>
      </w:pPr>
      <w:r>
        <w:rPr>
          <w:sz w:val="16"/>
          <w:szCs w:val="16"/>
        </w:rPr>
        <w:t xml:space="preserve">4: </w:t>
      </w:r>
      <w:r w:rsidRPr="000D42B4">
        <w:rPr>
          <w:sz w:val="16"/>
          <w:szCs w:val="16"/>
        </w:rPr>
        <w:t>To save space, the follow</w:t>
      </w:r>
      <w:r w:rsidRPr="00F25692">
        <w:rPr>
          <w:sz w:val="16"/>
          <w:szCs w:val="16"/>
        </w:rPr>
        <w:t>ing abbreviations are used: ESP: Ecologically significant proportion of individuals present within Study Area, IH: Important habitat present within Study Area</w:t>
      </w:r>
    </w:p>
    <w:p w14:paraId="5B430C69" w14:textId="77777777" w:rsidR="000B173B" w:rsidRDefault="000B173B" w:rsidP="000B173B">
      <w:pPr>
        <w:tabs>
          <w:tab w:val="clear" w:pos="4962"/>
        </w:tabs>
        <w:spacing w:before="0" w:after="0" w:line="240" w:lineRule="auto"/>
        <w:rPr>
          <w:rFonts w:ascii="Helvetica" w:eastAsia="MS Gothic" w:hAnsi="Helvetica"/>
          <w:b/>
          <w:bCs/>
          <w:caps/>
          <w:spacing w:val="18"/>
          <w:sz w:val="20"/>
        </w:rPr>
        <w:sectPr w:rsidR="000B173B" w:rsidSect="00E10ADB">
          <w:headerReference w:type="even" r:id="rId127"/>
          <w:headerReference w:type="first" r:id="rId128"/>
          <w:pgSz w:w="16840" w:h="11900" w:orient="landscape"/>
          <w:pgMar w:top="1134" w:right="1247" w:bottom="1134" w:left="1247" w:header="708" w:footer="708" w:gutter="0"/>
          <w:pgNumType w:chapStyle="1"/>
          <w:cols w:space="708"/>
          <w:docGrid w:linePitch="360"/>
        </w:sectPr>
      </w:pPr>
    </w:p>
    <w:p w14:paraId="364009A9" w14:textId="77777777" w:rsidR="000B173B" w:rsidRDefault="000B173B" w:rsidP="000B173B">
      <w:pPr>
        <w:pStyle w:val="Heading1"/>
      </w:pPr>
      <w:bookmarkStart w:id="244" w:name="_Toc131154201"/>
      <w:bookmarkStart w:id="245" w:name="_Toc131154388"/>
      <w:r>
        <w:lastRenderedPageBreak/>
        <w:t>Background information for the combined fauna assessment: birds</w:t>
      </w:r>
      <w:bookmarkEnd w:id="244"/>
      <w:bookmarkEnd w:id="245"/>
    </w:p>
    <w:p w14:paraId="51BF795A" w14:textId="77777777" w:rsidR="000B173B" w:rsidRDefault="000B173B" w:rsidP="000B173B">
      <w:r>
        <w:t xml:space="preserve">This attachment provides further information about the eleven bird species addressed in the combined fauna assessment in </w:t>
      </w:r>
      <w:r w:rsidRPr="00592AA5">
        <w:t>Section</w:t>
      </w:r>
      <w:r>
        <w:t xml:space="preserve"> 19.4</w:t>
      </w:r>
      <w:r w:rsidRPr="00592AA5">
        <w:t xml:space="preserve"> of Chapter 19.</w:t>
      </w:r>
      <w:r>
        <w:t xml:space="preserve"> </w:t>
      </w:r>
    </w:p>
    <w:p w14:paraId="399F4D2F" w14:textId="77777777" w:rsidR="000B173B" w:rsidRDefault="000B173B" w:rsidP="000B173B">
      <w:r>
        <w:t>The species are:</w:t>
      </w:r>
    </w:p>
    <w:p w14:paraId="2F60D599" w14:textId="77777777" w:rsidR="000B173B" w:rsidRDefault="000B173B" w:rsidP="000B173B">
      <w:pPr>
        <w:pStyle w:val="Bullet1"/>
      </w:pPr>
      <w:r>
        <w:t>Australasian Bittern (</w:t>
      </w:r>
      <w:r w:rsidRPr="00C970A2">
        <w:rPr>
          <w:i/>
          <w:iCs/>
        </w:rPr>
        <w:t>Botaurus poiciloptilus)</w:t>
      </w:r>
    </w:p>
    <w:p w14:paraId="30EF1A09" w14:textId="77777777" w:rsidR="000B173B" w:rsidRDefault="000B173B" w:rsidP="000B173B">
      <w:pPr>
        <w:pStyle w:val="Bullet1"/>
      </w:pPr>
      <w:r>
        <w:t>Australian Fairy Tern (</w:t>
      </w:r>
      <w:r w:rsidRPr="00C970A2">
        <w:rPr>
          <w:i/>
          <w:iCs/>
        </w:rPr>
        <w:t>Sternula nereis nereis</w:t>
      </w:r>
      <w:r>
        <w:t>)</w:t>
      </w:r>
    </w:p>
    <w:p w14:paraId="5FC6A1BC" w14:textId="77777777" w:rsidR="000B173B" w:rsidRDefault="000B173B" w:rsidP="000B173B">
      <w:pPr>
        <w:pStyle w:val="Bullet1"/>
      </w:pPr>
      <w:r>
        <w:t>Australian Painted Snipe (</w:t>
      </w:r>
      <w:r w:rsidRPr="00C970A2">
        <w:rPr>
          <w:i/>
          <w:iCs/>
        </w:rPr>
        <w:t>Rostratula australis</w:t>
      </w:r>
      <w:r w:rsidRPr="00C970A2">
        <w:t>)</w:t>
      </w:r>
    </w:p>
    <w:p w14:paraId="62379AA9" w14:textId="77777777" w:rsidR="000B173B" w:rsidRDefault="000B173B" w:rsidP="000B173B">
      <w:pPr>
        <w:pStyle w:val="Bullet1"/>
      </w:pPr>
      <w:r>
        <w:t>Curlew Sandpiper (</w:t>
      </w:r>
      <w:r w:rsidRPr="00C970A2">
        <w:rPr>
          <w:i/>
          <w:iCs/>
        </w:rPr>
        <w:t>Calidris ferruginea</w:t>
      </w:r>
      <w:r>
        <w:t>)</w:t>
      </w:r>
    </w:p>
    <w:p w14:paraId="0A353EC8" w14:textId="77777777" w:rsidR="000B173B" w:rsidRDefault="000B173B" w:rsidP="000B173B">
      <w:pPr>
        <w:pStyle w:val="Bullet1"/>
      </w:pPr>
      <w:r>
        <w:t>Eastern Curlew (</w:t>
      </w:r>
      <w:r w:rsidRPr="00C970A2">
        <w:rPr>
          <w:i/>
          <w:iCs/>
        </w:rPr>
        <w:t>Numenius madagascariensis</w:t>
      </w:r>
      <w:r>
        <w:t>)</w:t>
      </w:r>
    </w:p>
    <w:p w14:paraId="37B63C06" w14:textId="77777777" w:rsidR="000B173B" w:rsidRDefault="000B173B" w:rsidP="000B173B">
      <w:pPr>
        <w:pStyle w:val="Bullet1"/>
      </w:pPr>
      <w:r>
        <w:t>Great Knot (</w:t>
      </w:r>
      <w:r w:rsidRPr="00C970A2">
        <w:rPr>
          <w:i/>
          <w:iCs/>
        </w:rPr>
        <w:t>Calidris tenuirostris</w:t>
      </w:r>
      <w:r>
        <w:t>)</w:t>
      </w:r>
    </w:p>
    <w:p w14:paraId="652982F3" w14:textId="77777777" w:rsidR="000B173B" w:rsidRDefault="000B173B" w:rsidP="000B173B">
      <w:pPr>
        <w:pStyle w:val="Bullet1"/>
      </w:pPr>
      <w:r>
        <w:t>Greater Sand Plover (</w:t>
      </w:r>
      <w:r w:rsidRPr="00C970A2">
        <w:rPr>
          <w:i/>
          <w:iCs/>
        </w:rPr>
        <w:t>Charadrius leschenaultia</w:t>
      </w:r>
      <w:r>
        <w:t>)</w:t>
      </w:r>
    </w:p>
    <w:p w14:paraId="04919D24" w14:textId="77777777" w:rsidR="000B173B" w:rsidRDefault="000B173B" w:rsidP="000B173B">
      <w:pPr>
        <w:pStyle w:val="Bullet1"/>
      </w:pPr>
      <w:r>
        <w:t>Lesser Sand Plover (</w:t>
      </w:r>
      <w:r w:rsidRPr="00C970A2">
        <w:rPr>
          <w:i/>
          <w:iCs/>
        </w:rPr>
        <w:t>Charadrius m</w:t>
      </w:r>
      <w:r>
        <w:t>ongolus)</w:t>
      </w:r>
    </w:p>
    <w:p w14:paraId="61462107" w14:textId="77777777" w:rsidR="000B173B" w:rsidRDefault="000B173B" w:rsidP="000B173B">
      <w:pPr>
        <w:pStyle w:val="Bullet1"/>
      </w:pPr>
      <w:r>
        <w:t>Orange-bellied Parrot (</w:t>
      </w:r>
      <w:r w:rsidRPr="00C970A2">
        <w:rPr>
          <w:i/>
          <w:iCs/>
        </w:rPr>
        <w:t>Neophema chrysogaster</w:t>
      </w:r>
      <w:r>
        <w:t>)</w:t>
      </w:r>
    </w:p>
    <w:p w14:paraId="5A6DF729" w14:textId="77777777" w:rsidR="000B173B" w:rsidRDefault="000B173B" w:rsidP="000B173B">
      <w:pPr>
        <w:pStyle w:val="Bullet1"/>
      </w:pPr>
      <w:r>
        <w:t>Red Knot (</w:t>
      </w:r>
      <w:r w:rsidRPr="00C970A2">
        <w:rPr>
          <w:i/>
          <w:iCs/>
        </w:rPr>
        <w:t>Calidris canutus</w:t>
      </w:r>
      <w:r>
        <w:t>)</w:t>
      </w:r>
    </w:p>
    <w:p w14:paraId="47AFD622" w14:textId="77777777" w:rsidR="000B173B" w:rsidRDefault="000B173B" w:rsidP="000B173B">
      <w:pPr>
        <w:pStyle w:val="Bullet1"/>
      </w:pPr>
      <w:r>
        <w:t>Western Alaskan Bar-tailed Godwit (</w:t>
      </w:r>
      <w:r w:rsidRPr="00C970A2">
        <w:rPr>
          <w:i/>
          <w:iCs/>
        </w:rPr>
        <w:t>Limosa lapponica baueri</w:t>
      </w:r>
      <w:r>
        <w:t>)</w:t>
      </w:r>
    </w:p>
    <w:p w14:paraId="3FB6A1F4" w14:textId="77777777" w:rsidR="000B173B" w:rsidRDefault="000B173B" w:rsidP="000B173B">
      <w:r>
        <w:t>The following information is provided for each species:</w:t>
      </w:r>
    </w:p>
    <w:p w14:paraId="5C6FF20B" w14:textId="77777777" w:rsidR="000B173B" w:rsidRDefault="000B173B" w:rsidP="000B173B">
      <w:pPr>
        <w:pStyle w:val="Bullet1"/>
      </w:pPr>
      <w:r>
        <w:t>Species background, including the species’ ecology, distribution, habitat, populations, and threats</w:t>
      </w:r>
    </w:p>
    <w:p w14:paraId="4DA5791F" w14:textId="77777777" w:rsidR="000B173B" w:rsidRDefault="000B173B" w:rsidP="000B173B">
      <w:pPr>
        <w:pStyle w:val="Bullet1"/>
      </w:pPr>
      <w:r>
        <w:t>A detailed description of the species’ occurrence in the Study Area</w:t>
      </w:r>
    </w:p>
    <w:p w14:paraId="60246E08" w14:textId="77777777" w:rsidR="000B173B" w:rsidRDefault="000B173B" w:rsidP="000B173B">
      <w:pPr>
        <w:pStyle w:val="Bullet1"/>
      </w:pPr>
      <w:r>
        <w:t>Identification and description of each of the relevant potential indirect impacts to each species due to development under the Plan</w:t>
      </w:r>
    </w:p>
    <w:p w14:paraId="709E0597" w14:textId="77777777" w:rsidR="000B173B" w:rsidRDefault="000B173B" w:rsidP="000B173B">
      <w:pPr>
        <w:pStyle w:val="Bullet1"/>
      </w:pPr>
      <w:r>
        <w:t>An assessment of consistency of the Plan with the species’ Recovery Plan</w:t>
      </w:r>
    </w:p>
    <w:p w14:paraId="79496624" w14:textId="77777777" w:rsidR="000B173B" w:rsidRPr="007423A9" w:rsidRDefault="000B173B" w:rsidP="000B173B">
      <w:pPr>
        <w:pStyle w:val="Bullet1"/>
      </w:pPr>
      <w:r>
        <w:t>Identification of relevant Key Threatening Processes and Threat Abatement Plans for each species</w:t>
      </w:r>
    </w:p>
    <w:p w14:paraId="0FE06FB0" w14:textId="77777777" w:rsidR="000B173B" w:rsidRDefault="000B173B" w:rsidP="000B173B">
      <w:pPr>
        <w:tabs>
          <w:tab w:val="clear" w:pos="4962"/>
        </w:tabs>
        <w:spacing w:before="0" w:after="0" w:line="240" w:lineRule="auto"/>
        <w:rPr>
          <w:rFonts w:ascii="Helvetica" w:eastAsia="MS Gothic" w:hAnsi="Helvetica"/>
          <w:b/>
          <w:bCs/>
          <w:caps/>
          <w:spacing w:val="18"/>
          <w:sz w:val="20"/>
        </w:rPr>
      </w:pPr>
      <w:r>
        <w:br w:type="page"/>
      </w:r>
    </w:p>
    <w:p w14:paraId="3029691D" w14:textId="77777777" w:rsidR="000B173B" w:rsidRPr="00297975" w:rsidRDefault="000B173B" w:rsidP="000B173B">
      <w:pPr>
        <w:pStyle w:val="Heading2"/>
        <w:numPr>
          <w:ilvl w:val="0"/>
          <w:numId w:val="0"/>
        </w:numPr>
        <w:ind w:left="576" w:hanging="576"/>
      </w:pPr>
      <w:bookmarkStart w:id="246" w:name="_Toc131154202"/>
      <w:bookmarkStart w:id="247" w:name="_Toc131154389"/>
      <w:r>
        <w:lastRenderedPageBreak/>
        <w:t xml:space="preserve">Australasian Bittern </w:t>
      </w:r>
      <w:r w:rsidRPr="00A979B0">
        <w:rPr>
          <w:i/>
          <w:iCs/>
        </w:rPr>
        <w:t>(Botaurus poiciloptilus)</w:t>
      </w:r>
      <w:bookmarkEnd w:id="246"/>
      <w:bookmarkEnd w:id="247"/>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33EF1C2A" w14:textId="77777777" w:rsidTr="00A15226">
        <w:trPr>
          <w:tblHeader/>
        </w:trPr>
        <w:tc>
          <w:tcPr>
            <w:tcW w:w="9747" w:type="dxa"/>
            <w:shd w:val="clear" w:color="auto" w:fill="D9D9D9" w:themeFill="background1" w:themeFillShade="D9"/>
            <w:vAlign w:val="center"/>
          </w:tcPr>
          <w:p w14:paraId="3FB23D86"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771852F8"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7F140E1A" w14:textId="77777777" w:rsidTr="00A15226">
        <w:tc>
          <w:tcPr>
            <w:tcW w:w="1526" w:type="dxa"/>
            <w:vAlign w:val="center"/>
          </w:tcPr>
          <w:p w14:paraId="7B33DA8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0F5305D9" w14:textId="77777777" w:rsidR="000B173B" w:rsidRPr="00080D02" w:rsidRDefault="000B173B" w:rsidP="00A15226">
            <w:pPr>
              <w:pStyle w:val="Tabletext"/>
            </w:pPr>
            <w:r w:rsidRPr="00080D02">
              <w:t>Endangered</w:t>
            </w:r>
          </w:p>
        </w:tc>
      </w:tr>
      <w:tr w:rsidR="000B173B" w:rsidRPr="000816D6" w14:paraId="2C082F1F" w14:textId="77777777" w:rsidTr="00A15226">
        <w:tc>
          <w:tcPr>
            <w:tcW w:w="1526" w:type="dxa"/>
            <w:vAlign w:val="center"/>
          </w:tcPr>
          <w:p w14:paraId="3F6DE518"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75FAA7E7" w14:textId="77777777" w:rsidR="000B173B" w:rsidRPr="00080D02" w:rsidRDefault="000B173B" w:rsidP="00A15226">
            <w:pPr>
              <w:pStyle w:val="Tabletext"/>
            </w:pPr>
            <w:r w:rsidRPr="00080D02">
              <w:rPr>
                <w:bCs/>
                <w:i/>
              </w:rPr>
              <w:t xml:space="preserve">Botaurus poiciloptilus </w:t>
            </w:r>
            <w:r w:rsidRPr="00080D02">
              <w:rPr>
                <w:bCs/>
                <w:iCs/>
              </w:rPr>
              <w:t>(Australasian Bittern)</w:t>
            </w:r>
            <w:r w:rsidRPr="00080D02">
              <w:t xml:space="preserve"> is a large heron-like bird. It has mottled brown, dark brown to black feathers, a straw-yellow bill and pale green to olive legs. The average male weighs 1.4 kg and the average female weighs 0.9 kg </w:t>
            </w:r>
            <w:sdt>
              <w:sdtPr>
                <w:rPr>
                  <w:color w:val="000000"/>
                </w:rPr>
                <w:tag w:val="MENDELEY_CITATION_v3_eyJjaXRhdGlvbklEIjoiTUVOREVMRVlfQ0lUQVRJT05fMTkwNTExNmEtZDcxZi00ZmZiLTgwNDEtZTU1N2RmZGVkOGRl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282010331"/>
                <w:placeholder>
                  <w:docPart w:val="7A87483195E49548AABB39FF484A13FE"/>
                </w:placeholder>
              </w:sdtPr>
              <w:sdtContent>
                <w:r w:rsidRPr="002F46CE">
                  <w:rPr>
                    <w:color w:val="000000"/>
                  </w:rPr>
                  <w:t>(TSSC, 2019a)</w:t>
                </w:r>
              </w:sdtContent>
            </w:sdt>
            <w:r w:rsidRPr="00080D02">
              <w:t>.</w:t>
            </w:r>
          </w:p>
        </w:tc>
      </w:tr>
      <w:tr w:rsidR="000B173B" w:rsidRPr="000816D6" w14:paraId="4D6F59A2" w14:textId="77777777" w:rsidTr="00A15226">
        <w:tc>
          <w:tcPr>
            <w:tcW w:w="1526" w:type="dxa"/>
            <w:vAlign w:val="center"/>
          </w:tcPr>
          <w:p w14:paraId="510488CF"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36015128" w14:textId="77777777" w:rsidR="000B173B" w:rsidRDefault="000B173B" w:rsidP="00A15226">
            <w:pPr>
              <w:pStyle w:val="Tabletext"/>
            </w:pPr>
            <w:r w:rsidRPr="00080D02">
              <w:t>Breeding occurs from October to February. Females usually lay four to five olive-brown eggs. Nests are built on a bed of reeds in densely</w:t>
            </w:r>
            <w:r>
              <w:t xml:space="preserve"> </w:t>
            </w:r>
            <w:r w:rsidRPr="00080D02">
              <w:t>vegetated wetlands and placed about 30 cm above the water level</w:t>
            </w:r>
            <w:r>
              <w:t>. The species is territorial, and several females will nest within a single male’s territory</w:t>
            </w:r>
            <w:r w:rsidRPr="00080D02">
              <w:t xml:space="preserve"> </w:t>
            </w:r>
            <w:sdt>
              <w:sdtPr>
                <w:rPr>
                  <w:color w:val="000000"/>
                </w:rPr>
                <w:tag w:val="MENDELEY_CITATION_v3_eyJjaXRhdGlvbklEIjoiTUVOREVMRVlfQ0lUQVRJT05fMmZlMTI5MjgtZDNkZi00Njk3LWJkMTItY2Q1NDcyNmJhYzUy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250894306"/>
                <w:placeholder>
                  <w:docPart w:val="7A87483195E49548AABB39FF484A13FE"/>
                </w:placeholder>
              </w:sdtPr>
              <w:sdtContent>
                <w:r w:rsidRPr="002F46CE">
                  <w:rPr>
                    <w:color w:val="000000"/>
                  </w:rPr>
                  <w:t>(TSSC, 2019a)</w:t>
                </w:r>
              </w:sdtContent>
            </w:sdt>
            <w:r w:rsidRPr="00080D02">
              <w:t>.</w:t>
            </w:r>
            <w:r>
              <w:t xml:space="preserve"> </w:t>
            </w:r>
          </w:p>
          <w:p w14:paraId="6B932AD8" w14:textId="77777777" w:rsidR="000B173B" w:rsidRPr="00080D02" w:rsidRDefault="000B173B" w:rsidP="00A15226">
            <w:pPr>
              <w:pStyle w:val="Tabletext"/>
            </w:pPr>
            <w:r>
              <w:t>The age of maturity is estimated to be one year, and life expectancy is thought to be around 11 years. Generation length is approximately 5.5 years. These figures are based on data for the Eurasian Bittern (</w:t>
            </w:r>
            <w:r>
              <w:rPr>
                <w:i/>
                <w:iCs/>
              </w:rPr>
              <w:t>Botaurus stellaris</w:t>
            </w:r>
            <w:r>
              <w:t xml:space="preserve">) </w:t>
            </w:r>
            <w:sdt>
              <w:sdtPr>
                <w:rPr>
                  <w:color w:val="000000"/>
                </w:rPr>
                <w:tag w:val="MENDELEY_CITATION_v3_eyJjaXRhdGlvbklEIjoiTUVOREVMRVlfQ0lUQVRJT05fOGI1ZGNiZmMtNmRjNy00MmNhLTlmODEtMDNhZTIyN2UzYTI0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429850492"/>
                <w:placeholder>
                  <w:docPart w:val="7A87483195E49548AABB39FF484A13FE"/>
                </w:placeholder>
              </w:sdtPr>
              <w:sdtContent>
                <w:r w:rsidRPr="002F46CE">
                  <w:rPr>
                    <w:color w:val="000000"/>
                  </w:rPr>
                  <w:t>(TSSC, 2019a)</w:t>
                </w:r>
              </w:sdtContent>
            </w:sdt>
            <w:r w:rsidRPr="00080D02">
              <w:t>.</w:t>
            </w:r>
          </w:p>
          <w:p w14:paraId="07DF8CF8" w14:textId="77777777" w:rsidR="000B173B" w:rsidRPr="00080D02" w:rsidRDefault="000B173B" w:rsidP="00A15226">
            <w:pPr>
              <w:pStyle w:val="Tabletext"/>
            </w:pPr>
            <w:r>
              <w:t>The species f</w:t>
            </w:r>
            <w:r w:rsidRPr="00080D02">
              <w:t xml:space="preserve">eeds mainly at night on fish, eels, frogs, freshwater crayfish and aquatic insects </w:t>
            </w:r>
            <w:sdt>
              <w:sdtPr>
                <w:rPr>
                  <w:color w:val="000000"/>
                </w:rPr>
                <w:tag w:val="MENDELEY_CITATION_v3_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"/>
                <w:id w:val="-1578515454"/>
                <w:placeholder>
                  <w:docPart w:val="7A87483195E49548AABB39FF484A13FE"/>
                </w:placeholder>
              </w:sdtPr>
              <w:sdtContent>
                <w:r w:rsidRPr="002F46CE">
                  <w:rPr>
                    <w:color w:val="000000"/>
                  </w:rPr>
                  <w:t>(Garnett, Szabo and Dutson, 2011)</w:t>
                </w:r>
              </w:sdtContent>
            </w:sdt>
            <w:r w:rsidRPr="00080D02">
              <w:t>.</w:t>
            </w:r>
          </w:p>
          <w:p w14:paraId="262FBA2C" w14:textId="77777777" w:rsidR="000B173B" w:rsidRDefault="000B173B" w:rsidP="00A15226">
            <w:pPr>
              <w:pStyle w:val="Tabletext"/>
            </w:pPr>
            <w:r w:rsidRPr="00080D02">
              <w:t xml:space="preserve">The species is mainly solitary but has been seen in pairs or groups of up to 12 birds </w:t>
            </w:r>
            <w:sdt>
              <w:sdtPr>
                <w:rPr>
                  <w:color w:val="000000"/>
                </w:rPr>
                <w:tag w:val="MENDELEY_CITATION_v3_eyJjaXRhdGlvbklEIjoiTUVOREVMRVlfQ0lUQVRJT05fNGZkMDQ5ZjYtMDUxNi00MGVkLWE3MTMtN2Q1YjIxM2QzYzc5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2135012938"/>
                <w:placeholder>
                  <w:docPart w:val="7A87483195E49548AABB39FF484A13FE"/>
                </w:placeholder>
              </w:sdtPr>
              <w:sdtContent>
                <w:r w:rsidRPr="002F46CE">
                  <w:rPr>
                    <w:color w:val="000000"/>
                  </w:rPr>
                  <w:t>(TSSC, 2019a)</w:t>
                </w:r>
              </w:sdtContent>
            </w:sdt>
            <w:r w:rsidRPr="00080D02">
              <w:t>.</w:t>
            </w:r>
            <w:r>
              <w:t xml:space="preserve"> </w:t>
            </w:r>
          </w:p>
          <w:p w14:paraId="1005E6AE" w14:textId="77777777" w:rsidR="000B173B" w:rsidRPr="00080D02" w:rsidRDefault="000B173B" w:rsidP="00A15226">
            <w:pPr>
              <w:pStyle w:val="Tabletext"/>
            </w:pPr>
            <w:r>
              <w:t xml:space="preserve">The species was previously thought to be largely sedentary, although more recent tracking studies have shown movements over hundreds of kilometres between wetlands in south-eastern Australia. The species appears to be capable of moving between habitats as suitability changes with flooding and drying patterns </w:t>
            </w:r>
            <w:sdt>
              <w:sdtPr>
                <w:rPr>
                  <w:color w:val="000000"/>
                </w:rPr>
                <w:tag w:val="MENDELEY_CITATION_v3_eyJjaXRhdGlvbklEIjoiTUVOREVMRVlfQ0lUQVRJT05fM2E5Yzk3NDEtYjQ5YS00N2FiLTlmM2UtYzQzYzhlMDE3NjM5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780417704"/>
                <w:placeholder>
                  <w:docPart w:val="7A87483195E49548AABB39FF484A13FE"/>
                </w:placeholder>
              </w:sdtPr>
              <w:sdtContent>
                <w:r w:rsidRPr="002F46CE">
                  <w:rPr>
                    <w:color w:val="000000"/>
                  </w:rPr>
                  <w:t>(TSSC, 2019a)</w:t>
                </w:r>
              </w:sdtContent>
            </w:sdt>
            <w:r w:rsidRPr="00080D02">
              <w:t>.</w:t>
            </w:r>
            <w:r>
              <w:t xml:space="preserve"> </w:t>
            </w:r>
          </w:p>
        </w:tc>
      </w:tr>
      <w:tr w:rsidR="000B173B" w:rsidRPr="000816D6" w14:paraId="713F04C4" w14:textId="77777777" w:rsidTr="00A15226">
        <w:tc>
          <w:tcPr>
            <w:tcW w:w="1526" w:type="dxa"/>
            <w:vAlign w:val="center"/>
          </w:tcPr>
          <w:p w14:paraId="43CE6D1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613B47D8" w14:textId="77777777" w:rsidR="000B173B" w:rsidRPr="00080D02" w:rsidRDefault="000B173B" w:rsidP="00A15226">
            <w:pPr>
              <w:pStyle w:val="Tabletext"/>
            </w:pPr>
            <w:r w:rsidRPr="00080D02">
              <w:t>The Australasian Bittern occurs in New Zealand, New Caledonia, and Australia. In Australia the species occurs in south-eastern Australia: throughout Tasmania, south</w:t>
            </w:r>
            <w:r>
              <w:t>-</w:t>
            </w:r>
            <w:r w:rsidRPr="00080D02">
              <w:t xml:space="preserve">east of South Australia, </w:t>
            </w:r>
            <w:r>
              <w:t xml:space="preserve">through </w:t>
            </w:r>
            <w:r w:rsidRPr="00080D02">
              <w:t>Victoria</w:t>
            </w:r>
            <w:r>
              <w:t xml:space="preserve"> and </w:t>
            </w:r>
            <w:r w:rsidRPr="00080D02">
              <w:t>NSW (excluding the north</w:t>
            </w:r>
            <w:r>
              <w:t>-</w:t>
            </w:r>
            <w:r w:rsidRPr="00080D02">
              <w:t xml:space="preserve">west), and up to Yeppoon in Queensland. It also occurs in the south-west of Western Australia between Moora and Cape Arid </w:t>
            </w:r>
            <w:sdt>
              <w:sdtPr>
                <w:rPr>
                  <w:color w:val="000000"/>
                </w:rPr>
                <w:tag w:val="MENDELEY_CITATION_v3_eyJjaXRhdGlvbklEIjoiTUVOREVMRVlfQ0lUQVRJT05fNDE0MjEzODItMDM2Ni00YzgwLWE1MGYtYjFkZjgwNTBiOTMz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2121411655"/>
                <w:placeholder>
                  <w:docPart w:val="7A87483195E49548AABB39FF484A13FE"/>
                </w:placeholder>
              </w:sdtPr>
              <w:sdtContent>
                <w:r w:rsidRPr="002F46CE">
                  <w:rPr>
                    <w:color w:val="000000"/>
                  </w:rPr>
                  <w:t>(TSSC, 2019a)</w:t>
                </w:r>
              </w:sdtContent>
            </w:sdt>
            <w:r w:rsidRPr="00080D02">
              <w:t xml:space="preserve">. </w:t>
            </w:r>
          </w:p>
          <w:p w14:paraId="3A40106C" w14:textId="77777777" w:rsidR="000B173B" w:rsidRDefault="000B173B" w:rsidP="00A15226">
            <w:pPr>
              <w:pStyle w:val="Tabletext"/>
            </w:pPr>
            <w:r w:rsidRPr="00080D02">
              <w:t xml:space="preserve">In </w:t>
            </w:r>
            <w:r>
              <w:t xml:space="preserve">Victoria, the species is recorded mostly in the southern coastal areas and in the Murray River region of central northern Victoria </w:t>
            </w:r>
            <w:sdt>
              <w:sdtPr>
                <w:rPr>
                  <w:color w:val="000000"/>
                </w:rPr>
                <w:tag w:val="MENDELEY_CITATION_v3_eyJjaXRhdGlvbklEIjoiTUVOREVMRVlfQ0lUQVRJT05fMGMwOWQ0ZGYtYmYxNS00OGRmLWIxOTctNmRkMTUwNTI5Y2M2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809082587"/>
                <w:placeholder>
                  <w:docPart w:val="7A87483195E49548AABB39FF484A13FE"/>
                </w:placeholder>
              </w:sdtPr>
              <w:sdtContent>
                <w:r w:rsidRPr="002F46CE">
                  <w:rPr>
                    <w:color w:val="000000"/>
                  </w:rPr>
                  <w:t>(TSSC, 2019a)</w:t>
                </w:r>
              </w:sdtContent>
            </w:sdt>
            <w:r w:rsidRPr="000172F8">
              <w:t xml:space="preserve">. </w:t>
            </w:r>
            <w:r>
              <w:t>In 2011, the</w:t>
            </w:r>
            <w:r w:rsidRPr="000172F8">
              <w:t xml:space="preserve"> area of occupancy in Australia </w:t>
            </w:r>
            <w:r>
              <w:t>was</w:t>
            </w:r>
            <w:r w:rsidRPr="000172F8">
              <w:t xml:space="preserve"> estimated to be 1,150 km</w:t>
            </w:r>
            <w:r w:rsidRPr="000172F8">
              <w:rPr>
                <w:vertAlign w:val="superscript"/>
              </w:rPr>
              <w:t>2</w:t>
            </w:r>
            <w:r w:rsidRPr="000172F8">
              <w:t xml:space="preserve"> </w:t>
            </w:r>
            <w:sdt>
              <w:sdtPr>
                <w:rPr>
                  <w:color w:val="000000"/>
                </w:rPr>
                <w:tag w:val="MENDELEY_CITATION_v3_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"/>
                <w:id w:val="1985817977"/>
                <w:placeholder>
                  <w:docPart w:val="7A87483195E49548AABB39FF484A13FE"/>
                </w:placeholder>
              </w:sdtPr>
              <w:sdtContent>
                <w:r w:rsidRPr="002F46CE">
                  <w:rPr>
                    <w:color w:val="000000"/>
                  </w:rPr>
                  <w:t>(TSSC, 2011a)</w:t>
                </w:r>
              </w:sdtContent>
            </w:sdt>
            <w:r w:rsidRPr="000172F8">
              <w:t>.</w:t>
            </w:r>
            <w:r>
              <w:t xml:space="preserve"> The area of occupancy is thought to have declined by 70 per cent from 1977 to 2008 </w:t>
            </w:r>
            <w:sdt>
              <w:sdtPr>
                <w:rPr>
                  <w:color w:val="000000"/>
                </w:rPr>
                <w:tag w:val="MENDELEY_CITATION_v3_eyJjaXRhdGlvbklEIjoiTUVOREVMRVlfQ0lUQVRJT05fNGQ4YTkyNGMtNDU2Ny00MzdmLWIwZjktMzYwOWFhM2ZjZDAw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336231895"/>
                <w:placeholder>
                  <w:docPart w:val="7A87483195E49548AABB39FF484A13FE"/>
                </w:placeholder>
              </w:sdtPr>
              <w:sdtContent>
                <w:r w:rsidRPr="002F46CE">
                  <w:rPr>
                    <w:color w:val="000000"/>
                  </w:rPr>
                  <w:t>(TSSC, 2019a)</w:t>
                </w:r>
              </w:sdtContent>
            </w:sdt>
            <w:r w:rsidRPr="000172F8">
              <w:t>.</w:t>
            </w:r>
          </w:p>
          <w:p w14:paraId="46C2C8BD" w14:textId="77777777" w:rsidR="000B173B" w:rsidRPr="00080D02" w:rsidRDefault="000B173B" w:rsidP="00A15226">
            <w:pPr>
              <w:pStyle w:val="Tabletext"/>
            </w:pPr>
            <w:r>
              <w:t xml:space="preserve">The species occurs mainly in freshwater wetlands, and more rarely in estuaries or tidal environments. Wetlands with tall, dense vegetation are favoured, particularly those dominated by sedges, rushes and reeds or cutting grass growing over muddy or peaty substrates. Foraging occurs in still, shallow water, often at the edges of pools or waterways. Foraging can also occur from vegetation platforms over deeper water </w:t>
            </w:r>
            <w:sdt>
              <w:sdtPr>
                <w:rPr>
                  <w:color w:val="000000"/>
                </w:rPr>
                <w:tag w:val="MENDELEY_CITATION_v3_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"/>
                <w:id w:val="-773325104"/>
                <w:placeholder>
                  <w:docPart w:val="7A87483195E49548AABB39FF484A13FE"/>
                </w:placeholder>
              </w:sdtPr>
              <w:sdtContent>
                <w:r w:rsidRPr="002F46CE">
                  <w:rPr>
                    <w:color w:val="000000"/>
                  </w:rPr>
                  <w:t>(TSSC, 2011a)</w:t>
                </w:r>
              </w:sdtContent>
            </w:sdt>
            <w:r w:rsidRPr="000172F8">
              <w:t>.</w:t>
            </w:r>
          </w:p>
          <w:p w14:paraId="399BDBC5" w14:textId="77777777" w:rsidR="000B173B" w:rsidRPr="00080D02" w:rsidRDefault="000B173B" w:rsidP="00A15226">
            <w:pPr>
              <w:pStyle w:val="Tabletext"/>
            </w:pPr>
            <w:r w:rsidRPr="00080D02">
              <w:t xml:space="preserve">The species moves between habitats as suitability changes and has been observed to use coastal wetlands during periods of drought and ephemeral wetlands when wet </w:t>
            </w:r>
            <w:sdt>
              <w:sdtPr>
                <w:rPr>
                  <w:color w:val="000000"/>
                </w:rPr>
                <w:tag w:val="MENDELEY_CITATION_v3_eyJjaXRhdGlvbklEIjoiTUVOREVMRVlfQ0lUQVRJT05fZTEzM2JkMDktZTUyMS00MDExLTkxYTAtYWNlZGZjNzc2MzE0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2094082487"/>
                <w:placeholder>
                  <w:docPart w:val="7A87483195E49548AABB39FF484A13FE"/>
                </w:placeholder>
              </w:sdtPr>
              <w:sdtContent>
                <w:r w:rsidRPr="002F46CE">
                  <w:rPr>
                    <w:color w:val="000000"/>
                  </w:rPr>
                  <w:t>(TSSC, 2019a)</w:t>
                </w:r>
              </w:sdtContent>
            </w:sdt>
            <w:r w:rsidRPr="00080D02">
              <w:t>.</w:t>
            </w:r>
          </w:p>
          <w:p w14:paraId="2B4AD7A1" w14:textId="77777777" w:rsidR="000B173B" w:rsidRPr="00080D02" w:rsidRDefault="000B173B" w:rsidP="00A15226">
            <w:pPr>
              <w:pStyle w:val="Tabletext"/>
            </w:pPr>
            <w:r w:rsidRPr="00080D02">
              <w:t xml:space="preserve">All natural habitat where the species is known or likely to occur is considered habitat critical to the survival of the species </w:t>
            </w:r>
            <w:sdt>
              <w:sdtPr>
                <w:rPr>
                  <w:color w:val="000000"/>
                </w:rPr>
                <w:tag w:val="MENDELEY_CITATION_v3_eyJjaXRhdGlvbklEIjoiTUVOREVMRVlfQ0lUQVRJT05fYWQ4MmEwYzktYTI4Yy00Yjc2LWIzYzAtYTFhMDQ4NDgzODNm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995771479"/>
                <w:placeholder>
                  <w:docPart w:val="7A87483195E49548AABB39FF484A13FE"/>
                </w:placeholder>
              </w:sdtPr>
              <w:sdtContent>
                <w:r w:rsidRPr="002F46CE">
                  <w:rPr>
                    <w:color w:val="000000"/>
                  </w:rPr>
                  <w:t>(TSSC, 2019a)</w:t>
                </w:r>
              </w:sdtContent>
            </w:sdt>
            <w:r w:rsidRPr="00080D02">
              <w:t>.</w:t>
            </w:r>
          </w:p>
        </w:tc>
      </w:tr>
      <w:tr w:rsidR="000B173B" w:rsidRPr="000816D6" w14:paraId="6056019E" w14:textId="77777777" w:rsidTr="00A15226">
        <w:tc>
          <w:tcPr>
            <w:tcW w:w="1526" w:type="dxa"/>
            <w:vAlign w:val="center"/>
          </w:tcPr>
          <w:p w14:paraId="19A6C5C5"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2DFDE611" w14:textId="77777777" w:rsidR="000B173B" w:rsidRDefault="000B173B" w:rsidP="00A15226">
            <w:pPr>
              <w:pStyle w:val="Tabletext"/>
            </w:pPr>
            <w:r w:rsidRPr="00080D02">
              <w:t xml:space="preserve">The Australasian Bittern occurs as two sub-populations: one in south-eastern Australia and the other in south-western Australia </w:t>
            </w:r>
            <w:sdt>
              <w:sdtPr>
                <w:rPr>
                  <w:color w:val="000000"/>
                </w:rPr>
                <w:tag w:val="MENDELEY_CITATION_v3_eyJjaXRhdGlvbklEIjoiTUVOREVMRVlfQ0lUQVRJT05fM2MxODhkMGYtMGJhMi00N2FhLWI4YTUtMDdlMjM5MWU2YmFh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242302709"/>
                <w:placeholder>
                  <w:docPart w:val="7A87483195E49548AABB39FF484A13FE"/>
                </w:placeholder>
              </w:sdtPr>
              <w:sdtContent>
                <w:r w:rsidRPr="002F46CE">
                  <w:rPr>
                    <w:color w:val="000000"/>
                  </w:rPr>
                  <w:t>(TSSC, 2019a)</w:t>
                </w:r>
              </w:sdtContent>
            </w:sdt>
            <w:r w:rsidRPr="00080D02">
              <w:t>.</w:t>
            </w:r>
            <w:r>
              <w:t xml:space="preserve"> In 2011, the</w:t>
            </w:r>
            <w:r w:rsidRPr="00080D02">
              <w:t xml:space="preserve"> total Australian population </w:t>
            </w:r>
            <w:r>
              <w:t>was</w:t>
            </w:r>
            <w:r w:rsidRPr="00080D02">
              <w:t xml:space="preserve"> estimated at 1,000 mature individuals </w:t>
            </w:r>
            <w:sdt>
              <w:sdtPr>
                <w:rPr>
                  <w:color w:val="000000"/>
                </w:rPr>
                <w:tag w:val="MENDELEY_CITATION_v3_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"/>
                <w:id w:val="725870825"/>
                <w:placeholder>
                  <w:docPart w:val="7A87483195E49548AABB39FF484A13FE"/>
                </w:placeholder>
              </w:sdtPr>
              <w:sdtContent>
                <w:r w:rsidRPr="002F46CE">
                  <w:rPr>
                    <w:color w:val="000000"/>
                  </w:rPr>
                  <w:t>(Garnett, Szabo and Dutson, 2011)</w:t>
                </w:r>
              </w:sdtContent>
            </w:sdt>
          </w:p>
          <w:p w14:paraId="006FE94E" w14:textId="77777777" w:rsidR="000B173B" w:rsidRPr="00080D02" w:rsidRDefault="000B173B" w:rsidP="00A15226">
            <w:pPr>
              <w:pStyle w:val="Tabletext"/>
            </w:pPr>
            <w:r>
              <w:t xml:space="preserve">Given the small total number of individuals and observed declines, all populations of the species should be considered important </w:t>
            </w:r>
            <w:sdt>
              <w:sdtPr>
                <w:rPr>
                  <w:color w:val="000000"/>
                </w:rPr>
                <w:tag w:val="MENDELEY_CITATION_v3_eyJjaXRhdGlvbklEIjoiTUVOREVMRVlfQ0lUQVRJT05fZjA3MTRlZDYtYWVjOC00NzdjLWEyZDgtYjViZDY4ZWY4Y2Qw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128196518"/>
                <w:placeholder>
                  <w:docPart w:val="7A87483195E49548AABB39FF484A13FE"/>
                </w:placeholder>
              </w:sdtPr>
              <w:sdtContent>
                <w:r w:rsidRPr="002F46CE">
                  <w:rPr>
                    <w:color w:val="000000"/>
                  </w:rPr>
                  <w:t>(TSSC, 2019a)</w:t>
                </w:r>
              </w:sdtContent>
            </w:sdt>
            <w:r w:rsidRPr="00080D02">
              <w:t>.</w:t>
            </w:r>
          </w:p>
        </w:tc>
      </w:tr>
      <w:tr w:rsidR="000B173B" w:rsidRPr="002F23FB" w14:paraId="7F9CFD89" w14:textId="77777777" w:rsidTr="00A15226">
        <w:tc>
          <w:tcPr>
            <w:tcW w:w="1526" w:type="dxa"/>
            <w:vAlign w:val="center"/>
          </w:tcPr>
          <w:p w14:paraId="5E88F1A6"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46AB5E26" w14:textId="77777777" w:rsidR="000B173B" w:rsidRPr="00080D02" w:rsidRDefault="000B173B" w:rsidP="00A15226">
            <w:pPr>
              <w:pStyle w:val="Tabletext"/>
            </w:pPr>
            <w:r w:rsidRPr="00080D02">
              <w:t>The species Conservation Advice identified the following threats</w:t>
            </w:r>
            <w:r>
              <w:t xml:space="preserve"> </w:t>
            </w:r>
            <w:sdt>
              <w:sdtPr>
                <w:rPr>
                  <w:color w:val="000000"/>
                </w:rPr>
                <w:tag w:val="MENDELEY_CITATION_v3_eyJjaXRhdGlvbklEIjoiTUVOREVMRVlfQ0lUQVRJT05fZjY3Yzg4YTItOTQzYy00NTEwLWJmMDktN2Y4NzNjZDJlMTdh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639922162"/>
                <w:placeholder>
                  <w:docPart w:val="7A87483195E49548AABB39FF484A13FE"/>
                </w:placeholder>
              </w:sdtPr>
              <w:sdtContent>
                <w:r w:rsidRPr="002F46CE">
                  <w:rPr>
                    <w:color w:val="000000"/>
                  </w:rPr>
                  <w:t>(TSSC, 2019a)</w:t>
                </w:r>
              </w:sdtContent>
            </w:sdt>
            <w:r w:rsidRPr="00080D02">
              <w:t>:</w:t>
            </w:r>
          </w:p>
          <w:p w14:paraId="3747A069" w14:textId="77777777" w:rsidR="000B173B" w:rsidRDefault="000B173B" w:rsidP="00A15226">
            <w:pPr>
              <w:pStyle w:val="Bullet1"/>
            </w:pPr>
            <w:r w:rsidRPr="00080D02">
              <w:t>Habitat loss, including</w:t>
            </w:r>
            <w:r>
              <w:t>:</w:t>
            </w:r>
            <w:r w:rsidRPr="00080D02">
              <w:t xml:space="preserve"> </w:t>
            </w:r>
          </w:p>
          <w:p w14:paraId="51E1B65C" w14:textId="77777777" w:rsidR="000B173B" w:rsidRDefault="000B173B" w:rsidP="00A15226">
            <w:pPr>
              <w:pStyle w:val="Bullet2"/>
            </w:pPr>
            <w:r>
              <w:t>W</w:t>
            </w:r>
            <w:r w:rsidRPr="00080D02">
              <w:t>ater reduction</w:t>
            </w:r>
          </w:p>
          <w:p w14:paraId="5B1DB592" w14:textId="77777777" w:rsidR="000B173B" w:rsidRPr="00080D02" w:rsidRDefault="000B173B" w:rsidP="00A15226">
            <w:pPr>
              <w:pStyle w:val="Bullet2"/>
            </w:pPr>
            <w:r>
              <w:t>T</w:t>
            </w:r>
            <w:r w:rsidRPr="00080D02">
              <w:t>ransitions from ponded rice to other farming systems</w:t>
            </w:r>
          </w:p>
          <w:p w14:paraId="1DCB8D30" w14:textId="77777777" w:rsidR="000B173B" w:rsidRDefault="000B173B" w:rsidP="00A15226">
            <w:pPr>
              <w:pStyle w:val="Bullet1"/>
            </w:pPr>
            <w:r w:rsidRPr="00080D02">
              <w:lastRenderedPageBreak/>
              <w:t>Habitat degradation, including</w:t>
            </w:r>
            <w:r>
              <w:t>:</w:t>
            </w:r>
            <w:r w:rsidRPr="00080D02">
              <w:t xml:space="preserve"> </w:t>
            </w:r>
          </w:p>
          <w:p w14:paraId="24F43A8A" w14:textId="77777777" w:rsidR="000B173B" w:rsidRDefault="000B173B" w:rsidP="00A15226">
            <w:pPr>
              <w:pStyle w:val="Bullet2"/>
            </w:pPr>
            <w:r>
              <w:t>I</w:t>
            </w:r>
            <w:r w:rsidRPr="00080D02">
              <w:t>ncreased salinity</w:t>
            </w:r>
            <w:r>
              <w:t>, s</w:t>
            </w:r>
            <w:r w:rsidRPr="00080D02">
              <w:t>iltation and pollution</w:t>
            </w:r>
          </w:p>
          <w:p w14:paraId="48767A47" w14:textId="77777777" w:rsidR="000B173B" w:rsidRDefault="000B173B" w:rsidP="00A15226">
            <w:pPr>
              <w:pStyle w:val="Bullet2"/>
            </w:pPr>
            <w:r>
              <w:t>G</w:t>
            </w:r>
            <w:r w:rsidRPr="00080D02">
              <w:t>razing by livestock and feral animals</w:t>
            </w:r>
          </w:p>
          <w:p w14:paraId="043DCDD6" w14:textId="77777777" w:rsidR="000B173B" w:rsidRDefault="000B173B" w:rsidP="00A15226">
            <w:pPr>
              <w:pStyle w:val="Bullet2"/>
            </w:pPr>
            <w:r>
              <w:t>C</w:t>
            </w:r>
            <w:r w:rsidRPr="00080D02">
              <w:t>hanges in abundance of plant species</w:t>
            </w:r>
            <w:r>
              <w:t xml:space="preserve"> (including native and introduced plants)</w:t>
            </w:r>
          </w:p>
          <w:p w14:paraId="520E4EA0" w14:textId="77777777" w:rsidR="000B173B" w:rsidRDefault="000B173B" w:rsidP="00A15226">
            <w:pPr>
              <w:pStyle w:val="Bullet2"/>
            </w:pPr>
            <w:r>
              <w:t>I</w:t>
            </w:r>
            <w:r w:rsidRPr="00080D02">
              <w:t>nappropriate fire regimes</w:t>
            </w:r>
          </w:p>
          <w:p w14:paraId="09EB3FB2" w14:textId="77777777" w:rsidR="000B173B" w:rsidRPr="00080D02" w:rsidRDefault="000B173B" w:rsidP="00A15226">
            <w:pPr>
              <w:pStyle w:val="Bullet2"/>
            </w:pPr>
            <w:r>
              <w:t>U</w:t>
            </w:r>
            <w:r w:rsidRPr="00080D02">
              <w:t>rban wetland management</w:t>
            </w:r>
          </w:p>
          <w:p w14:paraId="20F754E6" w14:textId="77777777" w:rsidR="000B173B" w:rsidRPr="00080D02" w:rsidRDefault="000B173B" w:rsidP="00A15226">
            <w:pPr>
              <w:pStyle w:val="Bullet1"/>
            </w:pPr>
            <w:r w:rsidRPr="00080D02">
              <w:t>Climate change, including changes in water availability and fire regimes, and salination of coastal wetlands</w:t>
            </w:r>
          </w:p>
          <w:p w14:paraId="4B80CF19" w14:textId="77777777" w:rsidR="000B173B" w:rsidRDefault="000B173B" w:rsidP="00A15226">
            <w:pPr>
              <w:pStyle w:val="Bullet1"/>
            </w:pPr>
            <w:r w:rsidRPr="00080D02">
              <w:t>I</w:t>
            </w:r>
            <w:r>
              <w:t xml:space="preserve">nappropriate placement of infrastructure such as fence lines and powerlines </w:t>
            </w:r>
          </w:p>
          <w:p w14:paraId="2795E03A" w14:textId="77777777" w:rsidR="000B173B" w:rsidRPr="00080D02" w:rsidRDefault="000B173B" w:rsidP="00A15226">
            <w:pPr>
              <w:pStyle w:val="Bullet1"/>
            </w:pPr>
            <w:r>
              <w:t>Urban development, which can impact water quality and increase disturbance, particularly from domestic pets</w:t>
            </w:r>
          </w:p>
          <w:p w14:paraId="3BC7EB5C" w14:textId="77777777" w:rsidR="000B173B" w:rsidRPr="00080D02" w:rsidRDefault="000B173B" w:rsidP="00A15226">
            <w:pPr>
              <w:pStyle w:val="Bullet1"/>
            </w:pPr>
            <w:r w:rsidRPr="00080D02">
              <w:t xml:space="preserve">Predation by </w:t>
            </w:r>
            <w:r>
              <w:t>foxes and cats</w:t>
            </w:r>
          </w:p>
        </w:tc>
      </w:tr>
      <w:tr w:rsidR="000B173B" w:rsidRPr="002F23FB" w14:paraId="01533E6E" w14:textId="77777777" w:rsidTr="00A15226">
        <w:tc>
          <w:tcPr>
            <w:tcW w:w="1526" w:type="dxa"/>
            <w:vAlign w:val="center"/>
          </w:tcPr>
          <w:p w14:paraId="44B77E2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RELEVANT PLANS AND POLICIES</w:t>
            </w:r>
          </w:p>
        </w:tc>
        <w:tc>
          <w:tcPr>
            <w:tcW w:w="8113" w:type="dxa"/>
            <w:vAlign w:val="center"/>
          </w:tcPr>
          <w:p w14:paraId="4E6FBB71" w14:textId="77777777" w:rsidR="000B173B" w:rsidRPr="00080D02" w:rsidRDefault="000B173B" w:rsidP="00A15226">
            <w:pPr>
              <w:pStyle w:val="Tabletext"/>
              <w:rPr>
                <w:iCs/>
              </w:rPr>
            </w:pPr>
            <w:r w:rsidRPr="00080D02">
              <w:rPr>
                <w:iCs/>
              </w:rPr>
              <w:t xml:space="preserve">Conservation Advice </w:t>
            </w:r>
            <w:r w:rsidRPr="0065317B">
              <w:rPr>
                <w:i/>
              </w:rPr>
              <w:t>Botaurus poiciloptilus</w:t>
            </w:r>
            <w:r w:rsidRPr="00080D02">
              <w:rPr>
                <w:iCs/>
              </w:rPr>
              <w:t xml:space="preserve"> Australasian Bittern </w:t>
            </w:r>
            <w:sdt>
              <w:sdtPr>
                <w:rPr>
                  <w:iCs/>
                  <w:color w:val="000000"/>
                </w:rPr>
                <w:tag w:val="MENDELEY_CITATION_v3_eyJjaXRhdGlvbklEIjoiTUVOREVMRVlfQ0lUQVRJT05fNWVjZjZiM2YtZTdkOC00NjUzLTk0NTctNDg2ODk1ODJhNjA5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609895095"/>
                <w:placeholder>
                  <w:docPart w:val="7A87483195E49548AABB39FF484A13FE"/>
                </w:placeholder>
              </w:sdtPr>
              <w:sdtEndPr>
                <w:rPr>
                  <w:iCs w:val="0"/>
                </w:rPr>
              </w:sdtEndPr>
              <w:sdtContent>
                <w:r w:rsidRPr="002F46CE">
                  <w:rPr>
                    <w:color w:val="000000"/>
                  </w:rPr>
                  <w:t>(TSSC, 2019a)</w:t>
                </w:r>
              </w:sdtContent>
            </w:sdt>
          </w:p>
          <w:p w14:paraId="2F76C202" w14:textId="77777777" w:rsidR="000B173B" w:rsidRPr="00080D02" w:rsidRDefault="000B173B" w:rsidP="00A15226">
            <w:pPr>
              <w:pStyle w:val="Tabletext"/>
              <w:rPr>
                <w:iCs/>
              </w:rPr>
            </w:pPr>
            <w:r w:rsidRPr="00080D02">
              <w:rPr>
                <w:iCs/>
              </w:rPr>
              <w:t xml:space="preserve">Commonwealth Listing Advice on </w:t>
            </w:r>
            <w:r w:rsidRPr="0065317B">
              <w:rPr>
                <w:i/>
              </w:rPr>
              <w:t>Botaurus poiciloptilus</w:t>
            </w:r>
            <w:r w:rsidRPr="00080D02">
              <w:rPr>
                <w:iCs/>
              </w:rPr>
              <w:t xml:space="preserve"> (Australasian Bittern) </w:t>
            </w:r>
            <w:sdt>
              <w:sdtPr>
                <w:rPr>
                  <w:iCs/>
                  <w:color w:val="000000"/>
                </w:rPr>
                <w:tag w:val="MENDELEY_CITATION_v3_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"/>
                <w:id w:val="740836458"/>
                <w:placeholder>
                  <w:docPart w:val="7A87483195E49548AABB39FF484A13FE"/>
                </w:placeholder>
              </w:sdtPr>
              <w:sdtEndPr>
                <w:rPr>
                  <w:iCs w:val="0"/>
                </w:rPr>
              </w:sdtEndPr>
              <w:sdtContent>
                <w:r w:rsidRPr="002F46CE">
                  <w:rPr>
                    <w:color w:val="000000"/>
                  </w:rPr>
                  <w:t>(TSSC, 2011a)</w:t>
                </w:r>
              </w:sdtContent>
            </w:sdt>
            <w:r w:rsidRPr="00080D02">
              <w:rPr>
                <w:iCs/>
              </w:rPr>
              <w:t xml:space="preserve"> </w:t>
            </w:r>
          </w:p>
          <w:p w14:paraId="79FD860A" w14:textId="77777777" w:rsidR="000B173B" w:rsidRPr="00080D02" w:rsidRDefault="000B173B" w:rsidP="00A15226">
            <w:pPr>
              <w:pStyle w:val="Tabletext"/>
              <w:rPr>
                <w:iCs/>
              </w:rPr>
            </w:pPr>
            <w:r w:rsidRPr="00080D02">
              <w:rPr>
                <w:iCs/>
              </w:rPr>
              <w:t xml:space="preserve">Threat abatement plan for predation by feral cats </w:t>
            </w:r>
            <w:sdt>
              <w:sdtPr>
                <w:rPr>
                  <w:iCs/>
                  <w:color w:val="000000"/>
                </w:rPr>
                <w:tag w:val="MENDELEY_CITATION_v3_eyJjaXRhdGlvbklEIjoiTUVOREVMRVlfQ0lUQVRJT05fNmRkNTg5MTUtMjAxZC00N2ExLWFhY2QtZmRkZmRhOTdjZmQz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1791202296"/>
                <w:placeholder>
                  <w:docPart w:val="7A87483195E49548AABB39FF484A13FE"/>
                </w:placeholder>
              </w:sdtPr>
              <w:sdtEndPr>
                <w:rPr>
                  <w:iCs w:val="0"/>
                </w:rPr>
              </w:sdtEndPr>
              <w:sdtContent>
                <w:r w:rsidRPr="002F46CE">
                  <w:rPr>
                    <w:color w:val="000000"/>
                  </w:rPr>
                  <w:t>(DoE, 2015h)</w:t>
                </w:r>
              </w:sdtContent>
            </w:sdt>
          </w:p>
          <w:p w14:paraId="0E0C1A22" w14:textId="77777777" w:rsidR="000B173B" w:rsidRPr="00080D02" w:rsidRDefault="000B173B" w:rsidP="00A15226">
            <w:pPr>
              <w:pStyle w:val="Tabletext"/>
              <w:rPr>
                <w:iCs/>
              </w:rPr>
            </w:pPr>
            <w:r w:rsidRPr="00080D02">
              <w:rPr>
                <w:iCs/>
              </w:rPr>
              <w:t xml:space="preserve">Threat abatement plan for predation by the European red fox </w:t>
            </w:r>
            <w:sdt>
              <w:sdtPr>
                <w:rPr>
                  <w:iCs/>
                  <w:color w:val="000000"/>
                </w:rPr>
                <w:tag w:val="MENDELEY_CITATION_v3_eyJjaXRhdGlvbklEIjoiTUVOREVMRVlfQ0lUQVRJT05fYWY4M2RlNTctNmYyOS00ODU2LWExN2ItZTQ4MDVmNzFjMGZi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606464161"/>
                <w:placeholder>
                  <w:docPart w:val="7A87483195E49548AABB39FF484A13FE"/>
                </w:placeholder>
              </w:sdtPr>
              <w:sdtEndPr>
                <w:rPr>
                  <w:iCs w:val="0"/>
                </w:rPr>
              </w:sdtEndPr>
              <w:sdtContent>
                <w:r w:rsidRPr="002F46CE">
                  <w:rPr>
                    <w:color w:val="000000"/>
                  </w:rPr>
                  <w:t>(DEWHA, 2008f)</w:t>
                </w:r>
              </w:sdtContent>
            </w:sdt>
          </w:p>
        </w:tc>
      </w:tr>
      <w:tr w:rsidR="000B173B" w:rsidRPr="000816D6" w14:paraId="65399DD3" w14:textId="77777777" w:rsidTr="00A15226">
        <w:tc>
          <w:tcPr>
            <w:tcW w:w="1526" w:type="dxa"/>
            <w:vAlign w:val="center"/>
          </w:tcPr>
          <w:p w14:paraId="718EBEA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0C34EB75" w14:textId="77777777" w:rsidR="000B173B" w:rsidRPr="00080D02" w:rsidRDefault="000B173B" w:rsidP="00A15226">
            <w:pPr>
              <w:pStyle w:val="Tabletext"/>
            </w:pPr>
            <w:r w:rsidRPr="00080D02">
              <w:t>There are no species-specific guidelines for this species.</w:t>
            </w:r>
          </w:p>
        </w:tc>
      </w:tr>
      <w:tr w:rsidR="000B173B" w:rsidRPr="000816D6" w14:paraId="4F964248" w14:textId="77777777" w:rsidTr="00A15226">
        <w:tc>
          <w:tcPr>
            <w:tcW w:w="1526" w:type="dxa"/>
            <w:vAlign w:val="center"/>
          </w:tcPr>
          <w:p w14:paraId="6E689BF0"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3E3342CB" w14:textId="77777777" w:rsidR="000B173B" w:rsidRPr="003E1ADD" w:rsidRDefault="000B173B" w:rsidP="00A15226">
            <w:pPr>
              <w:pStyle w:val="Tabletext"/>
            </w:pPr>
            <w:hyperlink r:id="rId129" w:history="1">
              <w:r w:rsidRPr="00EF205B">
                <w:rPr>
                  <w:rStyle w:val="Hyperlink"/>
                </w:rPr>
                <w:t>http://www.environment.gov.au/cgi-bin/sprat/public/publicspecies.pl?taxon_id=1001</w:t>
              </w:r>
            </w:hyperlink>
          </w:p>
        </w:tc>
      </w:tr>
    </w:tbl>
    <w:p w14:paraId="5279AA82"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2D26F0D5" w14:textId="77777777" w:rsidTr="00A15226">
        <w:tc>
          <w:tcPr>
            <w:tcW w:w="9622" w:type="dxa"/>
            <w:shd w:val="clear" w:color="auto" w:fill="C9C9C9" w:themeFill="accent3" w:themeFillTint="99"/>
          </w:tcPr>
          <w:p w14:paraId="208F1BB7" w14:textId="77777777" w:rsidR="000B173B" w:rsidRPr="008F55BC" w:rsidRDefault="000B173B" w:rsidP="00A15226">
            <w:pPr>
              <w:pStyle w:val="Tabletext"/>
              <w:rPr>
                <w:b/>
                <w:bCs/>
              </w:rPr>
            </w:pPr>
            <w:r>
              <w:rPr>
                <w:rFonts w:ascii="Helvetica" w:hAnsi="Helvetica"/>
                <w:b/>
                <w:sz w:val="16"/>
                <w:szCs w:val="16"/>
              </w:rPr>
              <w:t>APPROACH TO BASELINE DATA</w:t>
            </w:r>
          </w:p>
        </w:tc>
      </w:tr>
    </w:tbl>
    <w:p w14:paraId="49F1DB71"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5E7C6381"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65022374"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1E16FFF2" w14:textId="77777777" w:rsidR="000B173B" w:rsidRPr="00296917" w:rsidRDefault="000B173B" w:rsidP="000B173B">
      <w:pPr>
        <w:rPr>
          <w:i/>
          <w:color w:val="4472C4" w:themeColor="accent1"/>
        </w:rPr>
      </w:pPr>
      <w:r w:rsidRPr="000816D6">
        <w:rPr>
          <w:i/>
          <w:color w:val="4472C4" w:themeColor="accent1"/>
        </w:rPr>
        <w:t xml:space="preserve">Please refer </w:t>
      </w:r>
      <w:r w:rsidRPr="00592AA5">
        <w:rPr>
          <w:i/>
          <w:color w:val="4472C4" w:themeColor="accent1"/>
        </w:rPr>
        <w:t xml:space="preserve">to </w:t>
      </w:r>
      <w:r w:rsidRPr="006900FB">
        <w:rPr>
          <w:i/>
          <w:color w:val="4472C4" w:themeColor="accent1"/>
        </w:rPr>
        <w:t>Chapter 13</w:t>
      </w:r>
      <w:r w:rsidRPr="00592AA5">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1DE74595" w14:textId="77777777" w:rsidTr="00A15226">
        <w:tc>
          <w:tcPr>
            <w:tcW w:w="1526" w:type="dxa"/>
            <w:vMerge w:val="restart"/>
            <w:vAlign w:val="center"/>
          </w:tcPr>
          <w:p w14:paraId="7365A27B"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1D173209"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2EE98D7B" w14:textId="77777777" w:rsidTr="00A15226">
        <w:tc>
          <w:tcPr>
            <w:tcW w:w="1526" w:type="dxa"/>
            <w:vMerge/>
            <w:vAlign w:val="center"/>
          </w:tcPr>
          <w:p w14:paraId="4C653574" w14:textId="77777777" w:rsidR="000B173B" w:rsidRDefault="000B173B" w:rsidP="00A15226">
            <w:pPr>
              <w:pStyle w:val="Tabletext"/>
              <w:rPr>
                <w:rFonts w:ascii="Helvetica" w:hAnsi="Helvetica"/>
                <w:b/>
                <w:bCs/>
                <w:sz w:val="14"/>
              </w:rPr>
            </w:pPr>
          </w:p>
        </w:tc>
        <w:tc>
          <w:tcPr>
            <w:tcW w:w="8113" w:type="dxa"/>
            <w:vAlign w:val="center"/>
          </w:tcPr>
          <w:p w14:paraId="61C07230" w14:textId="77777777" w:rsidR="000B173B" w:rsidRPr="00863E4D"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4B2A2F7B" w14:textId="77777777" w:rsidTr="00A15226">
        <w:tc>
          <w:tcPr>
            <w:tcW w:w="1526" w:type="dxa"/>
            <w:vMerge/>
            <w:vAlign w:val="center"/>
          </w:tcPr>
          <w:p w14:paraId="50E56CB1"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C87A74F"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3CFA9E12" w14:textId="77777777" w:rsidTr="00A15226">
        <w:tc>
          <w:tcPr>
            <w:tcW w:w="1526" w:type="dxa"/>
            <w:vMerge/>
            <w:vAlign w:val="center"/>
          </w:tcPr>
          <w:p w14:paraId="2C6C5ADA" w14:textId="77777777" w:rsidR="000B173B" w:rsidRDefault="000B173B" w:rsidP="00A15226">
            <w:pPr>
              <w:pStyle w:val="Tabletext"/>
              <w:rPr>
                <w:rFonts w:ascii="Helvetica" w:hAnsi="Helvetica"/>
                <w:b/>
                <w:bCs/>
                <w:sz w:val="14"/>
              </w:rPr>
            </w:pPr>
          </w:p>
        </w:tc>
        <w:tc>
          <w:tcPr>
            <w:tcW w:w="8113" w:type="dxa"/>
            <w:vAlign w:val="center"/>
          </w:tcPr>
          <w:p w14:paraId="53E61684"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405EBDE7" w14:textId="77777777" w:rsidTr="00A15226">
        <w:tc>
          <w:tcPr>
            <w:tcW w:w="1526" w:type="dxa"/>
            <w:vMerge/>
            <w:vAlign w:val="center"/>
          </w:tcPr>
          <w:p w14:paraId="758EE364"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5B65EC7"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5BE664D3" w14:textId="77777777" w:rsidTr="00A15226">
        <w:tc>
          <w:tcPr>
            <w:tcW w:w="1526" w:type="dxa"/>
            <w:vMerge/>
            <w:vAlign w:val="center"/>
          </w:tcPr>
          <w:p w14:paraId="0DA816F2" w14:textId="77777777" w:rsidR="000B173B" w:rsidRPr="000816D6" w:rsidRDefault="000B173B" w:rsidP="00A15226">
            <w:pPr>
              <w:pStyle w:val="Tabletext"/>
              <w:rPr>
                <w:rFonts w:ascii="Helvetica" w:hAnsi="Helvetica"/>
                <w:b/>
                <w:bCs/>
                <w:sz w:val="14"/>
              </w:rPr>
            </w:pPr>
          </w:p>
        </w:tc>
        <w:tc>
          <w:tcPr>
            <w:tcW w:w="8113" w:type="dxa"/>
            <w:vAlign w:val="center"/>
          </w:tcPr>
          <w:p w14:paraId="0484F518"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7BBB4F84" w14:textId="77777777" w:rsidR="000B173B" w:rsidRPr="00980D4D" w:rsidRDefault="000B173B" w:rsidP="00A15226">
            <w:pPr>
              <w:pStyle w:val="Tabletext"/>
            </w:pPr>
            <w:r w:rsidRPr="00B03721">
              <w:t>Refer to</w:t>
            </w:r>
            <w:r>
              <w:t xml:space="preserve"> </w:t>
            </w:r>
            <w:r w:rsidRPr="006900FB">
              <w:t>Chapter 13 of Part 3</w:t>
            </w:r>
            <w:r>
              <w:t xml:space="preserve"> for a detailed description of the baseline mapping, landholder surveys, and HIMs.</w:t>
            </w:r>
          </w:p>
        </w:tc>
      </w:tr>
      <w:tr w:rsidR="000B173B" w:rsidRPr="003E1ADD" w14:paraId="2B4DF0D9" w14:textId="77777777" w:rsidTr="00A15226">
        <w:tc>
          <w:tcPr>
            <w:tcW w:w="1526" w:type="dxa"/>
            <w:vMerge w:val="restart"/>
            <w:vAlign w:val="center"/>
          </w:tcPr>
          <w:p w14:paraId="30B6E5D2"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739B63BB"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35B28DEC" w14:textId="77777777" w:rsidTr="00A15226">
        <w:tc>
          <w:tcPr>
            <w:tcW w:w="1526" w:type="dxa"/>
            <w:vMerge/>
            <w:vAlign w:val="center"/>
          </w:tcPr>
          <w:p w14:paraId="681D8EAB" w14:textId="77777777" w:rsidR="000B173B" w:rsidRDefault="000B173B" w:rsidP="00A15226">
            <w:pPr>
              <w:pStyle w:val="Tabletext"/>
              <w:rPr>
                <w:rFonts w:ascii="Helvetica" w:hAnsi="Helvetica"/>
                <w:b/>
                <w:bCs/>
                <w:sz w:val="14"/>
              </w:rPr>
            </w:pPr>
          </w:p>
        </w:tc>
        <w:tc>
          <w:tcPr>
            <w:tcW w:w="8113" w:type="dxa"/>
            <w:vAlign w:val="center"/>
          </w:tcPr>
          <w:p w14:paraId="50F72E28"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1A675A3E" w14:textId="77777777" w:rsidTr="00A15226">
        <w:tc>
          <w:tcPr>
            <w:tcW w:w="1526" w:type="dxa"/>
            <w:vMerge/>
            <w:vAlign w:val="center"/>
          </w:tcPr>
          <w:p w14:paraId="1DFB64F6"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505CFD1E"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46CE9E99" w14:textId="77777777" w:rsidTr="00A15226">
        <w:tc>
          <w:tcPr>
            <w:tcW w:w="1526" w:type="dxa"/>
            <w:vMerge/>
            <w:vAlign w:val="center"/>
          </w:tcPr>
          <w:p w14:paraId="09FDB70C" w14:textId="77777777" w:rsidR="000B173B" w:rsidRDefault="000B173B" w:rsidP="00A15226">
            <w:pPr>
              <w:pStyle w:val="Tabletext"/>
              <w:rPr>
                <w:rFonts w:ascii="Helvetica" w:hAnsi="Helvetica"/>
                <w:b/>
                <w:bCs/>
                <w:sz w:val="14"/>
              </w:rPr>
            </w:pPr>
          </w:p>
        </w:tc>
        <w:tc>
          <w:tcPr>
            <w:tcW w:w="8113" w:type="dxa"/>
            <w:vAlign w:val="center"/>
          </w:tcPr>
          <w:p w14:paraId="6563F583" w14:textId="77777777" w:rsidR="000B173B" w:rsidRPr="00BB022D" w:rsidRDefault="000B173B" w:rsidP="00A15226">
            <w:pPr>
              <w:pStyle w:val="Bullet1"/>
              <w:numPr>
                <w:ilvl w:val="0"/>
                <w:numId w:val="0"/>
              </w:numPr>
              <w:ind w:left="360" w:hanging="360"/>
            </w:pPr>
            <w:r w:rsidRPr="006A4149">
              <w:t xml:space="preserve">VBA records for the </w:t>
            </w:r>
            <w:r>
              <w:t>Australasian Bittern</w:t>
            </w:r>
            <w:r w:rsidRPr="006A4149">
              <w:t xml:space="preserve"> used in this assessment were downloaded in June 2022.</w:t>
            </w:r>
          </w:p>
        </w:tc>
      </w:tr>
      <w:tr w:rsidR="000B173B" w:rsidRPr="003E1ADD" w14:paraId="2004764A" w14:textId="77777777" w:rsidTr="00A15226">
        <w:tc>
          <w:tcPr>
            <w:tcW w:w="1526" w:type="dxa"/>
            <w:vMerge/>
            <w:vAlign w:val="center"/>
          </w:tcPr>
          <w:p w14:paraId="7FA71EA8"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9501362"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687F259F" w14:textId="77777777" w:rsidTr="00A15226">
        <w:tc>
          <w:tcPr>
            <w:tcW w:w="1526" w:type="dxa"/>
            <w:vMerge/>
            <w:vAlign w:val="center"/>
          </w:tcPr>
          <w:p w14:paraId="663AA6A2" w14:textId="77777777" w:rsidR="000B173B" w:rsidRDefault="000B173B" w:rsidP="00A15226">
            <w:pPr>
              <w:pStyle w:val="Tabletext"/>
              <w:rPr>
                <w:rFonts w:ascii="Helvetica" w:hAnsi="Helvetica"/>
                <w:b/>
                <w:bCs/>
                <w:sz w:val="14"/>
              </w:rPr>
            </w:pPr>
          </w:p>
        </w:tc>
        <w:tc>
          <w:tcPr>
            <w:tcW w:w="8113" w:type="dxa"/>
            <w:vAlign w:val="center"/>
          </w:tcPr>
          <w:p w14:paraId="73178611" w14:textId="77777777" w:rsidR="000B173B" w:rsidRPr="007A7D7A" w:rsidRDefault="000B173B" w:rsidP="00A15226">
            <w:pPr>
              <w:pStyle w:val="Tabletext"/>
            </w:pPr>
            <w:r w:rsidRPr="007A7D7A">
              <w:t xml:space="preserve">All records of the species within the Study Area are considered a single population. This is because the Australasian Bittern occurs as a single sub-population in south-eastern Australia </w:t>
            </w:r>
            <w:sdt>
              <w:sdtPr>
                <w:rPr>
                  <w:color w:val="000000"/>
                </w:rPr>
                <w:tag w:val="MENDELEY_CITATION_v3_eyJjaXRhdGlvbklEIjoiTUVOREVMRVlfQ0lUQVRJT05fODllYzAzYTMtNzUyMS00ZGZlLWE0M2YtZDdiMGYwOTE1NDk2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290287606"/>
                <w:placeholder>
                  <w:docPart w:val="7A87483195E49548AABB39FF484A13FE"/>
                </w:placeholder>
              </w:sdtPr>
              <w:sdtContent>
                <w:r w:rsidRPr="002F46CE">
                  <w:rPr>
                    <w:color w:val="000000"/>
                  </w:rPr>
                  <w:t>(TSSC, 2019a)</w:t>
                </w:r>
              </w:sdtContent>
            </w:sdt>
            <w:r>
              <w:rPr>
                <w:iCs/>
              </w:rPr>
              <w:t>.</w:t>
            </w:r>
          </w:p>
        </w:tc>
      </w:tr>
    </w:tbl>
    <w:p w14:paraId="70D330BB"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5EA55F54" w14:textId="77777777" w:rsidTr="00A15226">
        <w:tc>
          <w:tcPr>
            <w:tcW w:w="9622" w:type="dxa"/>
            <w:shd w:val="clear" w:color="auto" w:fill="C9C9C9" w:themeFill="accent3" w:themeFillTint="99"/>
          </w:tcPr>
          <w:p w14:paraId="71016C51"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0946F5C2"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w:t>
      </w:r>
      <w:r w:rsidRPr="00CA1943">
        <w:rPr>
          <w:i/>
          <w:iCs/>
          <w:color w:val="4472C4" w:themeColor="accent1"/>
        </w:rPr>
        <w:t>the Study Area. It includes reference to a map of records and habitat which can be viewed as a separate file. The map provides critical context for the assessment and should be viewed in conjunction with the text presented in this assessment. This section also provides a qualitative</w:t>
      </w:r>
      <w:r w:rsidRPr="00BB022D">
        <w:rPr>
          <w:i/>
          <w:iCs/>
          <w:color w:val="4472C4" w:themeColor="accent1"/>
        </w:rPr>
        <w:t xml:space="preserve"> description of where records and habitat occur.</w:t>
      </w:r>
    </w:p>
    <w:p w14:paraId="024EB799" w14:textId="77777777" w:rsidR="000B173B" w:rsidRDefault="000B173B" w:rsidP="000B173B">
      <w:pPr>
        <w:rPr>
          <w:highlight w:val="yellow"/>
        </w:rPr>
      </w:pPr>
      <w:r w:rsidRPr="00592AA5">
        <w:t>See</w:t>
      </w:r>
      <w:r w:rsidRPr="006900FB">
        <w:t xml:space="preserve"> </w:t>
      </w:r>
      <w:hyperlink r:id="rId130" w:history="1">
        <w:r w:rsidRPr="00AC291E">
          <w:rPr>
            <w:rStyle w:val="Hyperlink"/>
          </w:rPr>
          <w:t>Map 19-10</w:t>
        </w:r>
      </w:hyperlink>
      <w:r w:rsidRPr="006900FB">
        <w:t xml:space="preserve"> </w:t>
      </w:r>
      <w:r w:rsidRPr="00592AA5">
        <w:t>for</w:t>
      </w:r>
      <w:r w:rsidRPr="00486911">
        <w:t xml:space="preserve"> a map of records and habitat across the Strategic Assessment Area.</w:t>
      </w:r>
    </w:p>
    <w:p w14:paraId="20E60AD4" w14:textId="77777777" w:rsidR="000B173B" w:rsidRDefault="000B173B" w:rsidP="000B173B">
      <w:r w:rsidRPr="00592AA5">
        <w:t xml:space="preserve">Records and potential habitat for the Australasian Bittern is associated with wetlands and watercourses. There are </w:t>
      </w:r>
      <w:r w:rsidRPr="006900FB">
        <w:t>144 records</w:t>
      </w:r>
      <w:r w:rsidRPr="00592AA5">
        <w:t xml:space="preserve"> (comprising </w:t>
      </w:r>
      <w:r w:rsidRPr="006900FB">
        <w:t>164 individuals)</w:t>
      </w:r>
      <w:r w:rsidRPr="00592AA5">
        <w:t xml:space="preserve"> from 1990 onwards of the Australasian Bittern within the Study Area. The most</w:t>
      </w:r>
      <w:r>
        <w:t xml:space="preserve"> recent record of the species is from 2019. </w:t>
      </w:r>
    </w:p>
    <w:p w14:paraId="343A1ADF" w14:textId="77777777" w:rsidR="000B173B" w:rsidRDefault="000B173B" w:rsidP="000B173B">
      <w:r>
        <w:t xml:space="preserve">A </w:t>
      </w:r>
      <w:r w:rsidRPr="003D2BBF">
        <w:t xml:space="preserve">total of </w:t>
      </w:r>
      <w:r w:rsidRPr="006900FB">
        <w:t>8,244.5 ha</w:t>
      </w:r>
      <w:r w:rsidRPr="00592AA5">
        <w:t xml:space="preserve"> of potential habitat has been mapped within the Study Area. Of this, </w:t>
      </w:r>
      <w:r w:rsidRPr="006900FB">
        <w:t>40.9 ha</w:t>
      </w:r>
      <w:r>
        <w:t xml:space="preserve"> occurs within the Strategic Assessment Area.</w:t>
      </w:r>
      <w:r w:rsidRPr="003D2BBF">
        <w:t xml:space="preserve"> </w:t>
      </w:r>
      <w:r>
        <w:t>No habitat is mapped within the Growth Areas.</w:t>
      </w:r>
    </w:p>
    <w:p w14:paraId="34259BCD" w14:textId="77777777" w:rsidR="000B173B" w:rsidRPr="000612FE" w:rsidRDefault="000B173B" w:rsidP="000B173B">
      <w:r w:rsidRPr="000612FE">
        <w:t>The species has not been recorded within the Strategic Assessment Area.</w:t>
      </w:r>
      <w:r>
        <w:t xml:space="preserve"> </w:t>
      </w:r>
    </w:p>
    <w:p w14:paraId="21D6E98E" w14:textId="77777777" w:rsidR="000B173B" w:rsidRDefault="000B173B" w:rsidP="000B173B">
      <w:r w:rsidRPr="000612FE">
        <w:t xml:space="preserve">The majority of records occur </w:t>
      </w:r>
      <w:r>
        <w:t>within and near the Lake Connewarre Complex and along the coastline near Port Wilson.</w:t>
      </w:r>
      <w:r w:rsidRPr="000612FE">
        <w:t xml:space="preserve"> </w:t>
      </w:r>
    </w:p>
    <w:p w14:paraId="4CCABD82" w14:textId="77777777" w:rsidR="000B173B" w:rsidRDefault="000B173B" w:rsidP="000B173B">
      <w:r>
        <w:t xml:space="preserve">The largest area of habitat is associated with the Lake Connewarre Complex, which is associated with multiple records of species </w:t>
      </w:r>
      <w:r w:rsidRPr="001B36C2">
        <w:t>(</w:t>
      </w:r>
      <w:r w:rsidRPr="006900FB">
        <w:t>49 records</w:t>
      </w:r>
      <w:r w:rsidRPr="001B36C2">
        <w:t xml:space="preserve"> which includes </w:t>
      </w:r>
      <w:r w:rsidRPr="006900FB">
        <w:t>62 individuals</w:t>
      </w:r>
      <w:r w:rsidRPr="001B36C2">
        <w:t>).</w:t>
      </w:r>
      <w:r>
        <w:t xml:space="preserve"> Habitat in this area is connected to small, thin areas of upstream habitat mapped along the Barwon River and the Moorabool River. No records of the species occur along either of these rivers upstream of the Lake Connewarre Complex.</w:t>
      </w:r>
    </w:p>
    <w:p w14:paraId="18D504A9" w14:textId="77777777" w:rsidR="000B173B" w:rsidRDefault="000B173B" w:rsidP="000B173B">
      <w:r>
        <w:t xml:space="preserve">Habitat also occurs along the northern Port Phillip Bay shoreline, between Limeburners Bay in the west and the Port Wilson area in the east. The majority of records within the Study Area are associated with this habitat, mainly to the east near Port </w:t>
      </w:r>
      <w:r w:rsidRPr="001B36C2">
        <w:t>Wilson (</w:t>
      </w:r>
      <w:r w:rsidRPr="006900FB">
        <w:t>83 records</w:t>
      </w:r>
      <w:r w:rsidRPr="001B36C2">
        <w:t xml:space="preserve"> which includes </w:t>
      </w:r>
      <w:r w:rsidRPr="006900FB">
        <w:t>84 individuals</w:t>
      </w:r>
      <w:r w:rsidRPr="001B36C2">
        <w:t>).</w:t>
      </w:r>
      <w:r>
        <w:t xml:space="preserve"> This broad area of habitat is connected to two thin areas of habitat mapped along Hovells Creek, and along Little River (in the north-east of the Study Area, upstream of the Port Wilson locality). A small number of upstream records are associated with Hovells Creek. No upstream records occur along Little River.</w:t>
      </w:r>
    </w:p>
    <w:p w14:paraId="3F209878" w14:textId="77777777" w:rsidR="000B173B" w:rsidRDefault="000B173B" w:rsidP="000B173B">
      <w:r w:rsidRPr="000612FE">
        <w:t>Isolated records</w:t>
      </w:r>
      <w:r>
        <w:t xml:space="preserve"> and habitat</w:t>
      </w:r>
      <w:r w:rsidRPr="000612FE">
        <w:t xml:space="preserve"> </w:t>
      </w:r>
      <w:r>
        <w:t xml:space="preserve">also </w:t>
      </w:r>
      <w:r w:rsidRPr="000612FE">
        <w:t xml:space="preserve">occur </w:t>
      </w:r>
      <w:r>
        <w:t>as follows:</w:t>
      </w:r>
    </w:p>
    <w:p w14:paraId="6085FB99" w14:textId="77777777" w:rsidR="000B173B" w:rsidRDefault="000B173B" w:rsidP="000B173B">
      <w:pPr>
        <w:pStyle w:val="Bullet1"/>
      </w:pPr>
      <w:r>
        <w:t>Small areas of habitat are mapped along Cowies Creek. However, there are no records of the species in this locality</w:t>
      </w:r>
    </w:p>
    <w:p w14:paraId="0F120BC7" w14:textId="77777777" w:rsidR="000B173B" w:rsidRDefault="000B173B" w:rsidP="000B173B">
      <w:pPr>
        <w:pStyle w:val="Bullet1"/>
      </w:pPr>
      <w:r>
        <w:t>A small area of mapped habitat occurs at Point Henry. There are a small number of records associated with this habitat</w:t>
      </w:r>
    </w:p>
    <w:p w14:paraId="425A9A0C" w14:textId="77777777" w:rsidR="000B173B" w:rsidRDefault="000B173B" w:rsidP="000B173B">
      <w:pPr>
        <w:pStyle w:val="Bullet1"/>
      </w:pPr>
      <w:r>
        <w:t>Habitat occurs in the south of the Study Area along Thompson Creek. No records of the species are associated with this habitat</w:t>
      </w:r>
    </w:p>
    <w:p w14:paraId="28D4A683" w14:textId="77777777" w:rsidR="000B173B" w:rsidRDefault="000B173B" w:rsidP="000B173B">
      <w:pPr>
        <w:pStyle w:val="Bullet1"/>
      </w:pPr>
      <w:r>
        <w:t>Isolated records occur at Staughton Vale and You Yangs Regional Park. These areas are both located over 19 km from the Strategic Assessment Area, to the north-west and north-east respectively</w:t>
      </w:r>
    </w:p>
    <w:p w14:paraId="0104B581" w14:textId="77777777" w:rsidR="000B173B" w:rsidRDefault="000B173B" w:rsidP="000B173B">
      <w:pPr>
        <w:pStyle w:val="Bullet1"/>
        <w:numPr>
          <w:ilvl w:val="0"/>
          <w:numId w:val="0"/>
        </w:num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0534E354" w14:textId="77777777" w:rsidTr="00A15226">
        <w:trPr>
          <w:cantSplit/>
        </w:trPr>
        <w:tc>
          <w:tcPr>
            <w:tcW w:w="9632" w:type="dxa"/>
            <w:shd w:val="clear" w:color="auto" w:fill="D9D9D9" w:themeFill="background1" w:themeFillShade="D9"/>
            <w:vAlign w:val="center"/>
          </w:tcPr>
          <w:p w14:paraId="2CB3B509" w14:textId="77777777" w:rsidR="000B173B" w:rsidRPr="000816D6" w:rsidRDefault="000B173B" w:rsidP="00A15226">
            <w:pPr>
              <w:pStyle w:val="TableHeadingLarge"/>
            </w:pPr>
            <w:r>
              <w:rPr>
                <w:rFonts w:ascii="Helvetica" w:hAnsi="Helvetica"/>
              </w:rPr>
              <w:t>DETAILED OVERVIEW OF SPECIES’ SUSCEPTIBILITY TO INDIRECT IMPACTS</w:t>
            </w:r>
          </w:p>
        </w:tc>
      </w:tr>
    </w:tbl>
    <w:p w14:paraId="5901D050"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35A17780"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0E7230FC" w14:textId="77777777" w:rsidR="000B173B" w:rsidRPr="007C1D70" w:rsidRDefault="000B173B" w:rsidP="000B173B">
      <w:pPr>
        <w:pStyle w:val="Bullet1"/>
        <w:rPr>
          <w:i/>
          <w:color w:val="4472C4" w:themeColor="accent1"/>
        </w:rPr>
      </w:pPr>
      <w:r w:rsidRPr="007C1D70">
        <w:rPr>
          <w:i/>
          <w:color w:val="4472C4" w:themeColor="accent1"/>
        </w:rPr>
        <w:t>The Plan has the potential to</w:t>
      </w:r>
      <w:r>
        <w:rPr>
          <w:i/>
          <w:color w:val="4472C4" w:themeColor="accent1"/>
        </w:rPr>
        <w:t xml:space="preserve"> introduce or</w:t>
      </w:r>
      <w:r w:rsidRPr="007C1D70">
        <w:rPr>
          <w:i/>
          <w:color w:val="4472C4" w:themeColor="accent1"/>
        </w:rPr>
        <w:t xml:space="preserve"> exacerbate the threat in areas which support records and/or mapped habitat for the species</w:t>
      </w:r>
    </w:p>
    <w:p w14:paraId="4DCDF1F6"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70C84FF8" w14:textId="77777777" w:rsidR="000B173B" w:rsidRPr="007C1D70" w:rsidRDefault="000B173B" w:rsidP="000B173B">
      <w:pPr>
        <w:rPr>
          <w:i/>
          <w:color w:val="4472C4" w:themeColor="accent1"/>
        </w:rPr>
      </w:pPr>
      <w:r w:rsidRPr="007C1D70">
        <w:rPr>
          <w:i/>
          <w:color w:val="4472C4" w:themeColor="accent1"/>
        </w:rPr>
        <w:lastRenderedPageBreak/>
        <w:t xml:space="preserve">Please refer to </w:t>
      </w:r>
      <w:r w:rsidRPr="006900FB">
        <w:rPr>
          <w:i/>
          <w:color w:val="4472C4" w:themeColor="accent1"/>
        </w:rPr>
        <w:t>Chapter 19</w:t>
      </w:r>
      <w:r w:rsidRPr="00616501">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616501">
        <w:rPr>
          <w:i/>
          <w:color w:val="4472C4" w:themeColor="accent1"/>
        </w:rPr>
        <w:t xml:space="preserve"> for</w:t>
      </w:r>
      <w:r w:rsidRPr="007C1D70">
        <w:rPr>
          <w:i/>
          <w:color w:val="4472C4" w:themeColor="accent1"/>
        </w:rPr>
        <w:t xml:space="preserve"> a detailed discussion and analysis of indirect impacts and mitigation measures included in the Plan. </w:t>
      </w:r>
    </w:p>
    <w:p w14:paraId="4FB0C29F" w14:textId="77777777" w:rsidR="000B173B" w:rsidRDefault="000B173B" w:rsidP="000B173B">
      <w:pPr>
        <w:pStyle w:val="Heading3"/>
        <w:numPr>
          <w:ilvl w:val="0"/>
          <w:numId w:val="0"/>
        </w:numPr>
        <w:ind w:left="720" w:hanging="720"/>
      </w:pPr>
      <w:r w:rsidRPr="00FB680C">
        <w:t>R</w:t>
      </w:r>
      <w:r>
        <w:t>elevant potential indirect impacts</w:t>
      </w:r>
    </w:p>
    <w:p w14:paraId="4B272C65" w14:textId="77777777" w:rsidR="000B173B" w:rsidRDefault="000B173B" w:rsidP="000B173B">
      <w:r w:rsidRPr="0001677F">
        <w:t>The Conservation Advice for the Australasian</w:t>
      </w:r>
      <w:r>
        <w:t xml:space="preserve"> Bittern</w:t>
      </w:r>
      <w:r w:rsidRPr="002B70F0">
        <w:t xml:space="preserve"> identifies a range of threats to the species</w:t>
      </w:r>
      <w:r>
        <w:t xml:space="preserve"> </w:t>
      </w:r>
      <w:sdt>
        <w:sdtPr>
          <w:rPr>
            <w:color w:val="000000"/>
          </w:rPr>
          <w:tag w:val="MENDELEY_CITATION_v3_eyJjaXRhdGlvbklEIjoiTUVOREVMRVlfQ0lUQVRJT05fZWVkODM5NjItNmMyMi00ZTNhLWFiYTYtMzFkMWU3ZTA1NGRl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1955124251"/>
          <w:placeholder>
            <w:docPart w:val="7A87483195E49548AABB39FF484A13FE"/>
          </w:placeholder>
        </w:sdtPr>
        <w:sdtContent>
          <w:r w:rsidRPr="002F46CE">
            <w:rPr>
              <w:color w:val="000000"/>
            </w:rPr>
            <w:t>(TSSC, 2019a)</w:t>
          </w:r>
        </w:sdtContent>
      </w:sdt>
      <w:r>
        <w:t xml:space="preserve">. </w:t>
      </w:r>
      <w:r w:rsidRPr="002B70F0">
        <w:t xml:space="preserve">Where these threats </w:t>
      </w:r>
      <w:r>
        <w:t>have the potential to be introduced or exacerbated under the Plan</w:t>
      </w:r>
      <w:r w:rsidRPr="002B70F0">
        <w:t xml:space="preserve">, the Plan includes management strategies to mitigate their impacts. </w:t>
      </w:r>
    </w:p>
    <w:p w14:paraId="38DF0857" w14:textId="77777777" w:rsidR="000B173B" w:rsidRDefault="000B173B" w:rsidP="000B173B">
      <w:r>
        <w:t xml:space="preserve">Decreased water quality due to siltation and pollution has been identified as a threat to the Australasian Bittern which is potentially relevant to implementation of the Plan. </w:t>
      </w:r>
    </w:p>
    <w:p w14:paraId="5F4FCFCA" w14:textId="77777777" w:rsidR="000B173B" w:rsidRDefault="000B173B" w:rsidP="000B173B">
      <w:r w:rsidRPr="003A2AF0">
        <w:t xml:space="preserve">There are a number of additional threats to the species identified in the Conservation Advice. However, potential indirect impacts associated with these threats are considered unlikely given the landscape context of the site and the ecology of the species. Refer </w:t>
      </w:r>
      <w:r w:rsidRPr="00616501">
        <w:t xml:space="preserve">to </w:t>
      </w:r>
      <w:r w:rsidRPr="006900FB">
        <w:t>Section 17.2 of Chapter 17</w:t>
      </w:r>
      <w:r w:rsidRPr="00616501">
        <w:t xml:space="preserve"> f</w:t>
      </w:r>
      <w:r>
        <w:t>or a detailed assessment of potential indirect impacts associated with the implementation of the Plan.</w:t>
      </w:r>
      <w:r w:rsidRPr="00CC2A00" w:rsidDel="00727335">
        <w:rPr>
          <w:highlight w:val="yellow"/>
        </w:rPr>
        <w:t xml:space="preserve"> </w:t>
      </w:r>
    </w:p>
    <w:p w14:paraId="13E35E97" w14:textId="77777777" w:rsidR="000B173B" w:rsidRDefault="000B173B" w:rsidP="000B173B">
      <w:r>
        <w:t>Climate change is also identified as a threat to the species. The potential impacts of climate change and relevant mitigation measures under the Plan are outlined in Part 5.</w:t>
      </w:r>
    </w:p>
    <w:p w14:paraId="14B0710B" w14:textId="77777777" w:rsidR="000B173B" w:rsidRDefault="000B173B" w:rsidP="000B173B">
      <w:pPr>
        <w:pStyle w:val="Heading4"/>
      </w:pPr>
      <w:r>
        <w:t>Decreased water quality due to siltation and pollution</w:t>
      </w:r>
    </w:p>
    <w:p w14:paraId="4FED7096" w14:textId="77777777" w:rsidR="000B173B" w:rsidRDefault="000B173B" w:rsidP="000B173B">
      <w:r>
        <w:t xml:space="preserve">General reductions in water quality may pose a threat to the species’ survival and breeding success and may also affect food sources for the species such as macrophytes, algae and invertebrates. Urban development near wetlands is recognised as a potential threat to water quality which may affect the species </w:t>
      </w:r>
      <w:sdt>
        <w:sdtPr>
          <w:rPr>
            <w:color w:val="000000"/>
          </w:rPr>
          <w:tag w:val="MENDELEY_CITATION_v3_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"/>
          <w:id w:val="988519258"/>
          <w:placeholder>
            <w:docPart w:val="7A87483195E49548AABB39FF484A13FE"/>
          </w:placeholder>
        </w:sdtPr>
        <w:sdtContent>
          <w:r w:rsidRPr="002F46CE">
            <w:rPr>
              <w:color w:val="000000"/>
            </w:rPr>
            <w:t>(TSSC, 2019a)</w:t>
          </w:r>
        </w:sdtContent>
      </w:sdt>
      <w:r>
        <w:t>.</w:t>
      </w:r>
    </w:p>
    <w:p w14:paraId="6305102B" w14:textId="77777777" w:rsidR="000B173B" w:rsidRDefault="000B173B" w:rsidP="000B173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3CD80F56" w14:textId="77777777" w:rsidTr="00A15226">
        <w:tc>
          <w:tcPr>
            <w:tcW w:w="9622" w:type="dxa"/>
            <w:shd w:val="clear" w:color="auto" w:fill="C9C9C9" w:themeFill="accent3" w:themeFillTint="99"/>
          </w:tcPr>
          <w:p w14:paraId="544A2E1E"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47D1394C"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17.3</w:t>
      </w:r>
      <w:r w:rsidRPr="00616501">
        <w:rPr>
          <w:i/>
          <w:color w:val="4472C4" w:themeColor="accent1"/>
        </w:rPr>
        <w:t xml:space="preserve"> of </w:t>
      </w:r>
      <w:r w:rsidRPr="006900FB">
        <w:rPr>
          <w:i/>
          <w:color w:val="4472C4" w:themeColor="accent1"/>
        </w:rPr>
        <w:t>Chapter 17</w:t>
      </w:r>
      <w:r w:rsidRPr="00616501">
        <w:rPr>
          <w:i/>
          <w:color w:val="4472C4" w:themeColor="accent1"/>
        </w:rPr>
        <w:t>.</w:t>
      </w:r>
    </w:p>
    <w:p w14:paraId="408FF765" w14:textId="77777777" w:rsidR="000B173B" w:rsidRDefault="000B173B" w:rsidP="000B173B">
      <w:pPr>
        <w:pStyle w:val="Heading3"/>
        <w:numPr>
          <w:ilvl w:val="0"/>
          <w:numId w:val="0"/>
        </w:numPr>
        <w:ind w:left="720" w:hanging="720"/>
      </w:pPr>
      <w:r w:rsidRPr="000816D6">
        <w:t>C</w:t>
      </w:r>
      <w:r>
        <w:t>onsistency with recovery plan</w:t>
      </w:r>
    </w:p>
    <w:p w14:paraId="6E12AEE9" w14:textId="77777777" w:rsidR="000B173B" w:rsidRDefault="000B173B" w:rsidP="000B173B">
      <w:r>
        <w:t>There is no adopted or made Recovery Plan for this species.</w:t>
      </w:r>
    </w:p>
    <w:p w14:paraId="5DCD1CF3"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20DC7D4E"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_Ref115945684 \h </w:instrText>
      </w:r>
      <w:r>
        <w:fldChar w:fldCharType="separate"/>
      </w:r>
      <w:r>
        <w:t xml:space="preserve">Table </w:t>
      </w:r>
      <w:r>
        <w:rPr>
          <w:noProof/>
        </w:rPr>
        <w:t>B</w:t>
      </w:r>
      <w:r>
        <w:noBreakHyphen/>
      </w:r>
      <w:r>
        <w:rPr>
          <w:noProof/>
        </w:rPr>
        <w:t>1</w:t>
      </w:r>
      <w:r>
        <w:fldChar w:fldCharType="end"/>
      </w:r>
      <w:r>
        <w:t xml:space="preserve"> where they relate to:</w:t>
      </w:r>
    </w:p>
    <w:p w14:paraId="45BFE9CF" w14:textId="77777777" w:rsidR="000B173B" w:rsidRDefault="000B173B" w:rsidP="000B173B">
      <w:pPr>
        <w:pStyle w:val="Bullet1"/>
      </w:pPr>
      <w:r>
        <w:t>The potential direct impacts of the Plan, or</w:t>
      </w:r>
    </w:p>
    <w:p w14:paraId="6E79872F" w14:textId="77777777" w:rsidR="000B173B" w:rsidRDefault="000B173B" w:rsidP="000B173B">
      <w:pPr>
        <w:pStyle w:val="Bullet1"/>
      </w:pPr>
      <w:r>
        <w:t>The relevant indirect impacts</w:t>
      </w:r>
    </w:p>
    <w:p w14:paraId="4743FFDF" w14:textId="77777777" w:rsidR="000B173B" w:rsidRDefault="000B173B" w:rsidP="000B173B">
      <w:pPr>
        <w:pStyle w:val="Caption"/>
        <w:keepNext/>
      </w:pPr>
      <w:bookmarkStart w:id="248" w:name="_Ref115945684"/>
      <w:bookmarkStart w:id="249" w:name="_Toc134697918"/>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1</w:t>
      </w:r>
      <w:r>
        <w:fldChar w:fldCharType="end"/>
      </w:r>
      <w:bookmarkEnd w:id="248"/>
      <w:r>
        <w:t xml:space="preserve">: </w:t>
      </w:r>
      <w:r w:rsidRPr="005F676F">
        <w:t xml:space="preserve">Relevant Key Threatening Processes and associated Threat Abatement Plans for </w:t>
      </w:r>
      <w:r>
        <w:t>the Australasian Bittern</w:t>
      </w:r>
      <w:bookmarkEnd w:id="249"/>
    </w:p>
    <w:tbl>
      <w:tblPr>
        <w:tblStyle w:val="TableGrid"/>
        <w:tblW w:w="0" w:type="auto"/>
        <w:tblLook w:val="04A0" w:firstRow="1" w:lastRow="0" w:firstColumn="1" w:lastColumn="0" w:noHBand="0" w:noVBand="1"/>
      </w:tblPr>
      <w:tblGrid>
        <w:gridCol w:w="4811"/>
        <w:gridCol w:w="4811"/>
      </w:tblGrid>
      <w:tr w:rsidR="000B173B" w14:paraId="424C765C" w14:textId="77777777" w:rsidTr="00A15226">
        <w:trPr>
          <w:tblHeader/>
        </w:trPr>
        <w:tc>
          <w:tcPr>
            <w:tcW w:w="4811" w:type="dxa"/>
            <w:shd w:val="clear" w:color="auto" w:fill="DBDBDB" w:themeFill="accent3" w:themeFillTint="66"/>
          </w:tcPr>
          <w:p w14:paraId="16BBFA23"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4477C850" w14:textId="77777777" w:rsidR="000B173B" w:rsidRPr="00FF1996" w:rsidRDefault="000B173B" w:rsidP="00A15226">
            <w:pPr>
              <w:pStyle w:val="Tabletext"/>
              <w:rPr>
                <w:b/>
                <w:bCs/>
              </w:rPr>
            </w:pPr>
            <w:r w:rsidRPr="00FF1996">
              <w:rPr>
                <w:b/>
                <w:bCs/>
              </w:rPr>
              <w:t>Threat abatement plan</w:t>
            </w:r>
          </w:p>
        </w:tc>
      </w:tr>
      <w:tr w:rsidR="000B173B" w14:paraId="593976FF" w14:textId="77777777" w:rsidTr="00A15226">
        <w:tc>
          <w:tcPr>
            <w:tcW w:w="4811" w:type="dxa"/>
            <w:vAlign w:val="center"/>
          </w:tcPr>
          <w:p w14:paraId="0A658456" w14:textId="77777777" w:rsidR="000B173B" w:rsidRDefault="000B173B" w:rsidP="00A15226">
            <w:pPr>
              <w:pStyle w:val="Tabletext"/>
            </w:pPr>
            <w:r>
              <w:t>Fire regimes that cause declines in biodiversity</w:t>
            </w:r>
          </w:p>
        </w:tc>
        <w:tc>
          <w:tcPr>
            <w:tcW w:w="4811" w:type="dxa"/>
          </w:tcPr>
          <w:p w14:paraId="739293B5" w14:textId="77777777" w:rsidR="000B173B" w:rsidRDefault="000B173B" w:rsidP="00A15226">
            <w:pPr>
              <w:pStyle w:val="Tabletext"/>
            </w:pPr>
            <w:r>
              <w:t>There is no relevant TAP</w:t>
            </w:r>
          </w:p>
        </w:tc>
      </w:tr>
      <w:tr w:rsidR="000B173B" w14:paraId="7F2C8B31" w14:textId="77777777" w:rsidTr="00A15226">
        <w:tc>
          <w:tcPr>
            <w:tcW w:w="4811" w:type="dxa"/>
            <w:vAlign w:val="center"/>
          </w:tcPr>
          <w:p w14:paraId="0C96F23A" w14:textId="77777777" w:rsidR="000B173B" w:rsidRDefault="000B173B" w:rsidP="00A15226">
            <w:pPr>
              <w:pStyle w:val="Tabletext"/>
            </w:pPr>
            <w:r>
              <w:t xml:space="preserve">Land clearance </w:t>
            </w:r>
          </w:p>
        </w:tc>
        <w:tc>
          <w:tcPr>
            <w:tcW w:w="4811" w:type="dxa"/>
          </w:tcPr>
          <w:p w14:paraId="15D74987" w14:textId="77777777" w:rsidR="000B173B" w:rsidRDefault="000B173B" w:rsidP="00A15226">
            <w:pPr>
              <w:pStyle w:val="Tabletext"/>
            </w:pPr>
            <w:r>
              <w:t>There is no relevant TAP</w:t>
            </w:r>
          </w:p>
        </w:tc>
      </w:tr>
      <w:tr w:rsidR="000B173B" w14:paraId="111D655A" w14:textId="77777777" w:rsidTr="00A15226">
        <w:tc>
          <w:tcPr>
            <w:tcW w:w="4811" w:type="dxa"/>
            <w:vAlign w:val="center"/>
          </w:tcPr>
          <w:p w14:paraId="6AE4DE1E" w14:textId="77777777" w:rsidR="000B173B" w:rsidRDefault="000B173B" w:rsidP="00A15226">
            <w:pPr>
              <w:pStyle w:val="Tabletext"/>
            </w:pPr>
            <w:r>
              <w:t>Loss of climatic habitat caused by anthropogenic emissions of greenhouse gases</w:t>
            </w:r>
          </w:p>
        </w:tc>
        <w:tc>
          <w:tcPr>
            <w:tcW w:w="4811" w:type="dxa"/>
          </w:tcPr>
          <w:p w14:paraId="692A26BF" w14:textId="77777777" w:rsidR="000B173B" w:rsidRDefault="000B173B" w:rsidP="00A15226">
            <w:pPr>
              <w:pStyle w:val="Tabletext"/>
            </w:pPr>
            <w:r>
              <w:t>There is no relevant TAP</w:t>
            </w:r>
          </w:p>
        </w:tc>
      </w:tr>
      <w:tr w:rsidR="000B173B" w14:paraId="2608E13F" w14:textId="77777777" w:rsidTr="00A15226">
        <w:tc>
          <w:tcPr>
            <w:tcW w:w="4811" w:type="dxa"/>
          </w:tcPr>
          <w:p w14:paraId="2FC5D9C1" w14:textId="77777777" w:rsidR="000B173B" w:rsidRDefault="000B173B" w:rsidP="00A15226">
            <w:pPr>
              <w:pStyle w:val="Tabletext"/>
            </w:pPr>
            <w:r w:rsidRPr="003919C8">
              <w:t>Novel biota and their impact on biodiversity</w:t>
            </w:r>
          </w:p>
        </w:tc>
        <w:tc>
          <w:tcPr>
            <w:tcW w:w="4811" w:type="dxa"/>
          </w:tcPr>
          <w:p w14:paraId="543F9375" w14:textId="77777777" w:rsidR="000B173B" w:rsidRDefault="000B173B" w:rsidP="00A15226">
            <w:pPr>
              <w:pStyle w:val="Tabletext"/>
            </w:pPr>
            <w:r>
              <w:t>There is no relevant TAP</w:t>
            </w:r>
          </w:p>
        </w:tc>
      </w:tr>
      <w:tr w:rsidR="000B173B" w14:paraId="2145DB01" w14:textId="77777777" w:rsidTr="00A15226">
        <w:tc>
          <w:tcPr>
            <w:tcW w:w="4811" w:type="dxa"/>
            <w:vAlign w:val="center"/>
          </w:tcPr>
          <w:p w14:paraId="3DB5FD63" w14:textId="77777777" w:rsidR="000B173B" w:rsidRPr="00117850" w:rsidRDefault="000B173B" w:rsidP="00A15226">
            <w:pPr>
              <w:pStyle w:val="Tabletext"/>
            </w:pPr>
            <w:r w:rsidRPr="00F278EF">
              <w:t>Predation by feral cats</w:t>
            </w:r>
          </w:p>
        </w:tc>
        <w:tc>
          <w:tcPr>
            <w:tcW w:w="4811" w:type="dxa"/>
          </w:tcPr>
          <w:p w14:paraId="09C68E18" w14:textId="77777777" w:rsidR="000B173B" w:rsidRDefault="000B173B" w:rsidP="00A15226">
            <w:pPr>
              <w:pStyle w:val="Tabletext"/>
            </w:pPr>
            <w:r w:rsidRPr="00EC37F1">
              <w:t xml:space="preserve">Threat abatement plan for predation by feral cats </w:t>
            </w:r>
            <w:sdt>
              <w:sdtPr>
                <w:rPr>
                  <w:color w:val="000000"/>
                </w:rPr>
                <w:tag w:val="MENDELEY_CITATION_v3_eyJjaXRhdGlvbklEIjoiTUVOREVMRVlfQ0lUQVRJT05fNmEzZDQ5ODQtYWNlZC00YTg2LWJmNDktOGIwODFlMmMyMDFi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999042348"/>
                <w:placeholder>
                  <w:docPart w:val="7A87483195E49548AABB39FF484A13FE"/>
                </w:placeholder>
              </w:sdtPr>
              <w:sdtContent>
                <w:r w:rsidRPr="002F46CE">
                  <w:rPr>
                    <w:color w:val="000000"/>
                  </w:rPr>
                  <w:t>(DoE, 2015h)</w:t>
                </w:r>
              </w:sdtContent>
            </w:sdt>
          </w:p>
        </w:tc>
      </w:tr>
      <w:tr w:rsidR="000B173B" w14:paraId="1FD9A31D" w14:textId="77777777" w:rsidTr="00A15226">
        <w:tc>
          <w:tcPr>
            <w:tcW w:w="4811" w:type="dxa"/>
            <w:vAlign w:val="center"/>
          </w:tcPr>
          <w:p w14:paraId="0FEF7641" w14:textId="77777777" w:rsidR="000B173B" w:rsidRPr="00117850" w:rsidRDefault="000B173B" w:rsidP="00A15226">
            <w:pPr>
              <w:pStyle w:val="Tabletext"/>
            </w:pPr>
            <w:r w:rsidRPr="00F278EF">
              <w:t>Predation by European red fox</w:t>
            </w:r>
          </w:p>
        </w:tc>
        <w:tc>
          <w:tcPr>
            <w:tcW w:w="4811" w:type="dxa"/>
          </w:tcPr>
          <w:p w14:paraId="70985AA0" w14:textId="77777777" w:rsidR="000B173B" w:rsidRDefault="000B173B" w:rsidP="00A15226">
            <w:pPr>
              <w:pStyle w:val="Tabletext"/>
            </w:pPr>
            <w:r w:rsidRPr="00EC37F1">
              <w:t xml:space="preserve">Threat abatement plan for predation by the European red fox </w:t>
            </w:r>
            <w:sdt>
              <w:sdtPr>
                <w:rPr>
                  <w:color w:val="000000"/>
                </w:rPr>
                <w:tag w:val="MENDELEY_CITATION_v3_eyJjaXRhdGlvbklEIjoiTUVOREVMRVlfQ0lUQVRJT05fZGU3NTUyZDMtYjU1MC00ODFmLWIwYzgtZDkxMzcwZDgyOGUx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206797140"/>
                <w:placeholder>
                  <w:docPart w:val="7A87483195E49548AABB39FF484A13FE"/>
                </w:placeholder>
              </w:sdtPr>
              <w:sdtContent>
                <w:r w:rsidRPr="002F46CE">
                  <w:rPr>
                    <w:color w:val="000000"/>
                  </w:rPr>
                  <w:t>(DEWHA, 2008f)</w:t>
                </w:r>
              </w:sdtContent>
            </w:sdt>
          </w:p>
        </w:tc>
      </w:tr>
    </w:tbl>
    <w:p w14:paraId="7B535417" w14:textId="77777777" w:rsidR="000B173B" w:rsidRDefault="000B173B" w:rsidP="000B173B">
      <w:pPr>
        <w:tabs>
          <w:tab w:val="clear" w:pos="4962"/>
        </w:tabs>
        <w:spacing w:before="0" w:after="0" w:line="240" w:lineRule="auto"/>
        <w:rPr>
          <w:rFonts w:ascii="Helvetica" w:eastAsia="MS Gothic" w:hAnsi="Helvetica"/>
          <w:b/>
          <w:bCs/>
          <w:caps/>
          <w:spacing w:val="18"/>
          <w:sz w:val="20"/>
        </w:rPr>
      </w:pPr>
      <w:r>
        <w:br w:type="page"/>
      </w:r>
    </w:p>
    <w:p w14:paraId="46CDFE46" w14:textId="77777777" w:rsidR="000B173B" w:rsidRPr="00297975" w:rsidRDefault="000B173B" w:rsidP="000B173B">
      <w:pPr>
        <w:pStyle w:val="Heading2"/>
        <w:numPr>
          <w:ilvl w:val="0"/>
          <w:numId w:val="0"/>
        </w:numPr>
        <w:ind w:left="576" w:hanging="576"/>
      </w:pPr>
      <w:bookmarkStart w:id="250" w:name="_Toc131154203"/>
      <w:bookmarkStart w:id="251" w:name="_Toc131154390"/>
      <w:r>
        <w:lastRenderedPageBreak/>
        <w:t xml:space="preserve">Australian Fairy Tern </w:t>
      </w:r>
      <w:r>
        <w:rPr>
          <w:i/>
          <w:iCs/>
        </w:rPr>
        <w:t>(Sternula nereis nereis)</w:t>
      </w:r>
      <w:bookmarkEnd w:id="250"/>
      <w:bookmarkEnd w:id="251"/>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1A9850E4" w14:textId="77777777" w:rsidTr="00A15226">
        <w:trPr>
          <w:tblHeader/>
        </w:trPr>
        <w:tc>
          <w:tcPr>
            <w:tcW w:w="9747" w:type="dxa"/>
            <w:shd w:val="clear" w:color="auto" w:fill="D9D9D9" w:themeFill="background1" w:themeFillShade="D9"/>
            <w:vAlign w:val="center"/>
          </w:tcPr>
          <w:p w14:paraId="67A0B04C"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60640947"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7FE89C31" w14:textId="77777777" w:rsidTr="00A15226">
        <w:tc>
          <w:tcPr>
            <w:tcW w:w="1526" w:type="dxa"/>
            <w:vAlign w:val="center"/>
          </w:tcPr>
          <w:p w14:paraId="78C4C97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307126C2" w14:textId="77777777" w:rsidR="000B173B" w:rsidRPr="003E1ADD" w:rsidRDefault="000B173B" w:rsidP="00A15226">
            <w:pPr>
              <w:pStyle w:val="Tabletext"/>
            </w:pPr>
            <w:r>
              <w:t>Vulnerable</w:t>
            </w:r>
          </w:p>
        </w:tc>
      </w:tr>
      <w:tr w:rsidR="000B173B" w:rsidRPr="000816D6" w14:paraId="563535AB" w14:textId="77777777" w:rsidTr="00A15226">
        <w:tc>
          <w:tcPr>
            <w:tcW w:w="1526" w:type="dxa"/>
            <w:vAlign w:val="center"/>
          </w:tcPr>
          <w:p w14:paraId="19BCFB1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01F95B6E" w14:textId="77777777" w:rsidR="000B173B" w:rsidRPr="008C678A" w:rsidRDefault="000B173B" w:rsidP="00A15226">
            <w:pPr>
              <w:pStyle w:val="Tabletext"/>
            </w:pPr>
            <w:r>
              <w:rPr>
                <w:i/>
                <w:iCs/>
              </w:rPr>
              <w:t xml:space="preserve">Sternula nereis nereis </w:t>
            </w:r>
            <w:r>
              <w:t xml:space="preserve">(Australian Fairy Tern) is a small bird approximately 22 – 27 cm in length. It is bulky and round bodied. The breeding plumage is pale grey-white, with a black crown, and white forehead </w:t>
            </w:r>
            <w:sdt>
              <w:sdtPr>
                <w:rPr>
                  <w:color w:val="000000"/>
                </w:rPr>
                <w:tag w:val="MENDELEY_CITATION_v3_eyJjaXRhdGlvbklEIjoiTUVOREVMRVlfQ0lUQVRJT05fZjIzYmE3YmUtMTY4Ny00YTJiLTgyMDAtMGIzOGJiMjFkNmNm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74749304"/>
                <w:placeholder>
                  <w:docPart w:val="7A87483195E49548AABB39FF484A13FE"/>
                </w:placeholder>
              </w:sdtPr>
              <w:sdtContent>
                <w:r w:rsidRPr="002F46CE">
                  <w:rPr>
                    <w:color w:val="000000"/>
                  </w:rPr>
                  <w:t>(DAWE, 2020)</w:t>
                </w:r>
              </w:sdtContent>
            </w:sdt>
            <w:r>
              <w:t>.</w:t>
            </w:r>
          </w:p>
        </w:tc>
      </w:tr>
      <w:tr w:rsidR="000B173B" w:rsidRPr="000816D6" w14:paraId="3C579565" w14:textId="77777777" w:rsidTr="00A15226">
        <w:tc>
          <w:tcPr>
            <w:tcW w:w="1526" w:type="dxa"/>
            <w:vAlign w:val="center"/>
          </w:tcPr>
          <w:p w14:paraId="5258CF7E"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341CF49C" w14:textId="77777777" w:rsidR="000B173B" w:rsidRDefault="000B173B" w:rsidP="00A15226">
            <w:pPr>
              <w:pStyle w:val="Tabletext"/>
            </w:pPr>
            <w:r>
              <w:t xml:space="preserve">The Australian Fairy Tern is gregarious and gathers at roost sites during and outside the breeding season </w:t>
            </w:r>
            <w:sdt>
              <w:sdtPr>
                <w:rPr>
                  <w:color w:val="000000"/>
                </w:rPr>
                <w:tag w:val="MENDELEY_CITATION_v3_eyJjaXRhdGlvbklEIjoiTUVOREVMRVlfQ0lUQVRJT05fNzU5NzlkNDItMTA1YS00NjlmLWE5ZmQtYjgwZjViNmZjOTlj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602183515"/>
                <w:placeholder>
                  <w:docPart w:val="7A87483195E49548AABB39FF484A13FE"/>
                </w:placeholder>
              </w:sdtPr>
              <w:sdtContent>
                <w:r w:rsidRPr="002F46CE">
                  <w:rPr>
                    <w:color w:val="000000"/>
                  </w:rPr>
                  <w:t>(DAWE, 2020)</w:t>
                </w:r>
              </w:sdtContent>
            </w:sdt>
            <w:r>
              <w:rPr>
                <w:iCs/>
              </w:rPr>
              <w:t>.</w:t>
            </w:r>
          </w:p>
          <w:p w14:paraId="55E0C45C" w14:textId="77777777" w:rsidR="000B173B" w:rsidRDefault="000B173B" w:rsidP="00A15226">
            <w:pPr>
              <w:pStyle w:val="Tabletext"/>
            </w:pPr>
            <w:r>
              <w:t xml:space="preserve">The species breeds between June and March in colonies of between 2 and 400 pairs, and up to 700 pairs in Western Australia. Breeding colonies are located on coastal islands or coral cays, on sandy islands and beaches inside estuaries. Breeding colony location is associated with areas of high food abundance. Colonies may occur in the same general location for several seasons, and then shift to new locations </w:t>
            </w:r>
            <w:sdt>
              <w:sdtPr>
                <w:rPr>
                  <w:color w:val="000000"/>
                </w:rPr>
                <w:tag w:val="MENDELEY_CITATION_v3_eyJjaXRhdGlvbklEIjoiTUVOREVMRVlfQ0lUQVRJT05fMzc1Zjc4YjgtOGEyOS00YTljLWI1YjItYjYxMDVjODJlMTU0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092076307"/>
                <w:placeholder>
                  <w:docPart w:val="7A87483195E49548AABB39FF484A13FE"/>
                </w:placeholder>
              </w:sdtPr>
              <w:sdtContent>
                <w:r w:rsidRPr="002F46CE">
                  <w:rPr>
                    <w:color w:val="000000"/>
                  </w:rPr>
                  <w:t>(DAWE, 2020)</w:t>
                </w:r>
              </w:sdtContent>
            </w:sdt>
            <w:r>
              <w:t>.</w:t>
            </w:r>
          </w:p>
          <w:p w14:paraId="2AD9E666" w14:textId="77777777" w:rsidR="000B173B" w:rsidRDefault="000B173B" w:rsidP="00A15226">
            <w:pPr>
              <w:pStyle w:val="Tabletext"/>
            </w:pPr>
            <w:r>
              <w:t xml:space="preserve">Individuals lay 1 – 2 eggs. The species has a high natural breeding failure due to inundation from high tides and storm surges, or smothering by wind-blown sand </w:t>
            </w:r>
            <w:sdt>
              <w:sdtPr>
                <w:rPr>
                  <w:color w:val="000000"/>
                </w:rPr>
                <w:tag w:val="MENDELEY_CITATION_v3_eyJjaXRhdGlvbklEIjoiTUVOREVMRVlfQ0lUQVRJT05fMThkYmMwZTYtZDIyZS00ZDY4LWI5MGQtMDk5MGI3ZTc4ODVl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641649833"/>
                <w:placeholder>
                  <w:docPart w:val="7A87483195E49548AABB39FF484A13FE"/>
                </w:placeholder>
              </w:sdtPr>
              <w:sdtContent>
                <w:r w:rsidRPr="002F46CE">
                  <w:rPr>
                    <w:color w:val="000000"/>
                  </w:rPr>
                  <w:t>(DAWE, 2020)</w:t>
                </w:r>
              </w:sdtContent>
            </w:sdt>
            <w:r>
              <w:t>.</w:t>
            </w:r>
          </w:p>
          <w:p w14:paraId="04689CE4" w14:textId="77777777" w:rsidR="000B173B" w:rsidRPr="003E1ADD" w:rsidRDefault="000B173B" w:rsidP="00A15226">
            <w:pPr>
              <w:pStyle w:val="Tabletext"/>
            </w:pPr>
            <w:r>
              <w:t xml:space="preserve">The Australian Fairy Tern feeds almost exclusively on fish in near-shore waters adjacent to nesting colonies </w:t>
            </w:r>
            <w:sdt>
              <w:sdtPr>
                <w:rPr>
                  <w:color w:val="000000"/>
                </w:rPr>
                <w:tag w:val="MENDELEY_CITATION_v3_eyJjaXRhdGlvbklEIjoiTUVOREVMRVlfQ0lUQVRJT05fMDUxODMyODgtYjU5Mi00MjA3LWI5MjgtN2MyMDE0MzdjMmQ4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742295714"/>
                <w:placeholder>
                  <w:docPart w:val="7A87483195E49548AABB39FF484A13FE"/>
                </w:placeholder>
              </w:sdtPr>
              <w:sdtContent>
                <w:r w:rsidRPr="002F46CE">
                  <w:rPr>
                    <w:color w:val="000000"/>
                  </w:rPr>
                  <w:t>(DAWE, 2020)</w:t>
                </w:r>
              </w:sdtContent>
            </w:sdt>
            <w:r>
              <w:rPr>
                <w:iCs/>
              </w:rPr>
              <w:t>.</w:t>
            </w:r>
          </w:p>
        </w:tc>
      </w:tr>
      <w:tr w:rsidR="000B173B" w:rsidRPr="000816D6" w14:paraId="4922FA50" w14:textId="77777777" w:rsidTr="00A15226">
        <w:tc>
          <w:tcPr>
            <w:tcW w:w="1526" w:type="dxa"/>
            <w:vAlign w:val="center"/>
          </w:tcPr>
          <w:p w14:paraId="070B10DF"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4E92F1EF" w14:textId="77777777" w:rsidR="000B173B" w:rsidRPr="002038D6" w:rsidRDefault="000B173B" w:rsidP="00A15226">
            <w:pPr>
              <w:pStyle w:val="Tabletext"/>
            </w:pPr>
            <w:r>
              <w:t xml:space="preserve">The Australian Fairy Tern occurs in southern Australia from the Montebello Islands of the Pilbara in Western Australia to Botany Bay NSW, with a gap in distribution across the Great Australian Bight </w:t>
            </w:r>
            <w:sdt>
              <w:sdtPr>
                <w:rPr>
                  <w:color w:val="000000"/>
                </w:rPr>
                <w:tag w:val="MENDELEY_CITATION_v3_eyJjaXRhdGlvbklEIjoiTUVOREVMRVlfQ0lUQVRJT05fZmZiZTJiMWMtNzA2ZC00OWM4LThhZGItNmQ0NTg4NjMwNGQ0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432347316"/>
                <w:placeholder>
                  <w:docPart w:val="7A87483195E49548AABB39FF484A13FE"/>
                </w:placeholder>
              </w:sdtPr>
              <w:sdtContent>
                <w:r w:rsidRPr="002F46CE">
                  <w:rPr>
                    <w:color w:val="000000"/>
                  </w:rPr>
                  <w:t>(DAWE, 2020)</w:t>
                </w:r>
              </w:sdtContent>
            </w:sdt>
            <w:r>
              <w:t xml:space="preserve">. Within Victoria, the species occurs in the following NRM regions – Corangamite, East Gippsland, West Gippsland, and Port Phillip and Western Port </w:t>
            </w:r>
            <w:sdt>
              <w:sdtPr>
                <w:rPr>
                  <w:color w:val="000000"/>
                </w:rPr>
                <w:tag w:val="MENDELEY_CITATION_v3_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"/>
                <w:id w:val="2048638530"/>
                <w:placeholder>
                  <w:docPart w:val="7A87483195E49548AABB39FF484A13FE"/>
                </w:placeholder>
              </w:sdtPr>
              <w:sdtContent>
                <w:r w:rsidRPr="002F46CE">
                  <w:rPr>
                    <w:color w:val="000000"/>
                  </w:rPr>
                  <w:t>(DSEWPaC, 2011a)</w:t>
                </w:r>
              </w:sdtContent>
            </w:sdt>
            <w:r>
              <w:t xml:space="preserve">. The number of nesting colonies has declined, particularly around the Victorian coastline </w:t>
            </w:r>
            <w:sdt>
              <w:sdtPr>
                <w:rPr>
                  <w:color w:val="000000"/>
                </w:rPr>
                <w:tag w:val="MENDELEY_CITATION_v3_eyJjaXRhdGlvbklEIjoiTUVOREVMRVlfQ0lUQVRJT05fYzMwOTdhNDItZWQzZC00YTAxLThiMWQtNzE5M2I1M2M0NDVl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442030383"/>
                <w:placeholder>
                  <w:docPart w:val="7A87483195E49548AABB39FF484A13FE"/>
                </w:placeholder>
              </w:sdtPr>
              <w:sdtContent>
                <w:r w:rsidRPr="002F46CE">
                  <w:rPr>
                    <w:color w:val="000000"/>
                  </w:rPr>
                  <w:t>(DAWE, 2020)</w:t>
                </w:r>
              </w:sdtContent>
            </w:sdt>
            <w:r>
              <w:t>.The species extent of occurrence is approximately 380,000 km</w:t>
            </w:r>
            <w:r>
              <w:rPr>
                <w:vertAlign w:val="superscript"/>
              </w:rPr>
              <w:t xml:space="preserve">2 </w:t>
            </w:r>
            <w:r>
              <w:t>and the area of occupancy is estimated to be 1,150 km</w:t>
            </w:r>
            <w:r>
              <w:rPr>
                <w:vertAlign w:val="superscript"/>
              </w:rPr>
              <w:t xml:space="preserve">2 </w:t>
            </w:r>
            <w:sdt>
              <w:sdtPr>
                <w:rPr>
                  <w:color w:val="000000"/>
                </w:rPr>
                <w:tag w:val="MENDELEY_CITATION_v3_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"/>
                <w:id w:val="-358509390"/>
                <w:placeholder>
                  <w:docPart w:val="7A87483195E49548AABB39FF484A13FE"/>
                </w:placeholder>
              </w:sdtPr>
              <w:sdtContent>
                <w:r w:rsidRPr="002F46CE">
                  <w:rPr>
                    <w:color w:val="000000"/>
                  </w:rPr>
                  <w:t>(DSEWPaC, 2011a)</w:t>
                </w:r>
              </w:sdtContent>
            </w:sdt>
            <w:r>
              <w:rPr>
                <w:iCs/>
              </w:rPr>
              <w:t>.</w:t>
            </w:r>
          </w:p>
          <w:p w14:paraId="76583D21" w14:textId="77777777" w:rsidR="000B173B" w:rsidRDefault="000B173B" w:rsidP="00A15226">
            <w:pPr>
              <w:pStyle w:val="Tabletext"/>
            </w:pPr>
            <w:r>
              <w:t xml:space="preserve">The Australian Fairy Tern uses a variety of habitats including offshore, estuarine or lacustrine (lake) islands, coastal wetlands, beaches and sand spits. Nesting habitat consists of a shallow scrape in the sand which may be lined with vegetation or small shells. In Victoria, the species uses seagrass covered beaches for nesting </w:t>
            </w:r>
            <w:sdt>
              <w:sdtPr>
                <w:rPr>
                  <w:color w:val="000000"/>
                </w:rPr>
                <w:tag w:val="MENDELEY_CITATION_v3_eyJjaXRhdGlvbklEIjoiTUVOREVMRVlfQ0lUQVRJT05fY2I3MDYwYmEtMWViNi00NWRlLWE0MzAtNWQ2MGY0ZDg3OWI5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556474271"/>
                <w:placeholder>
                  <w:docPart w:val="7A87483195E49548AABB39FF484A13FE"/>
                </w:placeholder>
              </w:sdtPr>
              <w:sdtContent>
                <w:r w:rsidRPr="002F46CE">
                  <w:rPr>
                    <w:color w:val="000000"/>
                  </w:rPr>
                  <w:t>(DAWE, 2020)</w:t>
                </w:r>
              </w:sdtContent>
            </w:sdt>
            <w:r>
              <w:t>.</w:t>
            </w:r>
          </w:p>
          <w:p w14:paraId="322E1CFD" w14:textId="77777777" w:rsidR="000B173B" w:rsidRDefault="000B173B" w:rsidP="00A15226">
            <w:pPr>
              <w:pStyle w:val="Tabletext"/>
            </w:pPr>
            <w:r>
              <w:t xml:space="preserve">The species’ Recovery Plan notes that it is not possible to generate one detailed description or definition of habitat critical to the survival of the species. Instead, the Recovery Plan notes that habitat critical to the survival of the species is more usefully considered at a bioregional scale, which acknowledges the species occurs within a mosaic of coastal habitats. As a guide, habitat critical to the survival of the species can be considered to comprise </w:t>
            </w:r>
            <w:sdt>
              <w:sdtPr>
                <w:rPr>
                  <w:color w:val="000000"/>
                </w:rPr>
                <w:tag w:val="MENDELEY_CITATION_v3_eyJjaXRhdGlvbklEIjoiTUVOREVMRVlfQ0lUQVRJT05fODIzNGY0NzItNzcyYi00MDYzLWEyNzEtMDJiN2FkYWI3NWU0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729487039"/>
                <w:placeholder>
                  <w:docPart w:val="7A87483195E49548AABB39FF484A13FE"/>
                </w:placeholder>
              </w:sdtPr>
              <w:sdtContent>
                <w:r w:rsidRPr="002F46CE">
                  <w:rPr>
                    <w:color w:val="000000"/>
                  </w:rPr>
                  <w:t>(DAWE, 2020)</w:t>
                </w:r>
              </w:sdtContent>
            </w:sdt>
            <w:r>
              <w:t>:</w:t>
            </w:r>
          </w:p>
          <w:p w14:paraId="2E1AF572" w14:textId="77777777" w:rsidR="000B173B" w:rsidRPr="00BE33D6" w:rsidRDefault="000B173B" w:rsidP="00A15226">
            <w:pPr>
              <w:pStyle w:val="Bullet1"/>
              <w:rPr>
                <w:i/>
                <w:iCs/>
              </w:rPr>
            </w:pPr>
            <w:r w:rsidRPr="00BE33D6">
              <w:rPr>
                <w:i/>
                <w:iCs/>
              </w:rPr>
              <w:t>Suitable habitat where the species is known or likely to breed or forage as shown in the indicative distribution map</w:t>
            </w:r>
          </w:p>
          <w:p w14:paraId="5B46E097" w14:textId="77777777" w:rsidR="000B173B" w:rsidRPr="00AB5005" w:rsidRDefault="000B173B" w:rsidP="00A15226">
            <w:pPr>
              <w:pStyle w:val="Bullet1"/>
              <w:rPr>
                <w:i/>
                <w:iCs/>
              </w:rPr>
            </w:pPr>
            <w:r w:rsidRPr="00BE33D6">
              <w:rPr>
                <w:i/>
                <w:iCs/>
              </w:rPr>
              <w:t>Any suitable habitat outside the above area that may be periodically occupied by non-breeding Australian Fairy Terns</w:t>
            </w:r>
          </w:p>
        </w:tc>
      </w:tr>
      <w:tr w:rsidR="000B173B" w:rsidRPr="000816D6" w14:paraId="28297DBC" w14:textId="77777777" w:rsidTr="00A15226">
        <w:tc>
          <w:tcPr>
            <w:tcW w:w="1526" w:type="dxa"/>
            <w:vAlign w:val="center"/>
          </w:tcPr>
          <w:p w14:paraId="5DE9B9C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6A883A7D" w14:textId="77777777" w:rsidR="000B173B" w:rsidRDefault="000B173B" w:rsidP="00A15226">
            <w:pPr>
              <w:pStyle w:val="Tabletext"/>
            </w:pPr>
            <w:r>
              <w:t xml:space="preserve">The population of the Australian Fairy Tern is estimated at 7,450, of which approximately 100 – 150 occur in Victoria. There has been a decline in breeding pairs within Victoria. There have been few records documenting successful breeding attempts over the last decade within Western Port Ramsar site and Port Phillip Bay. Gippsland Lakes Ramsar site continues to host breeding Australian Fairy Terns </w:t>
            </w:r>
            <w:sdt>
              <w:sdtPr>
                <w:rPr>
                  <w:color w:val="000000"/>
                </w:rPr>
                <w:tag w:val="MENDELEY_CITATION_v3_eyJjaXRhdGlvbklEIjoiTUVOREVMRVlfQ0lUQVRJT05fZjI5ZTgxYWQtOTI1ZS00Y2FmLTgxZjktNmQ0ZDIzZjQ4Y2Jk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059983595"/>
                <w:placeholder>
                  <w:docPart w:val="7A87483195E49548AABB39FF484A13FE"/>
                </w:placeholder>
              </w:sdtPr>
              <w:sdtContent>
                <w:r w:rsidRPr="002F46CE">
                  <w:rPr>
                    <w:color w:val="000000"/>
                  </w:rPr>
                  <w:t>(DAWE, 2020)</w:t>
                </w:r>
              </w:sdtContent>
            </w:sdt>
            <w:r>
              <w:t>.</w:t>
            </w:r>
          </w:p>
          <w:p w14:paraId="0738C6A6" w14:textId="77777777" w:rsidR="000B173B" w:rsidRPr="003E1ADD" w:rsidRDefault="000B173B" w:rsidP="00A15226">
            <w:pPr>
              <w:pStyle w:val="Tabletext"/>
            </w:pPr>
            <w:r>
              <w:t xml:space="preserve">The Tasmanian and Victorian populations may form a single subpopulation </w:t>
            </w:r>
            <w:sdt>
              <w:sdtPr>
                <w:rPr>
                  <w:color w:val="000000"/>
                </w:rPr>
                <w:tag w:val="MENDELEY_CITATION_v3_eyJjaXRhdGlvbklEIjoiTUVOREVMRVlfQ0lUQVRJT05fMWY0NDRiYjEtMjE3NS00M2U5LThkMDctNDE4OGQ5ODQyY2Fl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750930737"/>
                <w:placeholder>
                  <w:docPart w:val="7A87483195E49548AABB39FF484A13FE"/>
                </w:placeholder>
              </w:sdtPr>
              <w:sdtContent>
                <w:r w:rsidRPr="002F46CE">
                  <w:rPr>
                    <w:color w:val="000000"/>
                  </w:rPr>
                  <w:t>(DAWE, 2020)</w:t>
                </w:r>
              </w:sdtContent>
            </w:sdt>
            <w:r>
              <w:t>.</w:t>
            </w:r>
          </w:p>
        </w:tc>
      </w:tr>
      <w:tr w:rsidR="000B173B" w:rsidRPr="002F23FB" w14:paraId="20534620" w14:textId="77777777" w:rsidTr="00A15226">
        <w:tc>
          <w:tcPr>
            <w:tcW w:w="1526" w:type="dxa"/>
            <w:vAlign w:val="center"/>
          </w:tcPr>
          <w:p w14:paraId="5AC96E4F"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7C99C4CE" w14:textId="77777777" w:rsidR="000B173B" w:rsidRDefault="000B173B" w:rsidP="00A15226">
            <w:pPr>
              <w:pStyle w:val="Tabletext"/>
            </w:pPr>
            <w:r>
              <w:t>The species Recovery Plan and Conservation Advice identifies the following threats</w:t>
            </w:r>
            <w:r>
              <w:rPr>
                <w:iCs/>
              </w:rPr>
              <w:t xml:space="preserve"> </w:t>
            </w:r>
            <w:sdt>
              <w:sdtPr>
                <w:rPr>
                  <w:iCs/>
                  <w:color w:val="000000"/>
                </w:rPr>
                <w:tag w:val="MENDELEY_CITATION_v3_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"/>
                <w:id w:val="-1686434931"/>
                <w:placeholder>
                  <w:docPart w:val="7A87483195E49548AABB39FF484A13FE"/>
                </w:placeholder>
              </w:sdtPr>
              <w:sdtEndPr>
                <w:rPr>
                  <w:iCs w:val="0"/>
                </w:rPr>
              </w:sdtEndPr>
              <w:sdtContent>
                <w:r w:rsidRPr="002F46CE">
                  <w:rPr>
                    <w:color w:val="000000"/>
                  </w:rPr>
                  <w:t>(DSEWPaC, 2011a; DAWE, 2020)</w:t>
                </w:r>
              </w:sdtContent>
            </w:sdt>
            <w:r>
              <w:t>:</w:t>
            </w:r>
          </w:p>
          <w:p w14:paraId="3220198F" w14:textId="77777777" w:rsidR="000B173B" w:rsidRDefault="000B173B" w:rsidP="00A15226">
            <w:pPr>
              <w:pStyle w:val="Bullet1"/>
            </w:pPr>
            <w:r>
              <w:t>Habitat degradation and loss of breeding habitat</w:t>
            </w:r>
          </w:p>
          <w:p w14:paraId="14814D0E" w14:textId="77777777" w:rsidR="000B173B" w:rsidRDefault="000B173B" w:rsidP="00A15226">
            <w:pPr>
              <w:pStyle w:val="Bullet1"/>
            </w:pPr>
            <w:r>
              <w:t>Disturbance by humans, dogs and vehicles</w:t>
            </w:r>
          </w:p>
          <w:p w14:paraId="3F75DE37" w14:textId="77777777" w:rsidR="000B173B" w:rsidRDefault="000B173B" w:rsidP="00A15226">
            <w:pPr>
              <w:pStyle w:val="Bullet1"/>
            </w:pPr>
            <w:r>
              <w:lastRenderedPageBreak/>
              <w:t>Predation by introduced species such as foxes, dogs, cats, rats, and by native species</w:t>
            </w:r>
          </w:p>
          <w:p w14:paraId="27DAAC70" w14:textId="77777777" w:rsidR="000B173B" w:rsidRDefault="000B173B" w:rsidP="00A15226">
            <w:pPr>
              <w:pStyle w:val="Bullet1"/>
            </w:pPr>
            <w:r>
              <w:t>Road traffic mortality of chicks which are fledging or practising flight</w:t>
            </w:r>
          </w:p>
          <w:p w14:paraId="0B1610F8" w14:textId="77777777" w:rsidR="000B173B" w:rsidRDefault="000B173B" w:rsidP="00A15226">
            <w:pPr>
              <w:pStyle w:val="Bullet1"/>
            </w:pPr>
            <w:r>
              <w:t>Invasive plants</w:t>
            </w:r>
          </w:p>
          <w:p w14:paraId="6895AA1F" w14:textId="77777777" w:rsidR="000B173B" w:rsidRDefault="000B173B" w:rsidP="00A15226">
            <w:pPr>
              <w:pStyle w:val="Bullet1"/>
            </w:pPr>
            <w:r>
              <w:t>Climate variability and change, and extreme weather events</w:t>
            </w:r>
          </w:p>
          <w:p w14:paraId="50AC51A9" w14:textId="77777777" w:rsidR="000B173B" w:rsidRDefault="000B173B" w:rsidP="00A15226">
            <w:pPr>
              <w:pStyle w:val="Bullet1"/>
            </w:pPr>
            <w:r>
              <w:t>Inappropriate water regimes and water pollution in foraging habitat</w:t>
            </w:r>
          </w:p>
          <w:p w14:paraId="7DC59788" w14:textId="77777777" w:rsidR="000B173B" w:rsidRPr="003E1ADD" w:rsidRDefault="000B173B" w:rsidP="00A15226">
            <w:pPr>
              <w:pStyle w:val="Bullet1"/>
            </w:pPr>
            <w:r>
              <w:t>Hybridisation with Little Terns</w:t>
            </w:r>
          </w:p>
        </w:tc>
      </w:tr>
      <w:tr w:rsidR="000B173B" w:rsidRPr="002F23FB" w14:paraId="373F1370" w14:textId="77777777" w:rsidTr="00A15226">
        <w:tc>
          <w:tcPr>
            <w:tcW w:w="1526" w:type="dxa"/>
            <w:vAlign w:val="center"/>
          </w:tcPr>
          <w:p w14:paraId="35B60DEC"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RELEVANT PLANS AND POLICIES</w:t>
            </w:r>
          </w:p>
        </w:tc>
        <w:tc>
          <w:tcPr>
            <w:tcW w:w="8113" w:type="dxa"/>
            <w:vAlign w:val="center"/>
          </w:tcPr>
          <w:p w14:paraId="2440D779" w14:textId="77777777" w:rsidR="000B173B" w:rsidRDefault="000B173B" w:rsidP="00A15226">
            <w:pPr>
              <w:pStyle w:val="Tabletext"/>
              <w:rPr>
                <w:iCs/>
              </w:rPr>
            </w:pPr>
            <w:r w:rsidRPr="007B1E69">
              <w:rPr>
                <w:iCs/>
              </w:rPr>
              <w:t xml:space="preserve">Approved Conservation Advice for </w:t>
            </w:r>
            <w:r w:rsidRPr="004F0379">
              <w:rPr>
                <w:i/>
              </w:rPr>
              <w:t xml:space="preserve">Sternula nereis nereis </w:t>
            </w:r>
            <w:r w:rsidRPr="007B1E69">
              <w:rPr>
                <w:iCs/>
              </w:rPr>
              <w:t>(Fairy Tern)</w:t>
            </w:r>
            <w:r>
              <w:rPr>
                <w:iCs/>
              </w:rPr>
              <w:t xml:space="preserve"> </w:t>
            </w:r>
            <w:sdt>
              <w:sdtPr>
                <w:rPr>
                  <w:iCs/>
                  <w:color w:val="000000"/>
                </w:rPr>
                <w:tag w:val="MENDELEY_CITATION_v3_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"/>
                <w:id w:val="-1949770097"/>
                <w:placeholder>
                  <w:docPart w:val="7A87483195E49548AABB39FF484A13FE"/>
                </w:placeholder>
              </w:sdtPr>
              <w:sdtEndPr>
                <w:rPr>
                  <w:iCs w:val="0"/>
                </w:rPr>
              </w:sdtEndPr>
              <w:sdtContent>
                <w:r w:rsidRPr="002F46CE">
                  <w:rPr>
                    <w:color w:val="000000"/>
                  </w:rPr>
                  <w:t>(DSEWPaC, 2011a)</w:t>
                </w:r>
              </w:sdtContent>
            </w:sdt>
          </w:p>
          <w:p w14:paraId="66971465" w14:textId="77777777" w:rsidR="000B173B" w:rsidRDefault="000B173B" w:rsidP="00A15226">
            <w:pPr>
              <w:pStyle w:val="Tabletext"/>
              <w:rPr>
                <w:iCs/>
              </w:rPr>
            </w:pPr>
            <w:r w:rsidRPr="004F0379">
              <w:rPr>
                <w:iCs/>
              </w:rPr>
              <w:t xml:space="preserve">Commonwealth Listing Advice on </w:t>
            </w:r>
            <w:r w:rsidRPr="004F0379">
              <w:rPr>
                <w:i/>
              </w:rPr>
              <w:t>Sternula nereis nereis</w:t>
            </w:r>
            <w:r w:rsidRPr="004F0379">
              <w:rPr>
                <w:iCs/>
              </w:rPr>
              <w:t xml:space="preserve"> (Fairy Tern)</w:t>
            </w:r>
            <w:r>
              <w:rPr>
                <w:iCs/>
              </w:rPr>
              <w:t xml:space="preserve"> </w:t>
            </w:r>
            <w:sdt>
              <w:sdtPr>
                <w:rPr>
                  <w:iCs/>
                  <w:color w:val="000000"/>
                </w:rPr>
                <w:tag w:val="MENDELEY_CITATION_v3_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"/>
                <w:id w:val="-1232072437"/>
                <w:placeholder>
                  <w:docPart w:val="7A87483195E49548AABB39FF484A13FE"/>
                </w:placeholder>
              </w:sdtPr>
              <w:sdtEndPr>
                <w:rPr>
                  <w:iCs w:val="0"/>
                </w:rPr>
              </w:sdtEndPr>
              <w:sdtContent>
                <w:r w:rsidRPr="002F46CE">
                  <w:rPr>
                    <w:color w:val="000000"/>
                  </w:rPr>
                  <w:t>(TSSC, 2011b)</w:t>
                </w:r>
              </w:sdtContent>
            </w:sdt>
          </w:p>
          <w:p w14:paraId="4CF665EB" w14:textId="77777777" w:rsidR="000B173B" w:rsidRDefault="000B173B" w:rsidP="00A15226">
            <w:pPr>
              <w:pStyle w:val="Tabletext"/>
              <w:rPr>
                <w:iCs/>
              </w:rPr>
            </w:pPr>
            <w:r w:rsidRPr="00A0168F">
              <w:rPr>
                <w:iCs/>
              </w:rPr>
              <w:t>National Recovery Plan for the Australian Fairy Tern (</w:t>
            </w:r>
            <w:r w:rsidRPr="00A0168F">
              <w:rPr>
                <w:i/>
              </w:rPr>
              <w:t>Sternula nereis nereis</w:t>
            </w:r>
            <w:r w:rsidRPr="00A0168F">
              <w:rPr>
                <w:iCs/>
              </w:rPr>
              <w:t>)</w:t>
            </w:r>
            <w:r>
              <w:rPr>
                <w:iCs/>
              </w:rPr>
              <w:t xml:space="preserve"> </w:t>
            </w:r>
            <w:sdt>
              <w:sdtPr>
                <w:rPr>
                  <w:iCs/>
                  <w:color w:val="000000"/>
                </w:rPr>
                <w:tag w:val="MENDELEY_CITATION_v3_eyJjaXRhdGlvbklEIjoiTUVOREVMRVlfQ0lUQVRJT05fZDM1YWMzMTQtYjViMi00Yjg4LTgwNWMtZWY2MDgxYTM4Y2Mx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571928550"/>
                <w:placeholder>
                  <w:docPart w:val="7A87483195E49548AABB39FF484A13FE"/>
                </w:placeholder>
              </w:sdtPr>
              <w:sdtEndPr>
                <w:rPr>
                  <w:iCs w:val="0"/>
                </w:rPr>
              </w:sdtEndPr>
              <w:sdtContent>
                <w:r w:rsidRPr="002F46CE">
                  <w:rPr>
                    <w:color w:val="000000"/>
                  </w:rPr>
                  <w:t>(DAWE, 2020)</w:t>
                </w:r>
              </w:sdtContent>
            </w:sdt>
          </w:p>
          <w:p w14:paraId="23B0D28C" w14:textId="77777777" w:rsidR="000B173B" w:rsidRDefault="000B173B" w:rsidP="00A15226">
            <w:pPr>
              <w:pStyle w:val="Tabletext"/>
              <w:rPr>
                <w:iCs/>
              </w:rPr>
            </w:pPr>
            <w:r w:rsidRPr="00A0168F">
              <w:rPr>
                <w:iCs/>
              </w:rPr>
              <w:t>Threat abatement plan for predation by feral cats</w:t>
            </w:r>
            <w:r>
              <w:rPr>
                <w:iCs/>
              </w:rPr>
              <w:t xml:space="preserve"> </w:t>
            </w:r>
            <w:sdt>
              <w:sdtPr>
                <w:rPr>
                  <w:iCs/>
                  <w:color w:val="000000"/>
                </w:rPr>
                <w:tag w:val="MENDELEY_CITATION_v3_eyJjaXRhdGlvbklEIjoiTUVOREVMRVlfQ0lUQVRJT05fYjU2Y2U2YjktNmFlMi00OWFlLWJmNGQtMDRmODg4NmJiOTY0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542821181"/>
                <w:placeholder>
                  <w:docPart w:val="7A87483195E49548AABB39FF484A13FE"/>
                </w:placeholder>
              </w:sdtPr>
              <w:sdtEndPr>
                <w:rPr>
                  <w:iCs w:val="0"/>
                </w:rPr>
              </w:sdtEndPr>
              <w:sdtContent>
                <w:r w:rsidRPr="002F46CE">
                  <w:rPr>
                    <w:color w:val="000000"/>
                  </w:rPr>
                  <w:t>(DoE, 2015h)</w:t>
                </w:r>
              </w:sdtContent>
            </w:sdt>
            <w:r w:rsidRPr="0031184E">
              <w:rPr>
                <w:iCs/>
              </w:rPr>
              <w:t xml:space="preserve"> </w:t>
            </w:r>
          </w:p>
          <w:p w14:paraId="518A0718" w14:textId="77777777" w:rsidR="000B173B" w:rsidRPr="003E1ADD" w:rsidRDefault="000B173B" w:rsidP="00A15226">
            <w:pPr>
              <w:pStyle w:val="Tabletext"/>
              <w:rPr>
                <w:iCs/>
              </w:rPr>
            </w:pPr>
            <w:r w:rsidRPr="0031184E">
              <w:rPr>
                <w:iCs/>
              </w:rPr>
              <w:t>Threat abatement plan for predation by the European red fox</w:t>
            </w:r>
            <w:r>
              <w:rPr>
                <w:iCs/>
              </w:rPr>
              <w:t xml:space="preserve"> </w:t>
            </w:r>
            <w:sdt>
              <w:sdtPr>
                <w:rPr>
                  <w:iCs/>
                  <w:color w:val="000000"/>
                </w:rPr>
                <w:tag w:val="MENDELEY_CITATION_v3_eyJjaXRhdGlvbklEIjoiTUVOREVMRVlfQ0lUQVRJT05fZjM1NjM3NTYtZjk2OC00ZDRlLWE5MDktMGIxNDhlNDZhNDNm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380373892"/>
                <w:placeholder>
                  <w:docPart w:val="7A87483195E49548AABB39FF484A13FE"/>
                </w:placeholder>
              </w:sdtPr>
              <w:sdtEndPr>
                <w:rPr>
                  <w:iCs w:val="0"/>
                </w:rPr>
              </w:sdtEndPr>
              <w:sdtContent>
                <w:r w:rsidRPr="002F46CE">
                  <w:rPr>
                    <w:color w:val="000000"/>
                  </w:rPr>
                  <w:t>(DEWHA, 2008f)</w:t>
                </w:r>
              </w:sdtContent>
            </w:sdt>
          </w:p>
        </w:tc>
      </w:tr>
      <w:tr w:rsidR="000B173B" w:rsidRPr="000816D6" w14:paraId="1468629B" w14:textId="77777777" w:rsidTr="00A15226">
        <w:tc>
          <w:tcPr>
            <w:tcW w:w="1526" w:type="dxa"/>
            <w:vAlign w:val="center"/>
          </w:tcPr>
          <w:p w14:paraId="09D982D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787DFD39" w14:textId="77777777" w:rsidR="000B173B" w:rsidRPr="00980D4D" w:rsidRDefault="000B173B" w:rsidP="00A15226">
            <w:pPr>
              <w:pStyle w:val="Tabletext"/>
            </w:pPr>
            <w:r>
              <w:t>There are no species-specific guidelines for this species.</w:t>
            </w:r>
          </w:p>
        </w:tc>
      </w:tr>
      <w:tr w:rsidR="000B173B" w:rsidRPr="000816D6" w14:paraId="51F42850" w14:textId="77777777" w:rsidTr="00A15226">
        <w:tc>
          <w:tcPr>
            <w:tcW w:w="1526" w:type="dxa"/>
            <w:vAlign w:val="center"/>
          </w:tcPr>
          <w:p w14:paraId="039B813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7FB80712" w14:textId="77777777" w:rsidR="000B173B" w:rsidRPr="003E1ADD" w:rsidRDefault="000B173B" w:rsidP="00A15226">
            <w:pPr>
              <w:pStyle w:val="Tabletext"/>
            </w:pPr>
            <w:hyperlink r:id="rId131" w:history="1">
              <w:r w:rsidRPr="007473F6">
                <w:rPr>
                  <w:rStyle w:val="Hyperlink"/>
                </w:rPr>
                <w:t>http://www.environment.gov.au/cgi-bin/sprat/public/publicspecies.pl?taxon_id=82950</w:t>
              </w:r>
            </w:hyperlink>
            <w:r>
              <w:t xml:space="preserve"> </w:t>
            </w:r>
          </w:p>
        </w:tc>
      </w:tr>
    </w:tbl>
    <w:p w14:paraId="1EBB58C2"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4ACDB036" w14:textId="77777777" w:rsidTr="00A15226">
        <w:tc>
          <w:tcPr>
            <w:tcW w:w="9622" w:type="dxa"/>
            <w:shd w:val="clear" w:color="auto" w:fill="C9C9C9" w:themeFill="accent3" w:themeFillTint="99"/>
          </w:tcPr>
          <w:p w14:paraId="1448E033" w14:textId="77777777" w:rsidR="000B173B" w:rsidRPr="008F55BC" w:rsidRDefault="000B173B" w:rsidP="00A15226">
            <w:pPr>
              <w:pStyle w:val="Tabletext"/>
              <w:rPr>
                <w:b/>
                <w:bCs/>
              </w:rPr>
            </w:pPr>
            <w:r>
              <w:rPr>
                <w:rFonts w:ascii="Helvetica" w:hAnsi="Helvetica"/>
                <w:b/>
                <w:sz w:val="16"/>
                <w:szCs w:val="16"/>
              </w:rPr>
              <w:t>APPROACH TO BASELINE DATA</w:t>
            </w:r>
          </w:p>
        </w:tc>
      </w:tr>
    </w:tbl>
    <w:p w14:paraId="4FEDDD7C"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7356BE07"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61C50688"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5E987023" w14:textId="77777777" w:rsidR="000B173B" w:rsidRPr="00296917" w:rsidRDefault="000B173B" w:rsidP="000B173B">
      <w:pPr>
        <w:rPr>
          <w:i/>
          <w:color w:val="4472C4" w:themeColor="accent1"/>
        </w:rPr>
      </w:pPr>
      <w:r w:rsidRPr="00616501">
        <w:rPr>
          <w:i/>
          <w:color w:val="4472C4" w:themeColor="accent1"/>
        </w:rPr>
        <w:t xml:space="preserve">Please refer to </w:t>
      </w:r>
      <w:r w:rsidRPr="006900FB">
        <w:rPr>
          <w:i/>
          <w:color w:val="4472C4" w:themeColor="accent1"/>
        </w:rPr>
        <w:t>Chapter 13</w:t>
      </w:r>
      <w:r w:rsidRPr="00616501">
        <w:rPr>
          <w:i/>
          <w:color w:val="4472C4" w:themeColor="accent1"/>
        </w:rPr>
        <w:t xml:space="preserve"> f</w:t>
      </w:r>
      <w:r w:rsidRPr="008A0753">
        <w:rPr>
          <w:i/>
          <w:color w:val="4472C4" w:themeColor="accent1"/>
        </w:rPr>
        <w:t>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23BA547D" w14:textId="77777777" w:rsidTr="00A15226">
        <w:tc>
          <w:tcPr>
            <w:tcW w:w="1526" w:type="dxa"/>
            <w:vMerge w:val="restart"/>
            <w:vAlign w:val="center"/>
          </w:tcPr>
          <w:p w14:paraId="1912DBAA"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0381C049"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5B688D9B" w14:textId="77777777" w:rsidTr="00A15226">
        <w:tc>
          <w:tcPr>
            <w:tcW w:w="1526" w:type="dxa"/>
            <w:vMerge/>
            <w:vAlign w:val="center"/>
          </w:tcPr>
          <w:p w14:paraId="3E47FA14" w14:textId="77777777" w:rsidR="000B173B" w:rsidRDefault="000B173B" w:rsidP="00A15226">
            <w:pPr>
              <w:pStyle w:val="Tabletext"/>
              <w:rPr>
                <w:rFonts w:ascii="Helvetica" w:hAnsi="Helvetica"/>
                <w:b/>
                <w:bCs/>
                <w:sz w:val="14"/>
              </w:rPr>
            </w:pPr>
          </w:p>
        </w:tc>
        <w:tc>
          <w:tcPr>
            <w:tcW w:w="8113" w:type="dxa"/>
            <w:vAlign w:val="center"/>
          </w:tcPr>
          <w:p w14:paraId="6A51B3B8"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3BF99C2D" w14:textId="77777777" w:rsidTr="00A15226">
        <w:tc>
          <w:tcPr>
            <w:tcW w:w="1526" w:type="dxa"/>
            <w:vMerge/>
            <w:vAlign w:val="center"/>
          </w:tcPr>
          <w:p w14:paraId="550D6580"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7DFBB271"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5EFB39C7" w14:textId="77777777" w:rsidTr="00A15226">
        <w:tc>
          <w:tcPr>
            <w:tcW w:w="1526" w:type="dxa"/>
            <w:vMerge/>
            <w:vAlign w:val="center"/>
          </w:tcPr>
          <w:p w14:paraId="71E93F3D" w14:textId="77777777" w:rsidR="000B173B" w:rsidRDefault="000B173B" w:rsidP="00A15226">
            <w:pPr>
              <w:pStyle w:val="Tabletext"/>
              <w:rPr>
                <w:rFonts w:ascii="Helvetica" w:hAnsi="Helvetica"/>
                <w:b/>
                <w:bCs/>
                <w:sz w:val="14"/>
              </w:rPr>
            </w:pPr>
          </w:p>
        </w:tc>
        <w:tc>
          <w:tcPr>
            <w:tcW w:w="8113" w:type="dxa"/>
            <w:vAlign w:val="center"/>
          </w:tcPr>
          <w:p w14:paraId="1C2BFFA6"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7EA6159D" w14:textId="77777777" w:rsidTr="00A15226">
        <w:tc>
          <w:tcPr>
            <w:tcW w:w="1526" w:type="dxa"/>
            <w:vMerge/>
            <w:vAlign w:val="center"/>
          </w:tcPr>
          <w:p w14:paraId="66E46327"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62BCC388"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3F2CD2A1" w14:textId="77777777" w:rsidTr="00A15226">
        <w:tc>
          <w:tcPr>
            <w:tcW w:w="1526" w:type="dxa"/>
            <w:vMerge/>
            <w:vAlign w:val="center"/>
          </w:tcPr>
          <w:p w14:paraId="449826BD" w14:textId="77777777" w:rsidR="000B173B" w:rsidRPr="000816D6" w:rsidRDefault="000B173B" w:rsidP="00A15226">
            <w:pPr>
              <w:pStyle w:val="Tabletext"/>
              <w:rPr>
                <w:rFonts w:ascii="Helvetica" w:hAnsi="Helvetica"/>
                <w:b/>
                <w:bCs/>
                <w:sz w:val="14"/>
              </w:rPr>
            </w:pPr>
          </w:p>
        </w:tc>
        <w:tc>
          <w:tcPr>
            <w:tcW w:w="8113" w:type="dxa"/>
            <w:vAlign w:val="center"/>
          </w:tcPr>
          <w:p w14:paraId="1C13007F"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2006C7D4" w14:textId="77777777" w:rsidR="000B173B" w:rsidRPr="00980D4D" w:rsidRDefault="000B173B" w:rsidP="00A15226">
            <w:pPr>
              <w:pStyle w:val="Tabletext"/>
            </w:pPr>
            <w:r w:rsidRPr="00B03721">
              <w:t>Refer to</w:t>
            </w:r>
            <w:r>
              <w:t xml:space="preserve"> </w:t>
            </w:r>
            <w:r w:rsidRPr="006900FB">
              <w:t>Chapter 13 of Part 3</w:t>
            </w:r>
            <w:r>
              <w:t xml:space="preserve"> for a detailed description of the baseline mapping, landholder surveys, and HIMs.</w:t>
            </w:r>
          </w:p>
        </w:tc>
      </w:tr>
      <w:tr w:rsidR="000B173B" w:rsidRPr="003E1ADD" w14:paraId="2DD8C605" w14:textId="77777777" w:rsidTr="00A15226">
        <w:tc>
          <w:tcPr>
            <w:tcW w:w="1526" w:type="dxa"/>
            <w:vMerge w:val="restart"/>
            <w:vAlign w:val="center"/>
          </w:tcPr>
          <w:p w14:paraId="35993053"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50DF9EB7"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4CDE1EC0" w14:textId="77777777" w:rsidTr="00A15226">
        <w:tc>
          <w:tcPr>
            <w:tcW w:w="1526" w:type="dxa"/>
            <w:vMerge/>
            <w:vAlign w:val="center"/>
          </w:tcPr>
          <w:p w14:paraId="70318B19" w14:textId="77777777" w:rsidR="000B173B" w:rsidRDefault="000B173B" w:rsidP="00A15226">
            <w:pPr>
              <w:pStyle w:val="Tabletext"/>
              <w:rPr>
                <w:rFonts w:ascii="Helvetica" w:hAnsi="Helvetica"/>
                <w:b/>
                <w:bCs/>
                <w:sz w:val="14"/>
              </w:rPr>
            </w:pPr>
          </w:p>
        </w:tc>
        <w:tc>
          <w:tcPr>
            <w:tcW w:w="8113" w:type="dxa"/>
            <w:vAlign w:val="center"/>
          </w:tcPr>
          <w:p w14:paraId="37B243C1" w14:textId="77777777" w:rsidR="000B173B" w:rsidRPr="00BB022D" w:rsidRDefault="000B173B" w:rsidP="00A15226">
            <w:pPr>
              <w:pStyle w:val="Tabletext"/>
            </w:pPr>
            <w:r w:rsidRPr="004178E5">
              <w:t>Species records were compiled from the VBA and surveys undertaken for the project. The VBA records were filtered to remove records from prior to 1990 for the purpose of the impact assessment.</w:t>
            </w:r>
          </w:p>
        </w:tc>
      </w:tr>
      <w:tr w:rsidR="000B173B" w:rsidRPr="003E1ADD" w14:paraId="7965F13B" w14:textId="77777777" w:rsidTr="00A15226">
        <w:tc>
          <w:tcPr>
            <w:tcW w:w="1526" w:type="dxa"/>
            <w:vMerge/>
            <w:vAlign w:val="center"/>
          </w:tcPr>
          <w:p w14:paraId="004E8B36"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603F59D4"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5E926AA8" w14:textId="77777777" w:rsidTr="00A15226">
        <w:tc>
          <w:tcPr>
            <w:tcW w:w="1526" w:type="dxa"/>
            <w:vMerge/>
            <w:vAlign w:val="center"/>
          </w:tcPr>
          <w:p w14:paraId="56E45D24" w14:textId="77777777" w:rsidR="000B173B" w:rsidRDefault="000B173B" w:rsidP="00A15226">
            <w:pPr>
              <w:pStyle w:val="Tabletext"/>
              <w:rPr>
                <w:rFonts w:ascii="Helvetica" w:hAnsi="Helvetica"/>
                <w:b/>
                <w:bCs/>
                <w:sz w:val="14"/>
              </w:rPr>
            </w:pPr>
          </w:p>
        </w:tc>
        <w:tc>
          <w:tcPr>
            <w:tcW w:w="8113" w:type="dxa"/>
            <w:vAlign w:val="center"/>
          </w:tcPr>
          <w:p w14:paraId="11D61FE6" w14:textId="77777777" w:rsidR="000B173B" w:rsidRPr="00BB022D" w:rsidRDefault="000B173B" w:rsidP="00A15226">
            <w:pPr>
              <w:pStyle w:val="Bullet1"/>
              <w:numPr>
                <w:ilvl w:val="0"/>
                <w:numId w:val="0"/>
              </w:numPr>
              <w:ind w:left="360" w:hanging="360"/>
            </w:pPr>
            <w:r w:rsidRPr="006A4149">
              <w:t xml:space="preserve">VBA records for the </w:t>
            </w:r>
            <w:r>
              <w:t>Australian Fairy Tern</w:t>
            </w:r>
            <w:r w:rsidRPr="006A4149">
              <w:t xml:space="preserve"> used in this assessment were downloaded in June 2022.</w:t>
            </w:r>
          </w:p>
        </w:tc>
      </w:tr>
      <w:tr w:rsidR="000B173B" w:rsidRPr="003E1ADD" w14:paraId="112D88A3" w14:textId="77777777" w:rsidTr="00A15226">
        <w:tc>
          <w:tcPr>
            <w:tcW w:w="1526" w:type="dxa"/>
            <w:vMerge/>
            <w:vAlign w:val="center"/>
          </w:tcPr>
          <w:p w14:paraId="3212A066"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FA03C14"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49088013" w14:textId="77777777" w:rsidTr="00A15226">
        <w:tc>
          <w:tcPr>
            <w:tcW w:w="1526" w:type="dxa"/>
            <w:vMerge/>
            <w:vAlign w:val="center"/>
          </w:tcPr>
          <w:p w14:paraId="1ADF7FA0" w14:textId="77777777" w:rsidR="000B173B" w:rsidRDefault="000B173B" w:rsidP="00A15226">
            <w:pPr>
              <w:pStyle w:val="Tabletext"/>
              <w:rPr>
                <w:rFonts w:ascii="Helvetica" w:hAnsi="Helvetica"/>
                <w:b/>
                <w:bCs/>
                <w:sz w:val="14"/>
              </w:rPr>
            </w:pPr>
          </w:p>
        </w:tc>
        <w:tc>
          <w:tcPr>
            <w:tcW w:w="8113" w:type="dxa"/>
            <w:vAlign w:val="center"/>
          </w:tcPr>
          <w:p w14:paraId="0B2FEFA0" w14:textId="77777777" w:rsidR="000B173B" w:rsidRPr="00BB022D" w:rsidRDefault="000B173B" w:rsidP="00A15226">
            <w:pPr>
              <w:pStyle w:val="Tabletext"/>
            </w:pPr>
            <w:r>
              <w:t xml:space="preserve">All records within the Study Area were considered a single population. This is because the species within Victoria is thought to comprise a single subpopulation population </w:t>
            </w:r>
            <w:sdt>
              <w:sdtPr>
                <w:rPr>
                  <w:color w:val="000000"/>
                </w:rPr>
                <w:tag w:val="MENDELEY_CITATION_v3_eyJjaXRhdGlvbklEIjoiTUVOREVMRVlfQ0lUQVRJT05fZTc3MGRjMjgtMmQxMi00ZjgxLWFjYTQtODczZTMyYzFmOTJm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2052755796"/>
                <w:placeholder>
                  <w:docPart w:val="7A87483195E49548AABB39FF484A13FE"/>
                </w:placeholder>
              </w:sdtPr>
              <w:sdtContent>
                <w:r w:rsidRPr="002F46CE">
                  <w:rPr>
                    <w:color w:val="000000"/>
                  </w:rPr>
                  <w:t>(DAWE, 2020)</w:t>
                </w:r>
              </w:sdtContent>
            </w:sdt>
            <w:r>
              <w:t>.</w:t>
            </w:r>
          </w:p>
        </w:tc>
      </w:tr>
    </w:tbl>
    <w:p w14:paraId="66264685"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07A7DD31" w14:textId="77777777" w:rsidTr="00A15226">
        <w:tc>
          <w:tcPr>
            <w:tcW w:w="9622" w:type="dxa"/>
            <w:shd w:val="clear" w:color="auto" w:fill="C9C9C9" w:themeFill="accent3" w:themeFillTint="99"/>
          </w:tcPr>
          <w:p w14:paraId="656C528D" w14:textId="77777777" w:rsidR="000B173B" w:rsidRPr="008F55BC" w:rsidRDefault="000B173B" w:rsidP="00A15226">
            <w:pPr>
              <w:pStyle w:val="Tabletext"/>
              <w:rPr>
                <w:b/>
                <w:bCs/>
              </w:rPr>
            </w:pPr>
            <w:r>
              <w:rPr>
                <w:rFonts w:ascii="Helvetica" w:hAnsi="Helvetica"/>
                <w:b/>
                <w:sz w:val="16"/>
                <w:szCs w:val="16"/>
              </w:rPr>
              <w:lastRenderedPageBreak/>
              <w:t>OC</w:t>
            </w:r>
            <w:r w:rsidRPr="008F55BC">
              <w:rPr>
                <w:rFonts w:ascii="Helvetica" w:hAnsi="Helvetica"/>
                <w:b/>
                <w:sz w:val="16"/>
                <w:szCs w:val="16"/>
              </w:rPr>
              <w:t>C</w:t>
            </w:r>
            <w:r>
              <w:rPr>
                <w:rFonts w:ascii="Helvetica" w:hAnsi="Helvetica"/>
                <w:b/>
                <w:sz w:val="16"/>
                <w:szCs w:val="16"/>
              </w:rPr>
              <w:t>URRENCE IN THE STUDY AREA</w:t>
            </w:r>
          </w:p>
        </w:tc>
      </w:tr>
    </w:tbl>
    <w:p w14:paraId="4DDD5ED7"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the </w:t>
      </w:r>
      <w:r w:rsidRPr="00CA1943">
        <w:rPr>
          <w:i/>
          <w:iCs/>
          <w:color w:val="4472C4" w:themeColor="accent1"/>
        </w:rPr>
        <w:t>Study Area. It includes reference to a map of records and habitat which can be viewed as a separate file. The map provides critical context for</w:t>
      </w:r>
      <w:r w:rsidRPr="00BB022D">
        <w:rPr>
          <w:i/>
          <w:iCs/>
          <w:color w:val="4472C4" w:themeColor="accent1"/>
        </w:rPr>
        <w:t xml:space="preserve"> the assessment and should be viewed in conjunction with the text presented in this assessment. This section also provides a qualitative description of where records and habitat occur.</w:t>
      </w:r>
    </w:p>
    <w:p w14:paraId="408C473B" w14:textId="77777777" w:rsidR="000B173B" w:rsidRDefault="000B173B" w:rsidP="000B173B">
      <w:r w:rsidRPr="00616501">
        <w:t xml:space="preserve">See </w:t>
      </w:r>
      <w:hyperlink r:id="rId132" w:history="1">
        <w:r w:rsidRPr="00AC291E">
          <w:rPr>
            <w:rStyle w:val="Hyperlink"/>
          </w:rPr>
          <w:t>Map 19-11</w:t>
        </w:r>
      </w:hyperlink>
      <w:r>
        <w:t xml:space="preserve"> for a map of records and habitat across the Strategic Assessment Area.</w:t>
      </w:r>
    </w:p>
    <w:p w14:paraId="60957634" w14:textId="77777777" w:rsidR="000B173B" w:rsidRDefault="000B173B" w:rsidP="000B173B">
      <w:r>
        <w:t xml:space="preserve">There are </w:t>
      </w:r>
      <w:r w:rsidRPr="006900FB">
        <w:t>914 records</w:t>
      </w:r>
      <w:r w:rsidRPr="00134ED1">
        <w:t xml:space="preserve"> from 1990 onwards of the Fairy Tern within the Study Area (comprising </w:t>
      </w:r>
      <w:r w:rsidRPr="006900FB">
        <w:t>5,871 individuals</w:t>
      </w:r>
      <w:r w:rsidRPr="00134ED1">
        <w:t>).</w:t>
      </w:r>
      <w:r>
        <w:t xml:space="preserve"> The most recent record was recorded in 2019. The species has not been recorded within the Strategic Assessment Area.</w:t>
      </w:r>
    </w:p>
    <w:p w14:paraId="60E48593" w14:textId="77777777" w:rsidR="000B173B" w:rsidRDefault="000B173B" w:rsidP="000B173B">
      <w:r w:rsidRPr="003D2BBF">
        <w:t xml:space="preserve">A total </w:t>
      </w:r>
      <w:r w:rsidRPr="00134ED1">
        <w:t xml:space="preserve">of </w:t>
      </w:r>
      <w:r w:rsidRPr="006900FB">
        <w:t>5,155.3 ha</w:t>
      </w:r>
      <w:r w:rsidRPr="00134ED1">
        <w:t xml:space="preserve"> of potential habitat has been mapped within the Study Area. Of this, </w:t>
      </w:r>
      <w:r w:rsidRPr="006900FB">
        <w:t>5.1 ha</w:t>
      </w:r>
      <w:r w:rsidRPr="00134ED1">
        <w:t xml:space="preserve"> o</w:t>
      </w:r>
      <w:r>
        <w:t>f habitat occurs within the Strategic Assessment Area. No habitat has been mapped within the Growth Areas.</w:t>
      </w:r>
    </w:p>
    <w:p w14:paraId="39E54CB1" w14:textId="77777777" w:rsidR="000B173B" w:rsidRDefault="000B173B" w:rsidP="000B173B">
      <w:r>
        <w:t>Mapped habitat and the majority of records (</w:t>
      </w:r>
      <w:r w:rsidRPr="006900FB">
        <w:t>822 records</w:t>
      </w:r>
      <w:r w:rsidRPr="00134ED1">
        <w:t xml:space="preserve">, comprising </w:t>
      </w:r>
      <w:r w:rsidRPr="006900FB">
        <w:t>4,927 individuals</w:t>
      </w:r>
      <w:r w:rsidRPr="00134ED1">
        <w:t>)</w:t>
      </w:r>
      <w:r>
        <w:t xml:space="preserve"> for the Australian Fairy Tern occur along the northern shoreline of Port Phillip Bay, from Limeburners Bay in the west through to the Study Area boundary in the east.</w:t>
      </w:r>
    </w:p>
    <w:p w14:paraId="2CBBF88B" w14:textId="77777777" w:rsidR="000B173B" w:rsidRDefault="000B173B" w:rsidP="000B173B">
      <w:r w:rsidRPr="006900FB">
        <w:t>74 records</w:t>
      </w:r>
      <w:r w:rsidRPr="00134ED1">
        <w:t xml:space="preserve"> (comprising </w:t>
      </w:r>
      <w:r w:rsidRPr="006900FB">
        <w:t>827 individuals</w:t>
      </w:r>
      <w:r w:rsidRPr="00134ED1">
        <w:t>) and</w:t>
      </w:r>
      <w:r>
        <w:t xml:space="preserve"> mapped habitat occur in the Moolap locality. A smaller number of records </w:t>
      </w:r>
      <w:r w:rsidRPr="00134ED1">
        <w:t>(</w:t>
      </w:r>
      <w:r w:rsidRPr="006900FB">
        <w:t>17 records</w:t>
      </w:r>
      <w:r w:rsidRPr="00134ED1">
        <w:t xml:space="preserve">, comprising </w:t>
      </w:r>
      <w:r w:rsidRPr="006900FB">
        <w:t>114 individuals</w:t>
      </w:r>
      <w:r w:rsidRPr="00134ED1">
        <w:t>) and</w:t>
      </w:r>
      <w:r>
        <w:t xml:space="preserve"> mapped habitat occur at the Lake Connewarre Complex.</w:t>
      </w:r>
    </w:p>
    <w:p w14:paraId="423AC8F5" w14:textId="77777777" w:rsidR="000B173B" w:rsidRDefault="000B173B" w:rsidP="000B173B">
      <w:r>
        <w:t>An isolated record occurs near Lara.</w:t>
      </w:r>
    </w:p>
    <w:p w14:paraId="643C3E63" w14:textId="77777777" w:rsidR="000B173B" w:rsidRDefault="000B173B" w:rsidP="000B173B">
      <w:r>
        <w:t>A smaller area of habitat not associated with records occurs in the estuarine environment of Thompson Creek in the south of the Study Area.</w:t>
      </w:r>
    </w:p>
    <w:p w14:paraId="76323E91" w14:textId="77777777" w:rsidR="000B173B" w:rsidRPr="006934FA"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45DA46E6" w14:textId="77777777" w:rsidTr="00A15226">
        <w:trPr>
          <w:cantSplit/>
        </w:trPr>
        <w:tc>
          <w:tcPr>
            <w:tcW w:w="9632" w:type="dxa"/>
            <w:shd w:val="clear" w:color="auto" w:fill="D9D9D9" w:themeFill="background1" w:themeFillShade="D9"/>
            <w:vAlign w:val="center"/>
          </w:tcPr>
          <w:p w14:paraId="00974261" w14:textId="77777777" w:rsidR="000B173B" w:rsidRPr="000816D6" w:rsidRDefault="000B173B" w:rsidP="00A15226">
            <w:pPr>
              <w:pStyle w:val="TableHeadingLarge"/>
            </w:pPr>
            <w:r w:rsidRPr="000816D6">
              <w:rPr>
                <w:rFonts w:ascii="Helvetica" w:hAnsi="Helvetica"/>
              </w:rPr>
              <w:t>POTENTIAL INDIRECT IMPACTS AND MITIGATION</w:t>
            </w:r>
          </w:p>
        </w:tc>
      </w:tr>
    </w:tbl>
    <w:p w14:paraId="61DEC038"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39810168"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251FBD30"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4DA99C13"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7ED5633C" w14:textId="77777777" w:rsidR="000B173B" w:rsidRPr="007C1D70" w:rsidRDefault="000B173B" w:rsidP="000B173B">
      <w:pPr>
        <w:rPr>
          <w:i/>
          <w:color w:val="4472C4" w:themeColor="accent1"/>
        </w:rPr>
      </w:pPr>
      <w:r w:rsidRPr="007C1D70">
        <w:rPr>
          <w:i/>
          <w:color w:val="4472C4" w:themeColor="accent1"/>
        </w:rPr>
        <w:t xml:space="preserve">Please refer to </w:t>
      </w:r>
      <w:r w:rsidRPr="006900FB">
        <w:rPr>
          <w:i/>
          <w:color w:val="4472C4" w:themeColor="accent1"/>
        </w:rPr>
        <w:t>Chapter 19</w:t>
      </w:r>
      <w:r w:rsidRPr="00134ED1">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134ED1">
        <w:rPr>
          <w:i/>
          <w:color w:val="4472C4" w:themeColor="accent1"/>
        </w:rPr>
        <w:t xml:space="preserve"> for</w:t>
      </w:r>
      <w:r w:rsidRPr="007C1D70">
        <w:rPr>
          <w:i/>
          <w:color w:val="4472C4" w:themeColor="accent1"/>
        </w:rPr>
        <w:t xml:space="preserve"> a detailed discussion and analysis of indirect impacts and mitigation measures included in the Plan. </w:t>
      </w:r>
    </w:p>
    <w:p w14:paraId="5B4CE8EF" w14:textId="77777777" w:rsidR="000B173B" w:rsidRDefault="000B173B" w:rsidP="000B173B">
      <w:pPr>
        <w:pStyle w:val="Heading3"/>
        <w:numPr>
          <w:ilvl w:val="0"/>
          <w:numId w:val="0"/>
        </w:numPr>
        <w:ind w:left="720" w:hanging="720"/>
      </w:pPr>
      <w:r w:rsidRPr="00FB680C">
        <w:t>R</w:t>
      </w:r>
      <w:r>
        <w:t>elevant potential indirect impacts</w:t>
      </w:r>
    </w:p>
    <w:p w14:paraId="3091077F" w14:textId="77777777" w:rsidR="000B173B" w:rsidRDefault="000B173B" w:rsidP="000B173B">
      <w:r w:rsidRPr="00286063">
        <w:t>The Conservation Advice and Recovery Plan for the Australian</w:t>
      </w:r>
      <w:r>
        <w:t xml:space="preserve"> Fairy Tern</w:t>
      </w:r>
      <w:r w:rsidRPr="002B70F0">
        <w:t xml:space="preserve"> identif</w:t>
      </w:r>
      <w:r>
        <w:t>y</w:t>
      </w:r>
      <w:r w:rsidRPr="002B70F0">
        <w:t xml:space="preserve"> a range of threats to the species</w:t>
      </w:r>
      <w:r>
        <w:t xml:space="preserve"> </w:t>
      </w:r>
      <w:sdt>
        <w:sdtPr>
          <w:rPr>
            <w:color w:val="000000"/>
          </w:rPr>
          <w:tag w:val="MENDELEY_CITATION_v3_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"/>
          <w:id w:val="-855118856"/>
          <w:placeholder>
            <w:docPart w:val="7A87483195E49548AABB39FF484A13FE"/>
          </w:placeholder>
        </w:sdtPr>
        <w:sdtContent>
          <w:r w:rsidRPr="002F46CE">
            <w:rPr>
              <w:color w:val="000000"/>
            </w:rPr>
            <w:t>(DSEWPaC, 2011a; DAWE, 2020)</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46D9517A" w14:textId="77777777" w:rsidR="000B173B" w:rsidRDefault="000B173B" w:rsidP="000B173B">
      <w:r>
        <w:t>The following potential indirect impacts (identified as threats) are considered relevant to implementation of the Plan:</w:t>
      </w:r>
    </w:p>
    <w:p w14:paraId="1A1793F5" w14:textId="77777777" w:rsidR="000B173B" w:rsidRPr="00286063" w:rsidRDefault="000B173B" w:rsidP="000B173B">
      <w:pPr>
        <w:pStyle w:val="Bullet1"/>
      </w:pPr>
      <w:r w:rsidRPr="00286063">
        <w:t>Disturbance by humans, dogs and vehicles</w:t>
      </w:r>
    </w:p>
    <w:p w14:paraId="1593E14B" w14:textId="77777777" w:rsidR="000B173B" w:rsidRPr="00286063" w:rsidRDefault="000B173B" w:rsidP="000B173B">
      <w:pPr>
        <w:pStyle w:val="Bullet1"/>
      </w:pPr>
      <w:r w:rsidRPr="00286063">
        <w:t>Inappropriate water regimes</w:t>
      </w:r>
      <w:r>
        <w:t xml:space="preserve"> and w</w:t>
      </w:r>
      <w:r w:rsidRPr="00286063">
        <w:t>ater pollution in foraging habitat</w:t>
      </w:r>
    </w:p>
    <w:p w14:paraId="6536B211" w14:textId="77777777" w:rsidR="000B173B" w:rsidRDefault="000B173B" w:rsidP="000B173B">
      <w:r w:rsidRPr="003A2AF0">
        <w:t>There are a number of additional threats to the species identified in the Conservation Advice</w:t>
      </w:r>
      <w:r>
        <w:t xml:space="preserve"> and Recovery Plan</w:t>
      </w:r>
      <w:r w:rsidRPr="003A2AF0">
        <w:t xml:space="preserve">. However, potential indirect impacts associated with these threats are considered unlikely given the landscape context of the site and the ecology of the species. Refer </w:t>
      </w:r>
      <w:r w:rsidRPr="00134ED1">
        <w:t xml:space="preserve">to </w:t>
      </w:r>
      <w:r w:rsidRPr="006900FB">
        <w:t>Section 17.2 of Chapter 17</w:t>
      </w:r>
      <w:r w:rsidRPr="00134ED1">
        <w:t xml:space="preserve"> for</w:t>
      </w:r>
      <w:r>
        <w:t xml:space="preserve"> a detailed assessment of potential indirect impacts associated with the implementation of the Plan.</w:t>
      </w:r>
      <w:r w:rsidRPr="00CC2A00" w:rsidDel="00727335">
        <w:rPr>
          <w:highlight w:val="yellow"/>
        </w:rPr>
        <w:t xml:space="preserve"> </w:t>
      </w:r>
    </w:p>
    <w:p w14:paraId="7E5A1C60" w14:textId="77777777" w:rsidR="000B173B" w:rsidRDefault="000B173B" w:rsidP="000B173B">
      <w:r>
        <w:t>Climate change is also identified as a threat to the species. The potential impacts of climate change and relevant mitigation measures under the Plan are outlined in Part 5.</w:t>
      </w:r>
    </w:p>
    <w:p w14:paraId="61FF85C9" w14:textId="77777777" w:rsidR="000B173B" w:rsidRDefault="000B173B" w:rsidP="000B173B">
      <w:pPr>
        <w:pStyle w:val="Heading4"/>
      </w:pPr>
      <w:r>
        <w:lastRenderedPageBreak/>
        <w:t>Disturbance by humans, dogs and vehicles</w:t>
      </w:r>
    </w:p>
    <w:p w14:paraId="22BC540D" w14:textId="77777777" w:rsidR="000B173B" w:rsidRDefault="000B173B" w:rsidP="000B173B">
      <w:r>
        <w:t xml:space="preserve">The Australian Fairy Tern will enact an anti-predator response as humans and/or their dogs approach within 80-100 m. Adults tending nests will take flight to avoid disclosing the location of the nest, and will engage in noisy dives against intruders, including defecating on intruders </w:t>
      </w:r>
      <w:sdt>
        <w:sdtPr>
          <w:rPr>
            <w:color w:val="000000"/>
          </w:rPr>
          <w:tag w:val="MENDELEY_CITATION_v3_eyJjaXRhdGlvbklEIjoiTUVOREVMRVlfQ0lUQVRJT05fYWJkYjI0OWItNDQyOS00OTg1LThjMGUtNTI2OTAzNDhiZjRl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58119614"/>
          <w:placeholder>
            <w:docPart w:val="7A87483195E49548AABB39FF484A13FE"/>
          </w:placeholder>
        </w:sdtPr>
        <w:sdtContent>
          <w:r w:rsidRPr="002F46CE">
            <w:rPr>
              <w:color w:val="000000"/>
            </w:rPr>
            <w:t>(DAWE, 2020)</w:t>
          </w:r>
        </w:sdtContent>
      </w:sdt>
      <w:r>
        <w:t>.</w:t>
      </w:r>
    </w:p>
    <w:p w14:paraId="2DF13D02" w14:textId="77777777" w:rsidR="000B173B" w:rsidRDefault="000B173B" w:rsidP="000B173B">
      <w:r>
        <w:t xml:space="preserve">Repeated ongoing disturbance during colony establishment or during the early laying period will often result in site abandonment, while disturbance later in the breeding season may result in overheating or chilling of eggs, and death of chicks. Predators such as gulls and ravens have been known to opportunistically feed on exposed nests during periods of human disturbance </w:t>
      </w:r>
      <w:sdt>
        <w:sdtPr>
          <w:rPr>
            <w:color w:val="000000"/>
          </w:rPr>
          <w:tag w:val="MENDELEY_CITATION_v3_eyJjaXRhdGlvbklEIjoiTUVOREVMRVlfQ0lUQVRJT05fMTU1YzllNzgtZjk2ZC00OGJiLThmM2QtMGFjNjJmODNiMjIw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483817020"/>
          <w:placeholder>
            <w:docPart w:val="7A87483195E49548AABB39FF484A13FE"/>
          </w:placeholder>
        </w:sdtPr>
        <w:sdtContent>
          <w:r w:rsidRPr="002F46CE">
            <w:rPr>
              <w:color w:val="000000"/>
            </w:rPr>
            <w:t>(DAWE, 2020)</w:t>
          </w:r>
        </w:sdtContent>
      </w:sdt>
      <w:r>
        <w:t>.</w:t>
      </w:r>
    </w:p>
    <w:p w14:paraId="1ABE37BE" w14:textId="77777777" w:rsidR="000B173B" w:rsidRDefault="000B173B" w:rsidP="000B173B">
      <w:r>
        <w:t xml:space="preserve">Successful strategies to protect nesting Australian Fairy Terns (and similar species including Hooded Plovers and Little Terns) have included chick shelters, community education, signage (combined with boundary delineation) and volunteer wardens. It is noted that education does not work on its own without a holistic approach which combines education, on-ground approaches, compliance programs and effectiveness reviews </w:t>
      </w:r>
      <w:sdt>
        <w:sdtPr>
          <w:rPr>
            <w:color w:val="000000"/>
          </w:rPr>
          <w:tag w:val="MENDELEY_CITATION_v3_eyJjaXRhdGlvbklEIjoiTUVOREVMRVlfQ0lUQVRJT05fYmI4NmEzYjktMzU0MS00YmVkLWE5NWMtMjg1MDVhN2EyNDFk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954631701"/>
          <w:placeholder>
            <w:docPart w:val="7A87483195E49548AABB39FF484A13FE"/>
          </w:placeholder>
        </w:sdtPr>
        <w:sdtContent>
          <w:r w:rsidRPr="002F46CE">
            <w:rPr>
              <w:color w:val="000000"/>
            </w:rPr>
            <w:t>(DAWE, 2020)</w:t>
          </w:r>
        </w:sdtContent>
      </w:sdt>
      <w:r>
        <w:t>.</w:t>
      </w:r>
    </w:p>
    <w:p w14:paraId="0E6D287A" w14:textId="77777777" w:rsidR="000B173B" w:rsidRPr="00286063" w:rsidRDefault="000B173B" w:rsidP="000B173B">
      <w:pPr>
        <w:pStyle w:val="Heading4"/>
      </w:pPr>
      <w:r>
        <w:t>Inappropriate water regimes and water pollution in foraging habitat</w:t>
      </w:r>
    </w:p>
    <w:p w14:paraId="0CB6897E" w14:textId="77777777" w:rsidR="000B173B" w:rsidRDefault="000B173B" w:rsidP="000B173B">
      <w:r>
        <w:t xml:space="preserve">Increased water discharge into estuaries can result in estuary overfilling and inundation of roosting and nesting sites. Reduced discharge into estuaries can also result in drying of estuaries, which closes the estuary mouth and prevents connection to the marine environment. Overfilling or underfilling of estuaries also impacts upon water salinities, which may render sites inappropriate for the species </w:t>
      </w:r>
      <w:sdt>
        <w:sdtPr>
          <w:rPr>
            <w:color w:val="000000"/>
          </w:rPr>
          <w:tag w:val="MENDELEY_CITATION_v3_eyJjaXRhdGlvbklEIjoiTUVOREVMRVlfQ0lUQVRJT05fMTQ1MmRjN2ItOWFlMy00NmE2LWJiYTItMTJiMWNiOWU5MjY3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93079210"/>
          <w:placeholder>
            <w:docPart w:val="7A87483195E49548AABB39FF484A13FE"/>
          </w:placeholder>
        </w:sdtPr>
        <w:sdtContent>
          <w:r w:rsidRPr="002F46CE">
            <w:rPr>
              <w:color w:val="000000"/>
            </w:rPr>
            <w:t>(DAWE, 2020)</w:t>
          </w:r>
        </w:sdtContent>
      </w:sdt>
      <w:r>
        <w:t>.</w:t>
      </w:r>
    </w:p>
    <w:p w14:paraId="51C570F4" w14:textId="77777777" w:rsidR="000B173B" w:rsidRDefault="000B173B" w:rsidP="000B173B">
      <w:r>
        <w:t xml:space="preserve">Further, Australian Fairy Terns often locate colonies close to food resources (generally small schooling fishes). These fish often occur in locations of higher productivity, such as around estuary mouths. These locations may be compromised by poor water quality from drainage from a range of development types, including urban and rural areas, canal estates, boat harbours, coastal heavy industries and ports. Exposure of acid sulfate soils may also negatively impact upon water quality. These locations may be susceptible to accumulation of floating debris, pesticides, and contaminants such as heavy metals. There is currently no data on contaminant burden amongst Australian Fairy Terns in Victoria, although there is evidence of a contaminant burden within the species in other locations </w:t>
      </w:r>
      <w:sdt>
        <w:sdtPr>
          <w:rPr>
            <w:color w:val="000000"/>
          </w:rPr>
          <w:tag w:val="MENDELEY_CITATION_v3_eyJjaXRhdGlvbklEIjoiTUVOREVMRVlfQ0lUQVRJT05fMTA4MjU1ZDctMDM0Ni00NzAzLTk5YmEtMjgxOGNmNjg0NDRi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553724956"/>
          <w:placeholder>
            <w:docPart w:val="7A87483195E49548AABB39FF484A13FE"/>
          </w:placeholder>
        </w:sdtPr>
        <w:sdtContent>
          <w:r w:rsidRPr="002F46CE">
            <w:rPr>
              <w:color w:val="000000"/>
            </w:rPr>
            <w:t>(DAWE, 2020)</w:t>
          </w:r>
        </w:sdtContent>
      </w:sdt>
      <w:r>
        <w:t>.</w:t>
      </w:r>
    </w:p>
    <w:p w14:paraId="1E8B13BD"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679CEC49" w14:textId="77777777" w:rsidTr="00A15226">
        <w:tc>
          <w:tcPr>
            <w:tcW w:w="9622" w:type="dxa"/>
            <w:shd w:val="clear" w:color="auto" w:fill="C9C9C9" w:themeFill="accent3" w:themeFillTint="99"/>
          </w:tcPr>
          <w:p w14:paraId="5880FDFE"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0A21A5C2"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17.3</w:t>
      </w:r>
      <w:r w:rsidRPr="00134ED1">
        <w:rPr>
          <w:i/>
          <w:color w:val="4472C4" w:themeColor="accent1"/>
        </w:rPr>
        <w:t xml:space="preserve"> of </w:t>
      </w:r>
      <w:r w:rsidRPr="006900FB">
        <w:rPr>
          <w:i/>
          <w:color w:val="4472C4" w:themeColor="accent1"/>
        </w:rPr>
        <w:t>Chapter 17</w:t>
      </w:r>
      <w:r w:rsidRPr="00134ED1">
        <w:rPr>
          <w:i/>
          <w:color w:val="4472C4" w:themeColor="accent1"/>
        </w:rPr>
        <w:t>.</w:t>
      </w:r>
    </w:p>
    <w:p w14:paraId="47E0B2E8" w14:textId="77777777" w:rsidR="000B173B" w:rsidRPr="000816D6" w:rsidRDefault="000B173B" w:rsidP="000B173B">
      <w:pPr>
        <w:pStyle w:val="Heading3"/>
        <w:numPr>
          <w:ilvl w:val="0"/>
          <w:numId w:val="0"/>
        </w:numPr>
        <w:ind w:left="720" w:hanging="720"/>
      </w:pPr>
      <w:r w:rsidRPr="000816D6">
        <w:t>C</w:t>
      </w:r>
      <w:r>
        <w:t>onsistency with recovery plan</w:t>
      </w:r>
    </w:p>
    <w:p w14:paraId="123C474D" w14:textId="77777777" w:rsidR="000B173B" w:rsidRPr="00DB68B8" w:rsidRDefault="000B173B" w:rsidP="000B173B">
      <w:r w:rsidRPr="00DB68B8">
        <w:t>In accordance with Section 146K of the EPBC Act, this section considers whether the implementation of the Plan is not inconsistent with the species’ Recovery Plan. It considers two questions:</w:t>
      </w:r>
    </w:p>
    <w:p w14:paraId="2D88005C" w14:textId="77777777" w:rsidR="000B173B" w:rsidRPr="00DB68B8" w:rsidRDefault="000B173B" w:rsidP="000B173B">
      <w:pPr>
        <w:pStyle w:val="Bullet1"/>
      </w:pPr>
      <w:r w:rsidRPr="00DB68B8">
        <w:t xml:space="preserve">Does the Plan </w:t>
      </w:r>
      <w:r>
        <w:t>p</w:t>
      </w:r>
      <w:r w:rsidRPr="00DB68B8">
        <w:t>revent achievement of the objectives of the Recovery Plan?</w:t>
      </w:r>
    </w:p>
    <w:p w14:paraId="5582836A" w14:textId="77777777" w:rsidR="000B173B" w:rsidRPr="00DB68B8" w:rsidRDefault="000B173B" w:rsidP="000B173B">
      <w:pPr>
        <w:pStyle w:val="Bullet1"/>
      </w:pPr>
      <w:r w:rsidRPr="00DB68B8">
        <w:t>Does the Plan prevent implementation of the Recovery Plan actions?</w:t>
      </w:r>
    </w:p>
    <w:p w14:paraId="0AF869FB" w14:textId="77777777" w:rsidR="000B173B" w:rsidRDefault="000B173B" w:rsidP="000B173B">
      <w:r w:rsidRPr="00DB68B8">
        <w:t>These questions are discussed below.</w:t>
      </w:r>
    </w:p>
    <w:p w14:paraId="770667F2" w14:textId="77777777" w:rsidR="000B173B" w:rsidRDefault="000B173B" w:rsidP="000B173B">
      <w:pPr>
        <w:pStyle w:val="Heading4"/>
      </w:pPr>
      <w:r w:rsidRPr="00F614B0">
        <w:t xml:space="preserve">Does the Plan </w:t>
      </w:r>
      <w:r>
        <w:t>p</w:t>
      </w:r>
      <w:r w:rsidRPr="00F614B0">
        <w:t>revent achievement of the objectives of the Recovery Plan?</w:t>
      </w:r>
    </w:p>
    <w:p w14:paraId="4BCE9DBC" w14:textId="77777777" w:rsidR="000B173B" w:rsidRDefault="000B173B" w:rsidP="000B173B">
      <w:r w:rsidRPr="00F614B0">
        <w:t xml:space="preserve">The </w:t>
      </w:r>
      <w:r>
        <w:t xml:space="preserve">overall objective of the Recovery Plan is as follows: by 2030, sustain a positive population trend (compared to 2020 baseline counts) in the number of mature individuals of the Australian Fairy Tern in both the eastern and western populations. </w:t>
      </w:r>
      <w:r w:rsidRPr="00F614B0">
        <w:t xml:space="preserve">This overall </w:t>
      </w:r>
      <w:r>
        <w:t xml:space="preserve">objective </w:t>
      </w:r>
      <w:r w:rsidRPr="00F614B0">
        <w:t xml:space="preserve">is associated with a series of specific </w:t>
      </w:r>
      <w:r>
        <w:t xml:space="preserve">strategies to achieve the objective </w:t>
      </w:r>
      <w:sdt>
        <w:sdtPr>
          <w:rPr>
            <w:color w:val="000000"/>
          </w:rPr>
          <w:tag w:val="MENDELEY_CITATION_v3_eyJjaXRhdGlvbklEIjoiTUVOREVMRVlfQ0lUQVRJT05fNjI0MDZhMzAtMTZiYy00N2Q1LTgzMzItNWE4ZTBhY2UwYzE1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2145380170"/>
          <w:placeholder>
            <w:docPart w:val="7A87483195E49548AABB39FF484A13FE"/>
          </w:placeholder>
        </w:sdtPr>
        <w:sdtContent>
          <w:r w:rsidRPr="002F46CE">
            <w:rPr>
              <w:color w:val="000000"/>
            </w:rPr>
            <w:t>(DAWE, 2020)</w:t>
          </w:r>
        </w:sdtContent>
      </w:sdt>
      <w:r>
        <w:rPr>
          <w:iCs/>
        </w:rPr>
        <w:t>:</w:t>
      </w:r>
    </w:p>
    <w:p w14:paraId="508601A6" w14:textId="77777777" w:rsidR="000B173B" w:rsidRDefault="000B173B" w:rsidP="000B173B">
      <w:pPr>
        <w:pStyle w:val="Bullet1"/>
        <w:numPr>
          <w:ilvl w:val="0"/>
          <w:numId w:val="51"/>
        </w:numPr>
      </w:pPr>
      <w:r>
        <w:t>Manage and protect known Australian Fairy Tern breeding populations at the landscape scale</w:t>
      </w:r>
    </w:p>
    <w:p w14:paraId="3FFA1AAA" w14:textId="77777777" w:rsidR="000B173B" w:rsidRDefault="000B173B" w:rsidP="000B173B">
      <w:pPr>
        <w:pStyle w:val="Bullet1"/>
        <w:numPr>
          <w:ilvl w:val="0"/>
          <w:numId w:val="51"/>
        </w:numPr>
      </w:pPr>
      <w:r>
        <w:t>Develop and apply techniques to measure changes in population trend(s) in order to measure the efficacy of recovery actions</w:t>
      </w:r>
    </w:p>
    <w:p w14:paraId="78DDD208" w14:textId="77777777" w:rsidR="000B173B" w:rsidRDefault="000B173B" w:rsidP="000B173B">
      <w:pPr>
        <w:pStyle w:val="Bullet1"/>
        <w:numPr>
          <w:ilvl w:val="0"/>
          <w:numId w:val="51"/>
        </w:numPr>
      </w:pPr>
      <w:r>
        <w:t>Reduce, or eliminate threats at breeding, non-breeding and foraging sites</w:t>
      </w:r>
    </w:p>
    <w:p w14:paraId="70CF7AC8" w14:textId="77777777" w:rsidR="000B173B" w:rsidRDefault="000B173B" w:rsidP="000B173B">
      <w:pPr>
        <w:pStyle w:val="Bullet1"/>
        <w:numPr>
          <w:ilvl w:val="0"/>
          <w:numId w:val="51"/>
        </w:numPr>
      </w:pPr>
      <w:r>
        <w:t>Undertake research and monitoring to improve understanding of breeding, non-breeding and foraging attributes in order to better target management actions and habitat restoration</w:t>
      </w:r>
    </w:p>
    <w:p w14:paraId="62A650DA" w14:textId="77777777" w:rsidR="000B173B" w:rsidRDefault="000B173B" w:rsidP="000B173B">
      <w:pPr>
        <w:pStyle w:val="Bullet1"/>
        <w:numPr>
          <w:ilvl w:val="0"/>
          <w:numId w:val="51"/>
        </w:numPr>
      </w:pPr>
      <w:r>
        <w:lastRenderedPageBreak/>
        <w:t>Engage community stakeholders in Australian Fairy Tern conservation</w:t>
      </w:r>
    </w:p>
    <w:p w14:paraId="2178A153" w14:textId="77777777" w:rsidR="000B173B" w:rsidRDefault="000B173B" w:rsidP="000B173B">
      <w:pPr>
        <w:pStyle w:val="Bullet1"/>
        <w:numPr>
          <w:ilvl w:val="0"/>
          <w:numId w:val="51"/>
        </w:numPr>
      </w:pPr>
      <w:r>
        <w:t>Coordinate, review and report on recovery progress</w:t>
      </w:r>
    </w:p>
    <w:p w14:paraId="2BD1B6BC" w14:textId="77777777" w:rsidR="000B173B" w:rsidRPr="00F614B0" w:rsidRDefault="000B173B" w:rsidP="000B173B">
      <w:r w:rsidRPr="00F614B0">
        <w:t xml:space="preserve">The outcome under the Plan for </w:t>
      </w:r>
      <w:r>
        <w:t xml:space="preserve">the Australian Fairy Tern </w:t>
      </w:r>
      <w:r w:rsidRPr="00F614B0">
        <w:t>will not prevent the achievement of any of the objectives of the Recovery Plan.</w:t>
      </w:r>
    </w:p>
    <w:p w14:paraId="275C0C03" w14:textId="77777777" w:rsidR="000B173B" w:rsidRPr="00F614B0" w:rsidRDefault="000B173B" w:rsidP="000B173B">
      <w:pPr>
        <w:pStyle w:val="Heading4"/>
      </w:pPr>
      <w:r w:rsidRPr="00F614B0">
        <w:t>Does the Plan prevent implementation of the Recovery Plan actions?</w:t>
      </w:r>
    </w:p>
    <w:p w14:paraId="11458E08" w14:textId="77777777" w:rsidR="000B173B" w:rsidRPr="002B70F0" w:rsidRDefault="000B173B" w:rsidP="000B173B">
      <w:r w:rsidRPr="00F614B0">
        <w:t>The Recovery Plan identifies a set of actions in order to deliver on the objectives. Each action is associated with performance criteria</w:t>
      </w:r>
      <w:r>
        <w:rPr>
          <w:i/>
          <w:iCs/>
        </w:rPr>
        <w:t xml:space="preserve"> </w:t>
      </w:r>
      <w:sdt>
        <w:sdtPr>
          <w:rPr>
            <w:iCs/>
            <w:color w:val="000000"/>
          </w:rPr>
          <w:tag w:val="MENDELEY_CITATION_v3_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"/>
          <w:id w:val="11962329"/>
          <w:placeholder>
            <w:docPart w:val="7A87483195E49548AABB39FF484A13FE"/>
          </w:placeholder>
        </w:sdtPr>
        <w:sdtEndPr>
          <w:rPr>
            <w:iCs w:val="0"/>
          </w:rPr>
        </w:sdtEndPr>
        <w:sdtContent>
          <w:r w:rsidRPr="002F46CE">
            <w:rPr>
              <w:color w:val="000000"/>
            </w:rPr>
            <w:t>(DAWE, 2020)</w:t>
          </w:r>
        </w:sdtContent>
      </w:sdt>
      <w:r>
        <w:rPr>
          <w:iCs/>
        </w:rPr>
        <w:t xml:space="preserve">. </w:t>
      </w:r>
      <w:r w:rsidRPr="00F614B0">
        <w:t>The Plan will not prevent the implementation of any of these actions, nor will it prevent the achievement of any of the performance criteria.</w:t>
      </w:r>
    </w:p>
    <w:p w14:paraId="34669290"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5E1166FE"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_Ref107231865 \h </w:instrText>
      </w:r>
      <w:r>
        <w:fldChar w:fldCharType="separate"/>
      </w:r>
      <w:r>
        <w:t xml:space="preserve">Table </w:t>
      </w:r>
      <w:r>
        <w:rPr>
          <w:noProof/>
        </w:rPr>
        <w:t>B</w:t>
      </w:r>
      <w:r>
        <w:noBreakHyphen/>
      </w:r>
      <w:r>
        <w:rPr>
          <w:noProof/>
        </w:rPr>
        <w:t>2</w:t>
      </w:r>
      <w:r>
        <w:fldChar w:fldCharType="end"/>
      </w:r>
      <w:r>
        <w:t>where they relate to:</w:t>
      </w:r>
    </w:p>
    <w:p w14:paraId="5CA8FF74" w14:textId="77777777" w:rsidR="000B173B" w:rsidRDefault="000B173B" w:rsidP="000B173B">
      <w:pPr>
        <w:pStyle w:val="Bullet1"/>
      </w:pPr>
      <w:r>
        <w:t>The potential direct impacts of the Plan, or</w:t>
      </w:r>
    </w:p>
    <w:p w14:paraId="5A5CF588" w14:textId="77777777" w:rsidR="000B173B" w:rsidRDefault="000B173B" w:rsidP="000B173B">
      <w:pPr>
        <w:pStyle w:val="Bullet1"/>
      </w:pPr>
      <w:r>
        <w:t>The relevant indirect impacts</w:t>
      </w:r>
    </w:p>
    <w:p w14:paraId="3B444DEE" w14:textId="77777777" w:rsidR="000B173B" w:rsidRDefault="000B173B" w:rsidP="000B173B">
      <w:pPr>
        <w:pStyle w:val="Caption"/>
        <w:keepNext/>
      </w:pPr>
      <w:bookmarkStart w:id="252" w:name="_Ref107231865"/>
      <w:bookmarkStart w:id="253" w:name="_Toc134697919"/>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2</w:t>
      </w:r>
      <w:r>
        <w:fldChar w:fldCharType="end"/>
      </w:r>
      <w:bookmarkEnd w:id="252"/>
      <w:r>
        <w:t xml:space="preserve">: </w:t>
      </w:r>
      <w:r w:rsidRPr="005F676F">
        <w:t xml:space="preserve">Relevant Key Threatening Processes and associated Threat Abatement Plans for </w:t>
      </w:r>
      <w:r>
        <w:t>the Fairy Tern</w:t>
      </w:r>
      <w:bookmarkEnd w:id="253"/>
    </w:p>
    <w:tbl>
      <w:tblPr>
        <w:tblStyle w:val="TableGrid"/>
        <w:tblW w:w="0" w:type="auto"/>
        <w:tblLook w:val="04A0" w:firstRow="1" w:lastRow="0" w:firstColumn="1" w:lastColumn="0" w:noHBand="0" w:noVBand="1"/>
      </w:tblPr>
      <w:tblGrid>
        <w:gridCol w:w="4811"/>
        <w:gridCol w:w="4811"/>
      </w:tblGrid>
      <w:tr w:rsidR="000B173B" w14:paraId="73DA90AE" w14:textId="77777777" w:rsidTr="00A15226">
        <w:trPr>
          <w:tblHeader/>
        </w:trPr>
        <w:tc>
          <w:tcPr>
            <w:tcW w:w="4811" w:type="dxa"/>
            <w:shd w:val="clear" w:color="auto" w:fill="DBDBDB" w:themeFill="accent3" w:themeFillTint="66"/>
          </w:tcPr>
          <w:p w14:paraId="466E700A"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15CCFB8A" w14:textId="77777777" w:rsidR="000B173B" w:rsidRPr="00FF1996" w:rsidRDefault="000B173B" w:rsidP="00A15226">
            <w:pPr>
              <w:pStyle w:val="Tabletext"/>
              <w:rPr>
                <w:b/>
                <w:bCs/>
              </w:rPr>
            </w:pPr>
            <w:r w:rsidRPr="00FF1996">
              <w:rPr>
                <w:b/>
                <w:bCs/>
              </w:rPr>
              <w:t>Threat abatement plan</w:t>
            </w:r>
          </w:p>
        </w:tc>
      </w:tr>
      <w:tr w:rsidR="000B173B" w14:paraId="5E4F1EB8" w14:textId="77777777" w:rsidTr="00A15226">
        <w:tc>
          <w:tcPr>
            <w:tcW w:w="4811" w:type="dxa"/>
            <w:vAlign w:val="center"/>
          </w:tcPr>
          <w:p w14:paraId="22ED6237" w14:textId="77777777" w:rsidR="000B173B" w:rsidRDefault="000B173B" w:rsidP="00A15226">
            <w:pPr>
              <w:pStyle w:val="Tabletext"/>
            </w:pPr>
            <w:r w:rsidRPr="009065E9">
              <w:t>Fire regimes that cause declines in biodiversity</w:t>
            </w:r>
          </w:p>
        </w:tc>
        <w:tc>
          <w:tcPr>
            <w:tcW w:w="4811" w:type="dxa"/>
          </w:tcPr>
          <w:p w14:paraId="07DDAD54" w14:textId="77777777" w:rsidR="000B173B" w:rsidRPr="00E31BAE" w:rsidRDefault="000B173B" w:rsidP="00A15226">
            <w:pPr>
              <w:pStyle w:val="Tabletext"/>
              <w:rPr>
                <w:iCs/>
              </w:rPr>
            </w:pPr>
            <w:r>
              <w:t>There is no relevant TAP</w:t>
            </w:r>
          </w:p>
        </w:tc>
      </w:tr>
      <w:tr w:rsidR="000B173B" w14:paraId="046B7F02" w14:textId="77777777" w:rsidTr="00A15226">
        <w:tc>
          <w:tcPr>
            <w:tcW w:w="4811" w:type="dxa"/>
            <w:vAlign w:val="center"/>
          </w:tcPr>
          <w:p w14:paraId="1C5A6352" w14:textId="77777777" w:rsidR="000B173B" w:rsidRDefault="000B173B" w:rsidP="00A15226">
            <w:pPr>
              <w:pStyle w:val="Tabletext"/>
            </w:pPr>
            <w:r>
              <w:t>Land clearance</w:t>
            </w:r>
          </w:p>
        </w:tc>
        <w:tc>
          <w:tcPr>
            <w:tcW w:w="4811" w:type="dxa"/>
            <w:vAlign w:val="center"/>
          </w:tcPr>
          <w:p w14:paraId="52A0F889" w14:textId="77777777" w:rsidR="000B173B" w:rsidRDefault="000B173B" w:rsidP="00A15226">
            <w:pPr>
              <w:pStyle w:val="Tabletext"/>
            </w:pPr>
            <w:r>
              <w:t>There is no relevant TAP</w:t>
            </w:r>
          </w:p>
        </w:tc>
      </w:tr>
      <w:tr w:rsidR="000B173B" w14:paraId="5C530A3F" w14:textId="77777777" w:rsidTr="00A15226">
        <w:tc>
          <w:tcPr>
            <w:tcW w:w="4811" w:type="dxa"/>
            <w:vAlign w:val="center"/>
          </w:tcPr>
          <w:p w14:paraId="2AF41E09" w14:textId="77777777" w:rsidR="000B173B" w:rsidRDefault="000B173B" w:rsidP="00A15226">
            <w:pPr>
              <w:pStyle w:val="Tabletext"/>
            </w:pPr>
            <w:r w:rsidRPr="00672E41">
              <w:t>Loss of climatic habitat caused by anthropogenic emissions of greenhouse gases</w:t>
            </w:r>
          </w:p>
        </w:tc>
        <w:tc>
          <w:tcPr>
            <w:tcW w:w="4811" w:type="dxa"/>
            <w:vAlign w:val="center"/>
          </w:tcPr>
          <w:p w14:paraId="7230FC7C" w14:textId="77777777" w:rsidR="000B173B" w:rsidRDefault="000B173B" w:rsidP="00A15226">
            <w:pPr>
              <w:pStyle w:val="Tabletext"/>
            </w:pPr>
            <w:r>
              <w:t>There is no relevant TAP</w:t>
            </w:r>
          </w:p>
        </w:tc>
      </w:tr>
      <w:tr w:rsidR="000B173B" w14:paraId="0902B39B" w14:textId="77777777" w:rsidTr="00A15226">
        <w:tc>
          <w:tcPr>
            <w:tcW w:w="4811" w:type="dxa"/>
          </w:tcPr>
          <w:p w14:paraId="78BCED9F" w14:textId="77777777" w:rsidR="000B173B" w:rsidRPr="003919C8" w:rsidRDefault="000B173B" w:rsidP="00A15226">
            <w:pPr>
              <w:pStyle w:val="Tabletext"/>
            </w:pPr>
            <w:r w:rsidRPr="003919C8">
              <w:t>Novel biota and their impact on biodiversity</w:t>
            </w:r>
          </w:p>
        </w:tc>
        <w:tc>
          <w:tcPr>
            <w:tcW w:w="4811" w:type="dxa"/>
          </w:tcPr>
          <w:p w14:paraId="02F4EBB2" w14:textId="77777777" w:rsidR="000B173B" w:rsidRDefault="000B173B" w:rsidP="00A15226">
            <w:pPr>
              <w:pStyle w:val="Tabletext"/>
            </w:pPr>
            <w:r>
              <w:t>There is no relevant TAP</w:t>
            </w:r>
          </w:p>
        </w:tc>
      </w:tr>
      <w:tr w:rsidR="000B173B" w14:paraId="6AC4F45C" w14:textId="77777777" w:rsidTr="00A15226">
        <w:tc>
          <w:tcPr>
            <w:tcW w:w="4811" w:type="dxa"/>
            <w:vAlign w:val="center"/>
          </w:tcPr>
          <w:p w14:paraId="47B0EDAB" w14:textId="77777777" w:rsidR="000B173B" w:rsidRPr="009065E9" w:rsidRDefault="000B173B" w:rsidP="00A15226">
            <w:pPr>
              <w:pStyle w:val="Tabletext"/>
            </w:pPr>
            <w:r>
              <w:t>Predation by feral cats</w:t>
            </w:r>
          </w:p>
        </w:tc>
        <w:tc>
          <w:tcPr>
            <w:tcW w:w="4811" w:type="dxa"/>
          </w:tcPr>
          <w:p w14:paraId="699A97F8" w14:textId="77777777" w:rsidR="000B173B" w:rsidRDefault="000B173B" w:rsidP="00A15226">
            <w:pPr>
              <w:pStyle w:val="Tabletext"/>
            </w:pPr>
            <w:r w:rsidRPr="00A0168F">
              <w:rPr>
                <w:iCs/>
              </w:rPr>
              <w:t>Threat abatement plan for predation by feral cats</w:t>
            </w:r>
            <w:r>
              <w:rPr>
                <w:iCs/>
              </w:rPr>
              <w:t xml:space="preserve"> </w:t>
            </w:r>
            <w:sdt>
              <w:sdtPr>
                <w:rPr>
                  <w:iCs/>
                  <w:color w:val="000000"/>
                </w:rPr>
                <w:tag w:val="MENDELEY_CITATION_v3_eyJjaXRhdGlvbklEIjoiTUVOREVMRVlfQ0lUQVRJT05fMTMzNTA2NTctMDY5MC00YmQwLThmMGItMDk2MmM0MzA1NTVk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685364303"/>
                <w:placeholder>
                  <w:docPart w:val="7A87483195E49548AABB39FF484A13FE"/>
                </w:placeholder>
              </w:sdtPr>
              <w:sdtEndPr>
                <w:rPr>
                  <w:iCs w:val="0"/>
                </w:rPr>
              </w:sdtEndPr>
              <w:sdtContent>
                <w:r w:rsidRPr="002F46CE">
                  <w:rPr>
                    <w:color w:val="000000"/>
                  </w:rPr>
                  <w:t>(DoE, 2015h)</w:t>
                </w:r>
              </w:sdtContent>
            </w:sdt>
          </w:p>
        </w:tc>
      </w:tr>
      <w:tr w:rsidR="000B173B" w14:paraId="5C6EE842" w14:textId="77777777" w:rsidTr="00A15226">
        <w:tc>
          <w:tcPr>
            <w:tcW w:w="4811" w:type="dxa"/>
            <w:vAlign w:val="center"/>
          </w:tcPr>
          <w:p w14:paraId="20DF6383" w14:textId="77777777" w:rsidR="000B173B" w:rsidRDefault="000B173B" w:rsidP="00A15226">
            <w:pPr>
              <w:pStyle w:val="Tabletext"/>
            </w:pPr>
            <w:r>
              <w:t>Predation by the European red fox</w:t>
            </w:r>
          </w:p>
        </w:tc>
        <w:tc>
          <w:tcPr>
            <w:tcW w:w="4811" w:type="dxa"/>
          </w:tcPr>
          <w:p w14:paraId="34F95642" w14:textId="77777777" w:rsidR="000B173B" w:rsidRPr="00A0168F" w:rsidRDefault="000B173B" w:rsidP="00A15226">
            <w:pPr>
              <w:pStyle w:val="Tabletext"/>
              <w:rPr>
                <w:iCs/>
              </w:rPr>
            </w:pPr>
            <w:r w:rsidRPr="0031184E">
              <w:rPr>
                <w:iCs/>
              </w:rPr>
              <w:t>Threat abatement plan for predation by the European red fox</w:t>
            </w:r>
            <w:r>
              <w:rPr>
                <w:iCs/>
              </w:rPr>
              <w:t xml:space="preserve"> </w:t>
            </w:r>
            <w:sdt>
              <w:sdtPr>
                <w:rPr>
                  <w:iCs/>
                  <w:color w:val="000000"/>
                </w:rPr>
                <w:tag w:val="MENDELEY_CITATION_v3_eyJjaXRhdGlvbklEIjoiTUVOREVMRVlfQ0lUQVRJT05fZGU2ZTExMTMtZTNhNy00YTY3LTlhOGItZTgwMWQ2ZWVlYWE0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932663305"/>
                <w:placeholder>
                  <w:docPart w:val="7A87483195E49548AABB39FF484A13FE"/>
                </w:placeholder>
              </w:sdtPr>
              <w:sdtEndPr>
                <w:rPr>
                  <w:iCs w:val="0"/>
                </w:rPr>
              </w:sdtEndPr>
              <w:sdtContent>
                <w:r w:rsidRPr="002F46CE">
                  <w:rPr>
                    <w:color w:val="000000"/>
                  </w:rPr>
                  <w:t>(DEWHA, 2008f)</w:t>
                </w:r>
              </w:sdtContent>
            </w:sdt>
          </w:p>
        </w:tc>
      </w:tr>
    </w:tbl>
    <w:p w14:paraId="25D1145B" w14:textId="77777777" w:rsidR="000B173B" w:rsidRDefault="000B173B" w:rsidP="000B173B">
      <w:pPr>
        <w:tabs>
          <w:tab w:val="clear" w:pos="4962"/>
        </w:tabs>
        <w:spacing w:before="0" w:after="0" w:line="240" w:lineRule="auto"/>
        <w:rPr>
          <w:i/>
          <w:iCs/>
        </w:rPr>
      </w:pPr>
    </w:p>
    <w:p w14:paraId="61069B82" w14:textId="77777777" w:rsidR="000B173B" w:rsidRDefault="000B173B" w:rsidP="000B173B">
      <w:pPr>
        <w:tabs>
          <w:tab w:val="clear" w:pos="4962"/>
        </w:tabs>
        <w:spacing w:before="0" w:after="0" w:line="240" w:lineRule="auto"/>
        <w:rPr>
          <w:rFonts w:ascii="Helvetica" w:eastAsia="MS Gothic" w:hAnsi="Helvetica"/>
          <w:b/>
          <w:bCs/>
          <w:i/>
          <w:iCs/>
          <w:caps/>
          <w:spacing w:val="18"/>
          <w:sz w:val="20"/>
        </w:rPr>
      </w:pPr>
      <w:r>
        <w:rPr>
          <w:i/>
          <w:iCs/>
        </w:rPr>
        <w:br w:type="page"/>
      </w:r>
    </w:p>
    <w:p w14:paraId="5588A9C2" w14:textId="77777777" w:rsidR="000B173B" w:rsidRPr="00297975" w:rsidRDefault="000B173B" w:rsidP="000B173B">
      <w:pPr>
        <w:pStyle w:val="Heading2"/>
        <w:numPr>
          <w:ilvl w:val="0"/>
          <w:numId w:val="0"/>
        </w:numPr>
        <w:ind w:left="576" w:hanging="576"/>
      </w:pPr>
      <w:bookmarkStart w:id="254" w:name="_Toc131154204"/>
      <w:bookmarkStart w:id="255" w:name="_Toc131154391"/>
      <w:r>
        <w:lastRenderedPageBreak/>
        <w:t xml:space="preserve">Australian Painted Snipe </w:t>
      </w:r>
      <w:r>
        <w:rPr>
          <w:i/>
          <w:iCs/>
        </w:rPr>
        <w:t>(Rostratula australis)</w:t>
      </w:r>
      <w:bookmarkEnd w:id="254"/>
      <w:bookmarkEnd w:id="255"/>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59D45AE9" w14:textId="77777777" w:rsidTr="00A15226">
        <w:trPr>
          <w:tblHeader/>
        </w:trPr>
        <w:tc>
          <w:tcPr>
            <w:tcW w:w="9747" w:type="dxa"/>
            <w:shd w:val="clear" w:color="auto" w:fill="D9D9D9" w:themeFill="background1" w:themeFillShade="D9"/>
            <w:vAlign w:val="center"/>
          </w:tcPr>
          <w:p w14:paraId="76E56804"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42B0876B"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61C339D8" w14:textId="77777777" w:rsidTr="00A15226">
        <w:tc>
          <w:tcPr>
            <w:tcW w:w="1526" w:type="dxa"/>
            <w:vAlign w:val="center"/>
          </w:tcPr>
          <w:p w14:paraId="0947E77F"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26889B86" w14:textId="77777777" w:rsidR="000B173B" w:rsidRPr="003E1ADD" w:rsidRDefault="000B173B" w:rsidP="00A15226">
            <w:pPr>
              <w:pStyle w:val="Tabletext"/>
            </w:pPr>
            <w:r>
              <w:t>Endangered</w:t>
            </w:r>
          </w:p>
        </w:tc>
      </w:tr>
      <w:tr w:rsidR="000B173B" w:rsidRPr="000816D6" w14:paraId="1610FD44" w14:textId="77777777" w:rsidTr="00A15226">
        <w:tc>
          <w:tcPr>
            <w:tcW w:w="1526" w:type="dxa"/>
            <w:vAlign w:val="center"/>
          </w:tcPr>
          <w:p w14:paraId="198F0F5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204BC6A9" w14:textId="77777777" w:rsidR="000B173B" w:rsidRPr="00C979A7" w:rsidRDefault="000B173B" w:rsidP="00A15226">
            <w:pPr>
              <w:pStyle w:val="Tabletext"/>
            </w:pPr>
            <w:r w:rsidRPr="00C979A7">
              <w:rPr>
                <w:i/>
                <w:iCs/>
                <w:szCs w:val="18"/>
              </w:rPr>
              <w:t xml:space="preserve">Rostratula australis </w:t>
            </w:r>
            <w:r w:rsidRPr="00C979A7">
              <w:rPr>
                <w:szCs w:val="18"/>
              </w:rPr>
              <w:t xml:space="preserve">(Australian Painted Snipe) is a medium sized stocky wading bird with blue-green legs and a long orange-pink bill. It has a brown head, nape and chest with comma shaped white markings around the eyes, white belly and a white harness shape marking from its breast to back. Its plumage is barred olive green and black </w:t>
            </w:r>
            <w:sdt>
              <w:sdtPr>
                <w:rPr>
                  <w:color w:val="000000"/>
                  <w:szCs w:val="18"/>
                </w:rPr>
                <w:tag w:val="MENDELEY_CITATION_v3_eyJjaXRhdGlvbklEIjoiTUVOREVMRVlfQ0lUQVRJT05fMTcxYTM4NDktYTcyZi00OWE1LTgxZmQtOTgyOTMyNTIyMjMz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659810736"/>
                <w:placeholder>
                  <w:docPart w:val="7A87483195E49548AABB39FF484A13FE"/>
                </w:placeholder>
              </w:sdtPr>
              <w:sdtEndPr>
                <w:rPr>
                  <w:szCs w:val="20"/>
                </w:rPr>
              </w:sdtEndPr>
              <w:sdtContent>
                <w:r w:rsidRPr="002F46CE">
                  <w:rPr>
                    <w:color w:val="000000"/>
                  </w:rPr>
                  <w:t>(DSEWPaC, 2013b)</w:t>
                </w:r>
              </w:sdtContent>
            </w:sdt>
            <w:r w:rsidRPr="00C979A7">
              <w:rPr>
                <w:szCs w:val="18"/>
              </w:rPr>
              <w:t>.</w:t>
            </w:r>
          </w:p>
        </w:tc>
      </w:tr>
      <w:tr w:rsidR="000B173B" w:rsidRPr="000816D6" w14:paraId="5F5F3352" w14:textId="77777777" w:rsidTr="00A15226">
        <w:tc>
          <w:tcPr>
            <w:tcW w:w="1526" w:type="dxa"/>
            <w:vAlign w:val="center"/>
          </w:tcPr>
          <w:p w14:paraId="24D0D23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7A1CC6B7" w14:textId="77777777" w:rsidR="000B173B" w:rsidRPr="00C979A7" w:rsidRDefault="000B173B" w:rsidP="00A15226">
            <w:pPr>
              <w:pStyle w:val="Tabletext"/>
              <w:rPr>
                <w:szCs w:val="18"/>
              </w:rPr>
            </w:pPr>
            <w:r w:rsidRPr="00C979A7">
              <w:rPr>
                <w:szCs w:val="18"/>
              </w:rPr>
              <w:t xml:space="preserve">Relatively little is known about the ecology of this species, as it has few records, unpredictable movements, cryptic habits, and often occurs in reasonably inaccessible areas </w:t>
            </w:r>
            <w:sdt>
              <w:sdtPr>
                <w:rPr>
                  <w:color w:val="000000"/>
                  <w:szCs w:val="18"/>
                </w:rPr>
                <w:tag w:val="MENDELEY_CITATION_v3_eyJjaXRhdGlvbklEIjoiTUVOREVMRVlfQ0lUQVRJT05fOWJlNTMyN2MtOGI3YS00N2Q5LWI1MmItYmM4NGI2NzY4NjMy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545513721"/>
                <w:placeholder>
                  <w:docPart w:val="7A87483195E49548AABB39FF484A13FE"/>
                </w:placeholder>
              </w:sdtPr>
              <w:sdtEndPr>
                <w:rPr>
                  <w:szCs w:val="20"/>
                </w:rPr>
              </w:sdtEndPr>
              <w:sdtContent>
                <w:r w:rsidRPr="002F46CE">
                  <w:rPr>
                    <w:color w:val="000000"/>
                  </w:rPr>
                  <w:t>(DoEE, 2019)</w:t>
                </w:r>
              </w:sdtContent>
            </w:sdt>
            <w:r w:rsidRPr="00C979A7">
              <w:rPr>
                <w:szCs w:val="18"/>
              </w:rPr>
              <w:t>.</w:t>
            </w:r>
          </w:p>
          <w:p w14:paraId="3D0052AA" w14:textId="77777777" w:rsidR="000B173B" w:rsidRPr="00C979A7" w:rsidRDefault="000B173B" w:rsidP="00A15226">
            <w:pPr>
              <w:pStyle w:val="Tabletext"/>
              <w:rPr>
                <w:szCs w:val="18"/>
              </w:rPr>
            </w:pPr>
            <w:r w:rsidRPr="00C979A7">
              <w:rPr>
                <w:szCs w:val="18"/>
              </w:rPr>
              <w:t xml:space="preserve">The species breeds all year round depending on available suitable wetland conditions. It has been known to lay up to four clutches of 2 to 6 eggs per year. Females mostly breed every two years </w:t>
            </w:r>
            <w:sdt>
              <w:sdtPr>
                <w:rPr>
                  <w:color w:val="000000"/>
                  <w:szCs w:val="18"/>
                </w:rPr>
                <w:tag w:val="MENDELEY_CITATION_v3_eyJjaXRhdGlvbklEIjoiTUVOREVMRVlfQ0lUQVRJT05fNmI0ZTBmMTAtYTU4Ny00NmMyLThjMTctNzY3ZGQ1Y2I4OTA0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876151062"/>
                <w:placeholder>
                  <w:docPart w:val="7A87483195E49548AABB39FF484A13FE"/>
                </w:placeholder>
              </w:sdtPr>
              <w:sdtEndPr>
                <w:rPr>
                  <w:szCs w:val="20"/>
                </w:rPr>
              </w:sdtEndPr>
              <w:sdtContent>
                <w:r w:rsidRPr="002F46CE">
                  <w:rPr>
                    <w:color w:val="000000"/>
                  </w:rPr>
                  <w:t>(DCCEEW, 2022)</w:t>
                </w:r>
              </w:sdtContent>
            </w:sdt>
            <w:r w:rsidRPr="00C979A7">
              <w:rPr>
                <w:szCs w:val="18"/>
              </w:rPr>
              <w:t>.</w:t>
            </w:r>
          </w:p>
          <w:p w14:paraId="50702B15" w14:textId="77777777" w:rsidR="000B173B" w:rsidRPr="00C979A7" w:rsidRDefault="000B173B" w:rsidP="00A15226">
            <w:pPr>
              <w:pStyle w:val="Tabletext"/>
              <w:rPr>
                <w:szCs w:val="18"/>
              </w:rPr>
            </w:pPr>
            <w:r w:rsidRPr="00C979A7">
              <w:rPr>
                <w:szCs w:val="18"/>
              </w:rPr>
              <w:t xml:space="preserve">The species feeds on vegetation, seeds, and invertebrates such as insects, worms, molluscs, and crustaceans. It is mostly active at dawn, dusk and throughout the night </w:t>
            </w:r>
            <w:sdt>
              <w:sdtPr>
                <w:rPr>
                  <w:color w:val="000000"/>
                  <w:szCs w:val="18"/>
                </w:rPr>
                <w:tag w:val="MENDELEY_CITATION_v3_eyJjaXRhdGlvbklEIjoiTUVOREVMRVlfQ0lUQVRJT05fZjM1MWZmMmQtMjVkNi00NDZlLWI1YjQtMjkwNzU2NDY2ZDBjIiwicHJvcGVydGllcyI6eyJub3RlSW5kZXgiOjB9LCJpc0VkaXRlZCI6ZmFsc2UsIm1hbnVhbE92ZXJyaWRlIjp7ImNpdGVwcm9jVGV4dCI6IihHYXJuZXR0LCBTemFibyBhbmQgRHV0c29uLCAyMDExOyB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"/>
                <w:id w:val="-982304037"/>
                <w:placeholder>
                  <w:docPart w:val="7A87483195E49548AABB39FF484A13FE"/>
                </w:placeholder>
              </w:sdtPr>
              <w:sdtEndPr>
                <w:rPr>
                  <w:szCs w:val="20"/>
                </w:rPr>
              </w:sdtEndPr>
              <w:sdtContent>
                <w:r w:rsidRPr="002F46CE">
                  <w:rPr>
                    <w:color w:val="000000"/>
                  </w:rPr>
                  <w:t>(Garnett, Szabo and Dutson, 2011; DCCEEW, 2022)</w:t>
                </w:r>
              </w:sdtContent>
            </w:sdt>
            <w:r w:rsidRPr="00C979A7">
              <w:rPr>
                <w:szCs w:val="18"/>
              </w:rPr>
              <w:t>.</w:t>
            </w:r>
          </w:p>
          <w:p w14:paraId="7A31B0F9" w14:textId="77777777" w:rsidR="000B173B" w:rsidRPr="00C979A7" w:rsidRDefault="000B173B" w:rsidP="00A15226">
            <w:pPr>
              <w:pStyle w:val="Tabletext"/>
            </w:pPr>
            <w:r w:rsidRPr="00C979A7">
              <w:rPr>
                <w:szCs w:val="18"/>
              </w:rPr>
              <w:t xml:space="preserve">It is generally seen singly or in pairs. Movement patterns are not well understood, the species may be dispersive or migratory </w:t>
            </w:r>
            <w:sdt>
              <w:sdtPr>
                <w:rPr>
                  <w:color w:val="000000"/>
                  <w:szCs w:val="18"/>
                </w:rPr>
                <w:tag w:val="MENDELEY_CITATION_v3_eyJjaXRhdGlvbklEIjoiTUVOREVMRVlfQ0lUQVRJT05fNGU1OTFmZGQtMTQ4Ny00NjlhLTkyZGEtMmUyYTY2NTc2OTU4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045369349"/>
                <w:placeholder>
                  <w:docPart w:val="7A87483195E49548AABB39FF484A13FE"/>
                </w:placeholder>
              </w:sdtPr>
              <w:sdtEndPr>
                <w:rPr>
                  <w:szCs w:val="20"/>
                </w:rPr>
              </w:sdtEndPr>
              <w:sdtContent>
                <w:r w:rsidRPr="002F46CE">
                  <w:rPr>
                    <w:color w:val="000000"/>
                  </w:rPr>
                  <w:t>(DCCEEW, 2022)</w:t>
                </w:r>
              </w:sdtContent>
            </w:sdt>
            <w:r w:rsidRPr="00C979A7">
              <w:rPr>
                <w:szCs w:val="18"/>
              </w:rPr>
              <w:t>.</w:t>
            </w:r>
          </w:p>
        </w:tc>
      </w:tr>
      <w:tr w:rsidR="000B173B" w:rsidRPr="000816D6" w14:paraId="61DD4892" w14:textId="77777777" w:rsidTr="00A15226">
        <w:tc>
          <w:tcPr>
            <w:tcW w:w="1526" w:type="dxa"/>
            <w:vAlign w:val="center"/>
          </w:tcPr>
          <w:p w14:paraId="6240BC2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687F55E5" w14:textId="77777777" w:rsidR="000B173B" w:rsidRPr="00C979A7" w:rsidRDefault="000B173B" w:rsidP="00A15226">
            <w:pPr>
              <w:pStyle w:val="Tabletext"/>
              <w:rPr>
                <w:szCs w:val="18"/>
              </w:rPr>
            </w:pPr>
            <w:r w:rsidRPr="00C979A7">
              <w:rPr>
                <w:szCs w:val="18"/>
              </w:rPr>
              <w:t xml:space="preserve">The species is only found in Australia and mainly occurs in the Murray Darling Basin. It is widespread across Australia </w:t>
            </w:r>
            <w:sdt>
              <w:sdtPr>
                <w:rPr>
                  <w:color w:val="000000"/>
                  <w:szCs w:val="18"/>
                </w:rPr>
                <w:tag w:val="MENDELEY_CITATION_v3_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1841116664"/>
                <w:placeholder>
                  <w:docPart w:val="7A87483195E49548AABB39FF484A13FE"/>
                </w:placeholder>
              </w:sdtPr>
              <w:sdtEndPr>
                <w:rPr>
                  <w:szCs w:val="20"/>
                </w:rPr>
              </w:sdtEndPr>
              <w:sdtContent>
                <w:r w:rsidRPr="002F46CE">
                  <w:rPr>
                    <w:color w:val="000000"/>
                  </w:rPr>
                  <w:t>(DSEWPaC, 2013b; DCCEEW, 2022)</w:t>
                </w:r>
              </w:sdtContent>
            </w:sdt>
            <w:r w:rsidRPr="00C979A7">
              <w:rPr>
                <w:szCs w:val="18"/>
              </w:rPr>
              <w:t>.</w:t>
            </w:r>
          </w:p>
          <w:p w14:paraId="780F2CB2" w14:textId="77777777" w:rsidR="000B173B" w:rsidRPr="00C979A7" w:rsidRDefault="000B173B" w:rsidP="00A15226">
            <w:pPr>
              <w:pStyle w:val="Tabletext"/>
              <w:rPr>
                <w:szCs w:val="18"/>
              </w:rPr>
            </w:pPr>
            <w:r w:rsidRPr="00C979A7">
              <w:rPr>
                <w:szCs w:val="18"/>
              </w:rPr>
              <w:t xml:space="preserve">Important areas for the species include the Murray Darling Basin, Queensland Channel Country, Fitzroy Basin of Central Queensland, south-eastern South Australia, and adjacent parts of Victoria </w:t>
            </w:r>
            <w:sdt>
              <w:sdtPr>
                <w:rPr>
                  <w:color w:val="000000"/>
                  <w:szCs w:val="18"/>
                </w:rPr>
                <w:tag w:val="MENDELEY_CITATION_v3_eyJjaXRhdGlvbklEIjoiTUVOREVMRVlfQ0lUQVRJT05fYjdjZDE4MjctNjY3Zi00ODg0LWJiMTktYWNiYWJjYjE0NDEw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1250238659"/>
                <w:placeholder>
                  <w:docPart w:val="7A87483195E49548AABB39FF484A13FE"/>
                </w:placeholder>
              </w:sdtPr>
              <w:sdtEndPr>
                <w:rPr>
                  <w:szCs w:val="20"/>
                </w:rPr>
              </w:sdtEndPr>
              <w:sdtContent>
                <w:r w:rsidRPr="002F46CE">
                  <w:rPr>
                    <w:color w:val="000000"/>
                  </w:rPr>
                  <w:t>(DSEWPaC, 2013b)</w:t>
                </w:r>
              </w:sdtContent>
            </w:sdt>
            <w:r w:rsidRPr="00C979A7">
              <w:rPr>
                <w:szCs w:val="18"/>
              </w:rPr>
              <w:t>.</w:t>
            </w:r>
          </w:p>
          <w:p w14:paraId="7932A830" w14:textId="77777777" w:rsidR="000B173B" w:rsidRPr="00C979A7" w:rsidRDefault="000B173B" w:rsidP="00A15226">
            <w:pPr>
              <w:pStyle w:val="Tabletext"/>
              <w:rPr>
                <w:szCs w:val="18"/>
              </w:rPr>
            </w:pPr>
            <w:r w:rsidRPr="00C979A7">
              <w:rPr>
                <w:szCs w:val="18"/>
              </w:rPr>
              <w:t xml:space="preserve">It is associated with the following EPBC Act listed TECs </w:t>
            </w:r>
            <w:sdt>
              <w:sdtPr>
                <w:rPr>
                  <w:color w:val="000000"/>
                  <w:szCs w:val="18"/>
                </w:rPr>
                <w:tag w:val="MENDELEY_CITATION_v3_eyJjaXRhdGlvbklEIjoiTUVOREVMRVlfQ0lUQVRJT05fYTU4MzU1N2QtYmJiZS00ZGU3LWFiMTUtNTFlOTcxOWQyMTFi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1455398023"/>
                <w:placeholder>
                  <w:docPart w:val="7A87483195E49548AABB39FF484A13FE"/>
                </w:placeholder>
              </w:sdtPr>
              <w:sdtEndPr>
                <w:rPr>
                  <w:szCs w:val="20"/>
                </w:rPr>
              </w:sdtEndPr>
              <w:sdtContent>
                <w:r w:rsidRPr="002F46CE">
                  <w:rPr>
                    <w:color w:val="000000"/>
                  </w:rPr>
                  <w:t>(DSEWPaC, 2013b)</w:t>
                </w:r>
              </w:sdtContent>
            </w:sdt>
            <w:r w:rsidRPr="00C979A7">
              <w:rPr>
                <w:szCs w:val="18"/>
              </w:rPr>
              <w:t>:</w:t>
            </w:r>
          </w:p>
          <w:p w14:paraId="276B3F7C" w14:textId="77777777" w:rsidR="000B173B" w:rsidRPr="00C979A7" w:rsidRDefault="000B173B" w:rsidP="00A15226">
            <w:pPr>
              <w:pStyle w:val="Bullet1"/>
            </w:pPr>
            <w:r w:rsidRPr="00C979A7">
              <w:t>Seasonal Herbaceous Wetlands (Freshwater) of the Temperate Lowland Plains</w:t>
            </w:r>
          </w:p>
          <w:p w14:paraId="586F503C" w14:textId="77777777" w:rsidR="000B173B" w:rsidRPr="00C979A7" w:rsidRDefault="000B173B" w:rsidP="00A15226">
            <w:pPr>
              <w:pStyle w:val="Bullet1"/>
            </w:pPr>
            <w:r w:rsidRPr="00C979A7">
              <w:t>Upland Wetlands of the New England Tablelands</w:t>
            </w:r>
          </w:p>
          <w:p w14:paraId="416605FB" w14:textId="77777777" w:rsidR="000B173B" w:rsidRPr="00C979A7" w:rsidRDefault="000B173B" w:rsidP="00A15226">
            <w:pPr>
              <w:pStyle w:val="Tabletext"/>
              <w:rPr>
                <w:szCs w:val="18"/>
              </w:rPr>
            </w:pPr>
            <w:r w:rsidRPr="00C979A7">
              <w:rPr>
                <w:szCs w:val="18"/>
              </w:rPr>
              <w:t xml:space="preserve">The species inhabits ephemeral and permanent shallow freshwater wetlands, </w:t>
            </w:r>
            <w:r>
              <w:rPr>
                <w:szCs w:val="18"/>
              </w:rPr>
              <w:t xml:space="preserve">and </w:t>
            </w:r>
            <w:r w:rsidRPr="00C979A7">
              <w:rPr>
                <w:szCs w:val="18"/>
              </w:rPr>
              <w:t xml:space="preserve">occasionally </w:t>
            </w:r>
            <w:r>
              <w:rPr>
                <w:szCs w:val="18"/>
              </w:rPr>
              <w:t xml:space="preserve">in </w:t>
            </w:r>
            <w:r w:rsidRPr="00C979A7">
              <w:rPr>
                <w:szCs w:val="18"/>
              </w:rPr>
              <w:t xml:space="preserve">brackish wetlands. It favours a dense cover of grass and reeds </w:t>
            </w:r>
            <w:sdt>
              <w:sdtPr>
                <w:rPr>
                  <w:color w:val="000000"/>
                  <w:szCs w:val="18"/>
                </w:rPr>
                <w:tag w:val="MENDELEY_CITATION_v3_eyJjaXRhdGlvbklEIjoiTUVOREVMRVlfQ0lUQVRJT05fNmVlNmVlYzQtY2I2My00NjhiLWFmMTItNmIyNDgzNGYwZWVj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858116708"/>
                <w:placeholder>
                  <w:docPart w:val="7A87483195E49548AABB39FF484A13FE"/>
                </w:placeholder>
              </w:sdtPr>
              <w:sdtEndPr>
                <w:rPr>
                  <w:szCs w:val="20"/>
                </w:rPr>
              </w:sdtEndPr>
              <w:sdtContent>
                <w:r w:rsidRPr="002F46CE">
                  <w:rPr>
                    <w:color w:val="000000"/>
                  </w:rPr>
                  <w:t>(DSEWPaC, 2013b)</w:t>
                </w:r>
              </w:sdtContent>
            </w:sdt>
            <w:r w:rsidRPr="00C979A7">
              <w:rPr>
                <w:szCs w:val="18"/>
              </w:rPr>
              <w:t xml:space="preserve">. Breeding habitat requirements may be quite specific </w:t>
            </w:r>
            <w:sdt>
              <w:sdtPr>
                <w:rPr>
                  <w:color w:val="000000"/>
                  <w:szCs w:val="18"/>
                </w:rPr>
                <w:tag w:val="MENDELEY_CITATION_v3_eyJjaXRhdGlvbklEIjoiTUVOREVMRVlfQ0lUQVRJT05fYTExM2RjZTUtOGVhNi00NjlmLThjZjUtZmY0YzBmMzU0NjRh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227027712"/>
                <w:placeholder>
                  <w:docPart w:val="7A87483195E49548AABB39FF484A13FE"/>
                </w:placeholder>
              </w:sdtPr>
              <w:sdtEndPr>
                <w:rPr>
                  <w:szCs w:val="20"/>
                </w:rPr>
              </w:sdtEndPr>
              <w:sdtContent>
                <w:r w:rsidRPr="002F46CE">
                  <w:rPr>
                    <w:color w:val="000000"/>
                  </w:rPr>
                  <w:t>(DoEE, 2019)</w:t>
                </w:r>
              </w:sdtContent>
            </w:sdt>
            <w:r w:rsidRPr="00C979A7">
              <w:rPr>
                <w:szCs w:val="18"/>
              </w:rPr>
              <w:t>.</w:t>
            </w:r>
          </w:p>
          <w:p w14:paraId="02005584" w14:textId="77777777" w:rsidR="000B173B" w:rsidRPr="00C979A7" w:rsidRDefault="000B173B" w:rsidP="00A15226">
            <w:pPr>
              <w:pStyle w:val="Tabletext"/>
            </w:pPr>
            <w:r w:rsidRPr="00C979A7">
              <w:t xml:space="preserve">Due to limited understanding of the species' ecology and habitat requirements, it is not possible to generate a detailed description or definition of habitat critical to the survival of the species </w:t>
            </w:r>
            <w:sdt>
              <w:sdtPr>
                <w:rPr>
                  <w:color w:val="000000"/>
                </w:rPr>
                <w:tag w:val="MENDELEY_CITATION_v3_eyJjaXRhdGlvbklEIjoiTUVOREVMRVlfQ0lUQVRJT05fZTI3NWNjMjUtYjAxMC00MDBhLThlN2EtYjdjNWYyNjU5N2E1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842116911"/>
                <w:placeholder>
                  <w:docPart w:val="7A87483195E49548AABB39FF484A13FE"/>
                </w:placeholder>
              </w:sdtPr>
              <w:sdtContent>
                <w:r w:rsidRPr="002F46CE">
                  <w:rPr>
                    <w:color w:val="000000"/>
                  </w:rPr>
                  <w:t>(DoEE, 2019)</w:t>
                </w:r>
              </w:sdtContent>
            </w:sdt>
            <w:r w:rsidRPr="00C979A7">
              <w:t>.</w:t>
            </w:r>
          </w:p>
        </w:tc>
      </w:tr>
      <w:tr w:rsidR="000B173B" w:rsidRPr="000816D6" w14:paraId="0CEF1DA8" w14:textId="77777777" w:rsidTr="00A15226">
        <w:tc>
          <w:tcPr>
            <w:tcW w:w="1526" w:type="dxa"/>
            <w:vAlign w:val="center"/>
          </w:tcPr>
          <w:p w14:paraId="0135FBE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0F0DCF39" w14:textId="77777777" w:rsidR="000B173B" w:rsidRPr="00C979A7" w:rsidRDefault="000B173B" w:rsidP="00A15226">
            <w:pPr>
              <w:pStyle w:val="Tabletext"/>
            </w:pPr>
            <w:r w:rsidRPr="00C979A7">
              <w:t xml:space="preserve">There are a number of population estimates for the species, ranging between 1,500 and 5,000 mature individuals. Population estimates are considered unreliable due to the species' cryptic nature, inaccessible habitat and limited numbers of surveys </w:t>
            </w:r>
            <w:sdt>
              <w:sdtPr>
                <w:rPr>
                  <w:color w:val="000000"/>
                </w:rPr>
                <w:tag w:val="MENDELEY_CITATION_v3_eyJjaXRhdGlvbklEIjoiTUVOREVMRVlfQ0lUQVRJT05fMmEwNWU5NWItNDA5Yy00Y2NlLTk3NzItMTNmOTRiNDY5YTE1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840835318"/>
                <w:placeholder>
                  <w:docPart w:val="7A87483195E49548AABB39FF484A13FE"/>
                </w:placeholder>
              </w:sdtPr>
              <w:sdtContent>
                <w:r w:rsidRPr="002F46CE">
                  <w:rPr>
                    <w:color w:val="000000"/>
                  </w:rPr>
                  <w:t>(DoEE, 2019)</w:t>
                </w:r>
              </w:sdtContent>
            </w:sdt>
            <w:r w:rsidRPr="00C979A7">
              <w:t>.</w:t>
            </w:r>
          </w:p>
          <w:p w14:paraId="1FD36C51" w14:textId="77777777" w:rsidR="000B173B" w:rsidRPr="00C979A7" w:rsidRDefault="000B173B" w:rsidP="00A15226">
            <w:pPr>
              <w:pStyle w:val="Tabletext"/>
            </w:pPr>
            <w:r w:rsidRPr="00C979A7">
              <w:t xml:space="preserve">The species occurs as a single homogenous breeding population across the country </w:t>
            </w:r>
            <w:sdt>
              <w:sdtPr>
                <w:rPr>
                  <w:color w:val="000000"/>
                </w:rPr>
                <w:tag w:val="MENDELEY_CITATION_v3_eyJjaXRhdGlvbklEIjoiTUVOREVMRVlfQ0lUQVRJT05fYjdmMWU4YzQtNTkxOS00YWY1LTljZGUtMTg1MmZlZjkxMmI5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161739038"/>
                <w:placeholder>
                  <w:docPart w:val="7A87483195E49548AABB39FF484A13FE"/>
                </w:placeholder>
              </w:sdtPr>
              <w:sdtContent>
                <w:r w:rsidRPr="002F46CE">
                  <w:rPr>
                    <w:color w:val="000000"/>
                  </w:rPr>
                  <w:t>(DoEE, 2019)</w:t>
                </w:r>
              </w:sdtContent>
            </w:sdt>
            <w:r w:rsidRPr="00C979A7">
              <w:t>.</w:t>
            </w:r>
          </w:p>
        </w:tc>
      </w:tr>
      <w:tr w:rsidR="000B173B" w:rsidRPr="002F23FB" w14:paraId="3352C559" w14:textId="77777777" w:rsidTr="00A15226">
        <w:tc>
          <w:tcPr>
            <w:tcW w:w="1526" w:type="dxa"/>
            <w:vAlign w:val="center"/>
          </w:tcPr>
          <w:p w14:paraId="4C517708"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6C504A8D" w14:textId="77777777" w:rsidR="000B173B" w:rsidRDefault="000B173B" w:rsidP="00A15226">
            <w:pPr>
              <w:pStyle w:val="Tabletext"/>
            </w:pPr>
            <w:r>
              <w:t xml:space="preserve">The species Conservation Advice </w:t>
            </w:r>
            <w:sdt>
              <w:sdtPr>
                <w:rPr>
                  <w:color w:val="000000"/>
                </w:rPr>
                <w:tag w:val="MENDELEY_CITATION_v3_eyJjaXRhdGlvbklEIjoiTUVOREVMRVlfQ0lUQVRJT05fYTEyMDVhMTQtNzNiMS00MDU4LTg0MjctYjRmMmViOGJiMzNl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1999531929"/>
                <w:placeholder>
                  <w:docPart w:val="7A87483195E49548AABB39FF484A13FE"/>
                </w:placeholder>
              </w:sdtPr>
              <w:sdtContent>
                <w:r w:rsidRPr="002F46CE">
                  <w:rPr>
                    <w:color w:val="000000"/>
                  </w:rPr>
                  <w:t>(DSEWPaC, 2013b)</w:t>
                </w:r>
              </w:sdtContent>
            </w:sdt>
            <w:r>
              <w:rPr>
                <w:iCs/>
              </w:rPr>
              <w:t xml:space="preserve"> and draft Recovery Plan </w:t>
            </w:r>
            <w:sdt>
              <w:sdtPr>
                <w:rPr>
                  <w:iCs/>
                  <w:color w:val="000000"/>
                </w:rPr>
                <w:tag w:val="MENDELEY_CITATION_v3_eyJjaXRhdGlvbklEIjoiTUVOREVMRVlfQ0lUQVRJT05fMGRlNTI3N2YtMzE2Yy00OGY0LTk5ZTItNzE1NTYxZTQ0MjYz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116590222"/>
                <w:placeholder>
                  <w:docPart w:val="7A87483195E49548AABB39FF484A13FE"/>
                </w:placeholder>
              </w:sdtPr>
              <w:sdtEndPr>
                <w:rPr>
                  <w:iCs w:val="0"/>
                </w:rPr>
              </w:sdtEndPr>
              <w:sdtContent>
                <w:r w:rsidRPr="002F46CE">
                  <w:rPr>
                    <w:color w:val="000000"/>
                  </w:rPr>
                  <w:t>(DoEE, 2019)</w:t>
                </w:r>
              </w:sdtContent>
            </w:sdt>
            <w:r>
              <w:t xml:space="preserve"> have identified the following threats </w:t>
            </w:r>
          </w:p>
          <w:p w14:paraId="5F49073F" w14:textId="77777777" w:rsidR="000B173B" w:rsidRDefault="000B173B" w:rsidP="00A15226">
            <w:pPr>
              <w:pStyle w:val="Bullet1"/>
            </w:pPr>
            <w:r>
              <w:t>Loss of wetlands through drainage and the diversion of water for agriculture and reservoirs</w:t>
            </w:r>
          </w:p>
          <w:p w14:paraId="0FA7D7AD" w14:textId="77777777" w:rsidR="000B173B" w:rsidRDefault="000B173B" w:rsidP="00A15226">
            <w:pPr>
              <w:pStyle w:val="Bullet1"/>
            </w:pPr>
            <w:r>
              <w:t>Inappropriate hydrological regimes and declines in water quality</w:t>
            </w:r>
          </w:p>
          <w:p w14:paraId="3509CEE1" w14:textId="77777777" w:rsidR="000B173B" w:rsidRDefault="000B173B" w:rsidP="00A15226">
            <w:pPr>
              <w:pStyle w:val="Bullet1"/>
            </w:pPr>
            <w:r>
              <w:t>Grazing and the associated trampling of wetland vegetation/nests, nutrient enrichment and disturbance to substrate by livestock</w:t>
            </w:r>
          </w:p>
          <w:p w14:paraId="54526F12" w14:textId="77777777" w:rsidR="000B173B" w:rsidRDefault="000B173B" w:rsidP="00A15226">
            <w:pPr>
              <w:pStyle w:val="Bullet1"/>
            </w:pPr>
            <w:r>
              <w:t xml:space="preserve">Climate change, including reduced rainfall and runoff in the Murray-Darling Basin </w:t>
            </w:r>
          </w:p>
          <w:p w14:paraId="797BDD80" w14:textId="77777777" w:rsidR="000B173B" w:rsidRDefault="000B173B" w:rsidP="00A15226">
            <w:pPr>
              <w:pStyle w:val="Bullet1"/>
            </w:pPr>
            <w:r>
              <w:t>Impacts from feral animals, including predation by cats and foxes, and habitat degradation by pigs, goats and deer</w:t>
            </w:r>
          </w:p>
          <w:p w14:paraId="1FED8125" w14:textId="77777777" w:rsidR="000B173B" w:rsidRDefault="000B173B" w:rsidP="00A15226">
            <w:pPr>
              <w:pStyle w:val="Bullet1"/>
            </w:pPr>
            <w:r>
              <w:t>Invasive plants</w:t>
            </w:r>
          </w:p>
          <w:p w14:paraId="758035D7" w14:textId="77777777" w:rsidR="000B173B" w:rsidRDefault="000B173B" w:rsidP="00A15226">
            <w:pPr>
              <w:pStyle w:val="Bullet1"/>
            </w:pPr>
            <w:r>
              <w:lastRenderedPageBreak/>
              <w:t>Human disturbance of breeding birds</w:t>
            </w:r>
          </w:p>
          <w:p w14:paraId="529E6B4C" w14:textId="77777777" w:rsidR="000B173B" w:rsidRDefault="000B173B" w:rsidP="00A15226">
            <w:pPr>
              <w:pStyle w:val="Bullet1"/>
            </w:pPr>
            <w:r>
              <w:t>Inappropriate fire regimes</w:t>
            </w:r>
          </w:p>
          <w:p w14:paraId="2287158F" w14:textId="77777777" w:rsidR="000B173B" w:rsidRPr="003E1ADD" w:rsidRDefault="000B173B" w:rsidP="00A15226">
            <w:pPr>
              <w:pStyle w:val="Bullet1"/>
            </w:pPr>
            <w:r>
              <w:t>Low genetic diversity</w:t>
            </w:r>
          </w:p>
        </w:tc>
      </w:tr>
      <w:tr w:rsidR="000B173B" w:rsidRPr="002F23FB" w14:paraId="4C553EC3" w14:textId="77777777" w:rsidTr="00A15226">
        <w:tc>
          <w:tcPr>
            <w:tcW w:w="1526" w:type="dxa"/>
            <w:vAlign w:val="center"/>
          </w:tcPr>
          <w:p w14:paraId="0969BC3B"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RELEVANT PLANS AND POLICIES</w:t>
            </w:r>
          </w:p>
        </w:tc>
        <w:tc>
          <w:tcPr>
            <w:tcW w:w="8113" w:type="dxa"/>
            <w:vAlign w:val="center"/>
          </w:tcPr>
          <w:p w14:paraId="3866CF31" w14:textId="77777777" w:rsidR="000B173B" w:rsidRDefault="000B173B" w:rsidP="00A15226">
            <w:pPr>
              <w:pStyle w:val="Tabletext"/>
              <w:rPr>
                <w:iCs/>
              </w:rPr>
            </w:pPr>
            <w:r w:rsidRPr="007B1E69">
              <w:rPr>
                <w:iCs/>
              </w:rPr>
              <w:t xml:space="preserve">Approved Conservation Advice for </w:t>
            </w:r>
            <w:r w:rsidRPr="007B1E69">
              <w:rPr>
                <w:i/>
              </w:rPr>
              <w:t>Rostratula australis</w:t>
            </w:r>
            <w:r w:rsidRPr="007B1E69">
              <w:rPr>
                <w:iCs/>
              </w:rPr>
              <w:t xml:space="preserve"> (Australian </w:t>
            </w:r>
            <w:r>
              <w:rPr>
                <w:iCs/>
              </w:rPr>
              <w:t>P</w:t>
            </w:r>
            <w:r w:rsidRPr="007B1E69">
              <w:rPr>
                <w:iCs/>
              </w:rPr>
              <w:t xml:space="preserve">ainted </w:t>
            </w:r>
            <w:r>
              <w:rPr>
                <w:iCs/>
              </w:rPr>
              <w:t>S</w:t>
            </w:r>
            <w:r w:rsidRPr="007B1E69">
              <w:rPr>
                <w:iCs/>
              </w:rPr>
              <w:t>nipe)</w:t>
            </w:r>
            <w:r>
              <w:rPr>
                <w:iCs/>
              </w:rPr>
              <w:t xml:space="preserve"> </w:t>
            </w:r>
            <w:sdt>
              <w:sdtPr>
                <w:rPr>
                  <w:iCs/>
                  <w:color w:val="000000"/>
                </w:rPr>
                <w:tag w:val="MENDELEY_CITATION_v3_eyJjaXRhdGlvbklEIjoiTUVOREVMRVlfQ0lUQVRJT05fZWI1YjkwMTUtODkwMS00MGY3LTg2NTUtODk0NTJkYzAzYTAx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2091502039"/>
                <w:placeholder>
                  <w:docPart w:val="7A87483195E49548AABB39FF484A13FE"/>
                </w:placeholder>
              </w:sdtPr>
              <w:sdtEndPr>
                <w:rPr>
                  <w:iCs w:val="0"/>
                </w:rPr>
              </w:sdtEndPr>
              <w:sdtContent>
                <w:r w:rsidRPr="002F46CE">
                  <w:rPr>
                    <w:color w:val="000000"/>
                  </w:rPr>
                  <w:t>(DSEWPaC, 2013b)</w:t>
                </w:r>
              </w:sdtContent>
            </w:sdt>
          </w:p>
          <w:p w14:paraId="5B2767A3" w14:textId="77777777" w:rsidR="000B173B" w:rsidRDefault="000B173B" w:rsidP="00A15226">
            <w:pPr>
              <w:pStyle w:val="Tabletext"/>
              <w:rPr>
                <w:iCs/>
              </w:rPr>
            </w:pPr>
            <w:r w:rsidRPr="007B1E69">
              <w:rPr>
                <w:iCs/>
              </w:rPr>
              <w:t xml:space="preserve">Commonwealth Listing Advice on </w:t>
            </w:r>
            <w:r w:rsidRPr="007B1E69">
              <w:rPr>
                <w:i/>
              </w:rPr>
              <w:t>Rostratula australis</w:t>
            </w:r>
            <w:r w:rsidRPr="007B1E69">
              <w:rPr>
                <w:iCs/>
              </w:rPr>
              <w:t xml:space="preserve"> (Australian Painted Snipe)</w:t>
            </w:r>
            <w:r>
              <w:rPr>
                <w:iCs/>
              </w:rPr>
              <w:t xml:space="preserve"> </w:t>
            </w:r>
            <w:sdt>
              <w:sdtPr>
                <w:rPr>
                  <w:iCs/>
                  <w:color w:val="000000"/>
                </w:rPr>
                <w:tag w:val="MENDELEY_CITATION_v3_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"/>
                <w:id w:val="-628316421"/>
                <w:placeholder>
                  <w:docPart w:val="7A87483195E49548AABB39FF484A13FE"/>
                </w:placeholder>
              </w:sdtPr>
              <w:sdtEndPr>
                <w:rPr>
                  <w:iCs w:val="0"/>
                </w:rPr>
              </w:sdtEndPr>
              <w:sdtContent>
                <w:r w:rsidRPr="002F46CE">
                  <w:rPr>
                    <w:color w:val="000000"/>
                  </w:rPr>
                  <w:t>(TSSC, 2013)</w:t>
                </w:r>
              </w:sdtContent>
            </w:sdt>
          </w:p>
          <w:p w14:paraId="11BFB415" w14:textId="77777777" w:rsidR="000B173B" w:rsidRDefault="000B173B" w:rsidP="00A15226">
            <w:pPr>
              <w:pStyle w:val="Tabletext"/>
              <w:rPr>
                <w:szCs w:val="18"/>
              </w:rPr>
            </w:pPr>
            <w:r>
              <w:t xml:space="preserve">It is noted that the species has a draft Recovery Plan which has been released for public consultation: Draft National Recovery Plan for the Australian Painted Snipe </w:t>
            </w:r>
            <w:r w:rsidRPr="002B70F0">
              <w:rPr>
                <w:i/>
              </w:rPr>
              <w:t>Rostratula australis</w:t>
            </w:r>
            <w:r>
              <w:rPr>
                <w:szCs w:val="18"/>
              </w:rPr>
              <w:t xml:space="preserve"> </w:t>
            </w:r>
            <w:sdt>
              <w:sdtPr>
                <w:rPr>
                  <w:color w:val="000000"/>
                  <w:szCs w:val="18"/>
                </w:rPr>
                <w:tag w:val="MENDELEY_CITATION_v3_eyJjaXRhdGlvbklEIjoiTUVOREVMRVlfQ0lUQVRJT05fZDQyZDA2OTQtMWVkYy00M2ViLThjMTEtOTRlOTZjYWIwNDJl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737976293"/>
                <w:placeholder>
                  <w:docPart w:val="7A87483195E49548AABB39FF484A13FE"/>
                </w:placeholder>
              </w:sdtPr>
              <w:sdtEndPr>
                <w:rPr>
                  <w:szCs w:val="20"/>
                </w:rPr>
              </w:sdtEndPr>
              <w:sdtContent>
                <w:r w:rsidRPr="002F46CE">
                  <w:rPr>
                    <w:color w:val="000000"/>
                  </w:rPr>
                  <w:t>(DoEE, 2019)</w:t>
                </w:r>
              </w:sdtContent>
            </w:sdt>
            <w:r>
              <w:rPr>
                <w:szCs w:val="18"/>
              </w:rPr>
              <w:t>.</w:t>
            </w:r>
          </w:p>
          <w:p w14:paraId="026C3145" w14:textId="77777777" w:rsidR="000B173B" w:rsidRDefault="000B173B" w:rsidP="00A15226">
            <w:pPr>
              <w:pStyle w:val="Tabletext"/>
              <w:rPr>
                <w:iCs/>
              </w:rPr>
            </w:pPr>
            <w:r>
              <w:t xml:space="preserve">Threat abatement plan for competition and land degradation by unmanaged goats </w:t>
            </w:r>
            <w:sdt>
              <w:sdtPr>
                <w:rPr>
                  <w:color w:val="000000"/>
                </w:rPr>
                <w:tag w:val="MENDELEY_CITATION_v3_eyJjaXRhdGlvbklEIjoiTUVOREVMRVlfQ0lUQVRJT05fZmQyM2VkZjUtNzYzMC00Yjg5LTk0ZTUtNmJhODZkMjFlNzIzIiwicHJvcGVydGllcyI6eyJub3RlSW5kZXgiOjB9LCJpc0VkaXRlZCI6ZmFsc2UsIm1hbnVhbE92ZXJyaWRlIjp7ImNpdGVwcm9jVGV4dCI6IihERVdIQSwgMjAwOGU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
                <w:id w:val="-417795632"/>
                <w:placeholder>
                  <w:docPart w:val="7A87483195E49548AABB39FF484A13FE"/>
                </w:placeholder>
              </w:sdtPr>
              <w:sdtContent>
                <w:r w:rsidRPr="002F46CE">
                  <w:rPr>
                    <w:color w:val="000000"/>
                  </w:rPr>
                  <w:t>(DEWHA, 2008e)</w:t>
                </w:r>
              </w:sdtContent>
            </w:sdt>
            <w:r w:rsidRPr="00A0168F">
              <w:rPr>
                <w:iCs/>
              </w:rPr>
              <w:t xml:space="preserve"> </w:t>
            </w:r>
          </w:p>
          <w:p w14:paraId="0BAADAEB" w14:textId="77777777" w:rsidR="000B173B" w:rsidRDefault="000B173B" w:rsidP="00A15226">
            <w:pPr>
              <w:pStyle w:val="Tabletext"/>
              <w:rPr>
                <w:iCs/>
              </w:rPr>
            </w:pPr>
            <w:r w:rsidRPr="00A0168F">
              <w:rPr>
                <w:iCs/>
              </w:rPr>
              <w:t>Threat abatement plan for predation by feral cats</w:t>
            </w:r>
            <w:r>
              <w:rPr>
                <w:iCs/>
              </w:rPr>
              <w:t xml:space="preserve"> </w:t>
            </w:r>
            <w:sdt>
              <w:sdtPr>
                <w:rPr>
                  <w:iCs/>
                  <w:color w:val="000000"/>
                </w:rPr>
                <w:tag w:val="MENDELEY_CITATION_v3_eyJjaXRhdGlvbklEIjoiTUVOREVMRVlfQ0lUQVRJT05fZDI0MDUxNmMtYzA5NC00ZDMxLWEwN2YtNjk2MGNlZGI1YzIy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459646618"/>
                <w:placeholder>
                  <w:docPart w:val="7A87483195E49548AABB39FF484A13FE"/>
                </w:placeholder>
              </w:sdtPr>
              <w:sdtEndPr>
                <w:rPr>
                  <w:iCs w:val="0"/>
                </w:rPr>
              </w:sdtEndPr>
              <w:sdtContent>
                <w:r w:rsidRPr="002F46CE">
                  <w:rPr>
                    <w:color w:val="000000"/>
                  </w:rPr>
                  <w:t>(DoE, 2015h)</w:t>
                </w:r>
              </w:sdtContent>
            </w:sdt>
          </w:p>
          <w:p w14:paraId="349D1B5A" w14:textId="77777777" w:rsidR="000B173B" w:rsidRDefault="000B173B" w:rsidP="00A15226">
            <w:pPr>
              <w:pStyle w:val="Tabletext"/>
              <w:rPr>
                <w:iCs/>
              </w:rPr>
            </w:pPr>
            <w:r w:rsidRPr="0031184E">
              <w:rPr>
                <w:iCs/>
              </w:rPr>
              <w:t>Threat abatement plan for predation by the European red fox</w:t>
            </w:r>
            <w:r>
              <w:rPr>
                <w:iCs/>
              </w:rPr>
              <w:t xml:space="preserve"> </w:t>
            </w:r>
            <w:sdt>
              <w:sdtPr>
                <w:rPr>
                  <w:iCs/>
                  <w:color w:val="000000"/>
                </w:rPr>
                <w:tag w:val="MENDELEY_CITATION_v3_eyJjaXRhdGlvbklEIjoiTUVOREVMRVlfQ0lUQVRJT05fNzZhNDQyMzEtNzIzNC00ZTZkLWEwOWQtNTMxZDgyZTlmYmZh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788234318"/>
                <w:placeholder>
                  <w:docPart w:val="7A87483195E49548AABB39FF484A13FE"/>
                </w:placeholder>
              </w:sdtPr>
              <w:sdtEndPr>
                <w:rPr>
                  <w:iCs w:val="0"/>
                </w:rPr>
              </w:sdtEndPr>
              <w:sdtContent>
                <w:r w:rsidRPr="002F46CE">
                  <w:rPr>
                    <w:color w:val="000000"/>
                  </w:rPr>
                  <w:t>(DEWHA, 2008f)</w:t>
                </w:r>
              </w:sdtContent>
            </w:sdt>
          </w:p>
          <w:p w14:paraId="0A2F1C16" w14:textId="77777777" w:rsidR="000B173B" w:rsidRPr="003E1ADD" w:rsidRDefault="000B173B" w:rsidP="00A15226">
            <w:pPr>
              <w:pStyle w:val="Tabletext"/>
              <w:rPr>
                <w:iCs/>
              </w:rPr>
            </w:pPr>
            <w:r w:rsidRPr="00500496">
              <w:t xml:space="preserve">Threat abatement plan for predation, habitat degradation, competition and disease transmission by feral pigs </w:t>
            </w:r>
            <w:sdt>
              <w:sdtPr>
                <w:rPr>
                  <w:color w:val="000000"/>
                </w:rPr>
                <w:tag w:val="MENDELEY_CITATION_v3_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"/>
                <w:id w:val="-633328048"/>
                <w:placeholder>
                  <w:docPart w:val="7A87483195E49548AABB39FF484A13FE"/>
                </w:placeholder>
              </w:sdtPr>
              <w:sdtContent>
                <w:r w:rsidRPr="002F46CE">
                  <w:rPr>
                    <w:color w:val="000000"/>
                  </w:rPr>
                  <w:t>(DoEE, 2017b)</w:t>
                </w:r>
              </w:sdtContent>
            </w:sdt>
          </w:p>
        </w:tc>
      </w:tr>
      <w:tr w:rsidR="000B173B" w:rsidRPr="000816D6" w14:paraId="62F8F12A" w14:textId="77777777" w:rsidTr="00A15226">
        <w:tc>
          <w:tcPr>
            <w:tcW w:w="1526" w:type="dxa"/>
            <w:vAlign w:val="center"/>
          </w:tcPr>
          <w:p w14:paraId="7D559AF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5826C8FA" w14:textId="77777777" w:rsidR="000B173B" w:rsidRPr="00980D4D" w:rsidRDefault="000B173B" w:rsidP="00A15226">
            <w:pPr>
              <w:pStyle w:val="Tabletext"/>
            </w:pPr>
            <w:r w:rsidRPr="007B1E69">
              <w:t xml:space="preserve">Survey Guidelines for Australia's Threatened Birds. EPBC Act survey guidelines 6.2 </w:t>
            </w:r>
            <w:sdt>
              <w:sdtPr>
                <w:rPr>
                  <w:color w:val="000000"/>
                </w:rPr>
                <w:tag w:val="MENDELEY_CITATION_v3_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"/>
                <w:id w:val="2054027548"/>
                <w:placeholder>
                  <w:docPart w:val="7A87483195E49548AABB39FF484A13FE"/>
                </w:placeholder>
              </w:sdtPr>
              <w:sdtContent>
                <w:r w:rsidRPr="002F46CE">
                  <w:rPr>
                    <w:color w:val="000000"/>
                  </w:rPr>
                  <w:t>(DEWHA, 2010b)</w:t>
                </w:r>
              </w:sdtContent>
            </w:sdt>
          </w:p>
        </w:tc>
      </w:tr>
      <w:tr w:rsidR="000B173B" w:rsidRPr="000816D6" w14:paraId="5CC9CAA0" w14:textId="77777777" w:rsidTr="00A15226">
        <w:tc>
          <w:tcPr>
            <w:tcW w:w="1526" w:type="dxa"/>
            <w:vAlign w:val="center"/>
          </w:tcPr>
          <w:p w14:paraId="0348CA01"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1A7A3180" w14:textId="77777777" w:rsidR="000B173B" w:rsidRPr="003E1ADD" w:rsidRDefault="000B173B" w:rsidP="00A15226">
            <w:pPr>
              <w:pStyle w:val="Tabletext"/>
            </w:pPr>
            <w:hyperlink r:id="rId133" w:history="1">
              <w:r w:rsidRPr="007473F6">
                <w:rPr>
                  <w:rStyle w:val="Hyperlink"/>
                </w:rPr>
                <w:t>http://www.environment.gov.au/cgi-bin/sprat/public/publicspecies.pl?taxon_id=77037</w:t>
              </w:r>
            </w:hyperlink>
            <w:r>
              <w:t xml:space="preserve"> </w:t>
            </w:r>
          </w:p>
        </w:tc>
      </w:tr>
    </w:tbl>
    <w:p w14:paraId="446F45C6"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264F8DBD" w14:textId="77777777" w:rsidTr="00A15226">
        <w:tc>
          <w:tcPr>
            <w:tcW w:w="9622" w:type="dxa"/>
            <w:shd w:val="clear" w:color="auto" w:fill="C9C9C9" w:themeFill="accent3" w:themeFillTint="99"/>
          </w:tcPr>
          <w:p w14:paraId="7BD49B1C" w14:textId="77777777" w:rsidR="000B173B" w:rsidRPr="008F55BC" w:rsidRDefault="000B173B" w:rsidP="00A15226">
            <w:pPr>
              <w:pStyle w:val="Tabletext"/>
              <w:rPr>
                <w:b/>
                <w:bCs/>
              </w:rPr>
            </w:pPr>
            <w:r>
              <w:rPr>
                <w:rFonts w:ascii="Helvetica" w:hAnsi="Helvetica"/>
                <w:b/>
                <w:sz w:val="16"/>
                <w:szCs w:val="16"/>
              </w:rPr>
              <w:t>APPROACH TO BASELINE DATA</w:t>
            </w:r>
          </w:p>
        </w:tc>
      </w:tr>
    </w:tbl>
    <w:p w14:paraId="54FD5C35"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16C74136"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751D73EE"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05F55DF6" w14:textId="77777777" w:rsidR="000B173B" w:rsidRPr="00296917" w:rsidRDefault="000B173B" w:rsidP="000B173B">
      <w:pPr>
        <w:rPr>
          <w:i/>
          <w:color w:val="4472C4" w:themeColor="accent1"/>
        </w:rPr>
      </w:pPr>
      <w:r w:rsidRPr="000816D6">
        <w:rPr>
          <w:i/>
          <w:color w:val="4472C4" w:themeColor="accent1"/>
        </w:rPr>
        <w:t xml:space="preserve">Please </w:t>
      </w:r>
      <w:r w:rsidRPr="00134ED1">
        <w:rPr>
          <w:i/>
          <w:color w:val="4472C4" w:themeColor="accent1"/>
        </w:rPr>
        <w:t xml:space="preserve">refer to </w:t>
      </w:r>
      <w:r w:rsidRPr="006900FB">
        <w:rPr>
          <w:i/>
          <w:color w:val="4472C4" w:themeColor="accent1"/>
        </w:rPr>
        <w:t>Chapter 13</w:t>
      </w:r>
      <w:r w:rsidRPr="00134ED1">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787CDE97" w14:textId="77777777" w:rsidTr="00A15226">
        <w:tc>
          <w:tcPr>
            <w:tcW w:w="1526" w:type="dxa"/>
            <w:vMerge w:val="restart"/>
            <w:vAlign w:val="center"/>
          </w:tcPr>
          <w:p w14:paraId="31225A72"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0DF4841C"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4025D93A" w14:textId="77777777" w:rsidTr="00A15226">
        <w:tc>
          <w:tcPr>
            <w:tcW w:w="1526" w:type="dxa"/>
            <w:vMerge/>
            <w:vAlign w:val="center"/>
          </w:tcPr>
          <w:p w14:paraId="69743E70" w14:textId="77777777" w:rsidR="000B173B" w:rsidRDefault="000B173B" w:rsidP="00A15226">
            <w:pPr>
              <w:pStyle w:val="Tabletext"/>
              <w:rPr>
                <w:rFonts w:ascii="Helvetica" w:hAnsi="Helvetica"/>
                <w:b/>
                <w:bCs/>
                <w:sz w:val="14"/>
              </w:rPr>
            </w:pPr>
          </w:p>
        </w:tc>
        <w:tc>
          <w:tcPr>
            <w:tcW w:w="8113" w:type="dxa"/>
            <w:vAlign w:val="center"/>
          </w:tcPr>
          <w:p w14:paraId="2B8C4AFF"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7772B3A6" w14:textId="77777777" w:rsidTr="00A15226">
        <w:tc>
          <w:tcPr>
            <w:tcW w:w="1526" w:type="dxa"/>
            <w:vMerge/>
            <w:vAlign w:val="center"/>
          </w:tcPr>
          <w:p w14:paraId="070B4F94"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57F89B82"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6F9BE21B" w14:textId="77777777" w:rsidTr="00A15226">
        <w:tc>
          <w:tcPr>
            <w:tcW w:w="1526" w:type="dxa"/>
            <w:vMerge/>
            <w:vAlign w:val="center"/>
          </w:tcPr>
          <w:p w14:paraId="0662D6F4" w14:textId="77777777" w:rsidR="000B173B" w:rsidRDefault="000B173B" w:rsidP="00A15226">
            <w:pPr>
              <w:pStyle w:val="Tabletext"/>
              <w:rPr>
                <w:rFonts w:ascii="Helvetica" w:hAnsi="Helvetica"/>
                <w:b/>
                <w:bCs/>
                <w:sz w:val="14"/>
              </w:rPr>
            </w:pPr>
          </w:p>
        </w:tc>
        <w:tc>
          <w:tcPr>
            <w:tcW w:w="8113" w:type="dxa"/>
            <w:vAlign w:val="center"/>
          </w:tcPr>
          <w:p w14:paraId="18DCF47B"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4506DDE7" w14:textId="77777777" w:rsidTr="00A15226">
        <w:tc>
          <w:tcPr>
            <w:tcW w:w="1526" w:type="dxa"/>
            <w:vMerge/>
            <w:vAlign w:val="center"/>
          </w:tcPr>
          <w:p w14:paraId="4A3E1454"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A9EB15B"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5F9B4CFE" w14:textId="77777777" w:rsidTr="00A15226">
        <w:tc>
          <w:tcPr>
            <w:tcW w:w="1526" w:type="dxa"/>
            <w:vMerge/>
            <w:vAlign w:val="center"/>
          </w:tcPr>
          <w:p w14:paraId="337BCBB3" w14:textId="77777777" w:rsidR="000B173B" w:rsidRPr="000816D6" w:rsidRDefault="000B173B" w:rsidP="00A15226">
            <w:pPr>
              <w:pStyle w:val="Tabletext"/>
              <w:rPr>
                <w:rFonts w:ascii="Helvetica" w:hAnsi="Helvetica"/>
                <w:b/>
                <w:bCs/>
                <w:sz w:val="14"/>
              </w:rPr>
            </w:pPr>
          </w:p>
        </w:tc>
        <w:tc>
          <w:tcPr>
            <w:tcW w:w="8113" w:type="dxa"/>
            <w:vAlign w:val="center"/>
          </w:tcPr>
          <w:p w14:paraId="2F425145"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1E34833C" w14:textId="77777777" w:rsidR="000B173B" w:rsidRPr="00980D4D" w:rsidRDefault="000B173B" w:rsidP="00A15226">
            <w:pPr>
              <w:pStyle w:val="Tabletext"/>
            </w:pPr>
            <w:r w:rsidRPr="00B03721">
              <w:t xml:space="preserve">Refer </w:t>
            </w:r>
            <w:r w:rsidRPr="00134ED1">
              <w:t xml:space="preserve">to </w:t>
            </w:r>
            <w:r w:rsidRPr="006900FB">
              <w:t>Chapter 13 of Part 3</w:t>
            </w:r>
            <w:r w:rsidRPr="00134ED1">
              <w:t xml:space="preserve"> for</w:t>
            </w:r>
            <w:r>
              <w:t xml:space="preserve"> a detailed description of the baseline mapping, landholder surveys, and HIMs.</w:t>
            </w:r>
          </w:p>
        </w:tc>
      </w:tr>
      <w:tr w:rsidR="000B173B" w:rsidRPr="003E1ADD" w14:paraId="2E2611BE" w14:textId="77777777" w:rsidTr="00A15226">
        <w:tc>
          <w:tcPr>
            <w:tcW w:w="1526" w:type="dxa"/>
            <w:vMerge w:val="restart"/>
            <w:vAlign w:val="center"/>
          </w:tcPr>
          <w:p w14:paraId="63E58EF4"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78AA08F2"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3975AAB4" w14:textId="77777777" w:rsidTr="00A15226">
        <w:tc>
          <w:tcPr>
            <w:tcW w:w="1526" w:type="dxa"/>
            <w:vMerge/>
            <w:vAlign w:val="center"/>
          </w:tcPr>
          <w:p w14:paraId="05837A2C" w14:textId="77777777" w:rsidR="000B173B" w:rsidRDefault="000B173B" w:rsidP="00A15226">
            <w:pPr>
              <w:pStyle w:val="Tabletext"/>
              <w:rPr>
                <w:rFonts w:ascii="Helvetica" w:hAnsi="Helvetica"/>
                <w:b/>
                <w:bCs/>
                <w:sz w:val="14"/>
              </w:rPr>
            </w:pPr>
          </w:p>
        </w:tc>
        <w:tc>
          <w:tcPr>
            <w:tcW w:w="8113" w:type="dxa"/>
            <w:vAlign w:val="center"/>
          </w:tcPr>
          <w:p w14:paraId="1FF29CCA"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10D9C3CA" w14:textId="77777777" w:rsidTr="00A15226">
        <w:tc>
          <w:tcPr>
            <w:tcW w:w="1526" w:type="dxa"/>
            <w:vMerge/>
            <w:vAlign w:val="center"/>
          </w:tcPr>
          <w:p w14:paraId="72229381"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3381AD15"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582DBDFB" w14:textId="77777777" w:rsidTr="00A15226">
        <w:tc>
          <w:tcPr>
            <w:tcW w:w="1526" w:type="dxa"/>
            <w:vMerge/>
            <w:vAlign w:val="center"/>
          </w:tcPr>
          <w:p w14:paraId="0D38E8F7" w14:textId="77777777" w:rsidR="000B173B" w:rsidRDefault="000B173B" w:rsidP="00A15226">
            <w:pPr>
              <w:pStyle w:val="Tabletext"/>
              <w:rPr>
                <w:rFonts w:ascii="Helvetica" w:hAnsi="Helvetica"/>
                <w:b/>
                <w:bCs/>
                <w:sz w:val="14"/>
              </w:rPr>
            </w:pPr>
          </w:p>
        </w:tc>
        <w:tc>
          <w:tcPr>
            <w:tcW w:w="8113" w:type="dxa"/>
            <w:vAlign w:val="center"/>
          </w:tcPr>
          <w:p w14:paraId="5B4DF145" w14:textId="77777777" w:rsidR="000B173B" w:rsidRPr="00BB022D" w:rsidRDefault="000B173B" w:rsidP="00A15226">
            <w:pPr>
              <w:pStyle w:val="Tabletext"/>
            </w:pPr>
            <w:r w:rsidRPr="006A4149">
              <w:t xml:space="preserve">VBA records for the </w:t>
            </w:r>
            <w:r>
              <w:t>Australian Painted Snipe</w:t>
            </w:r>
            <w:r w:rsidRPr="006A4149">
              <w:t xml:space="preserve"> used in this assessment were downloaded in June 2022.</w:t>
            </w:r>
          </w:p>
        </w:tc>
      </w:tr>
      <w:tr w:rsidR="000B173B" w:rsidRPr="003E1ADD" w14:paraId="34F38156" w14:textId="77777777" w:rsidTr="00A15226">
        <w:tc>
          <w:tcPr>
            <w:tcW w:w="1526" w:type="dxa"/>
            <w:vMerge/>
            <w:vAlign w:val="center"/>
          </w:tcPr>
          <w:p w14:paraId="6DDE1ED2"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7D5159EB"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657A3DF2" w14:textId="77777777" w:rsidTr="00A15226">
        <w:tc>
          <w:tcPr>
            <w:tcW w:w="1526" w:type="dxa"/>
            <w:vMerge/>
            <w:vAlign w:val="center"/>
          </w:tcPr>
          <w:p w14:paraId="7CB5888B" w14:textId="77777777" w:rsidR="000B173B" w:rsidRDefault="000B173B" w:rsidP="00A15226">
            <w:pPr>
              <w:pStyle w:val="Tabletext"/>
              <w:rPr>
                <w:rFonts w:ascii="Helvetica" w:hAnsi="Helvetica"/>
                <w:b/>
                <w:bCs/>
                <w:sz w:val="14"/>
              </w:rPr>
            </w:pPr>
          </w:p>
        </w:tc>
        <w:tc>
          <w:tcPr>
            <w:tcW w:w="8113" w:type="dxa"/>
            <w:vAlign w:val="center"/>
          </w:tcPr>
          <w:p w14:paraId="5B444790" w14:textId="77777777" w:rsidR="000B173B" w:rsidRPr="00BB022D" w:rsidRDefault="000B173B" w:rsidP="00A15226">
            <w:pPr>
              <w:pStyle w:val="Tabletext"/>
            </w:pPr>
            <w:r w:rsidRPr="00C62332">
              <w:t xml:space="preserve">Given the mobile nature of the species, all records within the Study Area </w:t>
            </w:r>
            <w:r>
              <w:t>are</w:t>
            </w:r>
            <w:r w:rsidRPr="00C62332">
              <w:t xml:space="preserve"> considered a single population.</w:t>
            </w:r>
          </w:p>
        </w:tc>
      </w:tr>
    </w:tbl>
    <w:p w14:paraId="1DA75691"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106FDE58" w14:textId="77777777" w:rsidTr="00A15226">
        <w:tc>
          <w:tcPr>
            <w:tcW w:w="9622" w:type="dxa"/>
            <w:shd w:val="clear" w:color="auto" w:fill="C9C9C9" w:themeFill="accent3" w:themeFillTint="99"/>
          </w:tcPr>
          <w:p w14:paraId="37B0B080"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2EB18028"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w:t>
      </w:r>
      <w:r w:rsidRPr="00CA1943">
        <w:rPr>
          <w:i/>
          <w:iCs/>
          <w:color w:val="4472C4" w:themeColor="accent1"/>
        </w:rPr>
        <w:t>the species in the Study Area. It includes reference to a map of records and habitat which can be viewed as a separate file. The map provides critical</w:t>
      </w:r>
      <w:r w:rsidRPr="00BB022D">
        <w:rPr>
          <w:i/>
          <w:iCs/>
          <w:color w:val="4472C4" w:themeColor="accent1"/>
        </w:rPr>
        <w:t xml:space="preserve"> context for the assessment and should be viewed in conjunction with the text presented in this assessment. This section also provides a qualitative description of where records and habitat occur.</w:t>
      </w:r>
    </w:p>
    <w:p w14:paraId="6A8E3C1F" w14:textId="77777777" w:rsidR="000B173B" w:rsidRDefault="000B173B" w:rsidP="000B173B">
      <w:pPr>
        <w:rPr>
          <w:b/>
          <w:bCs/>
        </w:rPr>
      </w:pPr>
      <w:r w:rsidRPr="00134ED1">
        <w:t xml:space="preserve">See </w:t>
      </w:r>
      <w:hyperlink r:id="rId134" w:history="1">
        <w:r w:rsidRPr="00AC291E">
          <w:rPr>
            <w:rStyle w:val="Hyperlink"/>
          </w:rPr>
          <w:t>Map 19-12</w:t>
        </w:r>
      </w:hyperlink>
      <w:r w:rsidRPr="00134ED1">
        <w:t xml:space="preserve"> for</w:t>
      </w:r>
      <w:r>
        <w:t xml:space="preserve"> a map of records and habitat across the Strategic Assessment Area.</w:t>
      </w:r>
      <w:r w:rsidRPr="00AE19A8">
        <w:rPr>
          <w:b/>
          <w:bCs/>
        </w:rPr>
        <w:t xml:space="preserve"> </w:t>
      </w:r>
    </w:p>
    <w:p w14:paraId="6DA556F0" w14:textId="77777777" w:rsidR="000B173B" w:rsidRDefault="000B173B" w:rsidP="000B173B">
      <w:r>
        <w:t xml:space="preserve">There are </w:t>
      </w:r>
      <w:r w:rsidRPr="006900FB">
        <w:t>seven records</w:t>
      </w:r>
      <w:r w:rsidRPr="00134ED1">
        <w:t xml:space="preserve"> (</w:t>
      </w:r>
      <w:r w:rsidRPr="006900FB">
        <w:t>19 individuals</w:t>
      </w:r>
      <w:r w:rsidRPr="00134ED1">
        <w:t>)</w:t>
      </w:r>
      <w:r>
        <w:t xml:space="preserve"> of the Australian Painted Snipe within the Study Area, the most recent of which was recorded in 2013. The species has not been recorded in the Strategic Assessment Area.</w:t>
      </w:r>
    </w:p>
    <w:p w14:paraId="7B0521AE" w14:textId="77777777" w:rsidR="000B173B" w:rsidRDefault="000B173B" w:rsidP="000B173B">
      <w:r>
        <w:t xml:space="preserve">A </w:t>
      </w:r>
      <w:r w:rsidRPr="00BE729E">
        <w:t>total o</w:t>
      </w:r>
      <w:r w:rsidRPr="00134ED1">
        <w:t xml:space="preserve">f </w:t>
      </w:r>
      <w:r w:rsidRPr="006900FB">
        <w:t>7,828.4 ha</w:t>
      </w:r>
      <w:r w:rsidRPr="00134ED1">
        <w:t xml:space="preserve"> of potential habitat has been mapped within the Study Area. Of this, </w:t>
      </w:r>
      <w:r w:rsidRPr="006900FB">
        <w:t>42.4 ha</w:t>
      </w:r>
      <w:r>
        <w:t xml:space="preserve"> of habitat is mapped within the Strategic Assessment Area. No habitat has been mapped within the Growth Areas.</w:t>
      </w:r>
    </w:p>
    <w:p w14:paraId="0EEA1104" w14:textId="77777777" w:rsidR="000B173B" w:rsidRDefault="000B173B" w:rsidP="000B173B">
      <w:r>
        <w:t xml:space="preserve">A large area of habitat </w:t>
      </w:r>
      <w:r w:rsidRPr="00126FF8">
        <w:t xml:space="preserve">and </w:t>
      </w:r>
      <w:r w:rsidRPr="006900FB">
        <w:t>two records (3 individuals</w:t>
      </w:r>
      <w:r w:rsidRPr="00126FF8">
        <w:t>)</w:t>
      </w:r>
      <w:r>
        <w:t xml:space="preserve"> of the species occur at the Lake Connewarre Complex.</w:t>
      </w:r>
    </w:p>
    <w:p w14:paraId="449B8338" w14:textId="77777777" w:rsidR="000B173B" w:rsidRPr="009C78F5" w:rsidRDefault="000B173B" w:rsidP="000B173B">
      <w:r w:rsidRPr="006900FB">
        <w:t>Two records (9 individuals</w:t>
      </w:r>
      <w:r w:rsidRPr="009C78F5">
        <w:t>) occur in the north-east of the Study Area in the locality of Little River.</w:t>
      </w:r>
    </w:p>
    <w:p w14:paraId="1D05E119" w14:textId="77777777" w:rsidR="000B173B" w:rsidRDefault="000B173B" w:rsidP="000B173B">
      <w:r w:rsidRPr="009C78F5">
        <w:t xml:space="preserve">An isolated </w:t>
      </w:r>
      <w:r w:rsidRPr="006900FB">
        <w:t>record (single individual</w:t>
      </w:r>
      <w:r w:rsidRPr="009C78F5">
        <w:t>) occurs</w:t>
      </w:r>
      <w:r>
        <w:t xml:space="preserve"> at Brisbane Ranges National Park in the north-west of the Study Area.</w:t>
      </w:r>
    </w:p>
    <w:p w14:paraId="05994930" w14:textId="77777777" w:rsidR="000B173B" w:rsidRPr="000816D6" w:rsidRDefault="000B173B" w:rsidP="000B173B">
      <w:r>
        <w:t>Otherwise, habitat is mapped largely mapped along riparian habitats, including the Moorabool River, Barwon River, Hovells Creek, Little River, and Thompsons Creek. Some habitat is also mapped along the coastline in the Port Wilson area.</w:t>
      </w:r>
    </w:p>
    <w:p w14:paraId="64996664" w14:textId="77777777" w:rsidR="000B173B" w:rsidRPr="006934FA"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6E2306BD" w14:textId="77777777" w:rsidTr="00A15226">
        <w:trPr>
          <w:cantSplit/>
        </w:trPr>
        <w:tc>
          <w:tcPr>
            <w:tcW w:w="9632" w:type="dxa"/>
            <w:shd w:val="clear" w:color="auto" w:fill="D9D9D9" w:themeFill="background1" w:themeFillShade="D9"/>
            <w:vAlign w:val="center"/>
          </w:tcPr>
          <w:p w14:paraId="6BF9EDC1" w14:textId="77777777" w:rsidR="000B173B" w:rsidRPr="000816D6" w:rsidRDefault="000B173B" w:rsidP="00A15226">
            <w:pPr>
              <w:pStyle w:val="TableHeadingLarge"/>
            </w:pPr>
            <w:r w:rsidRPr="000816D6">
              <w:rPr>
                <w:rFonts w:ascii="Helvetica" w:hAnsi="Helvetica"/>
              </w:rPr>
              <w:t>POTENTIAL INDIRECT IMPACTS AND MITIGATION</w:t>
            </w:r>
          </w:p>
        </w:tc>
      </w:tr>
    </w:tbl>
    <w:p w14:paraId="50C663A4"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65E96278"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457371E8"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78E5A2BA"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1CA0A46C" w14:textId="77777777" w:rsidR="000B173B" w:rsidRPr="007C1D70" w:rsidRDefault="000B173B" w:rsidP="000B173B">
      <w:pPr>
        <w:rPr>
          <w:i/>
          <w:color w:val="4472C4" w:themeColor="accent1"/>
        </w:rPr>
      </w:pPr>
      <w:r w:rsidRPr="007C1D70">
        <w:rPr>
          <w:i/>
          <w:color w:val="4472C4" w:themeColor="accent1"/>
        </w:rPr>
        <w:t xml:space="preserve">Please refer </w:t>
      </w:r>
      <w:r w:rsidRPr="009C78F5">
        <w:rPr>
          <w:i/>
          <w:color w:val="4472C4" w:themeColor="accent1"/>
        </w:rPr>
        <w:t xml:space="preserve">to </w:t>
      </w:r>
      <w:r w:rsidRPr="006900FB">
        <w:rPr>
          <w:i/>
          <w:color w:val="4472C4" w:themeColor="accent1"/>
        </w:rPr>
        <w:t>Chapter 19</w:t>
      </w:r>
      <w:r w:rsidRPr="009C78F5">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9C78F5">
        <w:rPr>
          <w:i/>
          <w:color w:val="4472C4" w:themeColor="accent1"/>
        </w:rPr>
        <w:t xml:space="preserve"> for a detailed</w:t>
      </w:r>
      <w:r w:rsidRPr="007C1D70">
        <w:rPr>
          <w:i/>
          <w:color w:val="4472C4" w:themeColor="accent1"/>
        </w:rPr>
        <w:t xml:space="preserve"> discussion and analysis of indirect impacts and mitigation measures included in the Plan. </w:t>
      </w:r>
    </w:p>
    <w:p w14:paraId="59D07775" w14:textId="77777777" w:rsidR="000B173B" w:rsidRDefault="000B173B" w:rsidP="000B173B">
      <w:pPr>
        <w:pStyle w:val="Heading3"/>
        <w:numPr>
          <w:ilvl w:val="0"/>
          <w:numId w:val="0"/>
        </w:numPr>
        <w:ind w:left="720" w:hanging="720"/>
      </w:pPr>
      <w:r w:rsidRPr="00FB680C">
        <w:t>R</w:t>
      </w:r>
      <w:r>
        <w:t>elevant potential indirect impacts</w:t>
      </w:r>
    </w:p>
    <w:p w14:paraId="2D83B47F" w14:textId="77777777" w:rsidR="000B173B" w:rsidRDefault="000B173B" w:rsidP="000B173B">
      <w:r w:rsidRPr="002B70F0">
        <w:t>T</w:t>
      </w:r>
      <w:r w:rsidRPr="0070337D">
        <w:t xml:space="preserve">he Conservation Advice </w:t>
      </w:r>
      <w:sdt>
        <w:sdtPr>
          <w:rPr>
            <w:color w:val="000000"/>
          </w:rPr>
          <w:tag w:val="MENDELEY_CITATION_v3_eyJjaXRhdGlvbklEIjoiTUVOREVMRVlfQ0lUQVRJT05fYmMwNTQ3NzQtZWU4ZC00ZjNiLTljMWYtODgxMzhlNTZhOWY0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2086143734"/>
          <w:placeholder>
            <w:docPart w:val="7A87483195E49548AABB39FF484A13FE"/>
          </w:placeholder>
        </w:sdtPr>
        <w:sdtContent>
          <w:r w:rsidRPr="002F46CE">
            <w:rPr>
              <w:color w:val="000000"/>
            </w:rPr>
            <w:t>(DSEWPaC, 2013b)</w:t>
          </w:r>
        </w:sdtContent>
      </w:sdt>
      <w:r w:rsidRPr="0070337D">
        <w:rPr>
          <w:iCs/>
        </w:rPr>
        <w:t xml:space="preserve"> </w:t>
      </w:r>
      <w:r w:rsidRPr="0070337D">
        <w:t xml:space="preserve">and draft Recovery Plan </w:t>
      </w:r>
      <w:sdt>
        <w:sdtPr>
          <w:rPr>
            <w:color w:val="000000"/>
          </w:rPr>
          <w:tag w:val="MENDELEY_CITATION_v3_eyJjaXRhdGlvbklEIjoiTUVOREVMRVlfQ0lUQVRJT05fOWYzYmM1MTMtMThlMC00NWMyLTkwZjktMTIwNTljZDg0MThj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2048795775"/>
          <w:placeholder>
            <w:docPart w:val="7A87483195E49548AABB39FF484A13FE"/>
          </w:placeholder>
        </w:sdtPr>
        <w:sdtContent>
          <w:r w:rsidRPr="002F46CE">
            <w:rPr>
              <w:color w:val="000000"/>
            </w:rPr>
            <w:t>(DoEE, 2019)</w:t>
          </w:r>
        </w:sdtContent>
      </w:sdt>
      <w:r w:rsidRPr="0070337D">
        <w:t xml:space="preserve"> for the</w:t>
      </w:r>
      <w:r>
        <w:t xml:space="preserve"> Australian Painted Snipe</w:t>
      </w:r>
      <w:r w:rsidRPr="002B70F0">
        <w:t xml:space="preserve"> identif</w:t>
      </w:r>
      <w:r>
        <w:t>y</w:t>
      </w:r>
      <w:r w:rsidRPr="002B70F0">
        <w:t xml:space="preserve"> a range of threats to the species</w:t>
      </w:r>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30B042AE" w14:textId="77777777" w:rsidR="000B173B" w:rsidRDefault="000B173B" w:rsidP="000B173B">
      <w:r>
        <w:t>The following potential indirect impacts (identified as threats) are considered relevant to implementation of the Plan:</w:t>
      </w:r>
    </w:p>
    <w:p w14:paraId="74FADF2E" w14:textId="77777777" w:rsidR="000B173B" w:rsidRPr="007B27A1" w:rsidRDefault="000B173B" w:rsidP="000B173B">
      <w:pPr>
        <w:pStyle w:val="Bullet1"/>
      </w:pPr>
      <w:r w:rsidRPr="007B27A1">
        <w:t>Inappropriate hydrological regimes</w:t>
      </w:r>
      <w:r>
        <w:t xml:space="preserve"> and d</w:t>
      </w:r>
      <w:r w:rsidRPr="007B27A1">
        <w:t>eclines in water quality</w:t>
      </w:r>
    </w:p>
    <w:p w14:paraId="5750DCF9" w14:textId="77777777" w:rsidR="000B173B" w:rsidRPr="007B27A1" w:rsidRDefault="000B173B" w:rsidP="000B173B">
      <w:pPr>
        <w:pStyle w:val="Bullet1"/>
      </w:pPr>
      <w:r w:rsidRPr="007B27A1">
        <w:t>Human disturbance of breeding birds</w:t>
      </w:r>
    </w:p>
    <w:p w14:paraId="543A20A3" w14:textId="77777777" w:rsidR="000B173B" w:rsidRDefault="000B173B" w:rsidP="000B173B">
      <w:r w:rsidRPr="003A2AF0">
        <w:t>There are a number of additional threats to the species identified in the Conservation Advice</w:t>
      </w:r>
      <w:r>
        <w:t xml:space="preserve"> and draft Recovery Plan</w:t>
      </w:r>
      <w:r w:rsidRPr="003A2AF0">
        <w:t xml:space="preserve">. However, potential indirect impacts associated with these threats are considered unlikely given the landscape context of the site and the ecology of the species. Refer </w:t>
      </w:r>
      <w:r w:rsidRPr="009C78F5">
        <w:t xml:space="preserve">to </w:t>
      </w:r>
      <w:r w:rsidRPr="006900FB">
        <w:t>Section 17.2 of Chapter 17</w:t>
      </w:r>
      <w:r w:rsidRPr="009C78F5">
        <w:t xml:space="preserve"> for</w:t>
      </w:r>
      <w:r>
        <w:t xml:space="preserve"> a detailed assessment of potential indirect impacts associated with the implementation of the Plan.</w:t>
      </w:r>
      <w:r w:rsidRPr="00CC2A00" w:rsidDel="00727335">
        <w:rPr>
          <w:highlight w:val="yellow"/>
        </w:rPr>
        <w:t xml:space="preserve"> </w:t>
      </w:r>
    </w:p>
    <w:p w14:paraId="5502E16F" w14:textId="77777777" w:rsidR="000B173B" w:rsidRDefault="000B173B" w:rsidP="000B173B">
      <w:r>
        <w:lastRenderedPageBreak/>
        <w:t>Climate change is also identified as a threat to the species. The potential impacts of climate change and relevant mitigation measures under the Plan are outlined in Part 5.</w:t>
      </w:r>
    </w:p>
    <w:p w14:paraId="6A8F3F74" w14:textId="77777777" w:rsidR="000B173B" w:rsidRDefault="000B173B" w:rsidP="000B173B">
      <w:pPr>
        <w:pStyle w:val="Heading4"/>
      </w:pPr>
      <w:r>
        <w:t>Inappropriate hydrological regimes and declines in water quality</w:t>
      </w:r>
    </w:p>
    <w:p w14:paraId="14824712" w14:textId="77777777" w:rsidR="000B173B" w:rsidRDefault="000B173B" w:rsidP="000B173B">
      <w:r>
        <w:t xml:space="preserve">Inappropriate hydrological regimes which can impact the species include reduced flooding frequency of wetland habitat, and stabilisation of water within wetlands which otherwise had naturally fluctuating water levels, resulting in water levels becoming too deep and inappropriate vegetation cover developing </w:t>
      </w:r>
      <w:sdt>
        <w:sdtPr>
          <w:rPr>
            <w:color w:val="000000"/>
          </w:rPr>
          <w:tag w:val="MENDELEY_CITATION_v3_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"/>
          <w:id w:val="-1415855033"/>
          <w:placeholder>
            <w:docPart w:val="7A87483195E49548AABB39FF484A13FE"/>
          </w:placeholder>
        </w:sdtPr>
        <w:sdtContent>
          <w:r w:rsidRPr="002F46CE">
            <w:rPr>
              <w:color w:val="000000"/>
            </w:rPr>
            <w:t>(DSEWPaC, 2013b)</w:t>
          </w:r>
        </w:sdtContent>
      </w:sdt>
      <w:r>
        <w:rPr>
          <w:iCs/>
        </w:rPr>
        <w:t xml:space="preserve">. Inappropriate hydrological regimes pose a threat especially within the Murray Darling Basin as a result of water diversion and development for agriculture </w:t>
      </w:r>
      <w:sdt>
        <w:sdtPr>
          <w:rPr>
            <w:iCs/>
            <w:color w:val="000000"/>
          </w:rPr>
          <w:tag w:val="MENDELEY_CITATION_v3_eyJjaXRhdGlvbklEIjoiTUVOREVMRVlfQ0lUQVRJT05fMTE3YTM0NDctY2U5OC00YWY2LWI5MmItNWVmM2Y5NGFmNjEy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043515792"/>
          <w:placeholder>
            <w:docPart w:val="7A87483195E49548AABB39FF484A13FE"/>
          </w:placeholder>
        </w:sdtPr>
        <w:sdtEndPr>
          <w:rPr>
            <w:iCs w:val="0"/>
          </w:rPr>
        </w:sdtEndPr>
        <w:sdtContent>
          <w:r w:rsidRPr="002F46CE">
            <w:rPr>
              <w:color w:val="000000"/>
            </w:rPr>
            <w:t>(DoEE, 2019)</w:t>
          </w:r>
        </w:sdtContent>
      </w:sdt>
      <w:r>
        <w:rPr>
          <w:szCs w:val="18"/>
        </w:rPr>
        <w:t>.</w:t>
      </w:r>
    </w:p>
    <w:p w14:paraId="64ED2FAA" w14:textId="77777777" w:rsidR="000B173B" w:rsidRDefault="000B173B" w:rsidP="000B173B">
      <w:pPr>
        <w:rPr>
          <w:szCs w:val="18"/>
        </w:rPr>
      </w:pPr>
      <w:r>
        <w:t xml:space="preserve">Water quality declines of wetlands can impact habitat characteristics and food availability for the Australian Painted Snipe. Water quality can be impacted through lack of flushing flood flows, increased nutrient runoff, pesticide and herbicide runoff or spray drift, removal of vegetation resulting in sedimentation and turbidity, and increased salinity </w:t>
      </w:r>
      <w:sdt>
        <w:sdtPr>
          <w:rPr>
            <w:color w:val="000000"/>
          </w:rPr>
          <w:tag w:val="MENDELEY_CITATION_v3_eyJjaXRhdGlvbklEIjoiTUVOREVMRVlfQ0lUQVRJT05fODE0ZjU3YjUtOTI5ZC00NTk1LTk4MjgtZDQ5ZTVmYmVjNmZm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1588962741"/>
          <w:placeholder>
            <w:docPart w:val="7A87483195E49548AABB39FF484A13FE"/>
          </w:placeholder>
        </w:sdtPr>
        <w:sdtContent>
          <w:r w:rsidRPr="002F46CE">
            <w:rPr>
              <w:color w:val="000000"/>
            </w:rPr>
            <w:t>(DoEE, 2019)</w:t>
          </w:r>
        </w:sdtContent>
      </w:sdt>
      <w:r>
        <w:rPr>
          <w:szCs w:val="18"/>
        </w:rPr>
        <w:t>.</w:t>
      </w:r>
    </w:p>
    <w:p w14:paraId="7A4A7A73" w14:textId="77777777" w:rsidR="000B173B" w:rsidRDefault="000B173B" w:rsidP="000B173B">
      <w:r>
        <w:rPr>
          <w:szCs w:val="18"/>
        </w:rPr>
        <w:t xml:space="preserve">Many of the wetlands used by the species are now degraded. This may result in the species having to expend more effort in foraging and having to increase travel between foraging and roosting areas. It is thought that declines in water quality are likely to be most detrimental to chicks </w:t>
      </w:r>
      <w:sdt>
        <w:sdtPr>
          <w:rPr>
            <w:color w:val="000000"/>
            <w:szCs w:val="18"/>
          </w:rPr>
          <w:tag w:val="MENDELEY_CITATION_v3_eyJjaXRhdGlvbklEIjoiTUVOREVMRVlfQ0lUQVRJT05fNDVkY2VhZWEtZTQ3NC00MWM0LWJjNTgtMTU3Yjk4ZGI0NGE1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601718433"/>
          <w:placeholder>
            <w:docPart w:val="7A87483195E49548AABB39FF484A13FE"/>
          </w:placeholder>
        </w:sdtPr>
        <w:sdtEndPr>
          <w:rPr>
            <w:szCs w:val="20"/>
          </w:rPr>
        </w:sdtEndPr>
        <w:sdtContent>
          <w:r w:rsidRPr="002F46CE">
            <w:rPr>
              <w:color w:val="000000"/>
            </w:rPr>
            <w:t>(DoEE, 2019)</w:t>
          </w:r>
        </w:sdtContent>
      </w:sdt>
      <w:r>
        <w:rPr>
          <w:szCs w:val="18"/>
        </w:rPr>
        <w:t>.</w:t>
      </w:r>
    </w:p>
    <w:p w14:paraId="16488AFC" w14:textId="77777777" w:rsidR="000B173B" w:rsidRPr="007B27A1" w:rsidRDefault="000B173B" w:rsidP="000B173B">
      <w:pPr>
        <w:pStyle w:val="Heading4"/>
      </w:pPr>
      <w:r>
        <w:t>Human disturbance of breeding birds</w:t>
      </w:r>
    </w:p>
    <w:p w14:paraId="7808AD1A" w14:textId="77777777" w:rsidR="000B173B" w:rsidRDefault="000B173B" w:rsidP="000B173B">
      <w:pPr>
        <w:rPr>
          <w:szCs w:val="18"/>
        </w:rPr>
      </w:pPr>
      <w:r>
        <w:t xml:space="preserve">The Australian Painted Snipe has potential to be impacted by human disturbance, with breeding birds being the most vulnerable to impacts. Duck hunting (including accidental mortality, or disturbance from the noise of discharging firearms), recreational fishers and birdwatchers have potential to disturb the species. Other forms of human disturbance also include habitat trampling, and litter such as discarded fishing gear and rubbish. While human disturbance is not considered a major threat throughout the species’ range, it has the potential to be locally severe if not appropriately managed </w:t>
      </w:r>
      <w:sdt>
        <w:sdtPr>
          <w:rPr>
            <w:color w:val="000000"/>
          </w:rPr>
          <w:tag w:val="MENDELEY_CITATION_v3_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"/>
          <w:id w:val="612403524"/>
          <w:placeholder>
            <w:docPart w:val="7A87483195E49548AABB39FF484A13FE"/>
          </w:placeholder>
        </w:sdtPr>
        <w:sdtContent>
          <w:r w:rsidRPr="002F46CE">
            <w:rPr>
              <w:color w:val="000000"/>
            </w:rPr>
            <w:t>(DoEE, 2019)</w:t>
          </w:r>
        </w:sdtContent>
      </w:sdt>
      <w:r>
        <w:rPr>
          <w:szCs w:val="18"/>
        </w:rPr>
        <w:t>.</w:t>
      </w:r>
    </w:p>
    <w:p w14:paraId="7FE5AA30"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41BADF22" w14:textId="77777777" w:rsidTr="00A15226">
        <w:tc>
          <w:tcPr>
            <w:tcW w:w="9622" w:type="dxa"/>
            <w:shd w:val="clear" w:color="auto" w:fill="C9C9C9" w:themeFill="accent3" w:themeFillTint="99"/>
          </w:tcPr>
          <w:p w14:paraId="28BEFB49"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390EFD5C"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9C78F5">
        <w:rPr>
          <w:i/>
          <w:color w:val="4472C4" w:themeColor="accent1"/>
        </w:rPr>
        <w:t xml:space="preserve">detail in </w:t>
      </w:r>
      <w:r w:rsidRPr="006900FB">
        <w:rPr>
          <w:i/>
          <w:color w:val="4472C4" w:themeColor="accent1"/>
        </w:rPr>
        <w:t>Section 17.3</w:t>
      </w:r>
      <w:r w:rsidRPr="009C78F5">
        <w:rPr>
          <w:i/>
          <w:color w:val="4472C4" w:themeColor="accent1"/>
        </w:rPr>
        <w:t xml:space="preserve"> of </w:t>
      </w:r>
      <w:r w:rsidRPr="006900FB">
        <w:rPr>
          <w:i/>
          <w:color w:val="4472C4" w:themeColor="accent1"/>
        </w:rPr>
        <w:t>Chapter 17</w:t>
      </w:r>
      <w:r w:rsidRPr="009C78F5">
        <w:rPr>
          <w:i/>
          <w:color w:val="4472C4" w:themeColor="accent1"/>
        </w:rPr>
        <w:t>.</w:t>
      </w:r>
    </w:p>
    <w:p w14:paraId="0F1A7C61" w14:textId="77777777" w:rsidR="000B173B" w:rsidRPr="000816D6" w:rsidRDefault="000B173B" w:rsidP="000B173B">
      <w:pPr>
        <w:pStyle w:val="Heading3"/>
        <w:numPr>
          <w:ilvl w:val="0"/>
          <w:numId w:val="0"/>
        </w:numPr>
        <w:ind w:left="720" w:hanging="720"/>
      </w:pPr>
      <w:r w:rsidRPr="000816D6">
        <w:t>C</w:t>
      </w:r>
      <w:r>
        <w:t>onsistency with recovery plan</w:t>
      </w:r>
    </w:p>
    <w:p w14:paraId="0622536F" w14:textId="77777777" w:rsidR="000B173B" w:rsidRDefault="000B173B" w:rsidP="000B173B">
      <w:r>
        <w:t xml:space="preserve">There is no adopted or made Recovery Plan for this species. While the species had a draft Recovery Plan released for public consultation in 2020, this draft document has not been endorsed under the EPBC Act. </w:t>
      </w:r>
    </w:p>
    <w:p w14:paraId="6DE773A8"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634CE5EC"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_Ref107231671 \h </w:instrText>
      </w:r>
      <w:r>
        <w:fldChar w:fldCharType="separate"/>
      </w:r>
      <w:r>
        <w:t xml:space="preserve">Table </w:t>
      </w:r>
      <w:r>
        <w:rPr>
          <w:noProof/>
        </w:rPr>
        <w:t>B</w:t>
      </w:r>
      <w:r>
        <w:noBreakHyphen/>
      </w:r>
      <w:r>
        <w:rPr>
          <w:noProof/>
        </w:rPr>
        <w:t>3</w:t>
      </w:r>
      <w:r>
        <w:fldChar w:fldCharType="end"/>
      </w:r>
      <w:r>
        <w:t xml:space="preserve"> where they relate to:</w:t>
      </w:r>
    </w:p>
    <w:p w14:paraId="181D6C2C" w14:textId="77777777" w:rsidR="000B173B" w:rsidRDefault="000B173B" w:rsidP="000B173B">
      <w:pPr>
        <w:pStyle w:val="Bullet1"/>
      </w:pPr>
      <w:r>
        <w:t>The potential direct impacts of the Plan, or</w:t>
      </w:r>
    </w:p>
    <w:p w14:paraId="3BCB9ADE" w14:textId="77777777" w:rsidR="000B173B" w:rsidRDefault="000B173B" w:rsidP="000B173B">
      <w:pPr>
        <w:pStyle w:val="Bullet1"/>
      </w:pPr>
      <w:r>
        <w:t>The relevant indirect impacts</w:t>
      </w:r>
    </w:p>
    <w:p w14:paraId="0D010A0C" w14:textId="77777777" w:rsidR="000B173B" w:rsidRDefault="000B173B" w:rsidP="000B173B">
      <w:pPr>
        <w:pStyle w:val="Caption"/>
        <w:keepNext/>
      </w:pPr>
      <w:bookmarkStart w:id="256" w:name="_Ref107231671"/>
      <w:bookmarkStart w:id="257" w:name="_Toc134697920"/>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3</w:t>
      </w:r>
      <w:r>
        <w:fldChar w:fldCharType="end"/>
      </w:r>
      <w:bookmarkEnd w:id="256"/>
      <w:r>
        <w:t xml:space="preserve">: </w:t>
      </w:r>
      <w:r w:rsidRPr="005F676F">
        <w:t xml:space="preserve">Relevant Key Threatening Processes and associated Threat Abatement Plans for </w:t>
      </w:r>
      <w:r>
        <w:t>the Australian Painted Snipe</w:t>
      </w:r>
      <w:bookmarkEnd w:id="257"/>
    </w:p>
    <w:tbl>
      <w:tblPr>
        <w:tblStyle w:val="TableGrid"/>
        <w:tblW w:w="0" w:type="auto"/>
        <w:tblLook w:val="04A0" w:firstRow="1" w:lastRow="0" w:firstColumn="1" w:lastColumn="0" w:noHBand="0" w:noVBand="1"/>
      </w:tblPr>
      <w:tblGrid>
        <w:gridCol w:w="4811"/>
        <w:gridCol w:w="4811"/>
      </w:tblGrid>
      <w:tr w:rsidR="000B173B" w14:paraId="437844AE" w14:textId="77777777" w:rsidTr="00A15226">
        <w:trPr>
          <w:tblHeader/>
        </w:trPr>
        <w:tc>
          <w:tcPr>
            <w:tcW w:w="4811" w:type="dxa"/>
            <w:shd w:val="clear" w:color="auto" w:fill="DBDBDB" w:themeFill="accent3" w:themeFillTint="66"/>
          </w:tcPr>
          <w:p w14:paraId="7BEB2833"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0772356D" w14:textId="77777777" w:rsidR="000B173B" w:rsidRPr="00FF1996" w:rsidRDefault="000B173B" w:rsidP="00A15226">
            <w:pPr>
              <w:pStyle w:val="Tabletext"/>
              <w:rPr>
                <w:b/>
                <w:bCs/>
              </w:rPr>
            </w:pPr>
            <w:r w:rsidRPr="00FF1996">
              <w:rPr>
                <w:b/>
                <w:bCs/>
              </w:rPr>
              <w:t>Threat abatement plan</w:t>
            </w:r>
          </w:p>
        </w:tc>
      </w:tr>
      <w:tr w:rsidR="000B173B" w14:paraId="2597F773" w14:textId="77777777" w:rsidTr="00A15226">
        <w:tc>
          <w:tcPr>
            <w:tcW w:w="4811" w:type="dxa"/>
            <w:vAlign w:val="center"/>
          </w:tcPr>
          <w:p w14:paraId="77EF95E2" w14:textId="77777777" w:rsidR="000B173B" w:rsidRPr="009065E9" w:rsidRDefault="000B173B" w:rsidP="00A15226">
            <w:pPr>
              <w:pStyle w:val="Tabletext"/>
            </w:pPr>
            <w:r>
              <w:t>Competition and land degradation by unmanaged goats</w:t>
            </w:r>
          </w:p>
        </w:tc>
        <w:tc>
          <w:tcPr>
            <w:tcW w:w="4811" w:type="dxa"/>
          </w:tcPr>
          <w:p w14:paraId="3D55F4AA" w14:textId="77777777" w:rsidR="000B173B" w:rsidRDefault="000B173B" w:rsidP="00A15226">
            <w:pPr>
              <w:pStyle w:val="Tabletext"/>
            </w:pPr>
            <w:r>
              <w:t xml:space="preserve">Threat abatement plan for competition and land degradation by unmanaged goats </w:t>
            </w:r>
            <w:sdt>
              <w:sdtPr>
                <w:rPr>
                  <w:color w:val="000000"/>
                </w:rPr>
                <w:tag w:val="MENDELEY_CITATION_v3_eyJjaXRhdGlvbklEIjoiTUVOREVMRVlfQ0lUQVRJT05fNDdjNzQ4YjUtZGIwMS00ZTE4LWJhNjgtZWRkMTc4ZWRkZjJhIiwicHJvcGVydGllcyI6eyJub3RlSW5kZXgiOjB9LCJpc0VkaXRlZCI6ZmFsc2UsIm1hbnVhbE92ZXJyaWRlIjp7ImNpdGVwcm9jVGV4dCI6IihERVdIQSwgMjAwOGU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
                <w:id w:val="1932693070"/>
                <w:placeholder>
                  <w:docPart w:val="7A87483195E49548AABB39FF484A13FE"/>
                </w:placeholder>
              </w:sdtPr>
              <w:sdtContent>
                <w:r w:rsidRPr="002F46CE">
                  <w:rPr>
                    <w:color w:val="000000"/>
                  </w:rPr>
                  <w:t>(DEWHA, 2008e)</w:t>
                </w:r>
              </w:sdtContent>
            </w:sdt>
          </w:p>
        </w:tc>
      </w:tr>
      <w:tr w:rsidR="000B173B" w14:paraId="0416F930" w14:textId="77777777" w:rsidTr="00A15226">
        <w:tc>
          <w:tcPr>
            <w:tcW w:w="4811" w:type="dxa"/>
            <w:vAlign w:val="center"/>
          </w:tcPr>
          <w:p w14:paraId="51FCBA83" w14:textId="77777777" w:rsidR="000B173B" w:rsidRDefault="000B173B" w:rsidP="00A15226">
            <w:pPr>
              <w:pStyle w:val="Tabletext"/>
            </w:pPr>
            <w:r w:rsidRPr="009065E9">
              <w:t>Fire regimes that cause declines in biodiversity</w:t>
            </w:r>
          </w:p>
        </w:tc>
        <w:tc>
          <w:tcPr>
            <w:tcW w:w="4811" w:type="dxa"/>
          </w:tcPr>
          <w:p w14:paraId="678C1538" w14:textId="77777777" w:rsidR="000B173B" w:rsidRPr="00E31BAE" w:rsidRDefault="000B173B" w:rsidP="00A15226">
            <w:pPr>
              <w:pStyle w:val="Tabletext"/>
              <w:rPr>
                <w:iCs/>
              </w:rPr>
            </w:pPr>
            <w:r>
              <w:t>There is no relevant TAP</w:t>
            </w:r>
          </w:p>
        </w:tc>
      </w:tr>
      <w:tr w:rsidR="000B173B" w14:paraId="692A05E1" w14:textId="77777777" w:rsidTr="00A15226">
        <w:tc>
          <w:tcPr>
            <w:tcW w:w="4811" w:type="dxa"/>
            <w:vAlign w:val="center"/>
          </w:tcPr>
          <w:p w14:paraId="006252E0" w14:textId="77777777" w:rsidR="000B173B" w:rsidRDefault="000B173B" w:rsidP="00A15226">
            <w:pPr>
              <w:pStyle w:val="Tabletext"/>
            </w:pPr>
            <w:r>
              <w:t>Land clearance</w:t>
            </w:r>
          </w:p>
        </w:tc>
        <w:tc>
          <w:tcPr>
            <w:tcW w:w="4811" w:type="dxa"/>
            <w:vAlign w:val="center"/>
          </w:tcPr>
          <w:p w14:paraId="571203D6" w14:textId="77777777" w:rsidR="000B173B" w:rsidRDefault="000B173B" w:rsidP="00A15226">
            <w:pPr>
              <w:pStyle w:val="Tabletext"/>
            </w:pPr>
            <w:r>
              <w:t>There is no relevant TAP</w:t>
            </w:r>
          </w:p>
        </w:tc>
      </w:tr>
      <w:tr w:rsidR="000B173B" w14:paraId="18BFE471" w14:textId="77777777" w:rsidTr="00A15226">
        <w:tc>
          <w:tcPr>
            <w:tcW w:w="4811" w:type="dxa"/>
            <w:vAlign w:val="center"/>
          </w:tcPr>
          <w:p w14:paraId="0C306880" w14:textId="77777777" w:rsidR="000B173B" w:rsidRDefault="000B173B" w:rsidP="00A15226">
            <w:pPr>
              <w:pStyle w:val="Tabletext"/>
            </w:pPr>
            <w:r w:rsidRPr="00672E41">
              <w:t>Loss of climatic habitat caused by anthropogenic emissions of greenhouse gases</w:t>
            </w:r>
          </w:p>
        </w:tc>
        <w:tc>
          <w:tcPr>
            <w:tcW w:w="4811" w:type="dxa"/>
            <w:vAlign w:val="center"/>
          </w:tcPr>
          <w:p w14:paraId="3825AF39" w14:textId="77777777" w:rsidR="000B173B" w:rsidRDefault="000B173B" w:rsidP="00A15226">
            <w:pPr>
              <w:pStyle w:val="Tabletext"/>
            </w:pPr>
            <w:r>
              <w:t>There is no relevant TAP</w:t>
            </w:r>
          </w:p>
        </w:tc>
      </w:tr>
      <w:tr w:rsidR="000B173B" w14:paraId="1AB28DA2" w14:textId="77777777" w:rsidTr="00A15226">
        <w:tc>
          <w:tcPr>
            <w:tcW w:w="4811" w:type="dxa"/>
          </w:tcPr>
          <w:p w14:paraId="14AB8883" w14:textId="77777777" w:rsidR="000B173B" w:rsidRPr="003919C8" w:rsidRDefault="000B173B" w:rsidP="00A15226">
            <w:pPr>
              <w:pStyle w:val="Tabletext"/>
            </w:pPr>
            <w:r w:rsidRPr="003919C8">
              <w:t>Novel biota and their impact on biodiversity</w:t>
            </w:r>
          </w:p>
        </w:tc>
        <w:tc>
          <w:tcPr>
            <w:tcW w:w="4811" w:type="dxa"/>
          </w:tcPr>
          <w:p w14:paraId="13A0CBAE" w14:textId="77777777" w:rsidR="000B173B" w:rsidRDefault="000B173B" w:rsidP="00A15226">
            <w:pPr>
              <w:pStyle w:val="Tabletext"/>
            </w:pPr>
            <w:r>
              <w:t>There is no relevant TAP</w:t>
            </w:r>
          </w:p>
        </w:tc>
      </w:tr>
      <w:tr w:rsidR="000B173B" w14:paraId="21C48D88" w14:textId="77777777" w:rsidTr="00A15226">
        <w:tc>
          <w:tcPr>
            <w:tcW w:w="4811" w:type="dxa"/>
            <w:vAlign w:val="center"/>
          </w:tcPr>
          <w:p w14:paraId="4EF034E6" w14:textId="77777777" w:rsidR="000B173B" w:rsidRPr="003919C8" w:rsidRDefault="000B173B" w:rsidP="00A15226">
            <w:pPr>
              <w:pStyle w:val="Tabletext"/>
            </w:pPr>
            <w:r>
              <w:lastRenderedPageBreak/>
              <w:t>Predation by feral cats</w:t>
            </w:r>
          </w:p>
        </w:tc>
        <w:tc>
          <w:tcPr>
            <w:tcW w:w="4811" w:type="dxa"/>
          </w:tcPr>
          <w:p w14:paraId="702A4C78" w14:textId="77777777" w:rsidR="000B173B" w:rsidRDefault="000B173B" w:rsidP="00A15226">
            <w:pPr>
              <w:pStyle w:val="Tabletext"/>
            </w:pPr>
            <w:r w:rsidRPr="00A0168F">
              <w:rPr>
                <w:iCs/>
              </w:rPr>
              <w:t>Threat abatement plan for predation by feral cats</w:t>
            </w:r>
            <w:r>
              <w:rPr>
                <w:iCs/>
              </w:rPr>
              <w:t xml:space="preserve"> </w:t>
            </w:r>
            <w:sdt>
              <w:sdtPr>
                <w:rPr>
                  <w:iCs/>
                  <w:color w:val="000000"/>
                </w:rPr>
                <w:tag w:val="MENDELEY_CITATION_v3_eyJjaXRhdGlvbklEIjoiTUVOREVMRVlfQ0lUQVRJT05fMTc1ZDRiYTYtYmRlNy00NmQ1LTk1YWEtNzRlYmE1YWM5YTA0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2078123418"/>
                <w:placeholder>
                  <w:docPart w:val="7A87483195E49548AABB39FF484A13FE"/>
                </w:placeholder>
              </w:sdtPr>
              <w:sdtEndPr>
                <w:rPr>
                  <w:iCs w:val="0"/>
                </w:rPr>
              </w:sdtEndPr>
              <w:sdtContent>
                <w:r w:rsidRPr="002F46CE">
                  <w:rPr>
                    <w:color w:val="000000"/>
                  </w:rPr>
                  <w:t>(DoE, 2015h)</w:t>
                </w:r>
              </w:sdtContent>
            </w:sdt>
          </w:p>
        </w:tc>
      </w:tr>
      <w:tr w:rsidR="000B173B" w14:paraId="7EE8A6CD" w14:textId="77777777" w:rsidTr="00A15226">
        <w:tc>
          <w:tcPr>
            <w:tcW w:w="4811" w:type="dxa"/>
            <w:vAlign w:val="center"/>
          </w:tcPr>
          <w:p w14:paraId="0C767081" w14:textId="77777777" w:rsidR="000B173B" w:rsidRDefault="000B173B" w:rsidP="00A15226">
            <w:pPr>
              <w:pStyle w:val="Tabletext"/>
            </w:pPr>
            <w:r>
              <w:t>Predation by the European red fox</w:t>
            </w:r>
          </w:p>
        </w:tc>
        <w:tc>
          <w:tcPr>
            <w:tcW w:w="4811" w:type="dxa"/>
          </w:tcPr>
          <w:p w14:paraId="36C6AD07" w14:textId="77777777" w:rsidR="000B173B" w:rsidRPr="00A0168F" w:rsidRDefault="000B173B" w:rsidP="00A15226">
            <w:pPr>
              <w:pStyle w:val="Tabletext"/>
              <w:rPr>
                <w:iCs/>
              </w:rPr>
            </w:pPr>
            <w:r w:rsidRPr="0031184E">
              <w:rPr>
                <w:iCs/>
              </w:rPr>
              <w:t>Threat abatement plan for predation by the European red fox</w:t>
            </w:r>
            <w:r>
              <w:rPr>
                <w:iCs/>
              </w:rPr>
              <w:t xml:space="preserve"> </w:t>
            </w:r>
            <w:sdt>
              <w:sdtPr>
                <w:rPr>
                  <w:iCs/>
                  <w:color w:val="000000"/>
                </w:rPr>
                <w:tag w:val="MENDELEY_CITATION_v3_eyJjaXRhdGlvbklEIjoiTUVOREVMRVlfQ0lUQVRJT05fY2YxZGEwOGMtZDQwMy00YzU5LThjODktOTY3NjliYmVjMjFk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284899373"/>
                <w:placeholder>
                  <w:docPart w:val="7A87483195E49548AABB39FF484A13FE"/>
                </w:placeholder>
              </w:sdtPr>
              <w:sdtEndPr>
                <w:rPr>
                  <w:iCs w:val="0"/>
                </w:rPr>
              </w:sdtEndPr>
              <w:sdtContent>
                <w:r w:rsidRPr="002F46CE">
                  <w:rPr>
                    <w:color w:val="000000"/>
                  </w:rPr>
                  <w:t>(DEWHA, 2008f)</w:t>
                </w:r>
              </w:sdtContent>
            </w:sdt>
          </w:p>
        </w:tc>
      </w:tr>
      <w:tr w:rsidR="000B173B" w14:paraId="423CC602" w14:textId="77777777" w:rsidTr="00A15226">
        <w:tc>
          <w:tcPr>
            <w:tcW w:w="4811" w:type="dxa"/>
            <w:vAlign w:val="center"/>
          </w:tcPr>
          <w:p w14:paraId="3E540EB1" w14:textId="77777777" w:rsidR="000B173B" w:rsidRDefault="000B173B" w:rsidP="00A15226">
            <w:pPr>
              <w:pStyle w:val="Tabletext"/>
            </w:pPr>
            <w:r w:rsidRPr="00CF7211">
              <w:t>Predation, Habitat Degradation, Competition and Disease Transmission by Feral Pigs</w:t>
            </w:r>
          </w:p>
        </w:tc>
        <w:tc>
          <w:tcPr>
            <w:tcW w:w="4811" w:type="dxa"/>
          </w:tcPr>
          <w:p w14:paraId="39C47EAF" w14:textId="77777777" w:rsidR="000B173B" w:rsidRPr="0031184E" w:rsidRDefault="000B173B" w:rsidP="00A15226">
            <w:pPr>
              <w:pStyle w:val="Tabletext"/>
              <w:rPr>
                <w:iCs/>
              </w:rPr>
            </w:pPr>
            <w:r w:rsidRPr="00500496">
              <w:t xml:space="preserve">Threat abatement plan for predation, habitat degradation, competition and disease transmission by feral pigs </w:t>
            </w:r>
            <w:sdt>
              <w:sdtPr>
                <w:rPr>
                  <w:color w:val="000000"/>
                </w:rPr>
                <w:tag w:val="MENDELEY_CITATION_v3_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"/>
                <w:id w:val="-7987458"/>
                <w:placeholder>
                  <w:docPart w:val="7A87483195E49548AABB39FF484A13FE"/>
                </w:placeholder>
              </w:sdtPr>
              <w:sdtContent>
                <w:r w:rsidRPr="002F46CE">
                  <w:rPr>
                    <w:color w:val="000000"/>
                  </w:rPr>
                  <w:t>(DoEE, 2017b)</w:t>
                </w:r>
              </w:sdtContent>
            </w:sdt>
          </w:p>
        </w:tc>
      </w:tr>
    </w:tbl>
    <w:p w14:paraId="30850AAD" w14:textId="77777777" w:rsidR="000B173B" w:rsidRDefault="000B173B" w:rsidP="000B173B">
      <w:pPr>
        <w:tabs>
          <w:tab w:val="clear" w:pos="4962"/>
        </w:tabs>
        <w:spacing w:before="0" w:after="0" w:line="240" w:lineRule="auto"/>
      </w:pPr>
    </w:p>
    <w:p w14:paraId="7AF7616A" w14:textId="77777777" w:rsidR="000B173B" w:rsidRDefault="000B173B" w:rsidP="000B173B">
      <w:pPr>
        <w:tabs>
          <w:tab w:val="clear" w:pos="4962"/>
        </w:tabs>
        <w:spacing w:before="0" w:after="0" w:line="240" w:lineRule="auto"/>
        <w:rPr>
          <w:rFonts w:ascii="Helvetica" w:eastAsia="MS Gothic" w:hAnsi="Helvetica"/>
          <w:b/>
          <w:bCs/>
          <w:caps/>
          <w:spacing w:val="18"/>
          <w:sz w:val="20"/>
        </w:rPr>
      </w:pPr>
      <w:r>
        <w:br w:type="page"/>
      </w:r>
    </w:p>
    <w:p w14:paraId="7F612627" w14:textId="77777777" w:rsidR="000B173B" w:rsidRPr="00297975" w:rsidRDefault="000B173B" w:rsidP="000B173B">
      <w:pPr>
        <w:pStyle w:val="Heading2"/>
        <w:numPr>
          <w:ilvl w:val="0"/>
          <w:numId w:val="0"/>
        </w:numPr>
        <w:ind w:left="576" w:hanging="576"/>
      </w:pPr>
      <w:bookmarkStart w:id="258" w:name="_Toc131154205"/>
      <w:bookmarkStart w:id="259" w:name="_Toc131154392"/>
      <w:r>
        <w:lastRenderedPageBreak/>
        <w:t xml:space="preserve">Curlew Sandpiper </w:t>
      </w:r>
      <w:r>
        <w:rPr>
          <w:i/>
          <w:iCs/>
        </w:rPr>
        <w:t>(Calidris ferruginea)</w:t>
      </w:r>
      <w:bookmarkEnd w:id="258"/>
      <w:bookmarkEnd w:id="259"/>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4FF44350" w14:textId="77777777" w:rsidTr="00A15226">
        <w:trPr>
          <w:tblHeader/>
        </w:trPr>
        <w:tc>
          <w:tcPr>
            <w:tcW w:w="9747" w:type="dxa"/>
            <w:shd w:val="clear" w:color="auto" w:fill="D9D9D9" w:themeFill="background1" w:themeFillShade="D9"/>
            <w:vAlign w:val="center"/>
          </w:tcPr>
          <w:p w14:paraId="4D018FBE"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68C7455A"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0280E595" w14:textId="77777777" w:rsidTr="00A15226">
        <w:tc>
          <w:tcPr>
            <w:tcW w:w="1526" w:type="dxa"/>
            <w:vAlign w:val="center"/>
          </w:tcPr>
          <w:p w14:paraId="3FBC801C"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3D8B9A06" w14:textId="77777777" w:rsidR="000B173B" w:rsidRDefault="000B173B" w:rsidP="00A15226">
            <w:pPr>
              <w:pStyle w:val="Tabletext"/>
            </w:pPr>
            <w:r>
              <w:t>Critically Endangered, Migratory</w:t>
            </w:r>
          </w:p>
          <w:p w14:paraId="2FA0A894" w14:textId="77777777" w:rsidR="000B173B" w:rsidRDefault="000B173B" w:rsidP="00A15226">
            <w:pPr>
              <w:pStyle w:val="Tabletext"/>
            </w:pPr>
            <w:r>
              <w:t xml:space="preserve">Note that the Curlew Sandpiper </w:t>
            </w:r>
            <w:r w:rsidRPr="00C00E39">
              <w:t xml:space="preserve">is currently on the Finalised Priority Assessment List (FPAL) and is proposed to have its listing </w:t>
            </w:r>
            <w:r>
              <w:t>down</w:t>
            </w:r>
            <w:r w:rsidRPr="00C00E39">
              <w:t xml:space="preserve">graded to </w:t>
            </w:r>
            <w:r>
              <w:t xml:space="preserve">Endangered </w:t>
            </w:r>
            <w:sdt>
              <w:sdtPr>
                <w:rPr>
                  <w:color w:val="000000"/>
                </w:rPr>
                <w:tag w:val="MENDELEY_CITATION_v3_eyJjaXRhdGlvbklEIjoiTUVOREVMRVlfQ0lUQVRJT05fNzc3MTBjMjEtZWI4MC00MGRlLWFmYjctMWYwZDg3NmI5ODc4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564023791"/>
                <w:placeholder>
                  <w:docPart w:val="7A87483195E49548AABB39FF484A13FE"/>
                </w:placeholder>
              </w:sdtPr>
              <w:sdtContent>
                <w:r w:rsidRPr="002F46CE">
                  <w:rPr>
                    <w:color w:val="000000"/>
                  </w:rPr>
                  <w:t>(DAWE, 2021f)</w:t>
                </w:r>
              </w:sdtContent>
            </w:sdt>
          </w:p>
          <w:p w14:paraId="41700BC9" w14:textId="77777777" w:rsidR="000B173B" w:rsidRPr="003E1ADD" w:rsidRDefault="000B173B" w:rsidP="00A15226">
            <w:pPr>
              <w:pStyle w:val="Tabletext"/>
            </w:pPr>
            <w:r>
              <w:t xml:space="preserve">A decision is due by 30 October 2023 </w:t>
            </w:r>
            <w:sdt>
              <w:sdtPr>
                <w:rPr>
                  <w:color w:val="000000"/>
                </w:rPr>
                <w:tag w:val="MENDELEY_CITATION_v3_eyJjaXRhdGlvbklEIjoiTUVOREVMRVlfQ0lUQVRJT05fYWFlY2I0MWYtMTI4ZS00ODI0LTkyNDYtNzE0YmEyNTEwOGZj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988049911"/>
                <w:placeholder>
                  <w:docPart w:val="7A87483195E49548AABB39FF484A13FE"/>
                </w:placeholder>
              </w:sdtPr>
              <w:sdtContent>
                <w:r w:rsidRPr="002F46CE">
                  <w:rPr>
                    <w:color w:val="000000"/>
                  </w:rPr>
                  <w:t>(DAWE, 2021f)</w:t>
                </w:r>
              </w:sdtContent>
            </w:sdt>
          </w:p>
        </w:tc>
      </w:tr>
      <w:tr w:rsidR="000B173B" w:rsidRPr="000816D6" w14:paraId="19ED986D" w14:textId="77777777" w:rsidTr="00A15226">
        <w:tc>
          <w:tcPr>
            <w:tcW w:w="1526" w:type="dxa"/>
            <w:vAlign w:val="center"/>
          </w:tcPr>
          <w:p w14:paraId="25F4242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221BA74A" w14:textId="77777777" w:rsidR="000B173B" w:rsidRPr="00E00C17" w:rsidRDefault="000B173B" w:rsidP="00A15226">
            <w:pPr>
              <w:pStyle w:val="Tabletext"/>
            </w:pPr>
            <w:r w:rsidRPr="00E00C17">
              <w:rPr>
                <w:i/>
                <w:iCs/>
              </w:rPr>
              <w:t>Calidris ferruginea</w:t>
            </w:r>
            <w:r w:rsidRPr="00E00C17">
              <w:t xml:space="preserve"> (Curlew Sandpiper) is a small, slim migratory bird with long legs and a long black bill </w:t>
            </w:r>
            <w:sdt>
              <w:sdtPr>
                <w:rPr>
                  <w:color w:val="000000"/>
                </w:rPr>
                <w:tag w:val="MENDELEY_CITATION_v3_eyJjaXRhdGlvbklEIjoiTUVOREVMRVlfQ0lUQVRJT05fNzEwNDQ4NDctMzM5NS00ZTkxLTljMTktZTYxZDQ3ZjgwMTJk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987447447"/>
                <w:placeholder>
                  <w:docPart w:val="7A87483195E49548AABB39FF484A13FE"/>
                </w:placeholder>
              </w:sdtPr>
              <w:sdtContent>
                <w:r w:rsidRPr="002F46CE">
                  <w:rPr>
                    <w:color w:val="000000"/>
                  </w:rPr>
                  <w:t>(TSSC, 2015a)</w:t>
                </w:r>
              </w:sdtContent>
            </w:sdt>
            <w:r w:rsidRPr="00E00C17">
              <w:t>.</w:t>
            </w:r>
          </w:p>
        </w:tc>
      </w:tr>
      <w:tr w:rsidR="000B173B" w:rsidRPr="000816D6" w14:paraId="6CF2DB7F" w14:textId="77777777" w:rsidTr="00A15226">
        <w:tc>
          <w:tcPr>
            <w:tcW w:w="1526" w:type="dxa"/>
            <w:vAlign w:val="center"/>
          </w:tcPr>
          <w:p w14:paraId="4AFD5F9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754832F0" w14:textId="77777777" w:rsidR="000B173B" w:rsidRDefault="000B173B" w:rsidP="00A15226">
            <w:pPr>
              <w:pStyle w:val="Tabletext"/>
              <w:rPr>
                <w:szCs w:val="18"/>
              </w:rPr>
            </w:pPr>
            <w:r w:rsidRPr="00E00C17">
              <w:rPr>
                <w:szCs w:val="18"/>
              </w:rPr>
              <w:t>The species breeds in the Russian Arctic before migrating to the southern hemisphere. A relatively small proportion of the species (thought to be less than 13 per cent</w:t>
            </w:r>
            <w:r>
              <w:rPr>
                <w:szCs w:val="18"/>
              </w:rPr>
              <w:t xml:space="preserve"> of the global population</w:t>
            </w:r>
            <w:r w:rsidRPr="00E00C17">
              <w:rPr>
                <w:szCs w:val="18"/>
              </w:rPr>
              <w:t xml:space="preserve">) migrates to Australia for the austral summer. Most immature birds do not return to the northern hemisphere for two years following their first arrival in Australia </w:t>
            </w:r>
            <w:sdt>
              <w:sdtPr>
                <w:rPr>
                  <w:color w:val="000000"/>
                  <w:szCs w:val="18"/>
                </w:rPr>
                <w:tag w:val="MENDELEY_CITATION_v3_eyJjaXRhdGlvbklEIjoiTUVOREVMRVlfQ0lUQVRJT05fMzdiMWQ1MGItYjU1OS00MWI5LWEyOWEtNzM2YTdjZjQzNDRh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1165702855"/>
                <w:placeholder>
                  <w:docPart w:val="7A87483195E49548AABB39FF484A13FE"/>
                </w:placeholder>
              </w:sdtPr>
              <w:sdtEndPr>
                <w:rPr>
                  <w:szCs w:val="20"/>
                </w:rPr>
              </w:sdtEndPr>
              <w:sdtContent>
                <w:r w:rsidRPr="002F46CE">
                  <w:rPr>
                    <w:color w:val="000000"/>
                  </w:rPr>
                  <w:t>(TSSC, 2015a)</w:t>
                </w:r>
              </w:sdtContent>
            </w:sdt>
            <w:r w:rsidRPr="00E00C17">
              <w:rPr>
                <w:szCs w:val="18"/>
              </w:rPr>
              <w:t>.</w:t>
            </w:r>
          </w:p>
          <w:p w14:paraId="6DD7054A" w14:textId="77777777" w:rsidR="000B173B" w:rsidRPr="00E00C17" w:rsidRDefault="000B173B" w:rsidP="00A15226">
            <w:pPr>
              <w:pStyle w:val="Tabletext"/>
            </w:pPr>
            <w:r>
              <w:rPr>
                <w:szCs w:val="18"/>
              </w:rPr>
              <w:t xml:space="preserve">The species feeds mainly on invertebrates but will also eat seeds </w:t>
            </w:r>
            <w:sdt>
              <w:sdtPr>
                <w:rPr>
                  <w:color w:val="000000"/>
                  <w:szCs w:val="18"/>
                </w:rPr>
                <w:tag w:val="MENDELEY_CITATION_v3_eyJjaXRhdGlvbklEIjoiTUVOREVMRVlfQ0lUQVRJT05fZWY1NjYzMTctNDk2NC00ZmM5LThmMjUtMTRiYWRiYzQ2YzEz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423229681"/>
                <w:placeholder>
                  <w:docPart w:val="7A87483195E49548AABB39FF484A13FE"/>
                </w:placeholder>
              </w:sdtPr>
              <w:sdtEndPr>
                <w:rPr>
                  <w:szCs w:val="20"/>
                </w:rPr>
              </w:sdtEndPr>
              <w:sdtContent>
                <w:r w:rsidRPr="002F46CE">
                  <w:rPr>
                    <w:color w:val="000000"/>
                  </w:rPr>
                  <w:t>(TSSC, 2015a)</w:t>
                </w:r>
              </w:sdtContent>
            </w:sdt>
            <w:r w:rsidRPr="00E00C17">
              <w:rPr>
                <w:szCs w:val="18"/>
              </w:rPr>
              <w:t>.</w:t>
            </w:r>
          </w:p>
        </w:tc>
      </w:tr>
      <w:tr w:rsidR="000B173B" w:rsidRPr="000816D6" w14:paraId="50F492B8" w14:textId="77777777" w:rsidTr="00A15226">
        <w:tc>
          <w:tcPr>
            <w:tcW w:w="1526" w:type="dxa"/>
            <w:vAlign w:val="center"/>
          </w:tcPr>
          <w:p w14:paraId="3BDB7B7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6E1C6675" w14:textId="77777777" w:rsidR="000B173B" w:rsidRPr="00E00C17" w:rsidRDefault="000B173B" w:rsidP="00A15226">
            <w:pPr>
              <w:pStyle w:val="Tabletext"/>
            </w:pPr>
            <w:r w:rsidRPr="00E00C17">
              <w:rPr>
                <w:szCs w:val="18"/>
              </w:rPr>
              <w:t>In Australia, the species o</w:t>
            </w:r>
            <w:r w:rsidRPr="00E00C17">
              <w:t>ccurs along the coast but is also widespread inland (although in lower and variable numbers). The species uses a range of freshwater and brackish coastal and estuarine areas and inland waterbodies, where it:</w:t>
            </w:r>
          </w:p>
          <w:p w14:paraId="52939BBA" w14:textId="77777777" w:rsidR="000B173B" w:rsidRPr="00E00C17" w:rsidRDefault="000B173B" w:rsidP="00A15226">
            <w:pPr>
              <w:pStyle w:val="Bullet1"/>
            </w:pPr>
            <w:r w:rsidRPr="00E00C17">
              <w:t>Forages on mudflats and in nearby shallow water, and occasionally low, sparse vegetation</w:t>
            </w:r>
          </w:p>
          <w:p w14:paraId="03CA06C4" w14:textId="77777777" w:rsidR="000B173B" w:rsidRPr="00E00C17" w:rsidRDefault="000B173B" w:rsidP="00A15226">
            <w:pPr>
              <w:pStyle w:val="Bullet1"/>
            </w:pPr>
            <w:r w:rsidRPr="00E00C17">
              <w:t>Roosts in open areas with damp substrates, especially on shingle, shell or sand beaches, spits and islets</w:t>
            </w:r>
          </w:p>
          <w:sdt>
            <w:sdtPr>
              <w:rPr>
                <w:color w:val="000000"/>
              </w:rPr>
              <w:tag w:val="MENDELEY_CITATION_v3_eyJjaXRhdGlvbklEIjoiTUVOREVMRVlfQ0lUQVRJT05fNmNlYjQxNTUtOTg2OS00YzkzLTg4ODEtMTdhOWE2MWY4ZDIy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1108962847"/>
              <w:placeholder>
                <w:docPart w:val="7A87483195E49548AABB39FF484A13FE"/>
              </w:placeholder>
            </w:sdtPr>
            <w:sdtContent>
              <w:p w14:paraId="787238A9" w14:textId="77777777" w:rsidR="000B173B" w:rsidRPr="00E00C17" w:rsidRDefault="000B173B" w:rsidP="00A15226">
                <w:pPr>
                  <w:pStyle w:val="Tabletext"/>
                </w:pPr>
                <w:r w:rsidRPr="002F46CE">
                  <w:rPr>
                    <w:color w:val="000000"/>
                  </w:rPr>
                  <w:t>(TSSC, 2015a)</w:t>
                </w:r>
              </w:p>
            </w:sdtContent>
          </w:sdt>
        </w:tc>
      </w:tr>
      <w:tr w:rsidR="000B173B" w:rsidRPr="000816D6" w14:paraId="2B73F74E" w14:textId="77777777" w:rsidTr="00A15226">
        <w:tc>
          <w:tcPr>
            <w:tcW w:w="1526" w:type="dxa"/>
            <w:vAlign w:val="center"/>
          </w:tcPr>
          <w:p w14:paraId="51AD894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0977C92D" w14:textId="77777777" w:rsidR="000B173B" w:rsidRDefault="000B173B" w:rsidP="00A15226">
            <w:pPr>
              <w:pStyle w:val="Tabletext"/>
            </w:pPr>
            <w:r w:rsidRPr="00E00C17">
              <w:t>The species occurs as a single population in Australia</w:t>
            </w:r>
            <w:r>
              <w:t xml:space="preserve"> </w:t>
            </w:r>
            <w:sdt>
              <w:sdtPr>
                <w:rPr>
                  <w:color w:val="000000"/>
                </w:rPr>
                <w:tag w:val="MENDELEY_CITATION_v3_eyJjaXRhdGlvbklEIjoiTUVOREVMRVlfQ0lUQVRJT05fZjQ3ZTY0ZTEtNTdjYi00MTA5LTlhYjQtODhkZjYwZTc1NTAz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716898994"/>
                <w:placeholder>
                  <w:docPart w:val="7A87483195E49548AABB39FF484A13FE"/>
                </w:placeholder>
              </w:sdtPr>
              <w:sdtContent>
                <w:r w:rsidRPr="002F46CE">
                  <w:rPr>
                    <w:color w:val="000000"/>
                  </w:rPr>
                  <w:t>(TSSC, 2015a)</w:t>
                </w:r>
              </w:sdtContent>
            </w:sdt>
            <w:r>
              <w:t>.</w:t>
            </w:r>
          </w:p>
          <w:p w14:paraId="536D8429" w14:textId="77777777" w:rsidR="000B173B" w:rsidRPr="00E00C17" w:rsidRDefault="000B173B" w:rsidP="00A15226">
            <w:pPr>
              <w:pStyle w:val="Tabletext"/>
            </w:pPr>
            <w:r>
              <w:t xml:space="preserve">The most recent estimate of the species’ East Asian – Australasian Flyway population size is 90,000 individuals </w:t>
            </w:r>
            <w:sdt>
              <w:sdtPr>
                <w:tag w:val="MENDELEY_CITATION_v3_eyJjaXRhdGlvbklEIjoiTUVOREVMRVlfQ0lUQVRJT05fZTEzNGFjMzAtOGZmMC00NmI1LWJlNGMtZWI1M2U3Yzc1MGNlIiwicHJvcGVydGllcyI6eyJub3RlSW5kZXgiOjB9LCJpc0VkaXRlZCI6ZmFsc2UsIm1hbnVhbE92ZXJyaWRlIjp7ImNpdGVwcm9jVGV4dCI6IihIYW5zZW4gPGk+ZXQgYWwuPC9pPiwgMjAxNikiLCJpc01hbnVhbGx5T3ZlcnJpZGRlbiI6ZmFsc2UsIm1hbnVhbE92ZXJyaWRlVGV4dCI6IiJ9LCJjaXRhdGlvbkl0ZW1zIjpb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097781049"/>
                <w:placeholder>
                  <w:docPart w:val="7A87483195E49548AABB39FF484A13FE"/>
                </w:placeholder>
              </w:sdtPr>
              <w:sdtContent>
                <w:r>
                  <w:rPr>
                    <w:rFonts w:eastAsia="Times New Roman"/>
                  </w:rPr>
                  <w:t xml:space="preserve">(Hansen </w:t>
                </w:r>
                <w:r>
                  <w:rPr>
                    <w:rFonts w:eastAsia="Times New Roman"/>
                    <w:i/>
                    <w:iCs/>
                  </w:rPr>
                  <w:t>et al.</w:t>
                </w:r>
                <w:r>
                  <w:rPr>
                    <w:rFonts w:eastAsia="Times New Roman"/>
                  </w:rPr>
                  <w:t>, 2016)</w:t>
                </w:r>
              </w:sdtContent>
            </w:sdt>
            <w:r>
              <w:t>.</w:t>
            </w:r>
          </w:p>
        </w:tc>
      </w:tr>
      <w:tr w:rsidR="000B173B" w:rsidRPr="002F23FB" w14:paraId="5EFC4606" w14:textId="77777777" w:rsidTr="00A15226">
        <w:tc>
          <w:tcPr>
            <w:tcW w:w="1526" w:type="dxa"/>
            <w:vAlign w:val="center"/>
          </w:tcPr>
          <w:p w14:paraId="1AE34015"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1B1E29D1" w14:textId="77777777" w:rsidR="000B173B" w:rsidRDefault="000B173B" w:rsidP="00A15226">
            <w:pPr>
              <w:pStyle w:val="Tabletext"/>
            </w:pPr>
            <w:r>
              <w:t xml:space="preserve">The species Conservation Advice has identified the following threats within Australia </w:t>
            </w:r>
            <w:sdt>
              <w:sdtPr>
                <w:rPr>
                  <w:color w:val="000000"/>
                </w:rPr>
                <w:tag w:val="MENDELEY_CITATION_v3_eyJjaXRhdGlvbklEIjoiTUVOREVMRVlfQ0lUQVRJT05fMWY4YzBkODItYWNlZC00MWViLTlmM2ItZGFlZGYxMWE3NjEw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2100281377"/>
                <w:placeholder>
                  <w:docPart w:val="7A87483195E49548AABB39FF484A13FE"/>
                </w:placeholder>
              </w:sdtPr>
              <w:sdtContent>
                <w:r w:rsidRPr="002F46CE">
                  <w:rPr>
                    <w:color w:val="000000"/>
                  </w:rPr>
                  <w:t>(TSSC, 2015a)</w:t>
                </w:r>
              </w:sdtContent>
            </w:sdt>
            <w:r>
              <w:t>:</w:t>
            </w:r>
          </w:p>
          <w:p w14:paraId="6F36F5A3" w14:textId="77777777" w:rsidR="000B173B" w:rsidRDefault="000B173B" w:rsidP="00A15226">
            <w:pPr>
              <w:pStyle w:val="Bullet1"/>
            </w:pPr>
            <w:r>
              <w:t>Ongoing human disturbance</w:t>
            </w:r>
          </w:p>
          <w:p w14:paraId="2A7A6FB1" w14:textId="77777777" w:rsidR="000B173B" w:rsidRDefault="000B173B" w:rsidP="00A15226">
            <w:pPr>
              <w:pStyle w:val="Bullet1"/>
            </w:pPr>
            <w:r>
              <w:t>Habitat loss and degradation from pollution and changes to the water regime</w:t>
            </w:r>
          </w:p>
          <w:p w14:paraId="361BAE58" w14:textId="77777777" w:rsidR="000B173B" w:rsidRPr="003E1ADD" w:rsidRDefault="000B173B" w:rsidP="00A15226">
            <w:pPr>
              <w:pStyle w:val="Bullet1"/>
            </w:pPr>
            <w:r>
              <w:t>Invasive plants</w:t>
            </w:r>
          </w:p>
        </w:tc>
      </w:tr>
      <w:tr w:rsidR="000B173B" w:rsidRPr="002F23FB" w14:paraId="204F337A" w14:textId="77777777" w:rsidTr="00A15226">
        <w:tc>
          <w:tcPr>
            <w:tcW w:w="1526" w:type="dxa"/>
            <w:vAlign w:val="center"/>
          </w:tcPr>
          <w:p w14:paraId="0F174F2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0C43CE54" w14:textId="77777777" w:rsidR="000B173B" w:rsidRPr="003E1ADD" w:rsidRDefault="000B173B" w:rsidP="00A15226">
            <w:pPr>
              <w:pStyle w:val="Tabletext"/>
              <w:rPr>
                <w:iCs/>
              </w:rPr>
            </w:pPr>
            <w:r w:rsidRPr="00585BED">
              <w:rPr>
                <w:iCs/>
              </w:rPr>
              <w:t xml:space="preserve">Conservation Advice </w:t>
            </w:r>
            <w:r w:rsidRPr="0011395B">
              <w:rPr>
                <w:i/>
              </w:rPr>
              <w:t>Calidris ferruginea</w:t>
            </w:r>
            <w:r w:rsidRPr="00585BED">
              <w:rPr>
                <w:iCs/>
              </w:rPr>
              <w:t xml:space="preserve"> </w:t>
            </w:r>
            <w:r>
              <w:rPr>
                <w:iCs/>
              </w:rPr>
              <w:t>C</w:t>
            </w:r>
            <w:r w:rsidRPr="00585BED">
              <w:rPr>
                <w:iCs/>
              </w:rPr>
              <w:t xml:space="preserve">urlew </w:t>
            </w:r>
            <w:r>
              <w:rPr>
                <w:iCs/>
              </w:rPr>
              <w:t>S</w:t>
            </w:r>
            <w:r w:rsidRPr="00585BED">
              <w:rPr>
                <w:iCs/>
              </w:rPr>
              <w:t>andpiper</w:t>
            </w:r>
            <w:r>
              <w:rPr>
                <w:iCs/>
              </w:rPr>
              <w:t xml:space="preserve"> </w:t>
            </w:r>
            <w:sdt>
              <w:sdtPr>
                <w:rPr>
                  <w:iCs/>
                  <w:color w:val="000000"/>
                </w:rPr>
                <w:tag w:val="MENDELEY_CITATION_v3_eyJjaXRhdGlvbklEIjoiTUVOREVMRVlfQ0lUQVRJT05fNWMyYTY0MDAtOWI3ZC00YjBmLWI3NzctNzhjMWY3MDZmMTAw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1177383258"/>
                <w:placeholder>
                  <w:docPart w:val="7A87483195E49548AABB39FF484A13FE"/>
                </w:placeholder>
              </w:sdtPr>
              <w:sdtEndPr>
                <w:rPr>
                  <w:iCs w:val="0"/>
                </w:rPr>
              </w:sdtEndPr>
              <w:sdtContent>
                <w:r w:rsidRPr="002F46CE">
                  <w:rPr>
                    <w:color w:val="000000"/>
                  </w:rPr>
                  <w:t>(TSSC, 2015a)</w:t>
                </w:r>
              </w:sdtContent>
            </w:sdt>
          </w:p>
        </w:tc>
      </w:tr>
      <w:tr w:rsidR="000B173B" w:rsidRPr="000816D6" w14:paraId="60E75B01" w14:textId="77777777" w:rsidTr="00A15226">
        <w:tc>
          <w:tcPr>
            <w:tcW w:w="1526" w:type="dxa"/>
            <w:vAlign w:val="center"/>
          </w:tcPr>
          <w:p w14:paraId="1976835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7298BCE0" w14:textId="77777777" w:rsidR="000B173B" w:rsidRDefault="000B173B" w:rsidP="00A15226">
            <w:pPr>
              <w:pStyle w:val="Tabletext"/>
            </w:pPr>
            <w:r w:rsidRPr="00D32954">
              <w:t>Wildlife Conservation Plan for Migratory Shorebirds</w:t>
            </w:r>
            <w:r>
              <w:t xml:space="preserve"> </w:t>
            </w:r>
            <w:sdt>
              <w:sdtPr>
                <w:rPr>
                  <w:color w:val="000000"/>
                </w:rPr>
                <w:tag w:val="MENDELEY_CITATION_v3_eyJjaXRhdGlvbklEIjoiTUVOREVMRVlfQ0lUQVRJT05fNTkxZjMxZTItZWJlZS00MjJlLTlmMmItYjQ1NDE1ZWEzNDQ5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1520439294"/>
                <w:placeholder>
                  <w:docPart w:val="7A87483195E49548AABB39FF484A13FE"/>
                </w:placeholder>
              </w:sdtPr>
              <w:sdtContent>
                <w:r w:rsidRPr="002F46CE">
                  <w:rPr>
                    <w:color w:val="000000"/>
                  </w:rPr>
                  <w:t>(Commonwealth of Australia, 2015)</w:t>
                </w:r>
              </w:sdtContent>
            </w:sdt>
          </w:p>
          <w:p w14:paraId="6892C047" w14:textId="77777777" w:rsidR="000B173B" w:rsidRPr="00980D4D" w:rsidRDefault="000B173B" w:rsidP="00A15226">
            <w:pPr>
              <w:pStyle w:val="Tabletext"/>
            </w:pPr>
            <w:r>
              <w:t>E</w:t>
            </w:r>
            <w:r w:rsidRPr="00A31A72">
              <w:t>PBC Act Policy Statement 3.21 - Industry Guidelines for avoiding, assessing and mitigating impacts on EBBC Act listed migratory shorebird species</w:t>
            </w:r>
            <w:r>
              <w:t xml:space="preserve"> </w:t>
            </w:r>
            <w:sdt>
              <w:sdtPr>
                <w:rPr>
                  <w:color w:val="000000"/>
                </w:rPr>
                <w:tag w:val="MENDELEY_CITATION_v3_eyJjaXRhdGlvbklEIjoiTUVOREVMRVlfQ0lUQVRJT05fM2E4MzBmZmEtYzQ2NS00NGM4LWIwMzYtNTQ1ZGFmZWRlMGNi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2030911413"/>
                <w:placeholder>
                  <w:docPart w:val="7A87483195E49548AABB39FF484A13FE"/>
                </w:placeholder>
              </w:sdtPr>
              <w:sdtContent>
                <w:r w:rsidRPr="002F46CE">
                  <w:rPr>
                    <w:color w:val="000000"/>
                  </w:rPr>
                  <w:t>(DoE, 2017)</w:t>
                </w:r>
              </w:sdtContent>
            </w:sdt>
          </w:p>
        </w:tc>
      </w:tr>
      <w:tr w:rsidR="000B173B" w:rsidRPr="000816D6" w14:paraId="5438CF3F" w14:textId="77777777" w:rsidTr="00A15226">
        <w:tc>
          <w:tcPr>
            <w:tcW w:w="1526" w:type="dxa"/>
            <w:vAlign w:val="center"/>
          </w:tcPr>
          <w:p w14:paraId="269B0ED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2594B036" w14:textId="77777777" w:rsidR="000B173B" w:rsidRPr="003E1ADD" w:rsidRDefault="000B173B" w:rsidP="00A15226">
            <w:pPr>
              <w:pStyle w:val="Tabletext"/>
            </w:pPr>
            <w:hyperlink r:id="rId135" w:history="1">
              <w:r w:rsidRPr="007473F6">
                <w:rPr>
                  <w:rStyle w:val="Hyperlink"/>
                </w:rPr>
                <w:t>http://www.environment.gov.au/cgi-bin/sprat/public/publicspecies.pl?taxon_id=856</w:t>
              </w:r>
            </w:hyperlink>
            <w:r>
              <w:t xml:space="preserve"> </w:t>
            </w:r>
          </w:p>
        </w:tc>
      </w:tr>
    </w:tbl>
    <w:p w14:paraId="2273969B"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196BE99E" w14:textId="77777777" w:rsidTr="00A15226">
        <w:tc>
          <w:tcPr>
            <w:tcW w:w="9622" w:type="dxa"/>
            <w:shd w:val="clear" w:color="auto" w:fill="C9C9C9" w:themeFill="accent3" w:themeFillTint="99"/>
          </w:tcPr>
          <w:p w14:paraId="47656F4E" w14:textId="77777777" w:rsidR="000B173B" w:rsidRPr="008F55BC" w:rsidRDefault="000B173B" w:rsidP="00A15226">
            <w:pPr>
              <w:pStyle w:val="Tabletext"/>
              <w:rPr>
                <w:b/>
                <w:bCs/>
              </w:rPr>
            </w:pPr>
            <w:r>
              <w:rPr>
                <w:rFonts w:ascii="Helvetica" w:hAnsi="Helvetica"/>
                <w:b/>
                <w:sz w:val="16"/>
                <w:szCs w:val="16"/>
              </w:rPr>
              <w:t>APPROACH TO BASELINE DATA</w:t>
            </w:r>
          </w:p>
        </w:tc>
      </w:tr>
    </w:tbl>
    <w:p w14:paraId="5BEE038D"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550B180E"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25A6B724"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07CCA2B1" w14:textId="77777777" w:rsidR="000B173B" w:rsidRPr="00296917" w:rsidRDefault="000B173B" w:rsidP="000B173B">
      <w:pPr>
        <w:rPr>
          <w:i/>
          <w:color w:val="4472C4" w:themeColor="accent1"/>
        </w:rPr>
      </w:pPr>
      <w:r w:rsidRPr="000816D6">
        <w:rPr>
          <w:i/>
          <w:color w:val="4472C4" w:themeColor="accent1"/>
        </w:rPr>
        <w:lastRenderedPageBreak/>
        <w:t xml:space="preserve">Please refer to </w:t>
      </w:r>
      <w:r w:rsidRPr="006900FB">
        <w:rPr>
          <w:i/>
          <w:color w:val="4472C4" w:themeColor="accent1"/>
        </w:rPr>
        <w:t>Chapter 13</w:t>
      </w:r>
      <w:r w:rsidRPr="008A0753">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30B45655" w14:textId="77777777" w:rsidTr="00A15226">
        <w:tc>
          <w:tcPr>
            <w:tcW w:w="1526" w:type="dxa"/>
            <w:vMerge w:val="restart"/>
            <w:vAlign w:val="center"/>
          </w:tcPr>
          <w:p w14:paraId="508A2622"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5EE5CB47"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15D67051" w14:textId="77777777" w:rsidTr="00A15226">
        <w:tc>
          <w:tcPr>
            <w:tcW w:w="1526" w:type="dxa"/>
            <w:vMerge/>
            <w:vAlign w:val="center"/>
          </w:tcPr>
          <w:p w14:paraId="1160D82B" w14:textId="77777777" w:rsidR="000B173B" w:rsidRDefault="000B173B" w:rsidP="00A15226">
            <w:pPr>
              <w:pStyle w:val="Tabletext"/>
              <w:rPr>
                <w:rFonts w:ascii="Helvetica" w:hAnsi="Helvetica"/>
                <w:b/>
                <w:bCs/>
                <w:sz w:val="14"/>
              </w:rPr>
            </w:pPr>
          </w:p>
        </w:tc>
        <w:tc>
          <w:tcPr>
            <w:tcW w:w="8113" w:type="dxa"/>
            <w:vAlign w:val="center"/>
          </w:tcPr>
          <w:p w14:paraId="4B51A291"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5FA8090B" w14:textId="77777777" w:rsidTr="00A15226">
        <w:tc>
          <w:tcPr>
            <w:tcW w:w="1526" w:type="dxa"/>
            <w:vMerge/>
            <w:vAlign w:val="center"/>
          </w:tcPr>
          <w:p w14:paraId="5E9F8C85"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29DEB3E4"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2C1516D8" w14:textId="77777777" w:rsidTr="00A15226">
        <w:tc>
          <w:tcPr>
            <w:tcW w:w="1526" w:type="dxa"/>
            <w:vMerge/>
            <w:vAlign w:val="center"/>
          </w:tcPr>
          <w:p w14:paraId="4C6FD552" w14:textId="77777777" w:rsidR="000B173B" w:rsidRDefault="000B173B" w:rsidP="00A15226">
            <w:pPr>
              <w:pStyle w:val="Tabletext"/>
              <w:rPr>
                <w:rFonts w:ascii="Helvetica" w:hAnsi="Helvetica"/>
                <w:b/>
                <w:bCs/>
                <w:sz w:val="14"/>
              </w:rPr>
            </w:pPr>
          </w:p>
        </w:tc>
        <w:tc>
          <w:tcPr>
            <w:tcW w:w="8113" w:type="dxa"/>
            <w:vAlign w:val="center"/>
          </w:tcPr>
          <w:p w14:paraId="79577AF6"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7AFE406D" w14:textId="77777777" w:rsidTr="00A15226">
        <w:tc>
          <w:tcPr>
            <w:tcW w:w="1526" w:type="dxa"/>
            <w:vMerge/>
            <w:vAlign w:val="center"/>
          </w:tcPr>
          <w:p w14:paraId="401A3077"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7C21075"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653AF9E9" w14:textId="77777777" w:rsidTr="00A15226">
        <w:tc>
          <w:tcPr>
            <w:tcW w:w="1526" w:type="dxa"/>
            <w:vMerge/>
            <w:vAlign w:val="center"/>
          </w:tcPr>
          <w:p w14:paraId="06FA9355" w14:textId="77777777" w:rsidR="000B173B" w:rsidRPr="000816D6" w:rsidRDefault="000B173B" w:rsidP="00A15226">
            <w:pPr>
              <w:pStyle w:val="Tabletext"/>
              <w:rPr>
                <w:rFonts w:ascii="Helvetica" w:hAnsi="Helvetica"/>
                <w:b/>
                <w:bCs/>
                <w:sz w:val="14"/>
              </w:rPr>
            </w:pPr>
          </w:p>
        </w:tc>
        <w:tc>
          <w:tcPr>
            <w:tcW w:w="8113" w:type="dxa"/>
            <w:vAlign w:val="center"/>
          </w:tcPr>
          <w:p w14:paraId="55F2CF69"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5F0BDD70" w14:textId="77777777" w:rsidR="000B173B" w:rsidRPr="00980D4D" w:rsidRDefault="000B173B" w:rsidP="00A15226">
            <w:pPr>
              <w:pStyle w:val="Tabletext"/>
            </w:pPr>
            <w:r w:rsidRPr="00B03721">
              <w:t>Refer to</w:t>
            </w:r>
            <w:r>
              <w:t xml:space="preserve"> </w:t>
            </w:r>
            <w:r w:rsidRPr="006900FB">
              <w:t>Chapter 13 of Part 3</w:t>
            </w:r>
            <w:r w:rsidRPr="009C78F5">
              <w:t xml:space="preserve"> for</w:t>
            </w:r>
            <w:r>
              <w:t xml:space="preserve"> a detailed description of the baseline mapping, landholder surveys, and HIMs.</w:t>
            </w:r>
          </w:p>
        </w:tc>
      </w:tr>
      <w:tr w:rsidR="000B173B" w:rsidRPr="003E1ADD" w14:paraId="45D6742B" w14:textId="77777777" w:rsidTr="00A15226">
        <w:tc>
          <w:tcPr>
            <w:tcW w:w="1526" w:type="dxa"/>
            <w:vMerge w:val="restart"/>
            <w:vAlign w:val="center"/>
          </w:tcPr>
          <w:p w14:paraId="229252E3"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62828FE0"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2EA4D616" w14:textId="77777777" w:rsidTr="00A15226">
        <w:tc>
          <w:tcPr>
            <w:tcW w:w="1526" w:type="dxa"/>
            <w:vMerge/>
            <w:vAlign w:val="center"/>
          </w:tcPr>
          <w:p w14:paraId="4F336FC2" w14:textId="77777777" w:rsidR="000B173B" w:rsidRDefault="000B173B" w:rsidP="00A15226">
            <w:pPr>
              <w:pStyle w:val="Tabletext"/>
              <w:rPr>
                <w:rFonts w:ascii="Helvetica" w:hAnsi="Helvetica"/>
                <w:b/>
                <w:bCs/>
                <w:sz w:val="14"/>
              </w:rPr>
            </w:pPr>
          </w:p>
        </w:tc>
        <w:tc>
          <w:tcPr>
            <w:tcW w:w="8113" w:type="dxa"/>
            <w:vAlign w:val="center"/>
          </w:tcPr>
          <w:p w14:paraId="03535307"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5314512B" w14:textId="77777777" w:rsidTr="00A15226">
        <w:tc>
          <w:tcPr>
            <w:tcW w:w="1526" w:type="dxa"/>
            <w:vMerge/>
            <w:vAlign w:val="center"/>
          </w:tcPr>
          <w:p w14:paraId="04B5D9B9"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F6E3C83"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01CB4B1D" w14:textId="77777777" w:rsidTr="00A15226">
        <w:tc>
          <w:tcPr>
            <w:tcW w:w="1526" w:type="dxa"/>
            <w:vMerge/>
            <w:vAlign w:val="center"/>
          </w:tcPr>
          <w:p w14:paraId="4D7AC7D2" w14:textId="77777777" w:rsidR="000B173B" w:rsidRDefault="000B173B" w:rsidP="00A15226">
            <w:pPr>
              <w:pStyle w:val="Tabletext"/>
              <w:rPr>
                <w:rFonts w:ascii="Helvetica" w:hAnsi="Helvetica"/>
                <w:b/>
                <w:bCs/>
                <w:sz w:val="14"/>
              </w:rPr>
            </w:pPr>
          </w:p>
        </w:tc>
        <w:tc>
          <w:tcPr>
            <w:tcW w:w="8113" w:type="dxa"/>
            <w:vAlign w:val="center"/>
          </w:tcPr>
          <w:p w14:paraId="7A509E06" w14:textId="77777777" w:rsidR="000B173B" w:rsidRPr="00BB022D" w:rsidRDefault="000B173B" w:rsidP="00A15226">
            <w:pPr>
              <w:pStyle w:val="Bullet1"/>
              <w:numPr>
                <w:ilvl w:val="0"/>
                <w:numId w:val="0"/>
              </w:numPr>
              <w:ind w:left="360" w:hanging="360"/>
            </w:pPr>
            <w:r w:rsidRPr="006A4149">
              <w:t xml:space="preserve">VBA records for the </w:t>
            </w:r>
            <w:r>
              <w:t>Curlew Sandpiper</w:t>
            </w:r>
            <w:r w:rsidRPr="006A4149">
              <w:t xml:space="preserve"> used in this assessment were downloaded in June 2022.</w:t>
            </w:r>
          </w:p>
        </w:tc>
      </w:tr>
      <w:tr w:rsidR="000B173B" w:rsidRPr="003E1ADD" w14:paraId="07870D00" w14:textId="77777777" w:rsidTr="00A15226">
        <w:tc>
          <w:tcPr>
            <w:tcW w:w="1526" w:type="dxa"/>
            <w:vMerge/>
            <w:vAlign w:val="center"/>
          </w:tcPr>
          <w:p w14:paraId="6F0D3F78"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6A48D7AE"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127E393D" w14:textId="77777777" w:rsidTr="00A15226">
        <w:tc>
          <w:tcPr>
            <w:tcW w:w="1526" w:type="dxa"/>
            <w:vMerge/>
            <w:vAlign w:val="center"/>
          </w:tcPr>
          <w:p w14:paraId="630A63DB" w14:textId="77777777" w:rsidR="000B173B" w:rsidRDefault="000B173B" w:rsidP="00A15226">
            <w:pPr>
              <w:pStyle w:val="Tabletext"/>
              <w:rPr>
                <w:rFonts w:ascii="Helvetica" w:hAnsi="Helvetica"/>
                <w:b/>
                <w:bCs/>
                <w:sz w:val="14"/>
              </w:rPr>
            </w:pPr>
          </w:p>
        </w:tc>
        <w:tc>
          <w:tcPr>
            <w:tcW w:w="8113" w:type="dxa"/>
            <w:vAlign w:val="center"/>
          </w:tcPr>
          <w:p w14:paraId="20A5C4DE" w14:textId="77777777" w:rsidR="000B173B" w:rsidRPr="00BB022D" w:rsidRDefault="000B173B" w:rsidP="00A15226">
            <w:pPr>
              <w:pStyle w:val="Tabletext"/>
            </w:pPr>
            <w:r w:rsidRPr="00C62332">
              <w:t xml:space="preserve">Given the mobile nature of the species, all records within the Study Area </w:t>
            </w:r>
            <w:r>
              <w:t>are</w:t>
            </w:r>
            <w:r w:rsidRPr="00C62332">
              <w:t xml:space="preserve"> considered a single population.</w:t>
            </w:r>
          </w:p>
        </w:tc>
      </w:tr>
    </w:tbl>
    <w:p w14:paraId="0F66A2AB"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64A7EBB5" w14:textId="77777777" w:rsidTr="00A15226">
        <w:tc>
          <w:tcPr>
            <w:tcW w:w="9622" w:type="dxa"/>
            <w:shd w:val="clear" w:color="auto" w:fill="C9C9C9" w:themeFill="accent3" w:themeFillTint="99"/>
          </w:tcPr>
          <w:p w14:paraId="6F7B34DD"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190A6E7A"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the </w:t>
      </w:r>
      <w:r w:rsidRPr="00CA1943">
        <w:rPr>
          <w:i/>
          <w:iCs/>
          <w:color w:val="4472C4" w:themeColor="accent1"/>
        </w:rPr>
        <w:t>Study Area. It includes reference to a map of records and habitat which can be viewed as a separate file. The map provides critical context</w:t>
      </w:r>
      <w:r w:rsidRPr="00BB022D">
        <w:rPr>
          <w:i/>
          <w:iCs/>
          <w:color w:val="4472C4" w:themeColor="accent1"/>
        </w:rPr>
        <w:t xml:space="preserve"> for the assessment and should be viewed in conjunction with the text presented in this assessment. This section also provides a qualitative description of where records and habitat occur.</w:t>
      </w:r>
    </w:p>
    <w:p w14:paraId="403CEB21" w14:textId="77777777" w:rsidR="000B173B" w:rsidRPr="00AE19A8" w:rsidRDefault="000B173B" w:rsidP="000B173B">
      <w:pPr>
        <w:rPr>
          <w:b/>
          <w:bCs/>
          <w:highlight w:val="yellow"/>
        </w:rPr>
      </w:pPr>
      <w:r w:rsidRPr="00AC3067">
        <w:t xml:space="preserve">See </w:t>
      </w:r>
      <w:hyperlink r:id="rId136" w:history="1">
        <w:r w:rsidRPr="00AC291E">
          <w:rPr>
            <w:rStyle w:val="Hyperlink"/>
          </w:rPr>
          <w:t>Map 19-13</w:t>
        </w:r>
      </w:hyperlink>
      <w:r w:rsidRPr="006900FB">
        <w:t xml:space="preserve"> </w:t>
      </w:r>
      <w:r w:rsidRPr="009C78F5">
        <w:t>for</w:t>
      </w:r>
      <w:r w:rsidRPr="00AC3067">
        <w:t xml:space="preserve"> a map of records and habitat across the Strategic Assessment Area.</w:t>
      </w:r>
      <w:r w:rsidRPr="00AC3067">
        <w:rPr>
          <w:b/>
          <w:bCs/>
        </w:rPr>
        <w:t xml:space="preserve"> </w:t>
      </w:r>
    </w:p>
    <w:p w14:paraId="7C151C4A" w14:textId="77777777" w:rsidR="000B173B" w:rsidRDefault="000B173B" w:rsidP="000B173B">
      <w:r w:rsidRPr="00F30C5D">
        <w:t xml:space="preserve">There are </w:t>
      </w:r>
      <w:r w:rsidRPr="006900FB">
        <w:t>2,690 records</w:t>
      </w:r>
      <w:r w:rsidRPr="009C78F5">
        <w:t xml:space="preserve"> from 1990 onwards of the Curlew Sandpiper within the Study Area (comprising </w:t>
      </w:r>
      <w:r w:rsidRPr="006900FB">
        <w:t>125,035 individuals</w:t>
      </w:r>
      <w:r w:rsidRPr="009C78F5">
        <w:t>).</w:t>
      </w:r>
      <w:r>
        <w:t xml:space="preserve"> </w:t>
      </w:r>
      <w:r w:rsidRPr="00F30C5D">
        <w:t>Of these</w:t>
      </w:r>
      <w:r w:rsidRPr="009C78F5">
        <w:t xml:space="preserve">, </w:t>
      </w:r>
      <w:r w:rsidRPr="006900FB">
        <w:t>2,060 records</w:t>
      </w:r>
      <w:r w:rsidRPr="009C78F5">
        <w:t xml:space="preserve"> have been recorded within the last five years, with the most recent record from 2021. The species has not been recorded within</w:t>
      </w:r>
      <w:r w:rsidRPr="00F30C5D">
        <w:t xml:space="preserve"> the Strategic Assessment Area.</w:t>
      </w:r>
    </w:p>
    <w:p w14:paraId="50EB31C7" w14:textId="77777777" w:rsidR="000B173B" w:rsidRDefault="000B173B" w:rsidP="000B173B">
      <w:r>
        <w:t xml:space="preserve">A </w:t>
      </w:r>
      <w:r w:rsidRPr="009C78F5">
        <w:t xml:space="preserve">total of </w:t>
      </w:r>
      <w:r w:rsidRPr="006900FB">
        <w:t>5,929.7 ha</w:t>
      </w:r>
      <w:r w:rsidRPr="009C78F5">
        <w:t xml:space="preserve"> of potential habitat has been mapped within the Study Area. Of this, </w:t>
      </w:r>
      <w:r w:rsidRPr="006900FB">
        <w:t>12.4 ha</w:t>
      </w:r>
      <w:r w:rsidRPr="009C78F5">
        <w:t xml:space="preserve"> is mapped within the Strategic Assessment Area</w:t>
      </w:r>
      <w:r>
        <w:t>. No habitat is mapped within the Growth Areas.</w:t>
      </w:r>
    </w:p>
    <w:p w14:paraId="69E17289" w14:textId="77777777" w:rsidR="000B173B" w:rsidRDefault="000B173B" w:rsidP="000B173B">
      <w:r>
        <w:t xml:space="preserve">Mapped potential habitat and the majority of </w:t>
      </w:r>
      <w:r w:rsidRPr="009C78F5">
        <w:t>records (</w:t>
      </w:r>
      <w:r w:rsidRPr="006900FB">
        <w:t>2,413 records</w:t>
      </w:r>
      <w:r w:rsidRPr="009C78F5">
        <w:t xml:space="preserve">, comprising </w:t>
      </w:r>
      <w:r w:rsidRPr="006900FB">
        <w:t>96,466 individuals</w:t>
      </w:r>
      <w:r w:rsidRPr="009C78F5">
        <w:t>) for</w:t>
      </w:r>
      <w:r>
        <w:t xml:space="preserve"> the Curlew Sandpiper occur along the northern shoreline of Port Phillip Bay, from Limeburners Bay in the west through to the Study Area boundary in the east.</w:t>
      </w:r>
    </w:p>
    <w:p w14:paraId="08F3EA68" w14:textId="77777777" w:rsidR="000B173B" w:rsidRDefault="000B173B" w:rsidP="000B173B">
      <w:r>
        <w:t>Mapped potential habitat and multiple reco</w:t>
      </w:r>
      <w:r w:rsidRPr="009C78F5">
        <w:t>rds (</w:t>
      </w:r>
      <w:r w:rsidRPr="006900FB">
        <w:t>116 records</w:t>
      </w:r>
      <w:r w:rsidRPr="009C78F5">
        <w:t xml:space="preserve">, comprising </w:t>
      </w:r>
      <w:r w:rsidRPr="006900FB">
        <w:t>10,999 individuals)</w:t>
      </w:r>
      <w:r w:rsidRPr="009C78F5">
        <w:t xml:space="preserve"> occur at the Lake Connewarre Complex.</w:t>
      </w:r>
    </w:p>
    <w:p w14:paraId="10745C32" w14:textId="77777777" w:rsidR="000B173B" w:rsidRDefault="000B173B" w:rsidP="000B173B">
      <w:r>
        <w:t xml:space="preserve">Mapped potential habitat and multiple </w:t>
      </w:r>
      <w:r w:rsidRPr="009C78F5">
        <w:t>records (</w:t>
      </w:r>
      <w:r w:rsidRPr="006900FB">
        <w:t>154 records,</w:t>
      </w:r>
      <w:r w:rsidRPr="009C78F5">
        <w:t xml:space="preserve"> comprising </w:t>
      </w:r>
      <w:r w:rsidRPr="006900FB">
        <w:t>17,563 individuals</w:t>
      </w:r>
      <w:r w:rsidRPr="009C78F5">
        <w:t>)</w:t>
      </w:r>
      <w:r>
        <w:t xml:space="preserve"> occur in the Moolap locality.</w:t>
      </w:r>
    </w:p>
    <w:p w14:paraId="5B01976B" w14:textId="77777777" w:rsidR="000B173B" w:rsidRDefault="000B173B" w:rsidP="000B173B">
      <w:r>
        <w:t>Isolated records also occur at Lara, and at 13</w:t>
      </w:r>
      <w:r w:rsidRPr="009C1A59">
        <w:rPr>
          <w:vertAlign w:val="superscript"/>
        </w:rPr>
        <w:t>th</w:t>
      </w:r>
      <w:r>
        <w:t xml:space="preserve"> Beach in the south of the Study Area.</w:t>
      </w:r>
    </w:p>
    <w:p w14:paraId="671AD8FB" w14:textId="77777777" w:rsidR="000B173B" w:rsidRPr="006934FA" w:rsidRDefault="000B173B" w:rsidP="000B173B">
      <w:r>
        <w:t>A smaller area of potential habitat not associated with records occurs in the estuarine environment of Thompson Creek in the south of the Study Area.</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6CCB6EF9" w14:textId="77777777" w:rsidTr="00A15226">
        <w:trPr>
          <w:cantSplit/>
        </w:trPr>
        <w:tc>
          <w:tcPr>
            <w:tcW w:w="9632" w:type="dxa"/>
            <w:shd w:val="clear" w:color="auto" w:fill="D9D9D9" w:themeFill="background1" w:themeFillShade="D9"/>
            <w:vAlign w:val="center"/>
          </w:tcPr>
          <w:p w14:paraId="0C0311B8" w14:textId="77777777" w:rsidR="000B173B" w:rsidRPr="000816D6" w:rsidRDefault="000B173B" w:rsidP="00A15226">
            <w:pPr>
              <w:pStyle w:val="TableHeadingLarge"/>
            </w:pPr>
            <w:r w:rsidRPr="000816D6">
              <w:rPr>
                <w:rFonts w:ascii="Helvetica" w:hAnsi="Helvetica"/>
              </w:rPr>
              <w:lastRenderedPageBreak/>
              <w:t>POTENTIAL INDIRECT IMPACTS AND MITIGATION</w:t>
            </w:r>
          </w:p>
        </w:tc>
      </w:tr>
    </w:tbl>
    <w:p w14:paraId="536D29F6"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1DEFA49A"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0D8A6072"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10A2A73F"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4AF6C758" w14:textId="77777777" w:rsidR="000B173B" w:rsidRPr="007C1D70" w:rsidRDefault="000B173B" w:rsidP="000B173B">
      <w:pPr>
        <w:rPr>
          <w:i/>
          <w:color w:val="4472C4" w:themeColor="accent1"/>
        </w:rPr>
      </w:pPr>
      <w:r w:rsidRPr="007C1D70">
        <w:rPr>
          <w:i/>
          <w:color w:val="4472C4" w:themeColor="accent1"/>
        </w:rPr>
        <w:t xml:space="preserve">Please refer to </w:t>
      </w:r>
      <w:r w:rsidRPr="006900FB">
        <w:rPr>
          <w:i/>
          <w:color w:val="4472C4" w:themeColor="accent1"/>
        </w:rPr>
        <w:t>Chapter 19</w:t>
      </w:r>
      <w:r w:rsidRPr="009C78F5">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9C78F5">
        <w:rPr>
          <w:i/>
          <w:color w:val="4472C4" w:themeColor="accent1"/>
        </w:rPr>
        <w:t xml:space="preserve"> for a detailed</w:t>
      </w:r>
      <w:r w:rsidRPr="007C1D70">
        <w:rPr>
          <w:i/>
          <w:color w:val="4472C4" w:themeColor="accent1"/>
        </w:rPr>
        <w:t xml:space="preserve"> discussion and analysis of indirect impacts and mitigation measures included in the Plan. </w:t>
      </w:r>
    </w:p>
    <w:p w14:paraId="784A624B" w14:textId="77777777" w:rsidR="000B173B" w:rsidRDefault="000B173B" w:rsidP="000B173B">
      <w:pPr>
        <w:pStyle w:val="Heading3"/>
        <w:numPr>
          <w:ilvl w:val="0"/>
          <w:numId w:val="0"/>
        </w:numPr>
        <w:ind w:left="720" w:hanging="720"/>
      </w:pPr>
      <w:r w:rsidRPr="00FB680C">
        <w:t>R</w:t>
      </w:r>
      <w:r>
        <w:t>elevant potential indirect impacts</w:t>
      </w:r>
    </w:p>
    <w:p w14:paraId="58A9C397" w14:textId="77777777" w:rsidR="000B173B" w:rsidRDefault="000B173B" w:rsidP="000B173B">
      <w:r w:rsidRPr="00202D4E">
        <w:t>The Conservation Advice for the</w:t>
      </w:r>
      <w:r>
        <w:t xml:space="preserve"> Curlew Sandpiper</w:t>
      </w:r>
      <w:r w:rsidRPr="002B70F0">
        <w:t xml:space="preserve"> identifies a range of threats to the species</w:t>
      </w:r>
      <w:r>
        <w:t xml:space="preserve"> within Australia </w:t>
      </w:r>
      <w:sdt>
        <w:sdtPr>
          <w:rPr>
            <w:color w:val="000000"/>
          </w:rPr>
          <w:tag w:val="MENDELEY_CITATION_v3_eyJjaXRhdGlvbklEIjoiTUVOREVMRVlfQ0lUQVRJT05fMWEyNDI3YzgtYTZkZC00ZjQxLTk0ZDItMjcxMDhhYmFiMjMy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1432398089"/>
          <w:placeholder>
            <w:docPart w:val="7A87483195E49548AABB39FF484A13FE"/>
          </w:placeholder>
        </w:sdtPr>
        <w:sdtContent>
          <w:r w:rsidRPr="002F46CE">
            <w:rPr>
              <w:color w:val="000000"/>
            </w:rPr>
            <w:t>(TSSC, 2015a)</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03C16AB9" w14:textId="77777777" w:rsidR="000B173B" w:rsidRDefault="000B173B" w:rsidP="000B173B">
      <w:r>
        <w:t>The following potential indirect impacts (identified as threats) are considered relevant to implementation of the Plan:</w:t>
      </w:r>
    </w:p>
    <w:p w14:paraId="2E280024" w14:textId="77777777" w:rsidR="000B173B" w:rsidRPr="00202D4E" w:rsidRDefault="000B173B" w:rsidP="000B173B">
      <w:pPr>
        <w:pStyle w:val="Bullet1"/>
      </w:pPr>
      <w:r w:rsidRPr="00202D4E">
        <w:t>Ongoing human disturbance</w:t>
      </w:r>
    </w:p>
    <w:p w14:paraId="4F9A431D" w14:textId="77777777" w:rsidR="000B173B" w:rsidRPr="00202D4E" w:rsidRDefault="000B173B" w:rsidP="000B173B">
      <w:pPr>
        <w:pStyle w:val="Bullet1"/>
      </w:pPr>
      <w:r w:rsidRPr="00202D4E">
        <w:t>Habitat degradation from pollution</w:t>
      </w:r>
      <w:r>
        <w:t xml:space="preserve"> and c</w:t>
      </w:r>
      <w:r w:rsidRPr="00202D4E">
        <w:t>hanges to the water regime</w:t>
      </w:r>
    </w:p>
    <w:p w14:paraId="6C0D87CC" w14:textId="77777777" w:rsidR="000B173B" w:rsidRDefault="000B173B" w:rsidP="000B173B">
      <w:r>
        <w:t>Invasive plants are also</w:t>
      </w:r>
      <w:r w:rsidRPr="003A2AF0">
        <w:t xml:space="preserve"> identified in the Conservation Advice</w:t>
      </w:r>
      <w:r>
        <w:t xml:space="preserve"> as a threat to the species</w:t>
      </w:r>
      <w:r w:rsidRPr="003A2AF0">
        <w:t xml:space="preserve">. However, potential indirect impacts associated with </w:t>
      </w:r>
      <w:r>
        <w:t>this threat</w:t>
      </w:r>
      <w:r w:rsidRPr="003A2AF0">
        <w:t xml:space="preserve"> </w:t>
      </w:r>
      <w:r>
        <w:t>are</w:t>
      </w:r>
      <w:r w:rsidRPr="003A2AF0">
        <w:t xml:space="preserve"> considered unlikely given the landscape context of the site and the ecology of the species. Refer </w:t>
      </w:r>
      <w:r w:rsidRPr="009C78F5">
        <w:t xml:space="preserve">to </w:t>
      </w:r>
      <w:r w:rsidRPr="006900FB">
        <w:t>Section 17.2 of Chapter 17</w:t>
      </w:r>
      <w:r w:rsidRPr="009C78F5">
        <w:t xml:space="preserve"> for</w:t>
      </w:r>
      <w:r>
        <w:t xml:space="preserve"> a detailed assessment of potential indirect impacts associated with the implementation of the Plan.</w:t>
      </w:r>
      <w:r w:rsidRPr="00CC2A00" w:rsidDel="00727335">
        <w:rPr>
          <w:highlight w:val="yellow"/>
        </w:rPr>
        <w:t xml:space="preserve"> </w:t>
      </w:r>
    </w:p>
    <w:p w14:paraId="5E1F9C43" w14:textId="77777777" w:rsidR="000B173B" w:rsidRDefault="000B173B" w:rsidP="000B173B">
      <w:pPr>
        <w:pStyle w:val="Heading4"/>
      </w:pPr>
      <w:r>
        <w:t>Ongoing human disturbance</w:t>
      </w:r>
    </w:p>
    <w:p w14:paraId="7DBA999E" w14:textId="77777777" w:rsidR="000B173B" w:rsidRDefault="000B173B" w:rsidP="000B173B">
      <w:r>
        <w:t xml:space="preserve">Within the species’ range in Australia, some populations occur within highly populated areas which are vulnerable to disturbance. Disturbance can be caused by recreational activities, such as from vehicle traffic, dog walking and horse riding on beaches. It is necessary to maintain undisturbed feeding and roosting habitat along the south-east and north-west coasts of Australia used for migration for the species to survive at current population levels </w:t>
      </w:r>
      <w:sdt>
        <w:sdtPr>
          <w:rPr>
            <w:color w:val="000000"/>
          </w:rPr>
          <w:tag w:val="MENDELEY_CITATION_v3_eyJjaXRhdGlvbklEIjoiTUVOREVMRVlfQ0lUQVRJT05fYWNjYWRmYjQtYzViMS00MGNlLWJjNDYtYjkxZTg4MjNkZmQ1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445472516"/>
          <w:placeholder>
            <w:docPart w:val="7A87483195E49548AABB39FF484A13FE"/>
          </w:placeholder>
        </w:sdtPr>
        <w:sdtContent>
          <w:r w:rsidRPr="002F46CE">
            <w:rPr>
              <w:color w:val="000000"/>
            </w:rPr>
            <w:t>(TSSC, 2015a)</w:t>
          </w:r>
        </w:sdtContent>
      </w:sdt>
      <w:r>
        <w:t>.</w:t>
      </w:r>
    </w:p>
    <w:p w14:paraId="7AA43616" w14:textId="77777777" w:rsidR="000B173B" w:rsidRPr="00202D4E" w:rsidRDefault="000B173B" w:rsidP="000B173B">
      <w:pPr>
        <w:pStyle w:val="Heading4"/>
      </w:pPr>
      <w:r>
        <w:t>Habitat degradation from pollution and changes to the water regime</w:t>
      </w:r>
    </w:p>
    <w:p w14:paraId="08BBD538" w14:textId="77777777" w:rsidR="000B173B" w:rsidRDefault="000B173B" w:rsidP="000B173B">
      <w:r>
        <w:t xml:space="preserve">Habitat degradation from pollution poses a threat to the Curlew Sandpiper. It is possible that pollution around settled areas may reduce food availability for the species </w:t>
      </w:r>
      <w:sdt>
        <w:sdtPr>
          <w:rPr>
            <w:color w:val="000000"/>
          </w:rPr>
          <w:tag w:val="MENDELEY_CITATION_v3_eyJjaXRhdGlvbklEIjoiTUVOREVMRVlfQ0lUQVRJT05fNDJmZDJiZTctZDVkYi00ZTRiLTk4YjAtYzhjN2Q3NzRjNzEx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1453899914"/>
          <w:placeholder>
            <w:docPart w:val="7A87483195E49548AABB39FF484A13FE"/>
          </w:placeholder>
        </w:sdtPr>
        <w:sdtContent>
          <w:r w:rsidRPr="002F46CE">
            <w:rPr>
              <w:color w:val="000000"/>
            </w:rPr>
            <w:t>(TSSC, 2015a)</w:t>
          </w:r>
        </w:sdtContent>
      </w:sdt>
      <w:r>
        <w:t>.</w:t>
      </w:r>
    </w:p>
    <w:p w14:paraId="28EF7620" w14:textId="77777777" w:rsidR="000B173B" w:rsidRDefault="000B173B" w:rsidP="000B173B">
      <w:r>
        <w:t xml:space="preserve">Changes to water regimes pose a threat to the Curlew Sandpiper. For example, stabilisation of water levels which otherwise naturally fluctuate can result in the loss of feeding habitat </w:t>
      </w:r>
      <w:sdt>
        <w:sdtPr>
          <w:rPr>
            <w:color w:val="000000"/>
          </w:rPr>
          <w:tag w:val="MENDELEY_CITATION_v3_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"/>
          <w:id w:val="-2007977809"/>
          <w:placeholder>
            <w:docPart w:val="7A87483195E49548AABB39FF484A13FE"/>
          </w:placeholder>
        </w:sdtPr>
        <w:sdtContent>
          <w:r w:rsidRPr="002F46CE">
            <w:rPr>
              <w:color w:val="000000"/>
            </w:rPr>
            <w:t>(TSSC, 2015a)</w:t>
          </w:r>
        </w:sdtContent>
      </w:sdt>
      <w:r>
        <w:t>.</w:t>
      </w:r>
    </w:p>
    <w:p w14:paraId="0593669F"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2F996067" w14:textId="77777777" w:rsidTr="00A15226">
        <w:tc>
          <w:tcPr>
            <w:tcW w:w="9622" w:type="dxa"/>
            <w:shd w:val="clear" w:color="auto" w:fill="C9C9C9" w:themeFill="accent3" w:themeFillTint="99"/>
          </w:tcPr>
          <w:p w14:paraId="02D48FB2"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2A1426DD"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d</w:t>
      </w:r>
      <w:r w:rsidRPr="00023A84">
        <w:rPr>
          <w:i/>
          <w:color w:val="4472C4" w:themeColor="accent1"/>
        </w:rPr>
        <w:t xml:space="preserve">etail in </w:t>
      </w:r>
      <w:r w:rsidRPr="006900FB">
        <w:rPr>
          <w:i/>
          <w:color w:val="4472C4" w:themeColor="accent1"/>
        </w:rPr>
        <w:t>Section 17.3</w:t>
      </w:r>
      <w:r w:rsidRPr="00023A84">
        <w:rPr>
          <w:i/>
          <w:color w:val="4472C4" w:themeColor="accent1"/>
        </w:rPr>
        <w:t xml:space="preserve"> of </w:t>
      </w:r>
      <w:r w:rsidRPr="006900FB">
        <w:rPr>
          <w:i/>
          <w:color w:val="4472C4" w:themeColor="accent1"/>
        </w:rPr>
        <w:t>Chapter 17.</w:t>
      </w:r>
    </w:p>
    <w:p w14:paraId="6223B5CA" w14:textId="77777777" w:rsidR="000B173B" w:rsidRPr="000816D6" w:rsidRDefault="000B173B" w:rsidP="000B173B">
      <w:pPr>
        <w:pStyle w:val="Heading3"/>
        <w:numPr>
          <w:ilvl w:val="0"/>
          <w:numId w:val="0"/>
        </w:numPr>
        <w:ind w:left="720" w:hanging="720"/>
      </w:pPr>
      <w:r w:rsidRPr="000816D6">
        <w:t>C</w:t>
      </w:r>
      <w:r>
        <w:t>onsistency with recovery plan</w:t>
      </w:r>
    </w:p>
    <w:p w14:paraId="0F01E77E" w14:textId="77777777" w:rsidR="000B173B" w:rsidRDefault="000B173B" w:rsidP="000B173B">
      <w:r>
        <w:t>There is no adopted or made Recovery Plan for this species.</w:t>
      </w:r>
    </w:p>
    <w:p w14:paraId="571A8FD5" w14:textId="77777777" w:rsidR="000B173B" w:rsidRPr="000816D6" w:rsidRDefault="000B173B" w:rsidP="000B173B">
      <w:pPr>
        <w:pStyle w:val="Heading3"/>
        <w:numPr>
          <w:ilvl w:val="0"/>
          <w:numId w:val="0"/>
        </w:numPr>
        <w:ind w:left="720" w:hanging="720"/>
      </w:pPr>
      <w:r w:rsidRPr="000816D6">
        <w:lastRenderedPageBreak/>
        <w:t>K</w:t>
      </w:r>
      <w:r>
        <w:t>ey threatening processes and consistency with Threat Abatement Plans</w:t>
      </w:r>
    </w:p>
    <w:p w14:paraId="310CCE06" w14:textId="77777777" w:rsidR="000B173B" w:rsidRDefault="000B173B" w:rsidP="000B173B">
      <w:pPr>
        <w:keepNext/>
        <w:keepLines/>
      </w:pPr>
      <w:r>
        <w:t xml:space="preserve">Relevant Key Threatening Processes (KTPs) and any of their associated Threat Abatement Plans (TAPs) have been identified in </w:t>
      </w:r>
      <w:r>
        <w:fldChar w:fldCharType="begin"/>
      </w:r>
      <w:r>
        <w:instrText xml:space="preserve"> REF _Ref106868603 \h </w:instrText>
      </w:r>
      <w:r>
        <w:fldChar w:fldCharType="separate"/>
      </w:r>
      <w:r>
        <w:t xml:space="preserve">Table </w:t>
      </w:r>
      <w:r>
        <w:rPr>
          <w:noProof/>
        </w:rPr>
        <w:t>B</w:t>
      </w:r>
      <w:r>
        <w:noBreakHyphen/>
      </w:r>
      <w:r>
        <w:rPr>
          <w:noProof/>
        </w:rPr>
        <w:t>4</w:t>
      </w:r>
      <w:r>
        <w:fldChar w:fldCharType="end"/>
      </w:r>
      <w:r>
        <w:t xml:space="preserve"> where they relate to:</w:t>
      </w:r>
    </w:p>
    <w:p w14:paraId="53488862" w14:textId="77777777" w:rsidR="000B173B" w:rsidRDefault="000B173B" w:rsidP="000B173B">
      <w:pPr>
        <w:pStyle w:val="Bullet1"/>
      </w:pPr>
      <w:r>
        <w:t>The potential direct impacts of the Plan, or</w:t>
      </w:r>
    </w:p>
    <w:p w14:paraId="20A4E707" w14:textId="77777777" w:rsidR="000B173B" w:rsidRDefault="000B173B" w:rsidP="000B173B">
      <w:pPr>
        <w:pStyle w:val="Bullet1"/>
      </w:pPr>
      <w:r>
        <w:t>The relevant indirect impacts</w:t>
      </w:r>
    </w:p>
    <w:p w14:paraId="713FBFB2" w14:textId="77777777" w:rsidR="000B173B" w:rsidRDefault="000B173B" w:rsidP="000B173B">
      <w:pPr>
        <w:pStyle w:val="Caption"/>
        <w:keepNext/>
      </w:pPr>
      <w:bookmarkStart w:id="260" w:name="_Ref106868603"/>
      <w:bookmarkStart w:id="261" w:name="_Toc134697921"/>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4</w:t>
      </w:r>
      <w:r>
        <w:fldChar w:fldCharType="end"/>
      </w:r>
      <w:bookmarkEnd w:id="260"/>
      <w:r>
        <w:t xml:space="preserve">: </w:t>
      </w:r>
      <w:r w:rsidRPr="005F676F">
        <w:t xml:space="preserve">Relevant Key Threatening Processes and associated Threat Abatement Plans for </w:t>
      </w:r>
      <w:r>
        <w:t>the Curlew Sandpiper</w:t>
      </w:r>
      <w:bookmarkEnd w:id="261"/>
    </w:p>
    <w:tbl>
      <w:tblPr>
        <w:tblStyle w:val="TableGrid"/>
        <w:tblW w:w="0" w:type="auto"/>
        <w:tblLook w:val="04A0" w:firstRow="1" w:lastRow="0" w:firstColumn="1" w:lastColumn="0" w:noHBand="0" w:noVBand="1"/>
      </w:tblPr>
      <w:tblGrid>
        <w:gridCol w:w="4811"/>
        <w:gridCol w:w="4811"/>
      </w:tblGrid>
      <w:tr w:rsidR="000B173B" w14:paraId="096CF2AA" w14:textId="77777777" w:rsidTr="00A15226">
        <w:trPr>
          <w:tblHeader/>
        </w:trPr>
        <w:tc>
          <w:tcPr>
            <w:tcW w:w="4811" w:type="dxa"/>
            <w:shd w:val="clear" w:color="auto" w:fill="DBDBDB" w:themeFill="accent3" w:themeFillTint="66"/>
          </w:tcPr>
          <w:p w14:paraId="35AA0CCC"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57B9AE9F" w14:textId="77777777" w:rsidR="000B173B" w:rsidRPr="00FF1996" w:rsidRDefault="000B173B" w:rsidP="00A15226">
            <w:pPr>
              <w:pStyle w:val="Tabletext"/>
              <w:rPr>
                <w:b/>
                <w:bCs/>
              </w:rPr>
            </w:pPr>
            <w:r w:rsidRPr="00FF1996">
              <w:rPr>
                <w:b/>
                <w:bCs/>
              </w:rPr>
              <w:t>Threat abatement plan</w:t>
            </w:r>
          </w:p>
        </w:tc>
      </w:tr>
      <w:tr w:rsidR="000B173B" w14:paraId="7DF6F65C" w14:textId="77777777" w:rsidTr="00A15226">
        <w:tc>
          <w:tcPr>
            <w:tcW w:w="4811" w:type="dxa"/>
            <w:vAlign w:val="center"/>
          </w:tcPr>
          <w:p w14:paraId="33A622A0" w14:textId="77777777" w:rsidR="000B173B" w:rsidRDefault="000B173B" w:rsidP="00A15226">
            <w:pPr>
              <w:pStyle w:val="Tabletext"/>
            </w:pPr>
            <w:r>
              <w:t>Land clearance</w:t>
            </w:r>
          </w:p>
        </w:tc>
        <w:tc>
          <w:tcPr>
            <w:tcW w:w="4811" w:type="dxa"/>
          </w:tcPr>
          <w:p w14:paraId="078B16D1" w14:textId="77777777" w:rsidR="000B173B" w:rsidRDefault="000B173B" w:rsidP="00A15226">
            <w:pPr>
              <w:pStyle w:val="Tabletext"/>
            </w:pPr>
            <w:r>
              <w:t>There is no relevant TAP</w:t>
            </w:r>
          </w:p>
        </w:tc>
      </w:tr>
      <w:tr w:rsidR="000B173B" w14:paraId="2AAF4155" w14:textId="77777777" w:rsidTr="00A15226">
        <w:tc>
          <w:tcPr>
            <w:tcW w:w="4811" w:type="dxa"/>
          </w:tcPr>
          <w:p w14:paraId="06562E99" w14:textId="77777777" w:rsidR="000B173B" w:rsidRDefault="000B173B" w:rsidP="00A15226">
            <w:pPr>
              <w:pStyle w:val="Tabletext"/>
            </w:pPr>
            <w:r w:rsidRPr="003919C8">
              <w:t>Loss and degradation of native plant and animal habitat by invasion of escaped garden plants</w:t>
            </w:r>
          </w:p>
        </w:tc>
        <w:tc>
          <w:tcPr>
            <w:tcW w:w="4811" w:type="dxa"/>
          </w:tcPr>
          <w:p w14:paraId="33464AC5" w14:textId="77777777" w:rsidR="000B173B" w:rsidRDefault="000B173B" w:rsidP="00A15226">
            <w:pPr>
              <w:pStyle w:val="Tabletext"/>
            </w:pPr>
            <w:r>
              <w:t>There is no relevant TAP</w:t>
            </w:r>
          </w:p>
        </w:tc>
      </w:tr>
      <w:tr w:rsidR="000B173B" w14:paraId="5C1E726D" w14:textId="77777777" w:rsidTr="00A15226">
        <w:tc>
          <w:tcPr>
            <w:tcW w:w="4811" w:type="dxa"/>
          </w:tcPr>
          <w:p w14:paraId="206A2496" w14:textId="77777777" w:rsidR="000B173B" w:rsidRPr="003919C8" w:rsidRDefault="000B173B" w:rsidP="00A15226">
            <w:pPr>
              <w:pStyle w:val="Tabletext"/>
            </w:pPr>
            <w:r>
              <w:t>Novel biota and their impact on biodiversity</w:t>
            </w:r>
          </w:p>
        </w:tc>
        <w:tc>
          <w:tcPr>
            <w:tcW w:w="4811" w:type="dxa"/>
          </w:tcPr>
          <w:p w14:paraId="230A45A4" w14:textId="77777777" w:rsidR="000B173B" w:rsidRDefault="000B173B" w:rsidP="00A15226">
            <w:pPr>
              <w:pStyle w:val="Tabletext"/>
            </w:pPr>
            <w:r>
              <w:t>There is no relevant TAP</w:t>
            </w:r>
          </w:p>
        </w:tc>
      </w:tr>
    </w:tbl>
    <w:p w14:paraId="1718B53D" w14:textId="77777777" w:rsidR="000B173B" w:rsidRDefault="000B173B" w:rsidP="000B173B"/>
    <w:p w14:paraId="29ED9F62" w14:textId="77777777" w:rsidR="000B173B" w:rsidRDefault="000B173B" w:rsidP="000B173B">
      <w:r>
        <w:br w:type="page"/>
      </w:r>
    </w:p>
    <w:p w14:paraId="1C082B40" w14:textId="77777777" w:rsidR="000B173B" w:rsidRPr="00297975" w:rsidRDefault="000B173B" w:rsidP="000B173B">
      <w:pPr>
        <w:pStyle w:val="Heading2"/>
        <w:numPr>
          <w:ilvl w:val="0"/>
          <w:numId w:val="0"/>
        </w:numPr>
        <w:ind w:left="576" w:hanging="576"/>
      </w:pPr>
      <w:bookmarkStart w:id="262" w:name="_Toc131154206"/>
      <w:bookmarkStart w:id="263" w:name="_Toc131154393"/>
      <w:r>
        <w:lastRenderedPageBreak/>
        <w:t xml:space="preserve">Eastern Curlew </w:t>
      </w:r>
      <w:r>
        <w:rPr>
          <w:i/>
          <w:iCs/>
        </w:rPr>
        <w:t>(Numenius madagascariensis)</w:t>
      </w:r>
      <w:bookmarkEnd w:id="262"/>
      <w:bookmarkEnd w:id="263"/>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623DC108" w14:textId="77777777" w:rsidTr="00A15226">
        <w:trPr>
          <w:tblHeader/>
        </w:trPr>
        <w:tc>
          <w:tcPr>
            <w:tcW w:w="9747" w:type="dxa"/>
            <w:shd w:val="clear" w:color="auto" w:fill="D9D9D9" w:themeFill="background1" w:themeFillShade="D9"/>
            <w:vAlign w:val="center"/>
          </w:tcPr>
          <w:p w14:paraId="006FF605"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762337FB"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0A776DA8" w14:textId="77777777" w:rsidTr="00A15226">
        <w:tc>
          <w:tcPr>
            <w:tcW w:w="1526" w:type="dxa"/>
            <w:vAlign w:val="center"/>
          </w:tcPr>
          <w:p w14:paraId="402788F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47BDBA5A" w14:textId="77777777" w:rsidR="000B173B" w:rsidRDefault="000B173B" w:rsidP="00A15226">
            <w:pPr>
              <w:pStyle w:val="Tabletext"/>
            </w:pPr>
            <w:r>
              <w:t>Critically Endangered, Migratory</w:t>
            </w:r>
          </w:p>
          <w:p w14:paraId="54A2F3FF" w14:textId="77777777" w:rsidR="000B173B" w:rsidRPr="003E1ADD" w:rsidRDefault="000B173B" w:rsidP="00A15226">
            <w:pPr>
              <w:pStyle w:val="Tabletext"/>
            </w:pPr>
            <w:r>
              <w:t xml:space="preserve">Note that the Eastern Curlew </w:t>
            </w:r>
            <w:r w:rsidRPr="00C00E39">
              <w:t xml:space="preserve">is currently on the Finalised Priority Assessment List (FPAL) and is proposed to have its listing </w:t>
            </w:r>
            <w:r>
              <w:t>down</w:t>
            </w:r>
            <w:r w:rsidRPr="00C00E39">
              <w:t xml:space="preserve">graded to </w:t>
            </w:r>
            <w:r>
              <w:t xml:space="preserve">Endangered </w:t>
            </w:r>
            <w:sdt>
              <w:sdtPr>
                <w:rPr>
                  <w:color w:val="000000"/>
                </w:rPr>
                <w:tag w:val="MENDELEY_CITATION_v3_eyJjaXRhdGlvbklEIjoiTUVOREVMRVlfQ0lUQVRJT05fOTRmMWM5ODMtMTcyNS00ZWVmLWIyNmYtZjVmOGY3MjQzNmU1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139459328"/>
                <w:placeholder>
                  <w:docPart w:val="7A87483195E49548AABB39FF484A13FE"/>
                </w:placeholder>
              </w:sdtPr>
              <w:sdtContent>
                <w:r w:rsidRPr="002F46CE">
                  <w:rPr>
                    <w:color w:val="000000"/>
                  </w:rPr>
                  <w:t>(DAWE, 2021f)</w:t>
                </w:r>
              </w:sdtContent>
            </w:sdt>
            <w:r>
              <w:t xml:space="preserve">. A decision is due by 30 October 2023 </w:t>
            </w:r>
            <w:sdt>
              <w:sdtPr>
                <w:rPr>
                  <w:color w:val="000000"/>
                </w:rPr>
                <w:tag w:val="MENDELEY_CITATION_v3_eyJjaXRhdGlvbklEIjoiTUVOREVMRVlfQ0lUQVRJT05fMzRjZTNjZTctZGJjOS00MjM3LWJmZTktNTMyYjJkODJmODAw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340354098"/>
                <w:placeholder>
                  <w:docPart w:val="7A87483195E49548AABB39FF484A13FE"/>
                </w:placeholder>
              </w:sdtPr>
              <w:sdtContent>
                <w:r w:rsidRPr="002F46CE">
                  <w:rPr>
                    <w:color w:val="000000"/>
                  </w:rPr>
                  <w:t>(DAWE, 2021f)</w:t>
                </w:r>
              </w:sdtContent>
            </w:sdt>
            <w:r>
              <w:t>.</w:t>
            </w:r>
          </w:p>
        </w:tc>
      </w:tr>
      <w:tr w:rsidR="000B173B" w:rsidRPr="000816D6" w14:paraId="68A3FD00" w14:textId="77777777" w:rsidTr="00A15226">
        <w:tc>
          <w:tcPr>
            <w:tcW w:w="1526" w:type="dxa"/>
            <w:vAlign w:val="center"/>
          </w:tcPr>
          <w:p w14:paraId="22B68EB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508DBD4C" w14:textId="77777777" w:rsidR="000B173B" w:rsidRPr="00A34381" w:rsidRDefault="000B173B" w:rsidP="00A15226">
            <w:pPr>
              <w:pStyle w:val="Tabletext"/>
            </w:pPr>
            <w:r w:rsidRPr="00A34381">
              <w:rPr>
                <w:i/>
                <w:iCs/>
              </w:rPr>
              <w:t>Numenius madagascariensis</w:t>
            </w:r>
            <w:r w:rsidRPr="00A34381">
              <w:t xml:space="preserve"> (Eastern Curlew) is the largest migratory shorebird in the world. It has a long neck and legs, and a very long downcurved bill </w:t>
            </w:r>
            <w:sdt>
              <w:sdtPr>
                <w:rPr>
                  <w:color w:val="000000"/>
                </w:rPr>
                <w:tag w:val="MENDELEY_CITATION_v3_eyJjaXRhdGlvbklEIjoiTUVOREVMRVlfQ0lUQVRJT05fZDk1NjZmNWEtMmVhMS00OTQ2LWFmZGUtZTY4ZWM0YzkxOWRi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559821190"/>
                <w:placeholder>
                  <w:docPart w:val="7A87483195E49548AABB39FF484A13FE"/>
                </w:placeholder>
              </w:sdtPr>
              <w:sdtContent>
                <w:r w:rsidRPr="002F46CE">
                  <w:rPr>
                    <w:color w:val="000000"/>
                  </w:rPr>
                  <w:t>(DoE, 2015f)</w:t>
                </w:r>
              </w:sdtContent>
            </w:sdt>
            <w:r w:rsidRPr="00A34381">
              <w:t>.</w:t>
            </w:r>
          </w:p>
        </w:tc>
      </w:tr>
      <w:tr w:rsidR="000B173B" w:rsidRPr="000816D6" w14:paraId="1AD8F1A8" w14:textId="77777777" w:rsidTr="00A15226">
        <w:tc>
          <w:tcPr>
            <w:tcW w:w="1526" w:type="dxa"/>
            <w:vAlign w:val="center"/>
          </w:tcPr>
          <w:p w14:paraId="762DD485"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573EE541" w14:textId="77777777" w:rsidR="000B173B" w:rsidRDefault="000B173B" w:rsidP="00A15226">
            <w:pPr>
              <w:pStyle w:val="Tabletext"/>
              <w:rPr>
                <w:szCs w:val="18"/>
              </w:rPr>
            </w:pPr>
            <w:r w:rsidRPr="00A34381">
              <w:rPr>
                <w:szCs w:val="18"/>
              </w:rPr>
              <w:t xml:space="preserve">The species breeds in Russia, Mongolia, and north-eastern China. It is thought that approximately 73 per cent of the population migrates to Australia in the non-breeding season. Individuals arrive in Australia as early as July, with the majority of birds arriving in mid-to-late August. Migration north typically starts in late February and continues until March or April. Immature individuals may spend as many as three austral winters in Australia before returning to the Northern Hemisphere to breed </w:t>
            </w:r>
            <w:sdt>
              <w:sdtPr>
                <w:rPr>
                  <w:color w:val="000000"/>
                  <w:szCs w:val="18"/>
                </w:rPr>
                <w:tag w:val="MENDELEY_CITATION_v3_eyJjaXRhdGlvbklEIjoiTUVOREVMRVlfQ0lUQVRJT05fNTgzOGE3MmEtMmZhYi00NWRiLTk1ZTYtMmI2NTE2OWQ5ZWQ1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922872567"/>
                <w:placeholder>
                  <w:docPart w:val="7A87483195E49548AABB39FF484A13FE"/>
                </w:placeholder>
              </w:sdtPr>
              <w:sdtEndPr>
                <w:rPr>
                  <w:szCs w:val="20"/>
                </w:rPr>
              </w:sdtEndPr>
              <w:sdtContent>
                <w:r w:rsidRPr="002F46CE">
                  <w:rPr>
                    <w:color w:val="000000"/>
                  </w:rPr>
                  <w:t>(DoE, 2015f)</w:t>
                </w:r>
              </w:sdtContent>
            </w:sdt>
            <w:r w:rsidRPr="00A34381">
              <w:rPr>
                <w:szCs w:val="18"/>
              </w:rPr>
              <w:t xml:space="preserve">. </w:t>
            </w:r>
          </w:p>
          <w:p w14:paraId="22EDE0E2" w14:textId="77777777" w:rsidR="000B173B" w:rsidRPr="00A34381" w:rsidRDefault="000B173B" w:rsidP="00A15226">
            <w:pPr>
              <w:pStyle w:val="Tabletext"/>
              <w:rPr>
                <w:szCs w:val="18"/>
              </w:rPr>
            </w:pPr>
            <w:r>
              <w:rPr>
                <w:szCs w:val="18"/>
              </w:rPr>
              <w:t xml:space="preserve">In Australia, the species feeds on crustaceans, small molluscs and insects. The species is extremely wary and will take flight at the first sign of danger, long before other shorebirds become nervous </w:t>
            </w:r>
            <w:sdt>
              <w:sdtPr>
                <w:rPr>
                  <w:color w:val="000000"/>
                  <w:szCs w:val="18"/>
                </w:rPr>
                <w:tag w:val="MENDELEY_CITATION_v3_eyJjaXRhdGlvbklEIjoiTUVOREVMRVlfQ0lUQVRJT05fOTE0NzZkNDAtMDUxOS00N2I5LTgzNTEtOTRlMGEzOWJjOGU2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119224434"/>
                <w:placeholder>
                  <w:docPart w:val="7A87483195E49548AABB39FF484A13FE"/>
                </w:placeholder>
              </w:sdtPr>
              <w:sdtEndPr>
                <w:rPr>
                  <w:szCs w:val="20"/>
                </w:rPr>
              </w:sdtEndPr>
              <w:sdtContent>
                <w:r w:rsidRPr="002F46CE">
                  <w:rPr>
                    <w:color w:val="000000"/>
                  </w:rPr>
                  <w:t>(DoE, 2015f)</w:t>
                </w:r>
              </w:sdtContent>
            </w:sdt>
            <w:r w:rsidRPr="00A34381">
              <w:rPr>
                <w:szCs w:val="18"/>
              </w:rPr>
              <w:t>.</w:t>
            </w:r>
          </w:p>
        </w:tc>
      </w:tr>
      <w:tr w:rsidR="000B173B" w:rsidRPr="000816D6" w14:paraId="5D207860" w14:textId="77777777" w:rsidTr="00A15226">
        <w:tc>
          <w:tcPr>
            <w:tcW w:w="1526" w:type="dxa"/>
            <w:vAlign w:val="center"/>
          </w:tcPr>
          <w:p w14:paraId="0FBB6C50"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2436E7F8" w14:textId="77777777" w:rsidR="000B173B" w:rsidRPr="00FE2605" w:rsidRDefault="000B173B" w:rsidP="00A15226">
            <w:pPr>
              <w:pStyle w:val="Tabletext"/>
            </w:pPr>
            <w:r w:rsidRPr="00A34381">
              <w:rPr>
                <w:szCs w:val="18"/>
              </w:rPr>
              <w:t>In Australia, the species</w:t>
            </w:r>
            <w:r>
              <w:rPr>
                <w:szCs w:val="18"/>
              </w:rPr>
              <w:t xml:space="preserve"> </w:t>
            </w:r>
            <w:r>
              <w:t>i</w:t>
            </w:r>
            <w:r w:rsidRPr="00A34381">
              <w:t>s typically distributed across coastal areas and is rarely found inland</w:t>
            </w:r>
            <w:r>
              <w:t xml:space="preserve">. The species is found in all states and territories. In Victoria, the main strongholds for the species are Corner Inlet and Western Port Bay. Smaller populations occur at Port Phillip Bay and in other scattered coastal localities </w:t>
            </w:r>
            <w:sdt>
              <w:sdtPr>
                <w:rPr>
                  <w:color w:val="000000"/>
                </w:rPr>
                <w:tag w:val="MENDELEY_CITATION_v3_eyJjaXRhdGlvbklEIjoiTUVOREVMRVlfQ0lUQVRJT05fNTBlMTY2YTUtOGJlNy00YmQ5LThlYWEtZjE0M2RiOWFmNGRj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48414719"/>
                <w:placeholder>
                  <w:docPart w:val="7A87483195E49548AABB39FF484A13FE"/>
                </w:placeholder>
              </w:sdtPr>
              <w:sdtContent>
                <w:r w:rsidRPr="002F46CE">
                  <w:rPr>
                    <w:color w:val="000000"/>
                  </w:rPr>
                  <w:t>(DoE, 2015f)</w:t>
                </w:r>
              </w:sdtContent>
            </w:sdt>
            <w:r w:rsidRPr="00A34381">
              <w:rPr>
                <w:szCs w:val="18"/>
              </w:rPr>
              <w:t>.</w:t>
            </w:r>
          </w:p>
          <w:p w14:paraId="696DE3B1" w14:textId="77777777" w:rsidR="000B173B" w:rsidRPr="00A34381" w:rsidRDefault="000B173B" w:rsidP="00A15226">
            <w:pPr>
              <w:pStyle w:val="Tabletext"/>
              <w:rPr>
                <w:szCs w:val="18"/>
              </w:rPr>
            </w:pPr>
            <w:r>
              <w:rPr>
                <w:szCs w:val="18"/>
              </w:rPr>
              <w:t>The species:</w:t>
            </w:r>
          </w:p>
          <w:p w14:paraId="37C4EBE5" w14:textId="77777777" w:rsidR="000B173B" w:rsidRPr="00A34381" w:rsidRDefault="000B173B" w:rsidP="00A15226">
            <w:pPr>
              <w:pStyle w:val="Bullet1"/>
            </w:pPr>
            <w:r w:rsidRPr="00A34381">
              <w:t>Typically forages in sheltered intertidal sandflats or mudflats that are either open or vegetated with seagrass, or near mangroves, salt flats, or saltmarshes</w:t>
            </w:r>
          </w:p>
          <w:p w14:paraId="189A8DEE" w14:textId="77777777" w:rsidR="000B173B" w:rsidRPr="00A34381" w:rsidRDefault="000B173B" w:rsidP="00A15226">
            <w:pPr>
              <w:pStyle w:val="Bullet1"/>
            </w:pPr>
            <w:r w:rsidRPr="00A34381">
              <w:t>Typically roosts during high tide periods on sandy spits, sandbars, and islets, either on sand near the high-water mark or among coastal vegetation</w:t>
            </w:r>
          </w:p>
          <w:p w14:paraId="7C439FDA" w14:textId="77777777" w:rsidR="000B173B" w:rsidRPr="00A34381" w:rsidRDefault="000B173B" w:rsidP="00A15226">
            <w:pPr>
              <w:pStyle w:val="Bullet1"/>
            </w:pPr>
            <w:r w:rsidRPr="00A34381">
              <w:t>Is rarely found on near-coastal lakes or in grassy areas</w:t>
            </w:r>
          </w:p>
          <w:sdt>
            <w:sdtPr>
              <w:rPr>
                <w:color w:val="000000"/>
              </w:rPr>
              <w:tag w:val="MENDELEY_CITATION_v3_eyJjaXRhdGlvbklEIjoiTUVOREVMRVlfQ0lUQVRJT05fNTYyODk3ZTItOGRlYS00OGQ2LThkZjYtNjIxMWFiY2NlZjMz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238716771"/>
              <w:placeholder>
                <w:docPart w:val="7A87483195E49548AABB39FF484A13FE"/>
              </w:placeholder>
            </w:sdtPr>
            <w:sdtContent>
              <w:p w14:paraId="49585778" w14:textId="77777777" w:rsidR="000B173B" w:rsidRPr="00A34381" w:rsidRDefault="000B173B" w:rsidP="00A15226">
                <w:pPr>
                  <w:pStyle w:val="Tabletext"/>
                </w:pPr>
                <w:r w:rsidRPr="002F46CE">
                  <w:rPr>
                    <w:color w:val="000000"/>
                  </w:rPr>
                  <w:t>(DoE, 2015f)</w:t>
                </w:r>
              </w:p>
            </w:sdtContent>
          </w:sdt>
        </w:tc>
      </w:tr>
      <w:tr w:rsidR="000B173B" w:rsidRPr="000816D6" w14:paraId="3CBC5B43" w14:textId="77777777" w:rsidTr="00A15226">
        <w:tc>
          <w:tcPr>
            <w:tcW w:w="1526" w:type="dxa"/>
            <w:vAlign w:val="center"/>
          </w:tcPr>
          <w:p w14:paraId="41B6D64A"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1E479F70" w14:textId="77777777" w:rsidR="000B173B" w:rsidRPr="00A34381" w:rsidRDefault="000B173B" w:rsidP="00A15226">
            <w:pPr>
              <w:pStyle w:val="Tabletext"/>
            </w:pPr>
            <w:r w:rsidRPr="00A34381">
              <w:t>The global population has been estimated at 38,000 individuals, of which 28,000 occur in Australia</w:t>
            </w:r>
            <w:r>
              <w:t xml:space="preserve">. However, </w:t>
            </w:r>
            <w:r w:rsidRPr="00A34381">
              <w:t xml:space="preserve">the Conservation Advice notes that this estimate is out of date given the ongoing population declines </w:t>
            </w:r>
            <w:sdt>
              <w:sdtPr>
                <w:rPr>
                  <w:color w:val="000000"/>
                </w:rPr>
                <w:tag w:val="MENDELEY_CITATION_v3_eyJjaXRhdGlvbklEIjoiTUVOREVMRVlfQ0lUQVRJT05fNTY0YmNlNmYtZTEzZC00YTA3LWFmOGEtNTczOGEyZGY2NGEx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67023402"/>
                <w:placeholder>
                  <w:docPart w:val="7A87483195E49548AABB39FF484A13FE"/>
                </w:placeholder>
              </w:sdtPr>
              <w:sdtContent>
                <w:r w:rsidRPr="002F46CE">
                  <w:rPr>
                    <w:color w:val="000000"/>
                  </w:rPr>
                  <w:t>(DoE, 2015f)</w:t>
                </w:r>
              </w:sdtContent>
            </w:sdt>
            <w:r w:rsidRPr="00A34381">
              <w:t>.</w:t>
            </w:r>
          </w:p>
        </w:tc>
      </w:tr>
      <w:tr w:rsidR="000B173B" w:rsidRPr="002F23FB" w14:paraId="21685A1C" w14:textId="77777777" w:rsidTr="00A15226">
        <w:tc>
          <w:tcPr>
            <w:tcW w:w="1526" w:type="dxa"/>
            <w:vAlign w:val="center"/>
          </w:tcPr>
          <w:p w14:paraId="2105EF6F"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7BBF43D9" w14:textId="77777777" w:rsidR="000B173B" w:rsidRDefault="000B173B" w:rsidP="00A15226">
            <w:pPr>
              <w:pStyle w:val="Tabletext"/>
            </w:pPr>
            <w:r>
              <w:t xml:space="preserve">The species Conservation Advice has identified the following threats within Australia </w:t>
            </w:r>
            <w:sdt>
              <w:sdtPr>
                <w:rPr>
                  <w:color w:val="000000"/>
                </w:rPr>
                <w:tag w:val="MENDELEY_CITATION_v3_eyJjaXRhdGlvbklEIjoiTUVOREVMRVlfQ0lUQVRJT05fYzJiM2UwZmEtOTg2OC00YmIxLWI1ZjQtNTlhY2M2NjQ4OWE5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099449595"/>
                <w:placeholder>
                  <w:docPart w:val="7A87483195E49548AABB39FF484A13FE"/>
                </w:placeholder>
              </w:sdtPr>
              <w:sdtContent>
                <w:r w:rsidRPr="002F46CE">
                  <w:rPr>
                    <w:color w:val="000000"/>
                  </w:rPr>
                  <w:t>(DoE, 2015f)</w:t>
                </w:r>
              </w:sdtContent>
            </w:sdt>
            <w:r>
              <w:t>:</w:t>
            </w:r>
          </w:p>
          <w:p w14:paraId="739AC374" w14:textId="77777777" w:rsidR="000B173B" w:rsidRDefault="000B173B" w:rsidP="00A15226">
            <w:pPr>
              <w:pStyle w:val="Bullet1"/>
            </w:pPr>
            <w:r>
              <w:t>Ongoing human disturbance</w:t>
            </w:r>
          </w:p>
          <w:p w14:paraId="13494170" w14:textId="77777777" w:rsidR="000B173B" w:rsidRDefault="000B173B" w:rsidP="00A15226">
            <w:pPr>
              <w:pStyle w:val="Bullet1"/>
            </w:pPr>
            <w:r>
              <w:t>Habitat loss and degradation from pollution</w:t>
            </w:r>
          </w:p>
          <w:p w14:paraId="7C6028BF" w14:textId="77777777" w:rsidR="000B173B" w:rsidRDefault="000B173B" w:rsidP="00A15226">
            <w:pPr>
              <w:pStyle w:val="Bullet1"/>
            </w:pPr>
            <w:r>
              <w:t>Changes to the water regime</w:t>
            </w:r>
          </w:p>
          <w:p w14:paraId="10081708" w14:textId="77777777" w:rsidR="000B173B" w:rsidRPr="003E1ADD" w:rsidRDefault="000B173B" w:rsidP="00A15226">
            <w:pPr>
              <w:pStyle w:val="Bullet1"/>
            </w:pPr>
            <w:r>
              <w:t>Invasive plants</w:t>
            </w:r>
          </w:p>
        </w:tc>
      </w:tr>
      <w:tr w:rsidR="000B173B" w:rsidRPr="002F23FB" w14:paraId="2C70756E" w14:textId="77777777" w:rsidTr="00A15226">
        <w:tc>
          <w:tcPr>
            <w:tcW w:w="1526" w:type="dxa"/>
            <w:vAlign w:val="center"/>
          </w:tcPr>
          <w:p w14:paraId="3B55B39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61D7BCBC" w14:textId="77777777" w:rsidR="000B173B" w:rsidRPr="003E1ADD" w:rsidRDefault="000B173B" w:rsidP="00A15226">
            <w:pPr>
              <w:pStyle w:val="Tabletext"/>
              <w:rPr>
                <w:iCs/>
              </w:rPr>
            </w:pPr>
            <w:r w:rsidRPr="00CB4BCF">
              <w:rPr>
                <w:iCs/>
              </w:rPr>
              <w:t xml:space="preserve">Conservation Advice </w:t>
            </w:r>
            <w:r w:rsidRPr="00CB4BCF">
              <w:rPr>
                <w:i/>
              </w:rPr>
              <w:t>Numenius madagascariensis</w:t>
            </w:r>
            <w:r w:rsidRPr="00CB4BCF">
              <w:rPr>
                <w:iCs/>
              </w:rPr>
              <w:t xml:space="preserve"> </w:t>
            </w:r>
            <w:r>
              <w:rPr>
                <w:iCs/>
              </w:rPr>
              <w:t>E</w:t>
            </w:r>
            <w:r w:rsidRPr="00CB4BCF">
              <w:rPr>
                <w:iCs/>
              </w:rPr>
              <w:t xml:space="preserve">astern </w:t>
            </w:r>
            <w:r>
              <w:rPr>
                <w:iCs/>
              </w:rPr>
              <w:t>C</w:t>
            </w:r>
            <w:r w:rsidRPr="00CB4BCF">
              <w:rPr>
                <w:iCs/>
              </w:rPr>
              <w:t>urlew</w:t>
            </w:r>
            <w:r>
              <w:rPr>
                <w:iCs/>
              </w:rPr>
              <w:t xml:space="preserve"> </w:t>
            </w:r>
            <w:sdt>
              <w:sdtPr>
                <w:rPr>
                  <w:iCs/>
                  <w:color w:val="000000"/>
                </w:rPr>
                <w:tag w:val="MENDELEY_CITATION_v3_eyJjaXRhdGlvbklEIjoiTUVOREVMRVlfQ0lUQVRJT05fZTM1MTM1NjMtMjUzNC00YWE0LTg1MjctYzYxOTM5MjhlMWYx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90690850"/>
                <w:placeholder>
                  <w:docPart w:val="7A87483195E49548AABB39FF484A13FE"/>
                </w:placeholder>
              </w:sdtPr>
              <w:sdtEndPr>
                <w:rPr>
                  <w:iCs w:val="0"/>
                </w:rPr>
              </w:sdtEndPr>
              <w:sdtContent>
                <w:r w:rsidRPr="002F46CE">
                  <w:rPr>
                    <w:color w:val="000000"/>
                  </w:rPr>
                  <w:t>(DoE, 2015f)</w:t>
                </w:r>
              </w:sdtContent>
            </w:sdt>
          </w:p>
        </w:tc>
      </w:tr>
      <w:tr w:rsidR="000B173B" w:rsidRPr="000816D6" w14:paraId="68DFB111" w14:textId="77777777" w:rsidTr="00A15226">
        <w:tc>
          <w:tcPr>
            <w:tcW w:w="1526" w:type="dxa"/>
            <w:vAlign w:val="center"/>
          </w:tcPr>
          <w:p w14:paraId="7155BD7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0152B3DC" w14:textId="77777777" w:rsidR="000B173B" w:rsidRDefault="000B173B" w:rsidP="00A15226">
            <w:pPr>
              <w:pStyle w:val="Tabletext"/>
            </w:pPr>
            <w:r w:rsidRPr="00D32954">
              <w:t>Wildlife Conservation Plan for Migratory Shorebirds</w:t>
            </w:r>
            <w:r>
              <w:t xml:space="preserve"> </w:t>
            </w:r>
            <w:sdt>
              <w:sdtPr>
                <w:rPr>
                  <w:color w:val="000000"/>
                </w:rPr>
                <w:tag w:val="MENDELEY_CITATION_v3_eyJjaXRhdGlvbklEIjoiTUVOREVMRVlfQ0lUQVRJT05fNzI2MzZmMzgtMzQ0ZS00ODg3LWE5ZTUtMmY1ODFlMjc0Y2I4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1565481959"/>
                <w:placeholder>
                  <w:docPart w:val="7A87483195E49548AABB39FF484A13FE"/>
                </w:placeholder>
              </w:sdtPr>
              <w:sdtContent>
                <w:r w:rsidRPr="002F46CE">
                  <w:rPr>
                    <w:color w:val="000000"/>
                  </w:rPr>
                  <w:t>(Commonwealth of Australia, 2015)</w:t>
                </w:r>
              </w:sdtContent>
            </w:sdt>
          </w:p>
          <w:p w14:paraId="5CCABDC9" w14:textId="77777777" w:rsidR="000B173B" w:rsidRPr="00980D4D" w:rsidRDefault="000B173B" w:rsidP="00A15226">
            <w:pPr>
              <w:pStyle w:val="Tabletext"/>
            </w:pPr>
            <w:r>
              <w:t>E</w:t>
            </w:r>
            <w:r w:rsidRPr="00A31A72">
              <w:t>PBC Act Policy Statement 3.21 - Industry Guidelines for avoiding, assessing and mitigating impacts on EBBC Act listed migratory shorebird species</w:t>
            </w:r>
            <w:r>
              <w:t xml:space="preserve"> </w:t>
            </w:r>
            <w:sdt>
              <w:sdtPr>
                <w:rPr>
                  <w:color w:val="000000"/>
                </w:rPr>
                <w:tag w:val="MENDELEY_CITATION_v3_eyJjaXRhdGlvbklEIjoiTUVOREVMRVlfQ0lUQVRJT05fODIzYjdlMTEtYWY5Ni00NTcxLTlhNDUtZjc5ZTY4YjUwY2Ux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67315802"/>
                <w:placeholder>
                  <w:docPart w:val="7A87483195E49548AABB39FF484A13FE"/>
                </w:placeholder>
              </w:sdtPr>
              <w:sdtContent>
                <w:r w:rsidRPr="002F46CE">
                  <w:rPr>
                    <w:color w:val="000000"/>
                  </w:rPr>
                  <w:t>(DoE, 2017)</w:t>
                </w:r>
              </w:sdtContent>
            </w:sdt>
          </w:p>
        </w:tc>
      </w:tr>
      <w:tr w:rsidR="000B173B" w:rsidRPr="000816D6" w14:paraId="56EC2754" w14:textId="77777777" w:rsidTr="00A15226">
        <w:tc>
          <w:tcPr>
            <w:tcW w:w="1526" w:type="dxa"/>
            <w:vAlign w:val="center"/>
          </w:tcPr>
          <w:p w14:paraId="6898D7C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4A9BD2A0" w14:textId="77777777" w:rsidR="000B173B" w:rsidRPr="003E1ADD" w:rsidRDefault="000B173B" w:rsidP="00A15226">
            <w:pPr>
              <w:pStyle w:val="Tabletext"/>
            </w:pPr>
            <w:hyperlink r:id="rId137" w:history="1">
              <w:r w:rsidRPr="007473F6">
                <w:rPr>
                  <w:rStyle w:val="Hyperlink"/>
                </w:rPr>
                <w:t>http://www.environment.gov.au/cgi-bin/sprat/public/publicspecies.pl?taxon_id=847</w:t>
              </w:r>
            </w:hyperlink>
            <w:r>
              <w:t xml:space="preserve"> </w:t>
            </w:r>
          </w:p>
        </w:tc>
      </w:tr>
    </w:tbl>
    <w:p w14:paraId="3CADAE3D"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630AF2C5" w14:textId="77777777" w:rsidTr="00A15226">
        <w:tc>
          <w:tcPr>
            <w:tcW w:w="9622" w:type="dxa"/>
            <w:shd w:val="clear" w:color="auto" w:fill="C9C9C9" w:themeFill="accent3" w:themeFillTint="99"/>
          </w:tcPr>
          <w:p w14:paraId="6E022323" w14:textId="77777777" w:rsidR="000B173B" w:rsidRPr="008F55BC" w:rsidRDefault="000B173B" w:rsidP="00A15226">
            <w:pPr>
              <w:pStyle w:val="Tabletext"/>
              <w:keepNext/>
              <w:keepLines/>
              <w:rPr>
                <w:b/>
                <w:bCs/>
              </w:rPr>
            </w:pPr>
            <w:r>
              <w:rPr>
                <w:rFonts w:ascii="Helvetica" w:hAnsi="Helvetica"/>
                <w:b/>
                <w:sz w:val="16"/>
                <w:szCs w:val="16"/>
              </w:rPr>
              <w:lastRenderedPageBreak/>
              <w:t>APPROACH TO BASELINE DATA</w:t>
            </w:r>
          </w:p>
        </w:tc>
      </w:tr>
    </w:tbl>
    <w:p w14:paraId="36104F8D" w14:textId="77777777" w:rsidR="000B173B" w:rsidRPr="0007741A" w:rsidRDefault="000B173B" w:rsidP="000B173B">
      <w:pPr>
        <w:keepNext/>
        <w:keepLines/>
        <w:rPr>
          <w:i/>
          <w:iCs/>
          <w:color w:val="4472C4" w:themeColor="accent1"/>
        </w:rPr>
      </w:pPr>
      <w:r w:rsidRPr="0007741A">
        <w:rPr>
          <w:i/>
          <w:iCs/>
          <w:color w:val="4472C4" w:themeColor="accent1"/>
        </w:rPr>
        <w:t>This section provides a summary of the baseline information used in the assessment. It sets out:</w:t>
      </w:r>
    </w:p>
    <w:p w14:paraId="2AC8A1DA"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6DF5E290"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0D019B43" w14:textId="77777777" w:rsidR="000B173B" w:rsidRPr="00296917" w:rsidRDefault="000B173B" w:rsidP="000B173B">
      <w:pPr>
        <w:rPr>
          <w:i/>
          <w:color w:val="4472C4" w:themeColor="accent1"/>
        </w:rPr>
      </w:pPr>
      <w:r w:rsidRPr="000816D6">
        <w:rPr>
          <w:i/>
          <w:color w:val="4472C4" w:themeColor="accent1"/>
        </w:rPr>
        <w:t xml:space="preserve">Please refer to </w:t>
      </w:r>
      <w:r w:rsidRPr="006900FB">
        <w:rPr>
          <w:i/>
          <w:color w:val="4472C4" w:themeColor="accent1"/>
        </w:rPr>
        <w:t>Chapter 13</w:t>
      </w:r>
      <w:r w:rsidRPr="00604E1B">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1EBC4012" w14:textId="77777777" w:rsidTr="00A15226">
        <w:tc>
          <w:tcPr>
            <w:tcW w:w="1526" w:type="dxa"/>
            <w:vMerge w:val="restart"/>
            <w:vAlign w:val="center"/>
          </w:tcPr>
          <w:p w14:paraId="11AE10DD"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5DC9B89D"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19876B72" w14:textId="77777777" w:rsidTr="00A15226">
        <w:tc>
          <w:tcPr>
            <w:tcW w:w="1526" w:type="dxa"/>
            <w:vMerge/>
            <w:vAlign w:val="center"/>
          </w:tcPr>
          <w:p w14:paraId="36F2AEA2" w14:textId="77777777" w:rsidR="000B173B" w:rsidRDefault="000B173B" w:rsidP="00A15226">
            <w:pPr>
              <w:pStyle w:val="Tabletext"/>
              <w:rPr>
                <w:rFonts w:ascii="Helvetica" w:hAnsi="Helvetica"/>
                <w:b/>
                <w:bCs/>
                <w:sz w:val="14"/>
              </w:rPr>
            </w:pPr>
          </w:p>
        </w:tc>
        <w:tc>
          <w:tcPr>
            <w:tcW w:w="8113" w:type="dxa"/>
            <w:vAlign w:val="center"/>
          </w:tcPr>
          <w:p w14:paraId="17224A41"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4E92A4F3" w14:textId="77777777" w:rsidTr="00A15226">
        <w:tc>
          <w:tcPr>
            <w:tcW w:w="1526" w:type="dxa"/>
            <w:vMerge/>
            <w:vAlign w:val="center"/>
          </w:tcPr>
          <w:p w14:paraId="7B31A0FE"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39FA3366"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5DD7C7C3" w14:textId="77777777" w:rsidTr="00A15226">
        <w:tc>
          <w:tcPr>
            <w:tcW w:w="1526" w:type="dxa"/>
            <w:vMerge/>
            <w:vAlign w:val="center"/>
          </w:tcPr>
          <w:p w14:paraId="6ACED065" w14:textId="77777777" w:rsidR="000B173B" w:rsidRDefault="000B173B" w:rsidP="00A15226">
            <w:pPr>
              <w:pStyle w:val="Tabletext"/>
              <w:rPr>
                <w:rFonts w:ascii="Helvetica" w:hAnsi="Helvetica"/>
                <w:b/>
                <w:bCs/>
                <w:sz w:val="14"/>
              </w:rPr>
            </w:pPr>
          </w:p>
        </w:tc>
        <w:tc>
          <w:tcPr>
            <w:tcW w:w="8113" w:type="dxa"/>
            <w:vAlign w:val="center"/>
          </w:tcPr>
          <w:p w14:paraId="1B1DB5E5"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0A1B759F" w14:textId="77777777" w:rsidTr="00A15226">
        <w:tc>
          <w:tcPr>
            <w:tcW w:w="1526" w:type="dxa"/>
            <w:vMerge/>
            <w:vAlign w:val="center"/>
          </w:tcPr>
          <w:p w14:paraId="3A177F2C"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32769413"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10DA1349" w14:textId="77777777" w:rsidTr="00A15226">
        <w:tc>
          <w:tcPr>
            <w:tcW w:w="1526" w:type="dxa"/>
            <w:vMerge/>
            <w:vAlign w:val="center"/>
          </w:tcPr>
          <w:p w14:paraId="5A7C0AA2" w14:textId="77777777" w:rsidR="000B173B" w:rsidRPr="000816D6" w:rsidRDefault="000B173B" w:rsidP="00A15226">
            <w:pPr>
              <w:pStyle w:val="Tabletext"/>
              <w:rPr>
                <w:rFonts w:ascii="Helvetica" w:hAnsi="Helvetica"/>
                <w:b/>
                <w:bCs/>
                <w:sz w:val="14"/>
              </w:rPr>
            </w:pPr>
          </w:p>
        </w:tc>
        <w:tc>
          <w:tcPr>
            <w:tcW w:w="8113" w:type="dxa"/>
            <w:vAlign w:val="center"/>
          </w:tcPr>
          <w:p w14:paraId="63B0D9B1"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129C4A46" w14:textId="77777777" w:rsidR="000B173B" w:rsidRPr="00980D4D" w:rsidRDefault="000B173B" w:rsidP="00A15226">
            <w:pPr>
              <w:pStyle w:val="Tabletext"/>
            </w:pPr>
            <w:r w:rsidRPr="00B03721">
              <w:t>Refer to</w:t>
            </w:r>
            <w:r>
              <w:t xml:space="preserve"> </w:t>
            </w:r>
            <w:r w:rsidRPr="006900FB">
              <w:t>Chapter 13 of Part 3</w:t>
            </w:r>
            <w:r w:rsidRPr="00023A84">
              <w:t xml:space="preserve"> for a detailed description of the baseline mapping, landholder surveys, and HIMs.</w:t>
            </w:r>
          </w:p>
        </w:tc>
      </w:tr>
      <w:tr w:rsidR="000B173B" w:rsidRPr="003E1ADD" w14:paraId="0EEA6B26" w14:textId="77777777" w:rsidTr="00A15226">
        <w:tc>
          <w:tcPr>
            <w:tcW w:w="1526" w:type="dxa"/>
            <w:vMerge w:val="restart"/>
            <w:vAlign w:val="center"/>
          </w:tcPr>
          <w:p w14:paraId="19227F4F"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5B7ABE7B"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1A6B21AD" w14:textId="77777777" w:rsidTr="00A15226">
        <w:tc>
          <w:tcPr>
            <w:tcW w:w="1526" w:type="dxa"/>
            <w:vMerge/>
            <w:vAlign w:val="center"/>
          </w:tcPr>
          <w:p w14:paraId="521D4AF3" w14:textId="77777777" w:rsidR="000B173B" w:rsidRDefault="000B173B" w:rsidP="00A15226">
            <w:pPr>
              <w:pStyle w:val="Tabletext"/>
              <w:rPr>
                <w:rFonts w:ascii="Helvetica" w:hAnsi="Helvetica"/>
                <w:b/>
                <w:bCs/>
                <w:sz w:val="14"/>
              </w:rPr>
            </w:pPr>
          </w:p>
        </w:tc>
        <w:tc>
          <w:tcPr>
            <w:tcW w:w="8113" w:type="dxa"/>
            <w:vAlign w:val="center"/>
          </w:tcPr>
          <w:p w14:paraId="48D12451"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3D164E56" w14:textId="77777777" w:rsidTr="00A15226">
        <w:tc>
          <w:tcPr>
            <w:tcW w:w="1526" w:type="dxa"/>
            <w:vMerge/>
            <w:vAlign w:val="center"/>
          </w:tcPr>
          <w:p w14:paraId="1AF7B30E"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2B9CE552"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316359B7" w14:textId="77777777" w:rsidTr="00A15226">
        <w:tc>
          <w:tcPr>
            <w:tcW w:w="1526" w:type="dxa"/>
            <w:vMerge/>
            <w:vAlign w:val="center"/>
          </w:tcPr>
          <w:p w14:paraId="1BC80107" w14:textId="77777777" w:rsidR="000B173B" w:rsidRDefault="000B173B" w:rsidP="00A15226">
            <w:pPr>
              <w:pStyle w:val="Tabletext"/>
              <w:rPr>
                <w:rFonts w:ascii="Helvetica" w:hAnsi="Helvetica"/>
                <w:b/>
                <w:bCs/>
                <w:sz w:val="14"/>
              </w:rPr>
            </w:pPr>
          </w:p>
        </w:tc>
        <w:tc>
          <w:tcPr>
            <w:tcW w:w="8113" w:type="dxa"/>
            <w:vAlign w:val="center"/>
          </w:tcPr>
          <w:p w14:paraId="62DC1D77" w14:textId="77777777" w:rsidR="000B173B" w:rsidRPr="00BB022D" w:rsidRDefault="000B173B" w:rsidP="00A15226">
            <w:pPr>
              <w:pStyle w:val="Bullet1"/>
              <w:numPr>
                <w:ilvl w:val="0"/>
                <w:numId w:val="0"/>
              </w:numPr>
              <w:ind w:left="360" w:hanging="360"/>
            </w:pPr>
            <w:r w:rsidRPr="006A4149">
              <w:t xml:space="preserve">VBA records for the </w:t>
            </w:r>
            <w:r>
              <w:t>Eastern Curlew</w:t>
            </w:r>
            <w:r w:rsidRPr="006A4149">
              <w:t xml:space="preserve"> used in this assessment were downloaded in June 2022.</w:t>
            </w:r>
          </w:p>
        </w:tc>
      </w:tr>
      <w:tr w:rsidR="000B173B" w:rsidRPr="003E1ADD" w14:paraId="289A0EFF" w14:textId="77777777" w:rsidTr="00A15226">
        <w:tc>
          <w:tcPr>
            <w:tcW w:w="1526" w:type="dxa"/>
            <w:vMerge/>
            <w:vAlign w:val="center"/>
          </w:tcPr>
          <w:p w14:paraId="4B758225"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760E95E9"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6317913E" w14:textId="77777777" w:rsidTr="00A15226">
        <w:tc>
          <w:tcPr>
            <w:tcW w:w="1526" w:type="dxa"/>
            <w:vMerge/>
            <w:vAlign w:val="center"/>
          </w:tcPr>
          <w:p w14:paraId="393E1026" w14:textId="77777777" w:rsidR="000B173B" w:rsidRDefault="000B173B" w:rsidP="00A15226">
            <w:pPr>
              <w:pStyle w:val="Tabletext"/>
              <w:rPr>
                <w:rFonts w:ascii="Helvetica" w:hAnsi="Helvetica"/>
                <w:b/>
                <w:bCs/>
                <w:sz w:val="14"/>
              </w:rPr>
            </w:pPr>
          </w:p>
        </w:tc>
        <w:tc>
          <w:tcPr>
            <w:tcW w:w="8113" w:type="dxa"/>
            <w:vAlign w:val="center"/>
          </w:tcPr>
          <w:p w14:paraId="1CFE4E89" w14:textId="77777777" w:rsidR="000B173B" w:rsidRPr="00BB022D" w:rsidRDefault="000B173B" w:rsidP="00A15226">
            <w:pPr>
              <w:pStyle w:val="Tabletext"/>
            </w:pPr>
            <w:r w:rsidRPr="00C62332">
              <w:t xml:space="preserve">Given the mobile nature of the species, all records within the Study Area </w:t>
            </w:r>
            <w:r>
              <w:t>are</w:t>
            </w:r>
            <w:r w:rsidRPr="00C62332">
              <w:t xml:space="preserve"> considered a single population.</w:t>
            </w:r>
          </w:p>
        </w:tc>
      </w:tr>
    </w:tbl>
    <w:p w14:paraId="1A2BEF90"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5A0949D4" w14:textId="77777777" w:rsidTr="00A15226">
        <w:tc>
          <w:tcPr>
            <w:tcW w:w="9622" w:type="dxa"/>
            <w:shd w:val="clear" w:color="auto" w:fill="C9C9C9" w:themeFill="accent3" w:themeFillTint="99"/>
          </w:tcPr>
          <w:p w14:paraId="22921A57"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31623C22"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w:t>
      </w:r>
      <w:r w:rsidRPr="00CA1943">
        <w:rPr>
          <w:i/>
          <w:iCs/>
          <w:color w:val="4472C4" w:themeColor="accent1"/>
        </w:rPr>
        <w:t>the Study Area. It includes reference to a map of records and habitat which can be viewed as a separate file. The map provides critical context</w:t>
      </w:r>
      <w:r w:rsidRPr="00BB022D">
        <w:rPr>
          <w:i/>
          <w:iCs/>
          <w:color w:val="4472C4" w:themeColor="accent1"/>
        </w:rPr>
        <w:t xml:space="preserve"> for the assessment and should be viewed in conjunction with the text presented in this assessment. This section also provides a qualitative description of where records and habitat occur.</w:t>
      </w:r>
    </w:p>
    <w:p w14:paraId="20A9B055" w14:textId="77777777" w:rsidR="000B173B" w:rsidRPr="008077BA" w:rsidRDefault="000B173B" w:rsidP="000B173B">
      <w:pPr>
        <w:rPr>
          <w:b/>
          <w:bCs/>
        </w:rPr>
      </w:pPr>
      <w:r w:rsidRPr="008077BA">
        <w:t xml:space="preserve">See </w:t>
      </w:r>
      <w:hyperlink r:id="rId138" w:history="1">
        <w:r w:rsidRPr="00AC291E">
          <w:rPr>
            <w:rStyle w:val="Hyperlink"/>
          </w:rPr>
          <w:t>Map 19-14</w:t>
        </w:r>
      </w:hyperlink>
      <w:r w:rsidRPr="008077BA">
        <w:t xml:space="preserve"> for a map of records and habitat across the Strategic Assessment Area.</w:t>
      </w:r>
      <w:r w:rsidRPr="008077BA">
        <w:rPr>
          <w:b/>
          <w:bCs/>
        </w:rPr>
        <w:t xml:space="preserve"> </w:t>
      </w:r>
    </w:p>
    <w:p w14:paraId="28DE6766" w14:textId="77777777" w:rsidR="000B173B" w:rsidRPr="00CE7696" w:rsidRDefault="000B173B" w:rsidP="000B173B">
      <w:r w:rsidRPr="008077BA">
        <w:t xml:space="preserve">There are </w:t>
      </w:r>
      <w:r w:rsidRPr="006900FB">
        <w:t>94 records</w:t>
      </w:r>
      <w:r w:rsidRPr="008077BA">
        <w:t xml:space="preserve"> (</w:t>
      </w:r>
      <w:r w:rsidRPr="006900FB">
        <w:t>187 individuals</w:t>
      </w:r>
      <w:r w:rsidRPr="008077BA">
        <w:t>) of</w:t>
      </w:r>
      <w:r w:rsidRPr="00CE7696">
        <w:t xml:space="preserve"> the </w:t>
      </w:r>
      <w:r>
        <w:t>Eastern Curlew</w:t>
      </w:r>
      <w:r w:rsidRPr="00CE7696">
        <w:t xml:space="preserve"> within the Study Area, the most recent of which was recorded in 2018. The species has not been recorded within the Strategic Assessment Area.</w:t>
      </w:r>
    </w:p>
    <w:p w14:paraId="77318892" w14:textId="77777777" w:rsidR="000B173B" w:rsidRPr="00CE7696" w:rsidRDefault="000B173B" w:rsidP="000B173B">
      <w:r>
        <w:t xml:space="preserve">A </w:t>
      </w:r>
      <w:r w:rsidRPr="008077BA">
        <w:t xml:space="preserve">total of </w:t>
      </w:r>
      <w:r w:rsidRPr="006900FB">
        <w:t>5,073.8 ha</w:t>
      </w:r>
      <w:r w:rsidRPr="008077BA">
        <w:t xml:space="preserve"> of potential habitat has been mapped within the Study Area. Of this, </w:t>
      </w:r>
      <w:r w:rsidRPr="006900FB">
        <w:t>3.9 ha</w:t>
      </w:r>
      <w:r w:rsidRPr="008077BA">
        <w:t xml:space="preserve"> has been mapped within the Strategic Assessment Area. No habitat has been mapped within the Growth Areas.</w:t>
      </w:r>
    </w:p>
    <w:p w14:paraId="4251450C" w14:textId="77777777" w:rsidR="000B173B" w:rsidRDefault="000B173B" w:rsidP="000B173B">
      <w:r>
        <w:t xml:space="preserve">Mapped habitat and </w:t>
      </w:r>
      <w:r w:rsidRPr="006900FB">
        <w:t>44 records</w:t>
      </w:r>
      <w:r w:rsidRPr="008077BA">
        <w:t xml:space="preserve"> (comprising </w:t>
      </w:r>
      <w:r w:rsidRPr="006900FB">
        <w:t>86 individuals</w:t>
      </w:r>
      <w:r w:rsidRPr="008077BA">
        <w:t>) for the</w:t>
      </w:r>
      <w:r>
        <w:t xml:space="preserve"> Eastern Curlew occur along the northern shoreline of Port Phillip Bay, from Limeburners Bay in the west through to the Study Area boundary in the east.</w:t>
      </w:r>
    </w:p>
    <w:p w14:paraId="42D2A883" w14:textId="77777777" w:rsidR="000B173B" w:rsidRPr="00BC0448" w:rsidRDefault="000B173B" w:rsidP="000B173B">
      <w:pPr>
        <w:keepNext/>
        <w:keepLines/>
      </w:pPr>
      <w:r w:rsidRPr="006900FB">
        <w:lastRenderedPageBreak/>
        <w:t>24 records (57 individuals</w:t>
      </w:r>
      <w:r w:rsidRPr="008077BA">
        <w:t>) occur</w:t>
      </w:r>
      <w:r w:rsidRPr="00BC0448">
        <w:t xml:space="preserve"> at the Lake Connewarre Complex, associated with a large area of mapped </w:t>
      </w:r>
      <w:r>
        <w:t xml:space="preserve">potential </w:t>
      </w:r>
      <w:r w:rsidRPr="00BC0448">
        <w:t>habitat.</w:t>
      </w:r>
    </w:p>
    <w:p w14:paraId="26978A8D" w14:textId="77777777" w:rsidR="000B173B" w:rsidRPr="00BC0448" w:rsidRDefault="000B173B" w:rsidP="000B173B">
      <w:pPr>
        <w:keepNext/>
        <w:keepLines/>
      </w:pPr>
      <w:r w:rsidRPr="006900FB">
        <w:t>26 records (43 individuals</w:t>
      </w:r>
      <w:r w:rsidRPr="008077BA">
        <w:t>) and</w:t>
      </w:r>
      <w:r w:rsidRPr="00BC0448">
        <w:t xml:space="preserve"> mapped</w:t>
      </w:r>
      <w:r>
        <w:t xml:space="preserve"> potential</w:t>
      </w:r>
      <w:r w:rsidRPr="00BC0448">
        <w:t xml:space="preserve"> habitat also occurs at the Moolap locality. </w:t>
      </w:r>
    </w:p>
    <w:p w14:paraId="1EAAF859" w14:textId="77777777" w:rsidR="000B173B" w:rsidRPr="00AE19A8" w:rsidRDefault="000B173B" w:rsidP="000B173B">
      <w:pPr>
        <w:keepNext/>
        <w:keepLines/>
        <w:rPr>
          <w:highlight w:val="yellow"/>
        </w:rPr>
      </w:pPr>
      <w:r>
        <w:t>A smaller area of habitat not associated with records occurs in the estuarine environment of Thompson Creek in the south of the Study Area.</w:t>
      </w:r>
    </w:p>
    <w:p w14:paraId="20063FDB" w14:textId="77777777" w:rsidR="000B173B" w:rsidRPr="000816D6"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0257C990" w14:textId="77777777" w:rsidTr="00A15226">
        <w:trPr>
          <w:cantSplit/>
        </w:trPr>
        <w:tc>
          <w:tcPr>
            <w:tcW w:w="9632" w:type="dxa"/>
            <w:shd w:val="clear" w:color="auto" w:fill="D9D9D9" w:themeFill="background1" w:themeFillShade="D9"/>
            <w:vAlign w:val="center"/>
          </w:tcPr>
          <w:p w14:paraId="2ACC8003" w14:textId="77777777" w:rsidR="000B173B" w:rsidRPr="000816D6" w:rsidRDefault="000B173B" w:rsidP="00A15226">
            <w:pPr>
              <w:pStyle w:val="TableHeadingLarge"/>
            </w:pPr>
            <w:r w:rsidRPr="000816D6">
              <w:rPr>
                <w:rFonts w:ascii="Helvetica" w:hAnsi="Helvetica"/>
              </w:rPr>
              <w:t>POTENTIAL INDIRECT IMPACTS AND MITIGATION</w:t>
            </w:r>
          </w:p>
        </w:tc>
      </w:tr>
    </w:tbl>
    <w:p w14:paraId="7CDC3DF3"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28418CAA"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75BE2A0D"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1B601BD4" w14:textId="77777777" w:rsidR="000B173B" w:rsidRPr="008077BA" w:rsidRDefault="000B173B" w:rsidP="000B173B">
      <w:pPr>
        <w:rPr>
          <w:i/>
          <w:color w:val="4472C4" w:themeColor="accent1"/>
        </w:rPr>
      </w:pPr>
      <w:r w:rsidRPr="007C1D70">
        <w:rPr>
          <w:i/>
          <w:color w:val="4472C4" w:themeColor="accent1"/>
        </w:rPr>
        <w:t xml:space="preserve">It describes </w:t>
      </w:r>
      <w:r w:rsidRPr="008077BA">
        <w:rPr>
          <w:i/>
          <w:color w:val="4472C4" w:themeColor="accent1"/>
        </w:rPr>
        <w:t>the mechanism by which each relevant potential indirect impact may affect the species.</w:t>
      </w:r>
    </w:p>
    <w:p w14:paraId="51184518" w14:textId="77777777" w:rsidR="000B173B" w:rsidRPr="007C1D70" w:rsidRDefault="000B173B" w:rsidP="000B173B">
      <w:pPr>
        <w:rPr>
          <w:i/>
          <w:color w:val="4472C4" w:themeColor="accent1"/>
        </w:rPr>
      </w:pPr>
      <w:r w:rsidRPr="008077BA">
        <w:rPr>
          <w:i/>
          <w:color w:val="4472C4" w:themeColor="accent1"/>
        </w:rPr>
        <w:t xml:space="preserve">Please refer to </w:t>
      </w:r>
      <w:r w:rsidRPr="006900FB">
        <w:rPr>
          <w:i/>
          <w:color w:val="4472C4" w:themeColor="accent1"/>
        </w:rPr>
        <w:t>Chapter 19</w:t>
      </w:r>
      <w:r w:rsidRPr="008077BA">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8077BA">
        <w:rPr>
          <w:i/>
          <w:color w:val="4472C4" w:themeColor="accent1"/>
        </w:rPr>
        <w:t xml:space="preserve"> for a detailed</w:t>
      </w:r>
      <w:r w:rsidRPr="007C1D70">
        <w:rPr>
          <w:i/>
          <w:color w:val="4472C4" w:themeColor="accent1"/>
        </w:rPr>
        <w:t xml:space="preserve"> discussion and analysis of indirect impacts and mitigation measures included in the Plan. </w:t>
      </w:r>
    </w:p>
    <w:p w14:paraId="2B1F8296" w14:textId="77777777" w:rsidR="000B173B" w:rsidRDefault="000B173B" w:rsidP="000B173B">
      <w:pPr>
        <w:pStyle w:val="Heading3"/>
        <w:numPr>
          <w:ilvl w:val="0"/>
          <w:numId w:val="0"/>
        </w:numPr>
        <w:ind w:left="720" w:hanging="720"/>
      </w:pPr>
      <w:r w:rsidRPr="00FB680C">
        <w:t>R</w:t>
      </w:r>
      <w:r>
        <w:t>elevant potential indirect impacts</w:t>
      </w:r>
    </w:p>
    <w:p w14:paraId="72E1784D" w14:textId="77777777" w:rsidR="000B173B" w:rsidRDefault="000B173B" w:rsidP="000B173B">
      <w:r w:rsidRPr="00C02E8B">
        <w:t xml:space="preserve">The Conservation Advice for the </w:t>
      </w:r>
      <w:r>
        <w:t>Eastern Curlew</w:t>
      </w:r>
      <w:r w:rsidRPr="002B70F0">
        <w:t xml:space="preserve"> identifies a range of threats to the species</w:t>
      </w:r>
      <w:r>
        <w:t xml:space="preserve"> in Australia </w:t>
      </w:r>
      <w:sdt>
        <w:sdtPr>
          <w:rPr>
            <w:color w:val="000000"/>
          </w:rPr>
          <w:tag w:val="MENDELEY_CITATION_v3_eyJjaXRhdGlvbklEIjoiTUVOREVMRVlfQ0lUQVRJT05fMzY5YWRiMjQtMmY2Ni00ZDU0LWJmNGItN2FiMGE5ZDg1MTU1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115032772"/>
          <w:placeholder>
            <w:docPart w:val="7A87483195E49548AABB39FF484A13FE"/>
          </w:placeholder>
        </w:sdtPr>
        <w:sdtContent>
          <w:r w:rsidRPr="002F46CE">
            <w:rPr>
              <w:color w:val="000000"/>
            </w:rPr>
            <w:t>(DoE, 2015f)</w:t>
          </w:r>
        </w:sdtContent>
      </w:sdt>
      <w:r w:rsidRPr="00A34381">
        <w:t>.</w:t>
      </w:r>
      <w:r w:rsidRPr="009A3C28">
        <w:t xml:space="preserve"> </w:t>
      </w:r>
      <w:r w:rsidRPr="002B70F0">
        <w:t xml:space="preserve">Where these threats </w:t>
      </w:r>
      <w:r>
        <w:t>have the potential to be introduced or exacerbated under the Plan</w:t>
      </w:r>
      <w:r w:rsidRPr="002B70F0">
        <w:t>, the Plan includes management strategies to mitigate their impacts.</w:t>
      </w:r>
    </w:p>
    <w:p w14:paraId="4ED10A92" w14:textId="77777777" w:rsidR="000B173B" w:rsidRDefault="000B173B" w:rsidP="000B173B">
      <w:r>
        <w:t>The following potential indirect impacts (identified as threats) are considered relevant to implementation of the Plan:</w:t>
      </w:r>
    </w:p>
    <w:p w14:paraId="448F72C2" w14:textId="77777777" w:rsidR="000B173B" w:rsidRPr="00292D2C" w:rsidRDefault="000B173B" w:rsidP="000B173B">
      <w:pPr>
        <w:pStyle w:val="Bullet1"/>
      </w:pPr>
      <w:r w:rsidRPr="00292D2C">
        <w:t>Ongoing human disturbance</w:t>
      </w:r>
    </w:p>
    <w:p w14:paraId="4E324FA5" w14:textId="77777777" w:rsidR="000B173B" w:rsidRPr="00292D2C" w:rsidRDefault="000B173B" w:rsidP="000B173B">
      <w:pPr>
        <w:pStyle w:val="Bullet1"/>
      </w:pPr>
      <w:r w:rsidRPr="00292D2C">
        <w:t>Pollution and changes to the water regime</w:t>
      </w:r>
    </w:p>
    <w:p w14:paraId="7B265E9B" w14:textId="77777777" w:rsidR="000B173B" w:rsidRDefault="000B173B" w:rsidP="000B173B">
      <w:r>
        <w:t>Invasive weeds are also</w:t>
      </w:r>
      <w:r w:rsidRPr="003A2AF0">
        <w:t xml:space="preserve"> identified in the Conservation Advice</w:t>
      </w:r>
      <w:r>
        <w:t xml:space="preserve"> as a threat to the species</w:t>
      </w:r>
      <w:r w:rsidRPr="003A2AF0">
        <w:t xml:space="preserve">. However, potential indirect impacts associated with </w:t>
      </w:r>
      <w:r>
        <w:t xml:space="preserve">this </w:t>
      </w:r>
      <w:r w:rsidRPr="008077BA">
        <w:t xml:space="preserve">threat are considered unlikely given the landscape context of the site and the ecology of the species. Refer to </w:t>
      </w:r>
      <w:r w:rsidRPr="006900FB">
        <w:t>Section 17.2 of Chapter 17</w:t>
      </w:r>
      <w:r w:rsidRPr="008077BA">
        <w:t xml:space="preserve"> for</w:t>
      </w:r>
      <w:r>
        <w:t xml:space="preserve"> a detailed assessment of potential indirect impacts associated with the implementation of the Plan.</w:t>
      </w:r>
      <w:r w:rsidRPr="00CC2A00" w:rsidDel="00727335">
        <w:rPr>
          <w:highlight w:val="yellow"/>
        </w:rPr>
        <w:t xml:space="preserve"> </w:t>
      </w:r>
    </w:p>
    <w:p w14:paraId="0A084F35" w14:textId="77777777" w:rsidR="000B173B" w:rsidRPr="00292D2C" w:rsidRDefault="000B173B" w:rsidP="000B173B">
      <w:pPr>
        <w:pStyle w:val="Heading4"/>
      </w:pPr>
      <w:r w:rsidRPr="00292D2C">
        <w:t>Ongoing human disturbance</w:t>
      </w:r>
    </w:p>
    <w:p w14:paraId="7BD35122" w14:textId="77777777" w:rsidR="000B173B" w:rsidRPr="00292D2C" w:rsidRDefault="000B173B" w:rsidP="000B173B">
      <w:r w:rsidRPr="00292D2C">
        <w:t>Disturbance may result from recreational activities such as fishing, boating, dog walking</w:t>
      </w:r>
      <w:r>
        <w:t xml:space="preserve"> (particularly unleashed dogs)</w:t>
      </w:r>
      <w:r w:rsidRPr="00292D2C">
        <w:t>, four-wheel driving,</w:t>
      </w:r>
      <w:r>
        <w:t xml:space="preserve"> </w:t>
      </w:r>
      <w:r w:rsidRPr="00292D2C">
        <w:t>noise</w:t>
      </w:r>
      <w:r>
        <w:t>,</w:t>
      </w:r>
      <w:r w:rsidRPr="00292D2C">
        <w:t xml:space="preserve"> and lighting. While an individual source of disturbance may have a low impact, it is important to consider the cumulative impact of different types of human disturbance on the species </w:t>
      </w:r>
      <w:sdt>
        <w:sdtPr>
          <w:rPr>
            <w:color w:val="000000"/>
          </w:rPr>
          <w:tag w:val="MENDELEY_CITATION_v3_eyJjaXRhdGlvbklEIjoiTUVOREVMRVlfQ0lUQVRJT05fODUxNzFlYzMtNzgxNy00MDg2LTlkZGMtMTE2OWVlYjFjODU3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120336806"/>
          <w:placeholder>
            <w:docPart w:val="7A87483195E49548AABB39FF484A13FE"/>
          </w:placeholder>
        </w:sdtPr>
        <w:sdtContent>
          <w:r w:rsidRPr="002F46CE">
            <w:rPr>
              <w:color w:val="000000"/>
            </w:rPr>
            <w:t>(DoE, 2015f)</w:t>
          </w:r>
        </w:sdtContent>
      </w:sdt>
      <w:r>
        <w:t xml:space="preserve">. </w:t>
      </w:r>
    </w:p>
    <w:p w14:paraId="74DC7DFC" w14:textId="77777777" w:rsidR="000B173B" w:rsidRPr="00292D2C" w:rsidRDefault="000B173B" w:rsidP="000B173B">
      <w:r w:rsidRPr="00292D2C">
        <w:t xml:space="preserve">As a migratory shorebird, the </w:t>
      </w:r>
      <w:r>
        <w:t>Eastern Curlew</w:t>
      </w:r>
      <w:r w:rsidRPr="00292D2C">
        <w:t xml:space="preserve"> requires suitable foraging opportunities to build up energy stores required for migration. Human disturbance can interrupt the species’ feeding or roosting behaviours and may cause the species not to feed or roost in a location that would otherwise provide suitable habitat. Disturbance can also reduce the time the species has available for foraging and resting and increase the time the species spends engaging in vigilance and anti-predator behaviour</w:t>
      </w:r>
      <w:r>
        <w:t xml:space="preserve">. Eastern Curlews have been recorded to take flight when humans approach within 30-100 m, or even up to 250 m </w:t>
      </w:r>
      <w:sdt>
        <w:sdtPr>
          <w:rPr>
            <w:color w:val="000000"/>
          </w:rPr>
          <w:tag w:val="MENDELEY_CITATION_v3_eyJjaXRhdGlvbklEIjoiTUVOREVMRVlfQ0lUQVRJT05fZTJkN2E4MTctZDMyOS00ZWE4LWI3NTMtMzg1YTNhOGNlZjM2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71928323"/>
          <w:placeholder>
            <w:docPart w:val="7A87483195E49548AABB39FF484A13FE"/>
          </w:placeholder>
        </w:sdtPr>
        <w:sdtContent>
          <w:r w:rsidRPr="002F46CE">
            <w:rPr>
              <w:color w:val="000000"/>
            </w:rPr>
            <w:t>(DoE, 2015f)</w:t>
          </w:r>
        </w:sdtContent>
      </w:sdt>
      <w:r w:rsidRPr="00A34381">
        <w:t>.</w:t>
      </w:r>
    </w:p>
    <w:p w14:paraId="49DA1752" w14:textId="77777777" w:rsidR="000B173B" w:rsidRPr="004A3438" w:rsidRDefault="000B173B" w:rsidP="000B173B">
      <w:pPr>
        <w:pStyle w:val="Heading4"/>
      </w:pPr>
      <w:r w:rsidRPr="004A3438">
        <w:t>Pollution and changes to the water regime</w:t>
      </w:r>
    </w:p>
    <w:p w14:paraId="4EBD787C" w14:textId="77777777" w:rsidR="000B173B" w:rsidRDefault="000B173B" w:rsidP="000B173B">
      <w:r w:rsidRPr="004A3438">
        <w:t xml:space="preserve">Pollution and changes to the water regime in habitat used by the </w:t>
      </w:r>
      <w:r>
        <w:t>Eastern Curlew</w:t>
      </w:r>
      <w:r w:rsidRPr="00292D2C">
        <w:t xml:space="preserve"> </w:t>
      </w:r>
      <w:r w:rsidRPr="004A3438">
        <w:t>for foraging and/or roosting can cause indirect loss of habitat for the species through habitat degradation</w:t>
      </w:r>
      <w:r>
        <w:t>. Stabilisation of water regimes can result in loss of feeding habitat, and pollution near settled areas can reduce food availability for the species</w:t>
      </w:r>
      <w:r w:rsidRPr="004A3438">
        <w:t xml:space="preserve"> </w:t>
      </w:r>
      <w:sdt>
        <w:sdtPr>
          <w:rPr>
            <w:color w:val="000000"/>
          </w:rPr>
          <w:tag w:val="MENDELEY_CITATION_v3_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"/>
          <w:id w:val="-1282034795"/>
          <w:placeholder>
            <w:docPart w:val="7A87483195E49548AABB39FF484A13FE"/>
          </w:placeholder>
        </w:sdtPr>
        <w:sdtContent>
          <w:r w:rsidRPr="002F46CE">
            <w:rPr>
              <w:color w:val="000000"/>
            </w:rPr>
            <w:t>(DoE, 2015f)</w:t>
          </w:r>
        </w:sdtContent>
      </w:sdt>
      <w:r w:rsidRPr="00A34381">
        <w:t>.</w:t>
      </w:r>
    </w:p>
    <w:p w14:paraId="55C402C4"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470FCC1E" w14:textId="77777777" w:rsidTr="00A15226">
        <w:tc>
          <w:tcPr>
            <w:tcW w:w="9622" w:type="dxa"/>
            <w:shd w:val="clear" w:color="auto" w:fill="C9C9C9" w:themeFill="accent3" w:themeFillTint="99"/>
          </w:tcPr>
          <w:p w14:paraId="5BAAEB40" w14:textId="77777777" w:rsidR="000B173B" w:rsidRPr="008F55BC" w:rsidRDefault="000B173B" w:rsidP="00A15226">
            <w:pPr>
              <w:pStyle w:val="Tabletext"/>
              <w:keepNext/>
              <w:keepLines/>
              <w:rPr>
                <w:b/>
                <w:bCs/>
              </w:rPr>
            </w:pPr>
            <w:r>
              <w:rPr>
                <w:rFonts w:ascii="Helvetica" w:hAnsi="Helvetica"/>
                <w:b/>
                <w:sz w:val="16"/>
                <w:szCs w:val="16"/>
              </w:rPr>
              <w:lastRenderedPageBreak/>
              <w:t xml:space="preserve">RECOVERY PLAN, KEY THREATENING PROCESSES AND THREAT ABATEMENT PLANS </w:t>
            </w:r>
          </w:p>
        </w:tc>
      </w:tr>
    </w:tbl>
    <w:p w14:paraId="44167AE2" w14:textId="77777777" w:rsidR="000B173B" w:rsidRPr="00C6364C" w:rsidRDefault="000B173B" w:rsidP="000B173B">
      <w:pPr>
        <w:keepNext/>
        <w:keepLines/>
        <w:rPr>
          <w:i/>
          <w:color w:val="4472C4" w:themeColor="accent1"/>
        </w:rPr>
      </w:pPr>
      <w:r w:rsidRPr="000816D6">
        <w:rPr>
          <w:i/>
          <w:color w:val="4472C4" w:themeColor="accent1"/>
        </w:rPr>
        <w:t xml:space="preserve">Where applicable, this section discusses the consistency of the Plan with any Recovery Plans and relevant Threat Abatement Plans. </w:t>
      </w:r>
      <w:r w:rsidRPr="008077BA">
        <w:rPr>
          <w:i/>
          <w:color w:val="4472C4" w:themeColor="accent1"/>
        </w:rPr>
        <w:t xml:space="preserve">The general consistency of the Plan with Threat Abatement Plans is discussed in detail in </w:t>
      </w:r>
      <w:r w:rsidRPr="006900FB">
        <w:rPr>
          <w:i/>
          <w:color w:val="4472C4" w:themeColor="accent1"/>
        </w:rPr>
        <w:t>Section 17.3</w:t>
      </w:r>
      <w:r w:rsidRPr="008077BA">
        <w:rPr>
          <w:i/>
          <w:color w:val="4472C4" w:themeColor="accent1"/>
        </w:rPr>
        <w:t xml:space="preserve"> of </w:t>
      </w:r>
      <w:r w:rsidRPr="006900FB">
        <w:rPr>
          <w:i/>
          <w:color w:val="4472C4" w:themeColor="accent1"/>
        </w:rPr>
        <w:t>Chapter 17.</w:t>
      </w:r>
    </w:p>
    <w:p w14:paraId="2D74FDBB" w14:textId="77777777" w:rsidR="000B173B" w:rsidRPr="000816D6" w:rsidRDefault="000B173B" w:rsidP="000B173B">
      <w:pPr>
        <w:pStyle w:val="Heading3"/>
        <w:numPr>
          <w:ilvl w:val="0"/>
          <w:numId w:val="0"/>
        </w:numPr>
        <w:ind w:left="720" w:hanging="720"/>
      </w:pPr>
      <w:r w:rsidRPr="000816D6">
        <w:t>C</w:t>
      </w:r>
      <w:r>
        <w:t>onsistency with recovery plan</w:t>
      </w:r>
    </w:p>
    <w:p w14:paraId="7C36A94D" w14:textId="77777777" w:rsidR="000B173B" w:rsidRDefault="000B173B" w:rsidP="000B173B">
      <w:r>
        <w:t>There is no adopted or made Recovery Plan for this species.</w:t>
      </w:r>
    </w:p>
    <w:p w14:paraId="5809DBEB"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0D46A442"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_Ref106957962 \h </w:instrText>
      </w:r>
      <w:r>
        <w:fldChar w:fldCharType="separate"/>
      </w:r>
      <w:r>
        <w:t xml:space="preserve">Table </w:t>
      </w:r>
      <w:r>
        <w:rPr>
          <w:noProof/>
        </w:rPr>
        <w:t>B</w:t>
      </w:r>
      <w:r>
        <w:noBreakHyphen/>
      </w:r>
      <w:r>
        <w:rPr>
          <w:noProof/>
        </w:rPr>
        <w:t>5</w:t>
      </w:r>
      <w:r>
        <w:fldChar w:fldCharType="end"/>
      </w:r>
      <w:r>
        <w:t xml:space="preserve"> where they relate to:</w:t>
      </w:r>
    </w:p>
    <w:p w14:paraId="6A18424E" w14:textId="77777777" w:rsidR="000B173B" w:rsidRDefault="000B173B" w:rsidP="000B173B">
      <w:pPr>
        <w:pStyle w:val="Bullet1"/>
      </w:pPr>
      <w:r>
        <w:t>The potential direct impacts of the Plan, or</w:t>
      </w:r>
    </w:p>
    <w:p w14:paraId="3FB48B5E" w14:textId="77777777" w:rsidR="000B173B" w:rsidRDefault="000B173B" w:rsidP="000B173B">
      <w:pPr>
        <w:pStyle w:val="Bullet1"/>
      </w:pPr>
      <w:r>
        <w:t>The relevant indirect impacts</w:t>
      </w:r>
    </w:p>
    <w:p w14:paraId="0C53779C" w14:textId="77777777" w:rsidR="000B173B" w:rsidRDefault="000B173B" w:rsidP="000B173B">
      <w:pPr>
        <w:pStyle w:val="Caption"/>
        <w:keepNext/>
      </w:pPr>
      <w:bookmarkStart w:id="264" w:name="_Ref106957962"/>
      <w:bookmarkStart w:id="265" w:name="_Toc134697922"/>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5</w:t>
      </w:r>
      <w:r>
        <w:fldChar w:fldCharType="end"/>
      </w:r>
      <w:bookmarkEnd w:id="264"/>
      <w:r>
        <w:t xml:space="preserve">: </w:t>
      </w:r>
      <w:r w:rsidRPr="005F676F">
        <w:t xml:space="preserve">Relevant Key Threatening Processes and associated Threat Abatement Plans for </w:t>
      </w:r>
      <w:r>
        <w:t>the Eastern Curlew</w:t>
      </w:r>
      <w:bookmarkEnd w:id="265"/>
    </w:p>
    <w:tbl>
      <w:tblPr>
        <w:tblStyle w:val="TableGrid"/>
        <w:tblW w:w="0" w:type="auto"/>
        <w:tblLook w:val="04A0" w:firstRow="1" w:lastRow="0" w:firstColumn="1" w:lastColumn="0" w:noHBand="0" w:noVBand="1"/>
      </w:tblPr>
      <w:tblGrid>
        <w:gridCol w:w="4811"/>
        <w:gridCol w:w="4811"/>
      </w:tblGrid>
      <w:tr w:rsidR="000B173B" w14:paraId="145315DD" w14:textId="77777777" w:rsidTr="00A15226">
        <w:trPr>
          <w:tblHeader/>
        </w:trPr>
        <w:tc>
          <w:tcPr>
            <w:tcW w:w="4811" w:type="dxa"/>
            <w:shd w:val="clear" w:color="auto" w:fill="DBDBDB" w:themeFill="accent3" w:themeFillTint="66"/>
          </w:tcPr>
          <w:p w14:paraId="792042B5"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65AC0BF1" w14:textId="77777777" w:rsidR="000B173B" w:rsidRPr="00FF1996" w:rsidRDefault="000B173B" w:rsidP="00A15226">
            <w:pPr>
              <w:pStyle w:val="Tabletext"/>
              <w:rPr>
                <w:b/>
                <w:bCs/>
              </w:rPr>
            </w:pPr>
            <w:r w:rsidRPr="00FF1996">
              <w:rPr>
                <w:b/>
                <w:bCs/>
              </w:rPr>
              <w:t>Threat abatement plan</w:t>
            </w:r>
          </w:p>
        </w:tc>
      </w:tr>
      <w:tr w:rsidR="000B173B" w14:paraId="39E9C0B7" w14:textId="77777777" w:rsidTr="00A15226">
        <w:tc>
          <w:tcPr>
            <w:tcW w:w="4811" w:type="dxa"/>
            <w:vAlign w:val="center"/>
          </w:tcPr>
          <w:p w14:paraId="527A75AF" w14:textId="77777777" w:rsidR="000B173B" w:rsidRDefault="000B173B" w:rsidP="00A15226">
            <w:pPr>
              <w:pStyle w:val="Tabletext"/>
            </w:pPr>
            <w:r>
              <w:t xml:space="preserve">Land clearance </w:t>
            </w:r>
          </w:p>
        </w:tc>
        <w:tc>
          <w:tcPr>
            <w:tcW w:w="4811" w:type="dxa"/>
          </w:tcPr>
          <w:p w14:paraId="3F018F78" w14:textId="77777777" w:rsidR="000B173B" w:rsidRDefault="000B173B" w:rsidP="00A15226">
            <w:pPr>
              <w:pStyle w:val="Tabletext"/>
            </w:pPr>
            <w:r>
              <w:t>There is no relevant TAP</w:t>
            </w:r>
          </w:p>
        </w:tc>
      </w:tr>
      <w:tr w:rsidR="000B173B" w14:paraId="301D98E2" w14:textId="77777777" w:rsidTr="00A15226">
        <w:tc>
          <w:tcPr>
            <w:tcW w:w="4811" w:type="dxa"/>
          </w:tcPr>
          <w:p w14:paraId="57930951" w14:textId="77777777" w:rsidR="000B173B" w:rsidRDefault="000B173B" w:rsidP="00A15226">
            <w:pPr>
              <w:pStyle w:val="Tabletext"/>
            </w:pPr>
            <w:r w:rsidRPr="003919C8">
              <w:t>Loss and degradation of native plant and animal habitat by invasion of escaped garden plants</w:t>
            </w:r>
          </w:p>
        </w:tc>
        <w:tc>
          <w:tcPr>
            <w:tcW w:w="4811" w:type="dxa"/>
          </w:tcPr>
          <w:p w14:paraId="3ED9444A" w14:textId="77777777" w:rsidR="000B173B" w:rsidRDefault="000B173B" w:rsidP="00A15226">
            <w:pPr>
              <w:pStyle w:val="Tabletext"/>
            </w:pPr>
            <w:r>
              <w:t>There is no relevant TAP</w:t>
            </w:r>
          </w:p>
        </w:tc>
      </w:tr>
      <w:tr w:rsidR="000B173B" w14:paraId="56D37B40" w14:textId="77777777" w:rsidTr="00A15226">
        <w:tc>
          <w:tcPr>
            <w:tcW w:w="4811" w:type="dxa"/>
          </w:tcPr>
          <w:p w14:paraId="7A7EF34F" w14:textId="77777777" w:rsidR="000B173B" w:rsidRPr="003919C8" w:rsidRDefault="000B173B" w:rsidP="00A15226">
            <w:pPr>
              <w:pStyle w:val="Tabletext"/>
            </w:pPr>
            <w:r w:rsidRPr="003919C8">
              <w:t>Novel biota and their impact on biodiversity</w:t>
            </w:r>
          </w:p>
        </w:tc>
        <w:tc>
          <w:tcPr>
            <w:tcW w:w="4811" w:type="dxa"/>
          </w:tcPr>
          <w:p w14:paraId="73491C66" w14:textId="77777777" w:rsidR="000B173B" w:rsidRDefault="000B173B" w:rsidP="00A15226">
            <w:pPr>
              <w:pStyle w:val="Tabletext"/>
            </w:pPr>
            <w:r>
              <w:t>There is no relevant TAP</w:t>
            </w:r>
          </w:p>
        </w:tc>
      </w:tr>
    </w:tbl>
    <w:p w14:paraId="0A2C2C62" w14:textId="77777777" w:rsidR="000B173B" w:rsidRPr="000A61FB" w:rsidRDefault="000B173B" w:rsidP="000B173B"/>
    <w:p w14:paraId="5BAF4ED1" w14:textId="77777777" w:rsidR="000B173B" w:rsidRDefault="000B173B" w:rsidP="000B173B">
      <w:pPr>
        <w:pStyle w:val="Heading2"/>
        <w:ind w:left="578" w:hanging="578"/>
      </w:pPr>
      <w:r>
        <w:br w:type="page"/>
      </w:r>
    </w:p>
    <w:p w14:paraId="6F6F9000" w14:textId="77777777" w:rsidR="000B173B" w:rsidRPr="00297975" w:rsidRDefault="000B173B" w:rsidP="000B173B">
      <w:pPr>
        <w:pStyle w:val="Heading2"/>
        <w:numPr>
          <w:ilvl w:val="0"/>
          <w:numId w:val="0"/>
        </w:numPr>
      </w:pPr>
      <w:bookmarkStart w:id="266" w:name="_Toc131154207"/>
      <w:bookmarkStart w:id="267" w:name="_Toc131154394"/>
      <w:r>
        <w:lastRenderedPageBreak/>
        <w:t xml:space="preserve">Great Knot </w:t>
      </w:r>
      <w:r>
        <w:rPr>
          <w:i/>
          <w:iCs/>
        </w:rPr>
        <w:t>(Calidris tenuirostris)</w:t>
      </w:r>
      <w:bookmarkEnd w:id="266"/>
      <w:bookmarkEnd w:id="267"/>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24ADBAFE" w14:textId="77777777" w:rsidTr="00A15226">
        <w:trPr>
          <w:tblHeader/>
        </w:trPr>
        <w:tc>
          <w:tcPr>
            <w:tcW w:w="9747" w:type="dxa"/>
            <w:shd w:val="clear" w:color="auto" w:fill="D9D9D9" w:themeFill="background1" w:themeFillShade="D9"/>
            <w:vAlign w:val="center"/>
          </w:tcPr>
          <w:p w14:paraId="25F4354E"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37EB6AF4"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06BF4E48" w14:textId="77777777" w:rsidTr="00A15226">
        <w:tc>
          <w:tcPr>
            <w:tcW w:w="1526" w:type="dxa"/>
            <w:vAlign w:val="center"/>
          </w:tcPr>
          <w:p w14:paraId="5D72F3D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1E00AFAF" w14:textId="77777777" w:rsidR="000B173B" w:rsidRDefault="000B173B" w:rsidP="00A15226">
            <w:pPr>
              <w:pStyle w:val="Tabletext"/>
            </w:pPr>
            <w:r>
              <w:t>Critically Endangered, Migratory</w:t>
            </w:r>
          </w:p>
          <w:p w14:paraId="1B6091BC" w14:textId="77777777" w:rsidR="000B173B" w:rsidRDefault="000B173B" w:rsidP="00A15226">
            <w:pPr>
              <w:pStyle w:val="Tabletext"/>
            </w:pPr>
            <w:r>
              <w:t xml:space="preserve">Note that the Great Knot </w:t>
            </w:r>
            <w:r w:rsidRPr="00C00E39">
              <w:t xml:space="preserve">is currently on the Finalised Priority Assessment List (FPAL) and is proposed to have its listing </w:t>
            </w:r>
            <w:r>
              <w:t>down</w:t>
            </w:r>
            <w:r w:rsidRPr="00C00E39">
              <w:t>grad</w:t>
            </w:r>
            <w:r w:rsidRPr="00AA3283">
              <w:t xml:space="preserve">ed to not listed </w:t>
            </w:r>
            <w:sdt>
              <w:sdtPr>
                <w:rPr>
                  <w:color w:val="000000"/>
                </w:rPr>
                <w:tag w:val="MENDELEY_CITATION_v3_eyJjaXRhdGlvbklEIjoiTUVOREVMRVlfQ0lUQVRJT05fZTI4MGFiNzAtYjk5Yy00NGIxLTllZGMtM2UwMzFiYWJhYzhm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76251928"/>
                <w:placeholder>
                  <w:docPart w:val="7A87483195E49548AABB39FF484A13FE"/>
                </w:placeholder>
              </w:sdtPr>
              <w:sdtContent>
                <w:r w:rsidRPr="002F46CE">
                  <w:rPr>
                    <w:color w:val="000000"/>
                  </w:rPr>
                  <w:t>(DAWE, 2021f)</w:t>
                </w:r>
              </w:sdtContent>
            </w:sdt>
          </w:p>
          <w:p w14:paraId="62C3A5DF" w14:textId="77777777" w:rsidR="000B173B" w:rsidRPr="003E1ADD" w:rsidRDefault="000B173B" w:rsidP="00A15226">
            <w:pPr>
              <w:pStyle w:val="Tabletext"/>
            </w:pPr>
            <w:r>
              <w:t xml:space="preserve">A decision is due by 30 October 2023 </w:t>
            </w:r>
            <w:sdt>
              <w:sdtPr>
                <w:rPr>
                  <w:color w:val="000000"/>
                </w:rPr>
                <w:tag w:val="MENDELEY_CITATION_v3_eyJjaXRhdGlvbklEIjoiTUVOREVMRVlfQ0lUQVRJT05fY2EzN2E5YTMtZDllZi00NjgxLWIyNTEtNTQxMTA5ZTNhYzYw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166010040"/>
                <w:placeholder>
                  <w:docPart w:val="7A87483195E49548AABB39FF484A13FE"/>
                </w:placeholder>
              </w:sdtPr>
              <w:sdtContent>
                <w:r w:rsidRPr="002F46CE">
                  <w:rPr>
                    <w:color w:val="000000"/>
                  </w:rPr>
                  <w:t>(DAWE, 2021f)</w:t>
                </w:r>
              </w:sdtContent>
            </w:sdt>
          </w:p>
        </w:tc>
      </w:tr>
      <w:tr w:rsidR="000B173B" w:rsidRPr="000816D6" w14:paraId="27D7BB09" w14:textId="77777777" w:rsidTr="00A15226">
        <w:tc>
          <w:tcPr>
            <w:tcW w:w="1526" w:type="dxa"/>
            <w:vAlign w:val="center"/>
          </w:tcPr>
          <w:p w14:paraId="742AD3B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2A089F65" w14:textId="77777777" w:rsidR="000B173B" w:rsidRPr="00B719D2" w:rsidRDefault="000B173B" w:rsidP="00A15226">
            <w:pPr>
              <w:pStyle w:val="Tabletext"/>
            </w:pPr>
            <w:r>
              <w:rPr>
                <w:i/>
                <w:iCs/>
              </w:rPr>
              <w:t xml:space="preserve">Calidris tenuirostris </w:t>
            </w:r>
            <w:r>
              <w:t xml:space="preserve">(Great Knot) is a medium sized shorebird that grows to a length of 26 – 28 cm. It has a straight, slender bill, and distinct breeding, non-breeding and juvenile plumages </w:t>
            </w:r>
            <w:sdt>
              <w:sdtPr>
                <w:rPr>
                  <w:color w:val="000000"/>
                </w:rPr>
                <w:tag w:val="MENDELEY_CITATION_v3_eyJjaXRhdGlvbklEIjoiTUVOREVMRVlfQ0lUQVRJT05fMGViMDZlOGQtYmYwMC00ZWZkLThmNGQtM2E3MmM4NWMzYzRk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1327250243"/>
                <w:placeholder>
                  <w:docPart w:val="7A87483195E49548AABB39FF484A13FE"/>
                </w:placeholder>
              </w:sdtPr>
              <w:sdtContent>
                <w:r w:rsidRPr="002F46CE">
                  <w:rPr>
                    <w:color w:val="000000"/>
                  </w:rPr>
                  <w:t>(TSSC, 2016c)</w:t>
                </w:r>
              </w:sdtContent>
            </w:sdt>
            <w:r>
              <w:t>.</w:t>
            </w:r>
          </w:p>
        </w:tc>
      </w:tr>
      <w:tr w:rsidR="000B173B" w:rsidRPr="000816D6" w14:paraId="5CD4EA97" w14:textId="77777777" w:rsidTr="00A15226">
        <w:tc>
          <w:tcPr>
            <w:tcW w:w="1526" w:type="dxa"/>
            <w:vAlign w:val="center"/>
          </w:tcPr>
          <w:p w14:paraId="1A2F1DD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1C988538" w14:textId="77777777" w:rsidR="000B173B" w:rsidRDefault="000B173B" w:rsidP="00A15226">
            <w:pPr>
              <w:pStyle w:val="Tabletext"/>
            </w:pPr>
            <w:r>
              <w:t xml:space="preserve">The species generation time is estimated at 8.6 years, with a maximum longevity of 19.7 years. The Great Knot breeds in north-east Siberia and far north-east Russia. The species migrates to southern non-breeding grounds between August and October. Most birds stay in northern Australia, although some individuals move further south. The species leaves Australia in late March to early April </w:t>
            </w:r>
            <w:sdt>
              <w:sdtPr>
                <w:rPr>
                  <w:color w:val="000000"/>
                </w:rPr>
                <w:tag w:val="MENDELEY_CITATION_v3_eyJjaXRhdGlvbklEIjoiTUVOREVMRVlfQ0lUQVRJT05fYjI4MDU4NjctZDc5NC00MjMwLWIwNmItZmIzOTI1ZjdmZjU2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2063007558"/>
                <w:placeholder>
                  <w:docPart w:val="7A87483195E49548AABB39FF484A13FE"/>
                </w:placeholder>
              </w:sdtPr>
              <w:sdtContent>
                <w:r w:rsidRPr="002F46CE">
                  <w:rPr>
                    <w:color w:val="000000"/>
                  </w:rPr>
                  <w:t>(TSSC, 2016c)</w:t>
                </w:r>
              </w:sdtContent>
            </w:sdt>
            <w:r>
              <w:t>.</w:t>
            </w:r>
          </w:p>
          <w:p w14:paraId="223B6D18" w14:textId="77777777" w:rsidR="000B173B" w:rsidRPr="003E1ADD" w:rsidRDefault="000B173B" w:rsidP="00A15226">
            <w:pPr>
              <w:pStyle w:val="Tabletext"/>
            </w:pPr>
            <w:r>
              <w:t xml:space="preserve">The Great Knot feeds on invertebrates through pecking at or just below the surface of moist mud or sand. The species feeds on bivalves, gastropods, crustaceans and other invertebrates </w:t>
            </w:r>
            <w:sdt>
              <w:sdtPr>
                <w:rPr>
                  <w:color w:val="000000"/>
                </w:rPr>
                <w:tag w:val="MENDELEY_CITATION_v3_eyJjaXRhdGlvbklEIjoiTUVOREVMRVlfQ0lUQVRJT05fZTFiN2Y2M2ItY2Y4OS00YWIxLTgzZGUtNTQ4YTBmMDUyZWQ1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710771116"/>
                <w:placeholder>
                  <w:docPart w:val="7A87483195E49548AABB39FF484A13FE"/>
                </w:placeholder>
              </w:sdtPr>
              <w:sdtContent>
                <w:r w:rsidRPr="002F46CE">
                  <w:rPr>
                    <w:color w:val="000000"/>
                  </w:rPr>
                  <w:t>(TSSC, 2016c)</w:t>
                </w:r>
              </w:sdtContent>
            </w:sdt>
            <w:r>
              <w:t>.</w:t>
            </w:r>
          </w:p>
        </w:tc>
      </w:tr>
      <w:tr w:rsidR="000B173B" w:rsidRPr="000816D6" w14:paraId="5ED9FCF4" w14:textId="77777777" w:rsidTr="00A15226">
        <w:tc>
          <w:tcPr>
            <w:tcW w:w="1526" w:type="dxa"/>
            <w:vAlign w:val="center"/>
          </w:tcPr>
          <w:p w14:paraId="6F38778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644E3342" w14:textId="77777777" w:rsidR="000B173B" w:rsidRDefault="000B173B" w:rsidP="00A15226">
            <w:pPr>
              <w:pStyle w:val="Tabletext"/>
            </w:pPr>
            <w:r>
              <w:t>The Great Knot breeds in the northern hemisphere and undertakes biannual migrations along the East Asian-Australasian Flyway. The species has been recorded around the entirety of the Australian coast along with a few scattered records inland. The greatest numbers have been recorded in northern Western Australia, and the Northern Territory. The species is much less common in south-west Australia, South Australia, Victoria and Tasmania. The extent of occurrence of the Australian population is estimated to be 35,000 km</w:t>
            </w:r>
            <w:r>
              <w:rPr>
                <w:vertAlign w:val="superscript"/>
              </w:rPr>
              <w:t>2</w:t>
            </w:r>
            <w:r>
              <w:t>, and the area of occupancy is 2,800 km</w:t>
            </w:r>
            <w:r>
              <w:rPr>
                <w:vertAlign w:val="superscript"/>
              </w:rPr>
              <w:t xml:space="preserve">2 </w:t>
            </w:r>
            <w:sdt>
              <w:sdtPr>
                <w:rPr>
                  <w:color w:val="000000"/>
                </w:rPr>
                <w:tag w:val="MENDELEY_CITATION_v3_eyJjaXRhdGlvbklEIjoiTUVOREVMRVlfQ0lUQVRJT05fYjdhZWMwYTAtNzM0Zi00M2YzLTg5NDEtNTk1MDRiZTBiYTFm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2020141638"/>
                <w:placeholder>
                  <w:docPart w:val="7A87483195E49548AABB39FF484A13FE"/>
                </w:placeholder>
              </w:sdtPr>
              <w:sdtContent>
                <w:r w:rsidRPr="002F46CE">
                  <w:rPr>
                    <w:color w:val="000000"/>
                  </w:rPr>
                  <w:t>(TSSC, 2016c)</w:t>
                </w:r>
              </w:sdtContent>
            </w:sdt>
            <w:r>
              <w:t>.</w:t>
            </w:r>
          </w:p>
          <w:p w14:paraId="27115441" w14:textId="77777777" w:rsidR="000B173B" w:rsidRPr="00F757DF" w:rsidRDefault="000B173B" w:rsidP="00A15226">
            <w:pPr>
              <w:pStyle w:val="Tabletext"/>
            </w:pPr>
            <w:r>
              <w:t xml:space="preserve">Within Australia, the species prefers sheltered coastal habitats with large intertidal mudflats or sandflats, including inlets, bays, harbours, estuaries and lagoons. The Great Knot also is occasionally found on exposed reefs or rock platforms, shorelines with mangrove vegetation, ponds in saltworks, at swamps near the coast, salt lakes and non-tidal lagoons. The species roosts in open areas, often at the water’s edge or in shallow water close to feeding grounds </w:t>
            </w:r>
            <w:sdt>
              <w:sdtPr>
                <w:rPr>
                  <w:color w:val="000000"/>
                </w:rPr>
                <w:tag w:val="MENDELEY_CITATION_v3_eyJjaXRhdGlvbklEIjoiTUVOREVMRVlfQ0lUQVRJT05fYTI3NjcwN2YtOWIxZS00NTBmLTg4MjQtMGZlMDliN2YzZTg5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515231870"/>
                <w:placeholder>
                  <w:docPart w:val="7A87483195E49548AABB39FF484A13FE"/>
                </w:placeholder>
              </w:sdtPr>
              <w:sdtContent>
                <w:r w:rsidRPr="002F46CE">
                  <w:rPr>
                    <w:color w:val="000000"/>
                  </w:rPr>
                  <w:t>(TSSC, 2016c)</w:t>
                </w:r>
              </w:sdtContent>
            </w:sdt>
            <w:r>
              <w:t>.</w:t>
            </w:r>
          </w:p>
        </w:tc>
      </w:tr>
      <w:tr w:rsidR="000B173B" w:rsidRPr="000816D6" w14:paraId="682AE256" w14:textId="77777777" w:rsidTr="00A15226">
        <w:tc>
          <w:tcPr>
            <w:tcW w:w="1526" w:type="dxa"/>
            <w:vAlign w:val="center"/>
          </w:tcPr>
          <w:p w14:paraId="6BCA177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42F26574" w14:textId="77777777" w:rsidR="000B173B" w:rsidRPr="003E1ADD" w:rsidRDefault="000B173B" w:rsidP="00A15226">
            <w:pPr>
              <w:pStyle w:val="Tabletext"/>
            </w:pPr>
            <w:r>
              <w:t xml:space="preserve">The number of individuals using the East Asian-Australasian Flyway is approximately 425,000 </w:t>
            </w:r>
            <w:sdt>
              <w:sdtPr>
                <w:tag w:val="MENDELEY_CITATION_v3_eyJjaXRhdGlvbklEIjoiTUVOREVMRVlfQ0lUQVRJT05fNzE1ZTEwMjYtMDYxZC00NWIwLWIxZGYtYzk5ZWUxNGM5YmFkIiwicHJvcGVydGllcyI6eyJub3RlSW5kZXgiOjB9LCJpc0VkaXRlZCI6ZmFsc2UsIm1hbnVhbE92ZXJyaWRlIjp7ImNpdGVwcm9jVGV4dCI6IihIYW5zZW4gPGk+ZXQgYWwuPC9pPiwgMjAxNikiLCJpc01hbnVhbGx5T3ZlcnJpZGRlbiI6ZmFsc2UsIm1hbnVhbE92ZXJyaWRlVGV4dCI6IiJ9LCJjaXRhdGlvbkl0ZW1zIjpb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1296026992"/>
                <w:placeholder>
                  <w:docPart w:val="7A87483195E49548AABB39FF484A13FE"/>
                </w:placeholder>
              </w:sdtPr>
              <w:sdtContent>
                <w:r>
                  <w:rPr>
                    <w:rFonts w:eastAsia="Times New Roman"/>
                  </w:rPr>
                  <w:t xml:space="preserve">(Hansen </w:t>
                </w:r>
                <w:r>
                  <w:rPr>
                    <w:rFonts w:eastAsia="Times New Roman"/>
                    <w:i/>
                    <w:iCs/>
                  </w:rPr>
                  <w:t>et al.</w:t>
                </w:r>
                <w:r>
                  <w:rPr>
                    <w:rFonts w:eastAsia="Times New Roman"/>
                  </w:rPr>
                  <w:t>, 2016)</w:t>
                </w:r>
              </w:sdtContent>
            </w:sdt>
            <w:r>
              <w:t>.</w:t>
            </w:r>
          </w:p>
        </w:tc>
      </w:tr>
      <w:tr w:rsidR="000B173B" w:rsidRPr="002F23FB" w14:paraId="0B2CC3AD" w14:textId="77777777" w:rsidTr="00A15226">
        <w:tc>
          <w:tcPr>
            <w:tcW w:w="1526" w:type="dxa"/>
            <w:vAlign w:val="center"/>
          </w:tcPr>
          <w:p w14:paraId="5039FD38"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5BB43079" w14:textId="77777777" w:rsidR="000B173B" w:rsidRDefault="000B173B" w:rsidP="00A15226">
            <w:pPr>
              <w:pStyle w:val="Tabletext"/>
            </w:pPr>
            <w:r>
              <w:t xml:space="preserve">The species Conservation Advice has identified the following threats </w:t>
            </w:r>
            <w:sdt>
              <w:sdtPr>
                <w:rPr>
                  <w:color w:val="000000"/>
                </w:rPr>
                <w:tag w:val="MENDELEY_CITATION_v3_eyJjaXRhdGlvbklEIjoiTUVOREVMRVlfQ0lUQVRJT05fYjliY2E0YWUtYjE4NC00YmViLWEzNzMtZjQxNDIyYTg0MWQw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713858106"/>
                <w:placeholder>
                  <w:docPart w:val="7A87483195E49548AABB39FF484A13FE"/>
                </w:placeholder>
              </w:sdtPr>
              <w:sdtContent>
                <w:r w:rsidRPr="002F46CE">
                  <w:rPr>
                    <w:color w:val="000000"/>
                  </w:rPr>
                  <w:t>(TSSC, 2016c)</w:t>
                </w:r>
              </w:sdtContent>
            </w:sdt>
            <w:r>
              <w:t>:</w:t>
            </w:r>
          </w:p>
          <w:p w14:paraId="2AB477B6" w14:textId="77777777" w:rsidR="000B173B" w:rsidRDefault="000B173B" w:rsidP="00A15226">
            <w:pPr>
              <w:pStyle w:val="Bullet1"/>
            </w:pPr>
            <w:r>
              <w:t>Habitat loss and habitat degradation, through:</w:t>
            </w:r>
          </w:p>
          <w:p w14:paraId="68614E37" w14:textId="77777777" w:rsidR="000B173B" w:rsidRDefault="000B173B" w:rsidP="00A15226">
            <w:pPr>
              <w:pStyle w:val="Bullet2"/>
            </w:pPr>
            <w:r>
              <w:t>Urban and industrial expansion</w:t>
            </w:r>
          </w:p>
          <w:p w14:paraId="780290A8" w14:textId="77777777" w:rsidR="000B173B" w:rsidRDefault="000B173B" w:rsidP="00A15226">
            <w:pPr>
              <w:pStyle w:val="Bullet2"/>
            </w:pPr>
            <w:r>
              <w:t>Altered hydrological regimes and decreased water quality</w:t>
            </w:r>
          </w:p>
          <w:p w14:paraId="157486D4" w14:textId="77777777" w:rsidR="000B173B" w:rsidRDefault="000B173B" w:rsidP="00A15226">
            <w:pPr>
              <w:pStyle w:val="Bullet2"/>
            </w:pPr>
            <w:r>
              <w:t>Invasive weeds</w:t>
            </w:r>
          </w:p>
          <w:p w14:paraId="326527FE" w14:textId="77777777" w:rsidR="000B173B" w:rsidRDefault="000B173B" w:rsidP="00A15226">
            <w:pPr>
              <w:pStyle w:val="Bullet1"/>
            </w:pPr>
            <w:r>
              <w:t>Climate change</w:t>
            </w:r>
          </w:p>
          <w:p w14:paraId="6DBBFEDB" w14:textId="77777777" w:rsidR="000B173B" w:rsidRDefault="000B173B" w:rsidP="00A15226">
            <w:pPr>
              <w:pStyle w:val="Bullet1"/>
            </w:pPr>
            <w:r>
              <w:t>Pollution/contaminants</w:t>
            </w:r>
          </w:p>
          <w:p w14:paraId="602D119D" w14:textId="77777777" w:rsidR="000B173B" w:rsidRDefault="000B173B" w:rsidP="00A15226">
            <w:pPr>
              <w:pStyle w:val="Bullet1"/>
            </w:pPr>
            <w:r>
              <w:t>Human disturbance</w:t>
            </w:r>
          </w:p>
          <w:p w14:paraId="3C09B031" w14:textId="77777777" w:rsidR="000B173B" w:rsidRDefault="000B173B" w:rsidP="00A15226">
            <w:pPr>
              <w:pStyle w:val="Bullet1"/>
            </w:pPr>
            <w:r>
              <w:t>Disease (avian influenza virus)</w:t>
            </w:r>
          </w:p>
          <w:p w14:paraId="5AB920D0" w14:textId="77777777" w:rsidR="000B173B" w:rsidRPr="003E1ADD" w:rsidRDefault="000B173B" w:rsidP="00A15226">
            <w:pPr>
              <w:pStyle w:val="Bullet1"/>
            </w:pPr>
            <w:r>
              <w:t>Direct mortality (hunting)</w:t>
            </w:r>
          </w:p>
        </w:tc>
      </w:tr>
      <w:tr w:rsidR="000B173B" w:rsidRPr="002F23FB" w14:paraId="4B988087" w14:textId="77777777" w:rsidTr="00A15226">
        <w:tc>
          <w:tcPr>
            <w:tcW w:w="1526" w:type="dxa"/>
            <w:vAlign w:val="center"/>
          </w:tcPr>
          <w:p w14:paraId="4F5B7DD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03F79194" w14:textId="77777777" w:rsidR="000B173B" w:rsidRPr="003E1ADD" w:rsidRDefault="000B173B" w:rsidP="00A15226">
            <w:pPr>
              <w:pStyle w:val="Tabletext"/>
              <w:rPr>
                <w:iCs/>
              </w:rPr>
            </w:pPr>
            <w:r w:rsidRPr="00D32954">
              <w:t xml:space="preserve">Conservation Advice </w:t>
            </w:r>
            <w:r w:rsidRPr="0011395B">
              <w:rPr>
                <w:i/>
                <w:iCs/>
              </w:rPr>
              <w:t>Calidris tenuirostris</w:t>
            </w:r>
            <w:r w:rsidRPr="00D32954">
              <w:t xml:space="preserve"> Great </w:t>
            </w:r>
            <w:r>
              <w:t>K</w:t>
            </w:r>
            <w:r w:rsidRPr="00D32954">
              <w:t>not</w:t>
            </w:r>
            <w:r>
              <w:t xml:space="preserve"> </w:t>
            </w:r>
            <w:sdt>
              <w:sdtPr>
                <w:rPr>
                  <w:color w:val="000000"/>
                </w:rPr>
                <w:tag w:val="MENDELEY_CITATION_v3_eyJjaXRhdGlvbklEIjoiTUVOREVMRVlfQ0lUQVRJT05fMzAzOTA0MjUtMmE3OC00NmI5LThhZTAtYThiNWRkMGM3NGJk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1968271391"/>
                <w:placeholder>
                  <w:docPart w:val="7A87483195E49548AABB39FF484A13FE"/>
                </w:placeholder>
              </w:sdtPr>
              <w:sdtContent>
                <w:r w:rsidRPr="002F46CE">
                  <w:rPr>
                    <w:color w:val="000000"/>
                  </w:rPr>
                  <w:t>(TSSC, 2016c)</w:t>
                </w:r>
              </w:sdtContent>
            </w:sdt>
          </w:p>
        </w:tc>
      </w:tr>
      <w:tr w:rsidR="000B173B" w:rsidRPr="000816D6" w14:paraId="32E16CCA" w14:textId="77777777" w:rsidTr="00A15226">
        <w:tc>
          <w:tcPr>
            <w:tcW w:w="1526" w:type="dxa"/>
            <w:vAlign w:val="center"/>
          </w:tcPr>
          <w:p w14:paraId="3487A9D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538C4F90" w14:textId="77777777" w:rsidR="000B173B" w:rsidRDefault="000B173B" w:rsidP="00A15226">
            <w:pPr>
              <w:pStyle w:val="Tabletext"/>
            </w:pPr>
            <w:r w:rsidRPr="00D32954">
              <w:t>Wildlife Conservation Plan for Migratory Shorebirds</w:t>
            </w:r>
            <w:r>
              <w:t xml:space="preserve"> </w:t>
            </w:r>
            <w:sdt>
              <w:sdtPr>
                <w:rPr>
                  <w:color w:val="000000"/>
                </w:rPr>
                <w:tag w:val="MENDELEY_CITATION_v3_eyJjaXRhdGlvbklEIjoiTUVOREVMRVlfQ0lUQVRJT05fMjg5N2NlMjUtMWMyZC00MWYyLWFiMmEtOTRkODBmOTIwNmJl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1850830712"/>
                <w:placeholder>
                  <w:docPart w:val="7A87483195E49548AABB39FF484A13FE"/>
                </w:placeholder>
              </w:sdtPr>
              <w:sdtContent>
                <w:r w:rsidRPr="002F46CE">
                  <w:rPr>
                    <w:color w:val="000000"/>
                  </w:rPr>
                  <w:t>(Commonwealth of Australia, 2015)</w:t>
                </w:r>
              </w:sdtContent>
            </w:sdt>
          </w:p>
          <w:p w14:paraId="48D51DB4" w14:textId="77777777" w:rsidR="000B173B" w:rsidRPr="00980D4D" w:rsidRDefault="000B173B" w:rsidP="00A15226">
            <w:pPr>
              <w:pStyle w:val="Tabletext"/>
            </w:pPr>
            <w:r>
              <w:lastRenderedPageBreak/>
              <w:t>E</w:t>
            </w:r>
            <w:r w:rsidRPr="00A31A72">
              <w:t>PBC Act Policy Statement 3.21 - Industry Guidelines for avoiding, assessing and mitigating impacts on EBBC Act listed migratory shorebird species</w:t>
            </w:r>
            <w:r>
              <w:t xml:space="preserve"> </w:t>
            </w:r>
            <w:sdt>
              <w:sdtPr>
                <w:rPr>
                  <w:color w:val="000000"/>
                </w:rPr>
                <w:tag w:val="MENDELEY_CITATION_v3_eyJjaXRhdGlvbklEIjoiTUVOREVMRVlfQ0lUQVRJT05fYmY5YmVjMzEtMjVmYy00MDY3LWI3NWItZGExOGVkNjcwMGIz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918777069"/>
                <w:placeholder>
                  <w:docPart w:val="7A87483195E49548AABB39FF484A13FE"/>
                </w:placeholder>
              </w:sdtPr>
              <w:sdtContent>
                <w:r w:rsidRPr="002F46CE">
                  <w:rPr>
                    <w:color w:val="000000"/>
                  </w:rPr>
                  <w:t>(DoE, 2017)</w:t>
                </w:r>
              </w:sdtContent>
            </w:sdt>
          </w:p>
        </w:tc>
      </w:tr>
      <w:tr w:rsidR="000B173B" w:rsidRPr="000816D6" w14:paraId="06245D91" w14:textId="77777777" w:rsidTr="00A15226">
        <w:tc>
          <w:tcPr>
            <w:tcW w:w="1526" w:type="dxa"/>
            <w:vAlign w:val="center"/>
          </w:tcPr>
          <w:p w14:paraId="0D17588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SPRAT LINK</w:t>
            </w:r>
          </w:p>
        </w:tc>
        <w:tc>
          <w:tcPr>
            <w:tcW w:w="8113" w:type="dxa"/>
            <w:vAlign w:val="center"/>
          </w:tcPr>
          <w:p w14:paraId="53ABF009" w14:textId="77777777" w:rsidR="000B173B" w:rsidRPr="003E1ADD" w:rsidRDefault="000B173B" w:rsidP="00A15226">
            <w:pPr>
              <w:pStyle w:val="Tabletext"/>
            </w:pPr>
            <w:hyperlink r:id="rId139" w:history="1">
              <w:r w:rsidRPr="007473F6">
                <w:rPr>
                  <w:rStyle w:val="Hyperlink"/>
                </w:rPr>
                <w:t>http://www.environment.gov.au/cgi-bin/sprat/public/publicspecies.pl?taxon_id=862</w:t>
              </w:r>
            </w:hyperlink>
            <w:r>
              <w:t xml:space="preserve"> </w:t>
            </w:r>
          </w:p>
        </w:tc>
      </w:tr>
    </w:tbl>
    <w:p w14:paraId="3C26446A"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6E55DC24" w14:textId="77777777" w:rsidTr="00A15226">
        <w:tc>
          <w:tcPr>
            <w:tcW w:w="9622" w:type="dxa"/>
            <w:shd w:val="clear" w:color="auto" w:fill="C9C9C9" w:themeFill="accent3" w:themeFillTint="99"/>
          </w:tcPr>
          <w:p w14:paraId="231B6DF4" w14:textId="77777777" w:rsidR="000B173B" w:rsidRPr="008F55BC" w:rsidRDefault="000B173B" w:rsidP="00A15226">
            <w:pPr>
              <w:pStyle w:val="Tabletext"/>
              <w:rPr>
                <w:b/>
                <w:bCs/>
              </w:rPr>
            </w:pPr>
            <w:r>
              <w:rPr>
                <w:rFonts w:ascii="Helvetica" w:hAnsi="Helvetica"/>
                <w:b/>
                <w:sz w:val="16"/>
                <w:szCs w:val="16"/>
              </w:rPr>
              <w:t>APPROACH TO BASELINE DATA</w:t>
            </w:r>
          </w:p>
        </w:tc>
      </w:tr>
    </w:tbl>
    <w:p w14:paraId="6EEB3B40"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514CEEED"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0F76CA80"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5B434027" w14:textId="77777777" w:rsidR="000B173B" w:rsidRPr="00296917" w:rsidRDefault="000B173B" w:rsidP="000B173B">
      <w:pPr>
        <w:rPr>
          <w:i/>
          <w:color w:val="4472C4" w:themeColor="accent1"/>
        </w:rPr>
      </w:pPr>
      <w:r w:rsidRPr="000816D6">
        <w:rPr>
          <w:i/>
          <w:color w:val="4472C4" w:themeColor="accent1"/>
        </w:rPr>
        <w:t xml:space="preserve">Please refer </w:t>
      </w:r>
      <w:r w:rsidRPr="008077BA">
        <w:rPr>
          <w:i/>
          <w:color w:val="4472C4" w:themeColor="accent1"/>
        </w:rPr>
        <w:t xml:space="preserve">to </w:t>
      </w:r>
      <w:r w:rsidRPr="006900FB">
        <w:rPr>
          <w:i/>
          <w:color w:val="4472C4" w:themeColor="accent1"/>
        </w:rPr>
        <w:t>Chapter 13</w:t>
      </w:r>
      <w:r w:rsidRPr="008A0753">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4272E524" w14:textId="77777777" w:rsidTr="00A15226">
        <w:tc>
          <w:tcPr>
            <w:tcW w:w="1526" w:type="dxa"/>
            <w:vMerge w:val="restart"/>
            <w:vAlign w:val="center"/>
          </w:tcPr>
          <w:p w14:paraId="3E010617"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485365BD"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GROWTH AREAS</w:t>
            </w:r>
          </w:p>
        </w:tc>
      </w:tr>
      <w:tr w:rsidR="000B173B" w:rsidRPr="00980D4D" w14:paraId="405F83C8" w14:textId="77777777" w:rsidTr="00A15226">
        <w:tc>
          <w:tcPr>
            <w:tcW w:w="1526" w:type="dxa"/>
            <w:vMerge/>
            <w:vAlign w:val="center"/>
          </w:tcPr>
          <w:p w14:paraId="4CCD7BFB" w14:textId="77777777" w:rsidR="000B173B" w:rsidRDefault="000B173B" w:rsidP="00A15226">
            <w:pPr>
              <w:pStyle w:val="Tabletext"/>
              <w:rPr>
                <w:rFonts w:ascii="Helvetica" w:hAnsi="Helvetica"/>
                <w:b/>
                <w:bCs/>
                <w:sz w:val="14"/>
              </w:rPr>
            </w:pPr>
          </w:p>
        </w:tc>
        <w:tc>
          <w:tcPr>
            <w:tcW w:w="8113" w:type="dxa"/>
            <w:vAlign w:val="center"/>
          </w:tcPr>
          <w:p w14:paraId="021A273A"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1E39B1CD" w14:textId="77777777" w:rsidTr="00A15226">
        <w:tc>
          <w:tcPr>
            <w:tcW w:w="1526" w:type="dxa"/>
            <w:vMerge/>
            <w:vAlign w:val="center"/>
          </w:tcPr>
          <w:p w14:paraId="2B4F73D7"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221BC3F7" w14:textId="77777777" w:rsidR="000B173B" w:rsidRDefault="000B173B" w:rsidP="00A15226">
            <w:pPr>
              <w:pStyle w:val="Tabletext"/>
              <w:rPr>
                <w:b/>
                <w:bCs/>
              </w:rPr>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34AE3AF3" w14:textId="77777777" w:rsidTr="00A15226">
        <w:tc>
          <w:tcPr>
            <w:tcW w:w="1526" w:type="dxa"/>
            <w:vMerge/>
            <w:vAlign w:val="center"/>
          </w:tcPr>
          <w:p w14:paraId="2666BB7F" w14:textId="77777777" w:rsidR="000B173B" w:rsidRDefault="000B173B" w:rsidP="00A15226">
            <w:pPr>
              <w:pStyle w:val="Tabletext"/>
              <w:rPr>
                <w:rFonts w:ascii="Helvetica" w:hAnsi="Helvetica"/>
                <w:b/>
                <w:bCs/>
                <w:sz w:val="14"/>
              </w:rPr>
            </w:pPr>
          </w:p>
        </w:tc>
        <w:tc>
          <w:tcPr>
            <w:tcW w:w="8113" w:type="dxa"/>
            <w:vAlign w:val="center"/>
          </w:tcPr>
          <w:p w14:paraId="4E33CF8D" w14:textId="77777777" w:rsidR="000B173B" w:rsidRDefault="000B173B" w:rsidP="00A15226">
            <w:pPr>
              <w:pStyle w:val="Tabletext"/>
              <w:rPr>
                <w:b/>
                <w:bCs/>
              </w:rPr>
            </w:pPr>
            <w:r>
              <w:rPr>
                <w:b/>
                <w:bCs/>
              </w:rPr>
              <w:t xml:space="preserve">N/A. </w:t>
            </w:r>
            <w:r>
              <w:t>Surveys conducted within the Growth Areas concluded that there is unlikely to be suitable habitat present for this species.</w:t>
            </w:r>
          </w:p>
        </w:tc>
      </w:tr>
      <w:tr w:rsidR="000B173B" w:rsidRPr="00980D4D" w14:paraId="600684C9" w14:textId="77777777" w:rsidTr="00A15226">
        <w:tc>
          <w:tcPr>
            <w:tcW w:w="1526" w:type="dxa"/>
            <w:vMerge/>
            <w:vAlign w:val="center"/>
          </w:tcPr>
          <w:p w14:paraId="1B18573E"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FD7ACA2"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72F9137D" w14:textId="77777777" w:rsidTr="00A15226">
        <w:tc>
          <w:tcPr>
            <w:tcW w:w="1526" w:type="dxa"/>
            <w:vMerge/>
            <w:vAlign w:val="center"/>
          </w:tcPr>
          <w:p w14:paraId="75210D3A" w14:textId="77777777" w:rsidR="000B173B" w:rsidRPr="000816D6" w:rsidRDefault="000B173B" w:rsidP="00A15226">
            <w:pPr>
              <w:pStyle w:val="Tabletext"/>
              <w:rPr>
                <w:rFonts w:ascii="Helvetica" w:hAnsi="Helvetica"/>
                <w:b/>
                <w:bCs/>
                <w:sz w:val="14"/>
              </w:rPr>
            </w:pPr>
          </w:p>
        </w:tc>
        <w:tc>
          <w:tcPr>
            <w:tcW w:w="8113" w:type="dxa"/>
            <w:vAlign w:val="center"/>
          </w:tcPr>
          <w:p w14:paraId="10054DBA"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3683A260" w14:textId="77777777" w:rsidR="000B173B" w:rsidRPr="00980D4D" w:rsidRDefault="000B173B" w:rsidP="00A15226">
            <w:pPr>
              <w:pStyle w:val="Tabletext"/>
            </w:pPr>
            <w:r w:rsidRPr="008077BA">
              <w:t xml:space="preserve">Refer to </w:t>
            </w:r>
            <w:r w:rsidRPr="006900FB">
              <w:t>Chapter 13 of Part 3</w:t>
            </w:r>
            <w:r w:rsidRPr="008077BA">
              <w:t xml:space="preserve"> for a</w:t>
            </w:r>
            <w:r>
              <w:t xml:space="preserve"> detailed description of the baseline mapping, landholder surveys, and HIMs.</w:t>
            </w:r>
          </w:p>
        </w:tc>
      </w:tr>
      <w:tr w:rsidR="000B173B" w:rsidRPr="003E1ADD" w14:paraId="6DD00C53" w14:textId="77777777" w:rsidTr="00A15226">
        <w:tc>
          <w:tcPr>
            <w:tcW w:w="1526" w:type="dxa"/>
            <w:vMerge w:val="restart"/>
            <w:vAlign w:val="center"/>
          </w:tcPr>
          <w:p w14:paraId="586DA1B6"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00E1B457"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458A4D0F" w14:textId="77777777" w:rsidTr="00A15226">
        <w:tc>
          <w:tcPr>
            <w:tcW w:w="1526" w:type="dxa"/>
            <w:vMerge/>
            <w:vAlign w:val="center"/>
          </w:tcPr>
          <w:p w14:paraId="6175B820" w14:textId="77777777" w:rsidR="000B173B" w:rsidRDefault="000B173B" w:rsidP="00A15226">
            <w:pPr>
              <w:pStyle w:val="Tabletext"/>
              <w:rPr>
                <w:rFonts w:ascii="Helvetica" w:hAnsi="Helvetica"/>
                <w:b/>
                <w:bCs/>
                <w:sz w:val="14"/>
              </w:rPr>
            </w:pPr>
          </w:p>
        </w:tc>
        <w:tc>
          <w:tcPr>
            <w:tcW w:w="8113" w:type="dxa"/>
            <w:vAlign w:val="center"/>
          </w:tcPr>
          <w:p w14:paraId="7C257F1C"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349D1FF8" w14:textId="77777777" w:rsidTr="00A15226">
        <w:tc>
          <w:tcPr>
            <w:tcW w:w="1526" w:type="dxa"/>
            <w:vMerge/>
            <w:vAlign w:val="center"/>
          </w:tcPr>
          <w:p w14:paraId="65BB03E6"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52918B62"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58940D7A" w14:textId="77777777" w:rsidTr="00A15226">
        <w:tc>
          <w:tcPr>
            <w:tcW w:w="1526" w:type="dxa"/>
            <w:vMerge/>
            <w:vAlign w:val="center"/>
          </w:tcPr>
          <w:p w14:paraId="0AE0401E" w14:textId="77777777" w:rsidR="000B173B" w:rsidRDefault="000B173B" w:rsidP="00A15226">
            <w:pPr>
              <w:pStyle w:val="Tabletext"/>
              <w:rPr>
                <w:rFonts w:ascii="Helvetica" w:hAnsi="Helvetica"/>
                <w:b/>
                <w:bCs/>
                <w:sz w:val="14"/>
              </w:rPr>
            </w:pPr>
          </w:p>
        </w:tc>
        <w:tc>
          <w:tcPr>
            <w:tcW w:w="8113" w:type="dxa"/>
            <w:vAlign w:val="center"/>
          </w:tcPr>
          <w:p w14:paraId="58087C43" w14:textId="77777777" w:rsidR="000B173B" w:rsidRPr="00BB022D" w:rsidRDefault="000B173B" w:rsidP="00A15226">
            <w:pPr>
              <w:pStyle w:val="Tabletext"/>
            </w:pPr>
            <w:r w:rsidRPr="006A4149">
              <w:t xml:space="preserve">VBA records for the </w:t>
            </w:r>
            <w:r>
              <w:t>Great Knot</w:t>
            </w:r>
            <w:r w:rsidRPr="006A4149">
              <w:t xml:space="preserve"> used in this assessment were downloaded in June 2022.</w:t>
            </w:r>
          </w:p>
        </w:tc>
      </w:tr>
      <w:tr w:rsidR="000B173B" w:rsidRPr="003E1ADD" w14:paraId="4C2D5BC8" w14:textId="77777777" w:rsidTr="00A15226">
        <w:tc>
          <w:tcPr>
            <w:tcW w:w="1526" w:type="dxa"/>
            <w:vMerge/>
            <w:vAlign w:val="center"/>
          </w:tcPr>
          <w:p w14:paraId="42D5D3D1"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202BD23E"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72025921" w14:textId="77777777" w:rsidTr="00A15226">
        <w:tc>
          <w:tcPr>
            <w:tcW w:w="1526" w:type="dxa"/>
            <w:vMerge/>
            <w:vAlign w:val="center"/>
          </w:tcPr>
          <w:p w14:paraId="0326D789" w14:textId="77777777" w:rsidR="000B173B" w:rsidRDefault="000B173B" w:rsidP="00A15226">
            <w:pPr>
              <w:pStyle w:val="Tabletext"/>
              <w:rPr>
                <w:rFonts w:ascii="Helvetica" w:hAnsi="Helvetica"/>
                <w:b/>
                <w:bCs/>
                <w:sz w:val="14"/>
              </w:rPr>
            </w:pPr>
          </w:p>
        </w:tc>
        <w:tc>
          <w:tcPr>
            <w:tcW w:w="8113" w:type="dxa"/>
            <w:vAlign w:val="center"/>
          </w:tcPr>
          <w:p w14:paraId="04274803" w14:textId="77777777" w:rsidR="000B173B" w:rsidRPr="00BB022D" w:rsidRDefault="000B173B" w:rsidP="00A15226">
            <w:pPr>
              <w:pStyle w:val="Tabletext"/>
            </w:pPr>
            <w:r w:rsidRPr="00C62332">
              <w:t xml:space="preserve">Given the mobile nature of the species, all records within the Study Area </w:t>
            </w:r>
            <w:r>
              <w:t>are</w:t>
            </w:r>
            <w:r w:rsidRPr="00C62332">
              <w:t xml:space="preserve"> considered a single population.</w:t>
            </w:r>
          </w:p>
        </w:tc>
      </w:tr>
    </w:tbl>
    <w:p w14:paraId="5F22471C"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73B144DC" w14:textId="77777777" w:rsidTr="00A15226">
        <w:tc>
          <w:tcPr>
            <w:tcW w:w="9622" w:type="dxa"/>
            <w:shd w:val="clear" w:color="auto" w:fill="C9C9C9" w:themeFill="accent3" w:themeFillTint="99"/>
          </w:tcPr>
          <w:p w14:paraId="410EE699"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72AB9E7C"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w:t>
      </w:r>
      <w:r w:rsidRPr="00CA1943">
        <w:rPr>
          <w:i/>
          <w:iCs/>
          <w:color w:val="4472C4" w:themeColor="accent1"/>
        </w:rPr>
        <w:t>species in the Study Area. It includes reference to a map of records and habitat which can be viewed as a separate file. The map provides critical</w:t>
      </w:r>
      <w:r w:rsidRPr="00BB022D">
        <w:rPr>
          <w:i/>
          <w:iCs/>
          <w:color w:val="4472C4" w:themeColor="accent1"/>
        </w:rPr>
        <w:t xml:space="preserve"> context for the assessment and should be viewed in conjunction with the text presented in this assessment. This section also provides a qualitative description of where records and habitat occur.</w:t>
      </w:r>
    </w:p>
    <w:p w14:paraId="3CEBF0E9" w14:textId="77777777" w:rsidR="000B173B" w:rsidRDefault="000B173B" w:rsidP="000B173B">
      <w:r w:rsidRPr="008077BA">
        <w:t xml:space="preserve">See </w:t>
      </w:r>
      <w:hyperlink r:id="rId140" w:history="1">
        <w:r w:rsidRPr="00AC291E">
          <w:rPr>
            <w:rStyle w:val="Hyperlink"/>
          </w:rPr>
          <w:t>Map 19-15</w:t>
        </w:r>
      </w:hyperlink>
      <w:r w:rsidRPr="008077BA">
        <w:t xml:space="preserve"> for</w:t>
      </w:r>
      <w:r>
        <w:t xml:space="preserve"> a map of records and habitat across the Strategic Assessment Area.</w:t>
      </w:r>
    </w:p>
    <w:p w14:paraId="4285E9D8" w14:textId="77777777" w:rsidR="000B173B" w:rsidRDefault="000B173B" w:rsidP="000B173B">
      <w:r>
        <w:t xml:space="preserve">There are </w:t>
      </w:r>
      <w:r w:rsidRPr="006900FB">
        <w:t>55 records</w:t>
      </w:r>
      <w:r w:rsidRPr="008077BA">
        <w:t xml:space="preserve"> (</w:t>
      </w:r>
      <w:r w:rsidRPr="006900FB">
        <w:t>129 individuals</w:t>
      </w:r>
      <w:r w:rsidRPr="008077BA">
        <w:t>) of the</w:t>
      </w:r>
      <w:r>
        <w:t xml:space="preserve"> Great Knot within the Study Area, the most recent of which was recorded in 2018. The species has not been recorded within the Strategic Assessment Area. </w:t>
      </w:r>
    </w:p>
    <w:p w14:paraId="2668DD16" w14:textId="77777777" w:rsidR="000B173B" w:rsidRPr="00CE7696" w:rsidRDefault="000B173B" w:rsidP="000B173B">
      <w:r w:rsidRPr="004550B4">
        <w:t xml:space="preserve">A total </w:t>
      </w:r>
      <w:r w:rsidRPr="008077BA">
        <w:t xml:space="preserve">of </w:t>
      </w:r>
      <w:r w:rsidRPr="006900FB">
        <w:t>4,161.4 ha</w:t>
      </w:r>
      <w:r w:rsidRPr="008077BA">
        <w:t xml:space="preserve"> of</w:t>
      </w:r>
      <w:r w:rsidRPr="004550B4">
        <w:t xml:space="preserve"> potential</w:t>
      </w:r>
      <w:r>
        <w:t xml:space="preserve"> habitat has been mapped within the Study Area. No habitat has been mapped within the Strategic Assessment Area or the Growth Areas.</w:t>
      </w:r>
    </w:p>
    <w:p w14:paraId="1FF651C3" w14:textId="77777777" w:rsidR="000B173B" w:rsidRPr="002A1857" w:rsidRDefault="000B173B" w:rsidP="000B173B">
      <w:r w:rsidRPr="002A1857">
        <w:lastRenderedPageBreak/>
        <w:t xml:space="preserve">Mapped habitat for the Great Knot occurs along the northern shoreline of Port Phillip Bay, from Limeburners Bay in the west through to the Study Area boundary in the east. Records in this </w:t>
      </w:r>
      <w:r w:rsidRPr="008077BA">
        <w:t>area (</w:t>
      </w:r>
      <w:r w:rsidRPr="006900FB">
        <w:t>53 records</w:t>
      </w:r>
      <w:r w:rsidRPr="008077BA">
        <w:t xml:space="preserve">, constituting </w:t>
      </w:r>
      <w:r w:rsidRPr="006900FB">
        <w:t>118 individuals</w:t>
      </w:r>
      <w:r w:rsidRPr="008077BA">
        <w:t>) occur</w:t>
      </w:r>
      <w:r w:rsidRPr="002A1857">
        <w:t xml:space="preserve"> near Port Wilson.</w:t>
      </w:r>
    </w:p>
    <w:p w14:paraId="47AB653B" w14:textId="77777777" w:rsidR="000B173B" w:rsidRPr="008077BA" w:rsidRDefault="000B173B" w:rsidP="000B173B">
      <w:r w:rsidRPr="002A1857">
        <w:t xml:space="preserve">A large area of mapped habitat </w:t>
      </w:r>
      <w:r w:rsidRPr="008077BA">
        <w:t xml:space="preserve">and a </w:t>
      </w:r>
      <w:r w:rsidRPr="006900FB">
        <w:t>single record (of 10 individuals</w:t>
      </w:r>
      <w:r w:rsidRPr="008077BA">
        <w:t>) occurs at the Lake Connewarre Complex.</w:t>
      </w:r>
    </w:p>
    <w:p w14:paraId="1557558A" w14:textId="77777777" w:rsidR="000B173B" w:rsidRPr="002A1857" w:rsidRDefault="000B173B" w:rsidP="000B173B">
      <w:r w:rsidRPr="008077BA">
        <w:t xml:space="preserve">A smaller area of mapped habitat and </w:t>
      </w:r>
      <w:r w:rsidRPr="006900FB">
        <w:t>a single record (of one individual</w:t>
      </w:r>
      <w:r w:rsidRPr="008077BA">
        <w:t>) occurs</w:t>
      </w:r>
      <w:r w:rsidRPr="002A1857">
        <w:t xml:space="preserve"> at the Moolap locality.</w:t>
      </w:r>
    </w:p>
    <w:p w14:paraId="52793F16" w14:textId="77777777" w:rsidR="000B173B" w:rsidRPr="000816D6" w:rsidRDefault="000B173B" w:rsidP="000B173B">
      <w:r w:rsidRPr="002A1857">
        <w:t>Habitat not associated with records occurs in the estuarine environment of Thompson Creek in the south of the Study Area.</w:t>
      </w:r>
    </w:p>
    <w:p w14:paraId="1076126D" w14:textId="77777777" w:rsidR="000B173B" w:rsidRPr="006934FA"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4A26AF1E" w14:textId="77777777" w:rsidTr="00A15226">
        <w:trPr>
          <w:cantSplit/>
        </w:trPr>
        <w:tc>
          <w:tcPr>
            <w:tcW w:w="9632" w:type="dxa"/>
            <w:shd w:val="clear" w:color="auto" w:fill="D9D9D9" w:themeFill="background1" w:themeFillShade="D9"/>
            <w:vAlign w:val="center"/>
          </w:tcPr>
          <w:p w14:paraId="1CAD9480" w14:textId="77777777" w:rsidR="000B173B" w:rsidRPr="000816D6" w:rsidRDefault="000B173B" w:rsidP="00A15226">
            <w:pPr>
              <w:pStyle w:val="TableHeadingLarge"/>
            </w:pPr>
            <w:r w:rsidRPr="000816D6">
              <w:rPr>
                <w:rFonts w:ascii="Helvetica" w:hAnsi="Helvetica"/>
              </w:rPr>
              <w:t>POTENTIAL INDIRECT IMPACTS AND MITIGATION</w:t>
            </w:r>
          </w:p>
        </w:tc>
      </w:tr>
    </w:tbl>
    <w:p w14:paraId="4918E9B7"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5BCAE6D3"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12060239" w14:textId="77777777" w:rsidR="000B173B" w:rsidRPr="007C1D70" w:rsidRDefault="000B173B" w:rsidP="000B173B">
      <w:pPr>
        <w:pStyle w:val="Bullet1"/>
        <w:rPr>
          <w:i/>
          <w:color w:val="4472C4" w:themeColor="accent1"/>
        </w:rPr>
      </w:pPr>
      <w:r w:rsidRPr="007C1D70">
        <w:rPr>
          <w:i/>
          <w:color w:val="4472C4" w:themeColor="accent1"/>
        </w:rPr>
        <w:t>The Plan has the potential to</w:t>
      </w:r>
      <w:r>
        <w:rPr>
          <w:i/>
          <w:color w:val="4472C4" w:themeColor="accent1"/>
        </w:rPr>
        <w:t xml:space="preserve"> introduce or</w:t>
      </w:r>
      <w:r w:rsidRPr="007C1D70">
        <w:rPr>
          <w:i/>
          <w:color w:val="4472C4" w:themeColor="accent1"/>
        </w:rPr>
        <w:t xml:space="preserve"> exacerbate the threat in areas which support records and/or mapped habitat for the species</w:t>
      </w:r>
    </w:p>
    <w:p w14:paraId="0B9008D2"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2FAF1809" w14:textId="77777777" w:rsidR="000B173B" w:rsidRPr="007C1D70" w:rsidRDefault="000B173B" w:rsidP="000B173B">
      <w:pPr>
        <w:rPr>
          <w:i/>
          <w:color w:val="4472C4" w:themeColor="accent1"/>
        </w:rPr>
      </w:pPr>
      <w:r w:rsidRPr="007C1D70">
        <w:rPr>
          <w:i/>
          <w:color w:val="4472C4" w:themeColor="accent1"/>
        </w:rPr>
        <w:t xml:space="preserve">Please refer </w:t>
      </w:r>
      <w:r w:rsidRPr="008077BA">
        <w:rPr>
          <w:i/>
          <w:color w:val="4472C4" w:themeColor="accent1"/>
        </w:rPr>
        <w:t xml:space="preserve">to </w:t>
      </w:r>
      <w:r w:rsidRPr="006900FB">
        <w:rPr>
          <w:i/>
          <w:color w:val="4472C4" w:themeColor="accent1"/>
        </w:rPr>
        <w:t>Chapter 19</w:t>
      </w:r>
      <w:r w:rsidRPr="008077BA">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8077BA">
        <w:rPr>
          <w:i/>
          <w:color w:val="4472C4" w:themeColor="accent1"/>
        </w:rPr>
        <w:t xml:space="preserve"> for a detailed</w:t>
      </w:r>
      <w:r w:rsidRPr="007C1D70">
        <w:rPr>
          <w:i/>
          <w:color w:val="4472C4" w:themeColor="accent1"/>
        </w:rPr>
        <w:t xml:space="preserve"> discussion and analysis of indirect impacts and mitigation measures included in the Plan. </w:t>
      </w:r>
    </w:p>
    <w:p w14:paraId="6B39F080" w14:textId="77777777" w:rsidR="000B173B" w:rsidRDefault="000B173B" w:rsidP="000B173B">
      <w:pPr>
        <w:pStyle w:val="Heading3"/>
        <w:numPr>
          <w:ilvl w:val="0"/>
          <w:numId w:val="0"/>
        </w:numPr>
        <w:ind w:left="720" w:hanging="720"/>
      </w:pPr>
      <w:r w:rsidRPr="00FB680C">
        <w:t>R</w:t>
      </w:r>
      <w:r>
        <w:t>elevant potential indirect impacts</w:t>
      </w:r>
    </w:p>
    <w:p w14:paraId="28CC5989" w14:textId="77777777" w:rsidR="000B173B" w:rsidRDefault="000B173B" w:rsidP="000B173B">
      <w:r w:rsidRPr="00356EBA">
        <w:t>The Conservation Advice for the</w:t>
      </w:r>
      <w:r>
        <w:t xml:space="preserve"> Great Knot</w:t>
      </w:r>
      <w:r w:rsidRPr="002B70F0">
        <w:t xml:space="preserve"> identifies a range of threats to the species</w:t>
      </w:r>
      <w:r>
        <w:t xml:space="preserve"> </w:t>
      </w:r>
      <w:sdt>
        <w:sdtPr>
          <w:rPr>
            <w:color w:val="000000"/>
          </w:rPr>
          <w:tag w:val="MENDELEY_CITATION_v3_eyJjaXRhdGlvbklEIjoiTUVOREVMRVlfQ0lUQVRJT05fMzQ3MjFiM2UtYTAwMy00MzVjLThhZGYtNjk1ZjA5MzNkZTVl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1209490935"/>
          <w:placeholder>
            <w:docPart w:val="7A87483195E49548AABB39FF484A13FE"/>
          </w:placeholder>
        </w:sdtPr>
        <w:sdtContent>
          <w:r w:rsidRPr="002F46CE">
            <w:rPr>
              <w:color w:val="000000"/>
            </w:rPr>
            <w:t>(TSSC, 2016c)</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429399FC" w14:textId="77777777" w:rsidR="000B173B" w:rsidRDefault="000B173B" w:rsidP="000B173B">
      <w:r>
        <w:t>The following potential indirect impacts (identified as threats) are considered relevant to implementation of the Plan:</w:t>
      </w:r>
    </w:p>
    <w:p w14:paraId="338741BF" w14:textId="77777777" w:rsidR="000B173B" w:rsidRPr="00557480" w:rsidRDefault="000B173B" w:rsidP="000B173B">
      <w:pPr>
        <w:pStyle w:val="Bullet1"/>
      </w:pPr>
      <w:r w:rsidRPr="00557480">
        <w:t>Altered hydrological regimes</w:t>
      </w:r>
      <w:r>
        <w:t xml:space="preserve"> and decreased water quality</w:t>
      </w:r>
    </w:p>
    <w:p w14:paraId="66F2171F" w14:textId="77777777" w:rsidR="000B173B" w:rsidRPr="00557480" w:rsidRDefault="000B173B" w:rsidP="000B173B">
      <w:pPr>
        <w:pStyle w:val="Bullet1"/>
      </w:pPr>
      <w:r w:rsidRPr="00557480">
        <w:t>Human disturbance</w:t>
      </w:r>
    </w:p>
    <w:p w14:paraId="706DFF30" w14:textId="77777777" w:rsidR="000B173B" w:rsidRDefault="000B173B" w:rsidP="000B173B">
      <w:r w:rsidRPr="003A2AF0">
        <w:t>There are a number of additional threats to the species identified in the Conservation Advice</w:t>
      </w:r>
      <w:r>
        <w:t xml:space="preserve">. </w:t>
      </w:r>
      <w:r w:rsidRPr="003A2AF0">
        <w:t>However, potential indirect impacts associated with these threats are considered unlikely given the landscape context of the site and the ecology of the species. Refer to</w:t>
      </w:r>
      <w:r>
        <w:t xml:space="preserve"> </w:t>
      </w:r>
      <w:r w:rsidRPr="006900FB">
        <w:t>Section 17.2 of Chapter 17</w:t>
      </w:r>
      <w:r w:rsidRPr="008077BA">
        <w:t xml:space="preserve"> for</w:t>
      </w:r>
      <w:r>
        <w:t xml:space="preserve"> a detailed assessment of potential indirect impacts associated with the implementation of the Plan.</w:t>
      </w:r>
      <w:r w:rsidRPr="00CC2A00" w:rsidDel="00727335">
        <w:rPr>
          <w:highlight w:val="yellow"/>
        </w:rPr>
        <w:t xml:space="preserve"> </w:t>
      </w:r>
    </w:p>
    <w:p w14:paraId="46E3C91A" w14:textId="77777777" w:rsidR="000B173B" w:rsidRDefault="000B173B" w:rsidP="000B173B">
      <w:r>
        <w:t>Climate change is also identified as a threat to the species. The potential impacts of climate change and relevant mitigation measures under the Plan are outlined in Part 5.</w:t>
      </w:r>
    </w:p>
    <w:p w14:paraId="2BA6BD3E" w14:textId="77777777" w:rsidR="000B173B" w:rsidRDefault="000B173B" w:rsidP="000B173B">
      <w:pPr>
        <w:pStyle w:val="Heading4"/>
      </w:pPr>
      <w:r w:rsidRPr="00CD19D9">
        <w:t>Altered hydrological regimes</w:t>
      </w:r>
      <w:r>
        <w:t xml:space="preserve"> and decreased water quality</w:t>
      </w:r>
    </w:p>
    <w:p w14:paraId="36B6C259" w14:textId="77777777" w:rsidR="000B173B" w:rsidRDefault="000B173B" w:rsidP="000B173B">
      <w:r>
        <w:t xml:space="preserve">Changes to water regimes and decreased water quality pose a threat to the Great Knot. Upstream development, water regulation and diversion has resulted in lowered water volumes and increased sediment loads, which exacerbates the threats of habitat loss for the species. The species is particularly sensitive to impacts due to its high site fidelity, tendency to aggregate, high energy demands required for migration and requirement for a network of foraging and roosting habitats </w:t>
      </w:r>
      <w:sdt>
        <w:sdtPr>
          <w:rPr>
            <w:color w:val="000000"/>
          </w:rPr>
          <w:tag w:val="MENDELEY_CITATION_v3_eyJjaXRhdGlvbklEIjoiTUVOREVMRVlfQ0lUQVRJT05fNzdjMWEwYmItZTAxZi00ZjVjLThkNjAtNDRhZTgwNmYxODZh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361714055"/>
          <w:placeholder>
            <w:docPart w:val="7A87483195E49548AABB39FF484A13FE"/>
          </w:placeholder>
        </w:sdtPr>
        <w:sdtContent>
          <w:r w:rsidRPr="002F46CE">
            <w:rPr>
              <w:color w:val="000000"/>
            </w:rPr>
            <w:t>(TSSC, 2016c)</w:t>
          </w:r>
        </w:sdtContent>
      </w:sdt>
      <w:r>
        <w:t>.</w:t>
      </w:r>
    </w:p>
    <w:p w14:paraId="1C4AAD78" w14:textId="77777777" w:rsidR="000B173B" w:rsidRPr="00356EBA" w:rsidRDefault="000B173B" w:rsidP="000B173B">
      <w:pPr>
        <w:pStyle w:val="Heading4"/>
      </w:pPr>
      <w:r w:rsidRPr="001C0211">
        <w:t>Human disturbance</w:t>
      </w:r>
    </w:p>
    <w:p w14:paraId="77EDA5F6" w14:textId="77777777" w:rsidR="000B173B" w:rsidRDefault="000B173B" w:rsidP="000B173B">
      <w:r>
        <w:t xml:space="preserve">Human disturbance of Great Knots can be associated with a range of sources, including recreational activities, construction activities and fishing/harvesting. Examples of recreational activities which may pose a threat to the species include dog walking, vehicle movements and horse riding on beaches </w:t>
      </w:r>
      <w:sdt>
        <w:sdtPr>
          <w:rPr>
            <w:color w:val="000000"/>
          </w:rPr>
          <w:tag w:val="MENDELEY_CITATION_v3_eyJjaXRhdGlvbklEIjoiTUVOREVMRVlfQ0lUQVRJT05fMWM2NGQ2ZTQtNmNiZS00OTIwLTk1MTYtNDVkZjUzMDhlZGVh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633948153"/>
          <w:placeholder>
            <w:docPart w:val="7A87483195E49548AABB39FF484A13FE"/>
          </w:placeholder>
        </w:sdtPr>
        <w:sdtContent>
          <w:r w:rsidRPr="002F46CE">
            <w:rPr>
              <w:color w:val="000000"/>
            </w:rPr>
            <w:t>(TSSC, 2016c)</w:t>
          </w:r>
        </w:sdtContent>
      </w:sdt>
      <w:r>
        <w:t>.</w:t>
      </w:r>
    </w:p>
    <w:p w14:paraId="7304D89B" w14:textId="77777777" w:rsidR="000B173B" w:rsidRDefault="000B173B" w:rsidP="000B173B">
      <w:r>
        <w:t xml:space="preserve">Disturbance can cause Great Knots to pause or abandon roosting or foraging activities and may cause then to cease using areas of habitat which are otherwise suitable. Disturbance reduces the amount of time the species devotes to foraging </w:t>
      </w:r>
      <w:r>
        <w:lastRenderedPageBreak/>
        <w:t xml:space="preserve">and resting, and increases the time spent on vigilance/anti predator activities. As the species is a migratory bird, the Great Knot has high energy requirements to allow it to build up necessary fat stores to migrate north, and so is particularly vulnerable to disturbance </w:t>
      </w:r>
      <w:sdt>
        <w:sdtPr>
          <w:rPr>
            <w:color w:val="000000"/>
          </w:rPr>
          <w:tag w:val="MENDELEY_CITATION_v3_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"/>
          <w:id w:val="1733198375"/>
          <w:placeholder>
            <w:docPart w:val="7A87483195E49548AABB39FF484A13FE"/>
          </w:placeholder>
        </w:sdtPr>
        <w:sdtContent>
          <w:r w:rsidRPr="002F46CE">
            <w:rPr>
              <w:color w:val="000000"/>
            </w:rPr>
            <w:t>(TSSC, 2016c)</w:t>
          </w:r>
        </w:sdtContent>
      </w:sdt>
      <w:r>
        <w:t>.</w:t>
      </w:r>
    </w:p>
    <w:p w14:paraId="1BF6B775"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19389963" w14:textId="77777777" w:rsidTr="00A15226">
        <w:tc>
          <w:tcPr>
            <w:tcW w:w="9622" w:type="dxa"/>
            <w:shd w:val="clear" w:color="auto" w:fill="C9C9C9" w:themeFill="accent3" w:themeFillTint="99"/>
          </w:tcPr>
          <w:p w14:paraId="62E8D4CD"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2B61276F"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17.3</w:t>
      </w:r>
      <w:r w:rsidRPr="008077BA">
        <w:rPr>
          <w:i/>
          <w:color w:val="4472C4" w:themeColor="accent1"/>
        </w:rPr>
        <w:t xml:space="preserve"> of </w:t>
      </w:r>
      <w:r w:rsidRPr="006900FB">
        <w:rPr>
          <w:i/>
          <w:color w:val="4472C4" w:themeColor="accent1"/>
        </w:rPr>
        <w:t>Chapter 17.</w:t>
      </w:r>
    </w:p>
    <w:p w14:paraId="49329734" w14:textId="77777777" w:rsidR="000B173B" w:rsidRPr="004351EF" w:rsidRDefault="000B173B" w:rsidP="000B173B">
      <w:pPr>
        <w:pStyle w:val="Heading3"/>
        <w:numPr>
          <w:ilvl w:val="0"/>
          <w:numId w:val="0"/>
        </w:numPr>
        <w:ind w:left="720" w:hanging="720"/>
      </w:pPr>
      <w:r w:rsidRPr="000816D6">
        <w:t>C</w:t>
      </w:r>
      <w:r>
        <w:t>onsistency with recovery plan</w:t>
      </w:r>
    </w:p>
    <w:p w14:paraId="34DF837A" w14:textId="77777777" w:rsidR="000B173B" w:rsidRDefault="000B173B" w:rsidP="000B173B">
      <w:r>
        <w:t>There is no adopted or made Recovery Plan for this species.</w:t>
      </w:r>
    </w:p>
    <w:p w14:paraId="7DC3B423"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57E2943B"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_Ref106868928 \h </w:instrText>
      </w:r>
      <w:r>
        <w:fldChar w:fldCharType="separate"/>
      </w:r>
      <w:r>
        <w:t xml:space="preserve">Table </w:t>
      </w:r>
      <w:r>
        <w:rPr>
          <w:noProof/>
        </w:rPr>
        <w:t>B</w:t>
      </w:r>
      <w:r>
        <w:noBreakHyphen/>
      </w:r>
      <w:r>
        <w:rPr>
          <w:noProof/>
        </w:rPr>
        <w:t>6</w:t>
      </w:r>
      <w:r>
        <w:fldChar w:fldCharType="end"/>
      </w:r>
      <w:r>
        <w:t>where they relate to:</w:t>
      </w:r>
    </w:p>
    <w:p w14:paraId="2A5D7C78" w14:textId="77777777" w:rsidR="000B173B" w:rsidRDefault="000B173B" w:rsidP="000B173B">
      <w:pPr>
        <w:pStyle w:val="Bullet1"/>
      </w:pPr>
      <w:r>
        <w:t>The potential direct impacts of the Plan, or</w:t>
      </w:r>
    </w:p>
    <w:p w14:paraId="5F7CC3AF" w14:textId="77777777" w:rsidR="000B173B" w:rsidRDefault="000B173B" w:rsidP="000B173B">
      <w:pPr>
        <w:pStyle w:val="Bullet1"/>
      </w:pPr>
      <w:r>
        <w:t>The relevant indirect impacts</w:t>
      </w:r>
    </w:p>
    <w:p w14:paraId="506C0456" w14:textId="77777777" w:rsidR="000B173B" w:rsidRDefault="000B173B" w:rsidP="000B173B">
      <w:pPr>
        <w:pStyle w:val="Caption"/>
        <w:keepNext/>
      </w:pPr>
      <w:bookmarkStart w:id="268" w:name="_Ref106868928"/>
      <w:bookmarkStart w:id="269" w:name="_Toc134697923"/>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6</w:t>
      </w:r>
      <w:r>
        <w:fldChar w:fldCharType="end"/>
      </w:r>
      <w:bookmarkEnd w:id="268"/>
      <w:r>
        <w:t xml:space="preserve">: </w:t>
      </w:r>
      <w:r w:rsidRPr="005F676F">
        <w:t xml:space="preserve">Relevant Key Threatening Processes and associated Threat Abatement Plans for </w:t>
      </w:r>
      <w:r>
        <w:t>the Great Knot</w:t>
      </w:r>
      <w:bookmarkEnd w:id="269"/>
    </w:p>
    <w:tbl>
      <w:tblPr>
        <w:tblStyle w:val="TableGrid"/>
        <w:tblW w:w="0" w:type="auto"/>
        <w:tblLook w:val="04A0" w:firstRow="1" w:lastRow="0" w:firstColumn="1" w:lastColumn="0" w:noHBand="0" w:noVBand="1"/>
      </w:tblPr>
      <w:tblGrid>
        <w:gridCol w:w="4811"/>
        <w:gridCol w:w="4811"/>
      </w:tblGrid>
      <w:tr w:rsidR="000B173B" w14:paraId="59EE05D4" w14:textId="77777777" w:rsidTr="00A15226">
        <w:trPr>
          <w:tblHeader/>
        </w:trPr>
        <w:tc>
          <w:tcPr>
            <w:tcW w:w="4811" w:type="dxa"/>
            <w:shd w:val="clear" w:color="auto" w:fill="DBDBDB" w:themeFill="accent3" w:themeFillTint="66"/>
          </w:tcPr>
          <w:p w14:paraId="5AEF496E"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28E0FA46" w14:textId="77777777" w:rsidR="000B173B" w:rsidRPr="00FF1996" w:rsidRDefault="000B173B" w:rsidP="00A15226">
            <w:pPr>
              <w:pStyle w:val="Tabletext"/>
              <w:rPr>
                <w:b/>
                <w:bCs/>
              </w:rPr>
            </w:pPr>
            <w:r w:rsidRPr="00FF1996">
              <w:rPr>
                <w:b/>
                <w:bCs/>
              </w:rPr>
              <w:t>Threat abatement plan</w:t>
            </w:r>
          </w:p>
        </w:tc>
      </w:tr>
      <w:tr w:rsidR="000B173B" w14:paraId="4FF0C20A" w14:textId="77777777" w:rsidTr="00A15226">
        <w:tc>
          <w:tcPr>
            <w:tcW w:w="4811" w:type="dxa"/>
            <w:vAlign w:val="center"/>
          </w:tcPr>
          <w:p w14:paraId="1B626AE9" w14:textId="77777777" w:rsidR="000B173B" w:rsidRDefault="000B173B" w:rsidP="00A15226">
            <w:pPr>
              <w:pStyle w:val="Tabletext"/>
            </w:pPr>
            <w:r>
              <w:t xml:space="preserve">Land clearance </w:t>
            </w:r>
          </w:p>
        </w:tc>
        <w:tc>
          <w:tcPr>
            <w:tcW w:w="4811" w:type="dxa"/>
          </w:tcPr>
          <w:p w14:paraId="29AC3EC5" w14:textId="77777777" w:rsidR="000B173B" w:rsidRDefault="000B173B" w:rsidP="00A15226">
            <w:pPr>
              <w:pStyle w:val="Tabletext"/>
            </w:pPr>
            <w:r>
              <w:t>There is no relevant TAP</w:t>
            </w:r>
          </w:p>
        </w:tc>
      </w:tr>
      <w:tr w:rsidR="000B173B" w14:paraId="791F16EC" w14:textId="77777777" w:rsidTr="00A15226">
        <w:tc>
          <w:tcPr>
            <w:tcW w:w="4811" w:type="dxa"/>
            <w:vAlign w:val="center"/>
          </w:tcPr>
          <w:p w14:paraId="6250D57E" w14:textId="77777777" w:rsidR="000B173B" w:rsidRPr="00672E41" w:rsidRDefault="000B173B" w:rsidP="00A15226">
            <w:pPr>
              <w:pStyle w:val="Tabletext"/>
            </w:pPr>
            <w:r>
              <w:t>Loss and degradation of native plant and animal habitat by invasion of escaped garden plants, including aquatic plants</w:t>
            </w:r>
          </w:p>
        </w:tc>
        <w:tc>
          <w:tcPr>
            <w:tcW w:w="4811" w:type="dxa"/>
            <w:vAlign w:val="center"/>
          </w:tcPr>
          <w:p w14:paraId="521B3723" w14:textId="77777777" w:rsidR="000B173B" w:rsidRDefault="000B173B" w:rsidP="00A15226">
            <w:pPr>
              <w:pStyle w:val="Tabletext"/>
            </w:pPr>
            <w:r>
              <w:t>There is no relevant TAP</w:t>
            </w:r>
          </w:p>
        </w:tc>
      </w:tr>
      <w:tr w:rsidR="000B173B" w14:paraId="5586865E" w14:textId="77777777" w:rsidTr="00A15226">
        <w:tc>
          <w:tcPr>
            <w:tcW w:w="4811" w:type="dxa"/>
            <w:vAlign w:val="center"/>
          </w:tcPr>
          <w:p w14:paraId="38BF5A70" w14:textId="77777777" w:rsidR="000B173B" w:rsidRDefault="000B173B" w:rsidP="00A15226">
            <w:pPr>
              <w:pStyle w:val="Tabletext"/>
            </w:pPr>
            <w:r w:rsidRPr="00672E41">
              <w:t>Loss of climatic habitat caused by anthropogenic emissions of greenhouse gases</w:t>
            </w:r>
          </w:p>
        </w:tc>
        <w:tc>
          <w:tcPr>
            <w:tcW w:w="4811" w:type="dxa"/>
            <w:vAlign w:val="center"/>
          </w:tcPr>
          <w:p w14:paraId="1FFD5A86" w14:textId="77777777" w:rsidR="000B173B" w:rsidRDefault="000B173B" w:rsidP="00A15226">
            <w:pPr>
              <w:pStyle w:val="Tabletext"/>
            </w:pPr>
            <w:r>
              <w:t>There is no relevant TAP</w:t>
            </w:r>
          </w:p>
        </w:tc>
      </w:tr>
      <w:tr w:rsidR="000B173B" w14:paraId="39CBEF6F" w14:textId="77777777" w:rsidTr="00A15226">
        <w:tc>
          <w:tcPr>
            <w:tcW w:w="4811" w:type="dxa"/>
            <w:vAlign w:val="center"/>
          </w:tcPr>
          <w:p w14:paraId="24DDAD20" w14:textId="77777777" w:rsidR="000B173B" w:rsidRPr="00672E41" w:rsidRDefault="000B173B" w:rsidP="00A15226">
            <w:pPr>
              <w:pStyle w:val="Tabletext"/>
            </w:pPr>
            <w:r>
              <w:t>Novel biota and their impact on biodiversity</w:t>
            </w:r>
          </w:p>
        </w:tc>
        <w:tc>
          <w:tcPr>
            <w:tcW w:w="4811" w:type="dxa"/>
            <w:vAlign w:val="center"/>
          </w:tcPr>
          <w:p w14:paraId="67476A75" w14:textId="77777777" w:rsidR="000B173B" w:rsidRDefault="000B173B" w:rsidP="00A15226">
            <w:pPr>
              <w:pStyle w:val="Tabletext"/>
            </w:pPr>
            <w:r>
              <w:t>There is no relevant TAP</w:t>
            </w:r>
          </w:p>
        </w:tc>
      </w:tr>
    </w:tbl>
    <w:p w14:paraId="5FAD4280" w14:textId="77777777" w:rsidR="000B173B" w:rsidRPr="00E06EF9" w:rsidRDefault="000B173B" w:rsidP="000B173B"/>
    <w:p w14:paraId="14DD05CA" w14:textId="77777777" w:rsidR="000B173B" w:rsidRDefault="000B173B" w:rsidP="000B173B">
      <w:pPr>
        <w:tabs>
          <w:tab w:val="clear" w:pos="4962"/>
        </w:tabs>
        <w:spacing w:before="0" w:after="0" w:line="240" w:lineRule="auto"/>
      </w:pPr>
      <w:r>
        <w:br w:type="page"/>
      </w:r>
    </w:p>
    <w:p w14:paraId="7E33CF53" w14:textId="77777777" w:rsidR="000B173B" w:rsidRPr="00297975" w:rsidRDefault="000B173B" w:rsidP="000B173B">
      <w:pPr>
        <w:pStyle w:val="Heading2"/>
        <w:numPr>
          <w:ilvl w:val="0"/>
          <w:numId w:val="0"/>
        </w:numPr>
        <w:ind w:left="576" w:hanging="576"/>
      </w:pPr>
      <w:bookmarkStart w:id="270" w:name="_Toc131154208"/>
      <w:bookmarkStart w:id="271" w:name="_Toc131154395"/>
      <w:r>
        <w:lastRenderedPageBreak/>
        <w:t xml:space="preserve">Greater Sand Plover </w:t>
      </w:r>
      <w:r>
        <w:rPr>
          <w:i/>
          <w:iCs/>
        </w:rPr>
        <w:t>(Charadrius leschenaultii)</w:t>
      </w:r>
      <w:bookmarkEnd w:id="270"/>
      <w:bookmarkEnd w:id="271"/>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01BDA8B5" w14:textId="77777777" w:rsidTr="00A15226">
        <w:trPr>
          <w:tblHeader/>
        </w:trPr>
        <w:tc>
          <w:tcPr>
            <w:tcW w:w="9747" w:type="dxa"/>
            <w:shd w:val="clear" w:color="auto" w:fill="D9D9D9" w:themeFill="background1" w:themeFillShade="D9"/>
            <w:vAlign w:val="center"/>
          </w:tcPr>
          <w:p w14:paraId="24A5A528"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63FDCB91"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3280CD6E" w14:textId="77777777" w:rsidTr="00A15226">
        <w:tc>
          <w:tcPr>
            <w:tcW w:w="1526" w:type="dxa"/>
            <w:vAlign w:val="center"/>
          </w:tcPr>
          <w:p w14:paraId="1A77732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7388E10D" w14:textId="77777777" w:rsidR="000B173B" w:rsidRDefault="000B173B" w:rsidP="00A15226">
            <w:pPr>
              <w:pStyle w:val="Tabletext"/>
            </w:pPr>
            <w:r>
              <w:t>Vulnerable, Migratory</w:t>
            </w:r>
          </w:p>
          <w:p w14:paraId="652E99AB" w14:textId="77777777" w:rsidR="000B173B" w:rsidRPr="00AA3283" w:rsidRDefault="000B173B" w:rsidP="00A15226">
            <w:pPr>
              <w:pStyle w:val="Tabletext"/>
            </w:pPr>
            <w:r>
              <w:t xml:space="preserve">Note that the </w:t>
            </w:r>
            <w:r w:rsidRPr="0023049C">
              <w:rPr>
                <w:szCs w:val="18"/>
              </w:rPr>
              <w:t>Greater Sand Plover</w:t>
            </w:r>
            <w:r>
              <w:t xml:space="preserve"> </w:t>
            </w:r>
            <w:r w:rsidRPr="00C00E39">
              <w:t xml:space="preserve">is currently on the Finalised Priority Assessment List (FPAL) and is proposed to have its listing </w:t>
            </w:r>
            <w:r w:rsidRPr="00AA3283">
              <w:t xml:space="preserve">downgraded to not listed </w:t>
            </w:r>
            <w:sdt>
              <w:sdtPr>
                <w:rPr>
                  <w:color w:val="000000"/>
                </w:rPr>
                <w:tag w:val="MENDELEY_CITATION_v3_eyJjaXRhdGlvbklEIjoiTUVOREVMRVlfQ0lUQVRJT05fMGEzOGE1ZDAtMmMzYi00MzIyLTllZTEtYjMyOTRjNjdhYWIy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2007084578"/>
                <w:placeholder>
                  <w:docPart w:val="7A87483195E49548AABB39FF484A13FE"/>
                </w:placeholder>
              </w:sdtPr>
              <w:sdtContent>
                <w:r w:rsidRPr="002F46CE">
                  <w:rPr>
                    <w:color w:val="000000"/>
                  </w:rPr>
                  <w:t>(DAWE, 2021f)</w:t>
                </w:r>
              </w:sdtContent>
            </w:sdt>
          </w:p>
          <w:p w14:paraId="47CA2F2E" w14:textId="77777777" w:rsidR="000B173B" w:rsidRPr="003E1ADD" w:rsidRDefault="000B173B" w:rsidP="00A15226">
            <w:pPr>
              <w:pStyle w:val="Tabletext"/>
            </w:pPr>
            <w:r w:rsidRPr="00AA3283">
              <w:t>A decision is due by 30 October 202</w:t>
            </w:r>
            <w:r>
              <w:t>3</w:t>
            </w:r>
            <w:r w:rsidRPr="00AA3283">
              <w:t xml:space="preserve"> </w:t>
            </w:r>
            <w:sdt>
              <w:sdtPr>
                <w:rPr>
                  <w:color w:val="000000"/>
                </w:rPr>
                <w:tag w:val="MENDELEY_CITATION_v3_eyJjaXRhdGlvbklEIjoiTUVOREVMRVlfQ0lUQVRJT05fZmEwNmFhZDctM2I4Mi00ZmJjLWJmOTctYzZiMTE0ZWU2OTg4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2097745253"/>
                <w:placeholder>
                  <w:docPart w:val="7A87483195E49548AABB39FF484A13FE"/>
                </w:placeholder>
              </w:sdtPr>
              <w:sdtContent>
                <w:r w:rsidRPr="002F46CE">
                  <w:rPr>
                    <w:color w:val="000000"/>
                  </w:rPr>
                  <w:t>(DAWE, 2021f)</w:t>
                </w:r>
              </w:sdtContent>
            </w:sdt>
          </w:p>
        </w:tc>
      </w:tr>
      <w:tr w:rsidR="000B173B" w:rsidRPr="000816D6" w14:paraId="14394034" w14:textId="77777777" w:rsidTr="00A15226">
        <w:tc>
          <w:tcPr>
            <w:tcW w:w="1526" w:type="dxa"/>
            <w:vAlign w:val="center"/>
          </w:tcPr>
          <w:p w14:paraId="1255C70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7FC06D97" w14:textId="77777777" w:rsidR="000B173B" w:rsidRPr="0023049C" w:rsidRDefault="000B173B" w:rsidP="00A15226">
            <w:pPr>
              <w:pStyle w:val="Tabletext"/>
            </w:pPr>
            <w:r w:rsidRPr="0023049C">
              <w:rPr>
                <w:i/>
                <w:iCs/>
                <w:szCs w:val="18"/>
              </w:rPr>
              <w:t>Charadrius leschenaultii</w:t>
            </w:r>
            <w:r w:rsidRPr="0023049C">
              <w:rPr>
                <w:szCs w:val="18"/>
              </w:rPr>
              <w:t xml:space="preserve"> (Greater Sand Plover) is a medium sized brown and white plover. It is similar in appearance to the Lesser Sand</w:t>
            </w:r>
            <w:r>
              <w:rPr>
                <w:szCs w:val="18"/>
              </w:rPr>
              <w:t xml:space="preserve"> P</w:t>
            </w:r>
            <w:r w:rsidRPr="0023049C">
              <w:rPr>
                <w:szCs w:val="18"/>
              </w:rPr>
              <w:t xml:space="preserve">lover although distinctly bigger </w:t>
            </w:r>
            <w:sdt>
              <w:sdtPr>
                <w:rPr>
                  <w:color w:val="000000"/>
                  <w:szCs w:val="18"/>
                </w:rPr>
                <w:tag w:val="MENDELEY_CITATION_v3_eyJjaXRhdGlvbklEIjoiTUVOREVMRVlfQ0lUQVRJT05fNzMzNTY5MDAtYzM3NC00YjU0LWFmZWQtMTVmYTk5YTViOGIx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711736004"/>
                <w:placeholder>
                  <w:docPart w:val="7A87483195E49548AABB39FF484A13FE"/>
                </w:placeholder>
              </w:sdtPr>
              <w:sdtEndPr>
                <w:rPr>
                  <w:szCs w:val="20"/>
                </w:rPr>
              </w:sdtEndPr>
              <w:sdtContent>
                <w:r w:rsidRPr="002F46CE">
                  <w:rPr>
                    <w:color w:val="000000"/>
                  </w:rPr>
                  <w:t>(TSSC, 2016d)</w:t>
                </w:r>
              </w:sdtContent>
            </w:sdt>
            <w:r w:rsidRPr="0023049C">
              <w:rPr>
                <w:szCs w:val="18"/>
              </w:rPr>
              <w:t>.</w:t>
            </w:r>
          </w:p>
        </w:tc>
      </w:tr>
      <w:tr w:rsidR="000B173B" w:rsidRPr="000816D6" w14:paraId="198DFE97" w14:textId="77777777" w:rsidTr="00A15226">
        <w:tc>
          <w:tcPr>
            <w:tcW w:w="1526" w:type="dxa"/>
            <w:vAlign w:val="center"/>
          </w:tcPr>
          <w:p w14:paraId="7360D89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6562008E" w14:textId="77777777" w:rsidR="000B173B" w:rsidRPr="0023049C" w:rsidRDefault="000B173B" w:rsidP="00A15226">
            <w:pPr>
              <w:pStyle w:val="Tabletext"/>
              <w:rPr>
                <w:szCs w:val="18"/>
              </w:rPr>
            </w:pPr>
            <w:r w:rsidRPr="0023049C">
              <w:rPr>
                <w:szCs w:val="18"/>
              </w:rPr>
              <w:t xml:space="preserve">The Greater Sand Plover is a migratory shorebird. The species breeds in China, Mongolia and nearby parts of Russia. During the non-breeding season, the species migrates south, with records from Australia and the south Pacific across the coast of the Indian Ocean to the eastern and southern coasts of Africa and the south eastern shores of the Mediterranean </w:t>
            </w:r>
            <w:sdt>
              <w:sdtPr>
                <w:rPr>
                  <w:color w:val="000000"/>
                  <w:szCs w:val="18"/>
                </w:rPr>
                <w:tag w:val="MENDELEY_CITATION_v3_eyJjaXRhdGlvbklEIjoiTUVOREVMRVlfQ0lUQVRJT05fNWQ1MWRhOWEtYjg3Zi00ZjNlLTlkNDktNjRmMDgxZGE3MGM3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386884802"/>
                <w:placeholder>
                  <w:docPart w:val="7A87483195E49548AABB39FF484A13FE"/>
                </w:placeholder>
              </w:sdtPr>
              <w:sdtEndPr>
                <w:rPr>
                  <w:szCs w:val="20"/>
                </w:rPr>
              </w:sdtEndPr>
              <w:sdtContent>
                <w:r w:rsidRPr="002F46CE">
                  <w:rPr>
                    <w:color w:val="000000"/>
                  </w:rPr>
                  <w:t>(TSSC, 2016d)</w:t>
                </w:r>
              </w:sdtContent>
            </w:sdt>
            <w:r w:rsidRPr="0023049C">
              <w:rPr>
                <w:szCs w:val="18"/>
              </w:rPr>
              <w:t>.</w:t>
            </w:r>
          </w:p>
          <w:p w14:paraId="7BBC3068" w14:textId="77777777" w:rsidR="000B173B" w:rsidRDefault="000B173B" w:rsidP="00A15226">
            <w:pPr>
              <w:pStyle w:val="Tabletext"/>
              <w:rPr>
                <w:szCs w:val="18"/>
              </w:rPr>
            </w:pPr>
            <w:r w:rsidRPr="0023049C">
              <w:rPr>
                <w:szCs w:val="18"/>
              </w:rPr>
              <w:t xml:space="preserve">Only the subspecies </w:t>
            </w:r>
            <w:r w:rsidRPr="0023049C">
              <w:rPr>
                <w:i/>
                <w:iCs/>
                <w:szCs w:val="18"/>
              </w:rPr>
              <w:t>C. l. leschenaulti</w:t>
            </w:r>
            <w:r>
              <w:rPr>
                <w:i/>
                <w:iCs/>
                <w:szCs w:val="18"/>
              </w:rPr>
              <w:t>i</w:t>
            </w:r>
            <w:r w:rsidRPr="0023049C">
              <w:rPr>
                <w:i/>
                <w:iCs/>
                <w:szCs w:val="18"/>
              </w:rPr>
              <w:t xml:space="preserve"> </w:t>
            </w:r>
            <w:r w:rsidRPr="0023049C">
              <w:rPr>
                <w:szCs w:val="18"/>
              </w:rPr>
              <w:t xml:space="preserve">occurs in Australia. Almost three quarters of the subspecies is present in Australia during the austral summer. Birds typically arrive between mid-July and November and leave in late February. Most immature birds remain in Australia during the breeding season </w:t>
            </w:r>
            <w:sdt>
              <w:sdtPr>
                <w:rPr>
                  <w:color w:val="000000"/>
                  <w:szCs w:val="18"/>
                </w:rPr>
                <w:tag w:val="MENDELEY_CITATION_v3_eyJjaXRhdGlvbklEIjoiTUVOREVMRVlfQ0lUQVRJT05fZmU3ZjkzZTYtNWZjNS00NTNmLTg2OGItZjZjYTAwNWJhNzY4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2056964915"/>
                <w:placeholder>
                  <w:docPart w:val="7A87483195E49548AABB39FF484A13FE"/>
                </w:placeholder>
              </w:sdtPr>
              <w:sdtEndPr>
                <w:rPr>
                  <w:szCs w:val="20"/>
                </w:rPr>
              </w:sdtEndPr>
              <w:sdtContent>
                <w:r w:rsidRPr="002F46CE">
                  <w:rPr>
                    <w:color w:val="000000"/>
                  </w:rPr>
                  <w:t>(TSSC, 2016d)</w:t>
                </w:r>
              </w:sdtContent>
            </w:sdt>
            <w:r w:rsidRPr="0023049C">
              <w:rPr>
                <w:szCs w:val="18"/>
              </w:rPr>
              <w:t>.</w:t>
            </w:r>
          </w:p>
          <w:p w14:paraId="7D9A0A67" w14:textId="77777777" w:rsidR="000B173B" w:rsidRPr="00723330" w:rsidRDefault="000B173B" w:rsidP="00A15226">
            <w:pPr>
              <w:pStyle w:val="Tabletext"/>
              <w:rPr>
                <w:szCs w:val="18"/>
              </w:rPr>
            </w:pPr>
            <w:r>
              <w:rPr>
                <w:szCs w:val="18"/>
              </w:rPr>
              <w:t xml:space="preserve">In Australia, the species’ diet mostly consists of molluscs, worms, crustaceans and insects </w:t>
            </w:r>
            <w:sdt>
              <w:sdtPr>
                <w:rPr>
                  <w:color w:val="000000"/>
                  <w:szCs w:val="18"/>
                </w:rPr>
                <w:tag w:val="MENDELEY_CITATION_v3_eyJjaXRhdGlvbklEIjoiTUVOREVMRVlfQ0lUQVRJT05fMTM4ZTcwOGUtM2ZjMC00MWY3LTg2ZDYtYmYxMDhkMDk5MDI4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209111107"/>
                <w:placeholder>
                  <w:docPart w:val="7A87483195E49548AABB39FF484A13FE"/>
                </w:placeholder>
              </w:sdtPr>
              <w:sdtEndPr>
                <w:rPr>
                  <w:szCs w:val="20"/>
                </w:rPr>
              </w:sdtEndPr>
              <w:sdtContent>
                <w:r w:rsidRPr="002F46CE">
                  <w:rPr>
                    <w:color w:val="000000"/>
                  </w:rPr>
                  <w:t>(TSSC, 2016d)</w:t>
                </w:r>
              </w:sdtContent>
            </w:sdt>
            <w:r w:rsidRPr="0023049C">
              <w:rPr>
                <w:szCs w:val="18"/>
              </w:rPr>
              <w:t>.</w:t>
            </w:r>
          </w:p>
        </w:tc>
      </w:tr>
      <w:tr w:rsidR="000B173B" w:rsidRPr="000816D6" w14:paraId="017E4AFD" w14:textId="77777777" w:rsidTr="00A15226">
        <w:tc>
          <w:tcPr>
            <w:tcW w:w="1526" w:type="dxa"/>
            <w:vAlign w:val="center"/>
          </w:tcPr>
          <w:p w14:paraId="776CB35B"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2029955C" w14:textId="77777777" w:rsidR="000B173B" w:rsidRPr="0023049C" w:rsidRDefault="000B173B" w:rsidP="00A15226">
            <w:pPr>
              <w:pStyle w:val="Tabletext"/>
            </w:pPr>
            <w:r w:rsidRPr="0023049C">
              <w:rPr>
                <w:szCs w:val="18"/>
              </w:rPr>
              <w:t xml:space="preserve">During the austral summer the species is widespread but more common in northern Australia. It is found in coastal areas in every Australian state. In </w:t>
            </w:r>
            <w:r>
              <w:rPr>
                <w:szCs w:val="18"/>
              </w:rPr>
              <w:t>Victoria, it is mostly recorded from Corner Inlet, Western Port and Port Phillip Bay</w:t>
            </w:r>
            <w:r w:rsidRPr="0023049C">
              <w:rPr>
                <w:szCs w:val="18"/>
              </w:rPr>
              <w:t xml:space="preserve"> </w:t>
            </w:r>
            <w:sdt>
              <w:sdtPr>
                <w:rPr>
                  <w:color w:val="000000"/>
                  <w:szCs w:val="18"/>
                </w:rPr>
                <w:tag w:val="MENDELEY_CITATION_v3_eyJjaXRhdGlvbklEIjoiTUVOREVMRVlfQ0lUQVRJT05fNTMzZGVjMmMtY2IxNC00ZmQ1LTliM2MtNzJlYWVhNzFkOTNl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759722886"/>
                <w:placeholder>
                  <w:docPart w:val="7A87483195E49548AABB39FF484A13FE"/>
                </w:placeholder>
              </w:sdtPr>
              <w:sdtEndPr>
                <w:rPr>
                  <w:szCs w:val="20"/>
                </w:rPr>
              </w:sdtEndPr>
              <w:sdtContent>
                <w:r w:rsidRPr="002F46CE">
                  <w:rPr>
                    <w:color w:val="000000"/>
                  </w:rPr>
                  <w:t>(TSSC, 2016d)</w:t>
                </w:r>
              </w:sdtContent>
            </w:sdt>
            <w:r w:rsidRPr="0023049C">
              <w:t>.</w:t>
            </w:r>
          </w:p>
          <w:p w14:paraId="7653A217" w14:textId="77777777" w:rsidR="000B173B" w:rsidRPr="0023049C" w:rsidRDefault="000B173B" w:rsidP="00A15226">
            <w:pPr>
              <w:pStyle w:val="Tabletext"/>
            </w:pPr>
            <w:r w:rsidRPr="0023049C">
              <w:t xml:space="preserve">While in Australia the species is almost entirely coastal. It inhabits sheltered beaches, intertidal mudflats, sandbanks, salt marshes, estuaries, coral reefs, rocky islands or platforms, tidal lagoons and dunes near the coast. They typically forage in wet sand or mud, and roost on sand-spits or high on banks near beaches </w:t>
            </w:r>
            <w:sdt>
              <w:sdtPr>
                <w:rPr>
                  <w:color w:val="000000"/>
                </w:rPr>
                <w:tag w:val="MENDELEY_CITATION_v3_eyJjaXRhdGlvbklEIjoiTUVOREVMRVlfQ0lUQVRJT05fYTE3NDJkYmUtZmU2YS00YzMyLTlmZTEtZjVlMmQ2MmY4YmEz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589932693"/>
                <w:placeholder>
                  <w:docPart w:val="7A87483195E49548AABB39FF484A13FE"/>
                </w:placeholder>
              </w:sdtPr>
              <w:sdtContent>
                <w:r w:rsidRPr="002F46CE">
                  <w:rPr>
                    <w:color w:val="000000"/>
                  </w:rPr>
                  <w:t>(TSSC, 2016d)</w:t>
                </w:r>
              </w:sdtContent>
            </w:sdt>
            <w:r w:rsidRPr="0023049C">
              <w:t xml:space="preserve">. </w:t>
            </w:r>
          </w:p>
        </w:tc>
      </w:tr>
      <w:tr w:rsidR="000B173B" w:rsidRPr="000816D6" w14:paraId="120EE99A" w14:textId="77777777" w:rsidTr="00A15226">
        <w:tc>
          <w:tcPr>
            <w:tcW w:w="1526" w:type="dxa"/>
            <w:vAlign w:val="center"/>
          </w:tcPr>
          <w:p w14:paraId="650F7E5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1E6E8C73" w14:textId="77777777" w:rsidR="000B173B" w:rsidRPr="0023049C" w:rsidRDefault="000B173B" w:rsidP="00A15226">
            <w:pPr>
              <w:pStyle w:val="Tabletext"/>
            </w:pPr>
            <w:r>
              <w:t xml:space="preserve">The most recent estimate of the </w:t>
            </w:r>
            <w:r w:rsidRPr="0023049C">
              <w:t>East Asian-Australasia Flyway</w:t>
            </w:r>
            <w:r>
              <w:t xml:space="preserve"> population of the Greater Sand Plover is between 200,000 – 300,000 individuals </w:t>
            </w:r>
            <w:sdt>
              <w:sdtPr>
                <w:tag w:val="MENDELEY_CITATION_v3_eyJjaXRhdGlvbklEIjoiTUVOREVMRVlfQ0lUQVRJT05fMjI0ZTVjYTYtMTc3Zi00YmZjLTgzN2YtZDcxNTA0YTY2NWEzIiwicHJvcGVydGllcyI6eyJub3RlSW5kZXgiOjB9LCJpc0VkaXRlZCI6ZmFsc2UsIm1hbnVhbE92ZXJyaWRlIjp7ImNpdGVwcm9jVGV4dCI6IihIYW5zZW4gPGk+ZXQgYWwuPC9pPiwgMjAxNikiLCJpc01hbnVhbGx5T3ZlcnJpZGRlbiI6ZmFsc2UsIm1hbnVhbE92ZXJyaWRlVGV4dCI6IiJ9LCJjaXRhdGlvbkl0ZW1zIjpb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423773966"/>
                <w:placeholder>
                  <w:docPart w:val="7A87483195E49548AABB39FF484A13FE"/>
                </w:placeholder>
              </w:sdtPr>
              <w:sdtContent>
                <w:r>
                  <w:rPr>
                    <w:rFonts w:eastAsia="Times New Roman"/>
                  </w:rPr>
                  <w:t xml:space="preserve">(Hansen </w:t>
                </w:r>
                <w:r>
                  <w:rPr>
                    <w:rFonts w:eastAsia="Times New Roman"/>
                    <w:i/>
                    <w:iCs/>
                  </w:rPr>
                  <w:t>et al.</w:t>
                </w:r>
                <w:r>
                  <w:rPr>
                    <w:rFonts w:eastAsia="Times New Roman"/>
                  </w:rPr>
                  <w:t>, 2016)</w:t>
                </w:r>
              </w:sdtContent>
            </w:sdt>
            <w:r>
              <w:t>.</w:t>
            </w:r>
          </w:p>
        </w:tc>
      </w:tr>
      <w:tr w:rsidR="000B173B" w:rsidRPr="002F23FB" w14:paraId="1102B03A" w14:textId="77777777" w:rsidTr="00A15226">
        <w:tc>
          <w:tcPr>
            <w:tcW w:w="1526" w:type="dxa"/>
            <w:vAlign w:val="center"/>
          </w:tcPr>
          <w:p w14:paraId="612479E8"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4F65A5A0" w14:textId="77777777" w:rsidR="000B173B" w:rsidRDefault="000B173B" w:rsidP="00A15226">
            <w:pPr>
              <w:pStyle w:val="Tabletext"/>
            </w:pPr>
            <w:r>
              <w:t xml:space="preserve">The species Conservation Advice has identified the following threats to the species within Australia </w:t>
            </w:r>
            <w:sdt>
              <w:sdtPr>
                <w:rPr>
                  <w:color w:val="000000"/>
                </w:rPr>
                <w:tag w:val="MENDELEY_CITATION_v3_eyJjaXRhdGlvbklEIjoiTUVOREVMRVlfQ0lUQVRJT05fZjJiMDAxYmUtYTA2MC00MDg0LTg0OWUtMjJmY2ZjZjcyNjk1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987596917"/>
                <w:placeholder>
                  <w:docPart w:val="7A87483195E49548AABB39FF484A13FE"/>
                </w:placeholder>
              </w:sdtPr>
              <w:sdtContent>
                <w:r w:rsidRPr="002F46CE">
                  <w:rPr>
                    <w:color w:val="000000"/>
                  </w:rPr>
                  <w:t>(TSSC, 2016d)</w:t>
                </w:r>
              </w:sdtContent>
            </w:sdt>
            <w:r>
              <w:t>:</w:t>
            </w:r>
          </w:p>
          <w:p w14:paraId="098FDDFE" w14:textId="77777777" w:rsidR="000B173B" w:rsidRDefault="000B173B" w:rsidP="00A15226">
            <w:pPr>
              <w:pStyle w:val="Bullet1"/>
            </w:pPr>
            <w:r>
              <w:t>Ongoing human disturbance</w:t>
            </w:r>
          </w:p>
          <w:p w14:paraId="6F441E34" w14:textId="77777777" w:rsidR="000B173B" w:rsidRDefault="000B173B" w:rsidP="00A15226">
            <w:pPr>
              <w:pStyle w:val="Bullet1"/>
            </w:pPr>
            <w:r>
              <w:t>Pollution and changes to the water regime</w:t>
            </w:r>
          </w:p>
          <w:p w14:paraId="2347B54A" w14:textId="77777777" w:rsidR="000B173B" w:rsidRPr="003E1ADD" w:rsidRDefault="000B173B" w:rsidP="00A15226">
            <w:pPr>
              <w:pStyle w:val="Bullet1"/>
            </w:pPr>
            <w:r>
              <w:t>Invasive plants</w:t>
            </w:r>
          </w:p>
        </w:tc>
      </w:tr>
      <w:tr w:rsidR="000B173B" w:rsidRPr="002F23FB" w14:paraId="2B97F829" w14:textId="77777777" w:rsidTr="00A15226">
        <w:tc>
          <w:tcPr>
            <w:tcW w:w="1526" w:type="dxa"/>
            <w:vAlign w:val="center"/>
          </w:tcPr>
          <w:p w14:paraId="2F2F5A7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46AE6650" w14:textId="77777777" w:rsidR="000B173B" w:rsidRPr="003E1ADD" w:rsidRDefault="000B173B" w:rsidP="00A15226">
            <w:pPr>
              <w:pStyle w:val="Tabletext"/>
              <w:rPr>
                <w:iCs/>
              </w:rPr>
            </w:pPr>
            <w:r w:rsidRPr="00BD628E">
              <w:rPr>
                <w:iCs/>
              </w:rPr>
              <w:t xml:space="preserve">Conservation Advice </w:t>
            </w:r>
            <w:r w:rsidRPr="0011395B">
              <w:rPr>
                <w:i/>
              </w:rPr>
              <w:t>Charadrius leschenaultii</w:t>
            </w:r>
            <w:r w:rsidRPr="00BD628E">
              <w:rPr>
                <w:iCs/>
              </w:rPr>
              <w:t xml:space="preserve"> Greater </w:t>
            </w:r>
            <w:r>
              <w:rPr>
                <w:iCs/>
              </w:rPr>
              <w:t>S</w:t>
            </w:r>
            <w:r w:rsidRPr="00BD628E">
              <w:rPr>
                <w:iCs/>
              </w:rPr>
              <w:t xml:space="preserve">and </w:t>
            </w:r>
            <w:r>
              <w:rPr>
                <w:iCs/>
              </w:rPr>
              <w:t>P</w:t>
            </w:r>
            <w:r w:rsidRPr="00BD628E">
              <w:rPr>
                <w:iCs/>
              </w:rPr>
              <w:t>lover</w:t>
            </w:r>
            <w:r>
              <w:rPr>
                <w:iCs/>
              </w:rPr>
              <w:t xml:space="preserve"> </w:t>
            </w:r>
            <w:sdt>
              <w:sdtPr>
                <w:rPr>
                  <w:iCs/>
                  <w:color w:val="000000"/>
                </w:rPr>
                <w:tag w:val="MENDELEY_CITATION_v3_eyJjaXRhdGlvbklEIjoiTUVOREVMRVlfQ0lUQVRJT05fYzNkMGI1ZDktODExYy00NTM2LWEyMjYtMTRjNGIyNGM4MTYy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1190032135"/>
                <w:placeholder>
                  <w:docPart w:val="7A87483195E49548AABB39FF484A13FE"/>
                </w:placeholder>
              </w:sdtPr>
              <w:sdtEndPr>
                <w:rPr>
                  <w:iCs w:val="0"/>
                </w:rPr>
              </w:sdtEndPr>
              <w:sdtContent>
                <w:r w:rsidRPr="002F46CE">
                  <w:rPr>
                    <w:color w:val="000000"/>
                  </w:rPr>
                  <w:t>(TSSC, 2016d)</w:t>
                </w:r>
              </w:sdtContent>
            </w:sdt>
          </w:p>
        </w:tc>
      </w:tr>
      <w:tr w:rsidR="000B173B" w:rsidRPr="000816D6" w14:paraId="344763C2" w14:textId="77777777" w:rsidTr="00A15226">
        <w:tc>
          <w:tcPr>
            <w:tcW w:w="1526" w:type="dxa"/>
            <w:vAlign w:val="center"/>
          </w:tcPr>
          <w:p w14:paraId="0018025B"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341F1F25" w14:textId="77777777" w:rsidR="000B173B" w:rsidRDefault="000B173B" w:rsidP="00A15226">
            <w:pPr>
              <w:pStyle w:val="Tabletext"/>
            </w:pPr>
            <w:r w:rsidRPr="00D32954">
              <w:t>Wildlife Conservation Plan for Migratory Shorebirds</w:t>
            </w:r>
            <w:r>
              <w:t xml:space="preserve"> </w:t>
            </w:r>
            <w:sdt>
              <w:sdtPr>
                <w:rPr>
                  <w:color w:val="000000"/>
                </w:rPr>
                <w:tag w:val="MENDELEY_CITATION_v3_eyJjaXRhdGlvbklEIjoiTUVOREVMRVlfQ0lUQVRJT05fNzU5OGY5M2MtZjI5MS00NTY3LWI2NWQtNDdiYTIyNDE4Yjlh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1388638680"/>
                <w:placeholder>
                  <w:docPart w:val="7A87483195E49548AABB39FF484A13FE"/>
                </w:placeholder>
              </w:sdtPr>
              <w:sdtContent>
                <w:r w:rsidRPr="002F46CE">
                  <w:rPr>
                    <w:color w:val="000000"/>
                  </w:rPr>
                  <w:t>(Commonwealth of Australia, 2015)</w:t>
                </w:r>
              </w:sdtContent>
            </w:sdt>
          </w:p>
          <w:p w14:paraId="28FAB03A" w14:textId="77777777" w:rsidR="000B173B" w:rsidRPr="00980D4D" w:rsidRDefault="000B173B" w:rsidP="00A15226">
            <w:pPr>
              <w:pStyle w:val="Tabletext"/>
            </w:pPr>
            <w:r>
              <w:t>E</w:t>
            </w:r>
            <w:r w:rsidRPr="00A31A72">
              <w:t>PBC Act Policy Statement 3.21 - Industry Guidelines for avoiding, assessing and mitigating impacts on EBBC Act listed migratory shorebird species</w:t>
            </w:r>
            <w:r>
              <w:t xml:space="preserve"> </w:t>
            </w:r>
            <w:sdt>
              <w:sdtPr>
                <w:rPr>
                  <w:color w:val="000000"/>
                </w:rPr>
                <w:tag w:val="MENDELEY_CITATION_v3_eyJjaXRhdGlvbklEIjoiTUVOREVMRVlfQ0lUQVRJT05fNTM1N2U2MTUtZDgxMC00NWRmLWI1YTktMzY0ZWEyZThlNjVh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725213950"/>
                <w:placeholder>
                  <w:docPart w:val="7A87483195E49548AABB39FF484A13FE"/>
                </w:placeholder>
              </w:sdtPr>
              <w:sdtContent>
                <w:r w:rsidRPr="002F46CE">
                  <w:rPr>
                    <w:color w:val="000000"/>
                  </w:rPr>
                  <w:t>(DoE, 2017)</w:t>
                </w:r>
              </w:sdtContent>
            </w:sdt>
          </w:p>
        </w:tc>
      </w:tr>
      <w:tr w:rsidR="000B173B" w:rsidRPr="000816D6" w14:paraId="7286DB7E" w14:textId="77777777" w:rsidTr="00A15226">
        <w:tc>
          <w:tcPr>
            <w:tcW w:w="1526" w:type="dxa"/>
            <w:vAlign w:val="center"/>
          </w:tcPr>
          <w:p w14:paraId="31CAD64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4D8B429A" w14:textId="77777777" w:rsidR="000B173B" w:rsidRPr="003E1ADD" w:rsidRDefault="000B173B" w:rsidP="00A15226">
            <w:pPr>
              <w:pStyle w:val="Tabletext"/>
            </w:pPr>
            <w:hyperlink r:id="rId141" w:history="1">
              <w:r w:rsidRPr="007473F6">
                <w:rPr>
                  <w:rStyle w:val="Hyperlink"/>
                </w:rPr>
                <w:t>http://www.environment.gov.au/cgi-bin/sprat/public/publicspecies.pl?taxon_id=877</w:t>
              </w:r>
            </w:hyperlink>
            <w:r>
              <w:t xml:space="preserve"> </w:t>
            </w:r>
          </w:p>
        </w:tc>
      </w:tr>
    </w:tbl>
    <w:p w14:paraId="3A9F70E7"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51AC6945" w14:textId="77777777" w:rsidTr="00A15226">
        <w:tc>
          <w:tcPr>
            <w:tcW w:w="9622" w:type="dxa"/>
            <w:shd w:val="clear" w:color="auto" w:fill="C9C9C9" w:themeFill="accent3" w:themeFillTint="99"/>
          </w:tcPr>
          <w:p w14:paraId="11BB18A0" w14:textId="77777777" w:rsidR="000B173B" w:rsidRPr="008F55BC" w:rsidRDefault="000B173B" w:rsidP="00A15226">
            <w:pPr>
              <w:pStyle w:val="Tabletext"/>
              <w:keepNext/>
              <w:keepLines/>
              <w:rPr>
                <w:b/>
                <w:bCs/>
              </w:rPr>
            </w:pPr>
            <w:r>
              <w:rPr>
                <w:rFonts w:ascii="Helvetica" w:hAnsi="Helvetica"/>
                <w:b/>
                <w:sz w:val="16"/>
                <w:szCs w:val="16"/>
              </w:rPr>
              <w:lastRenderedPageBreak/>
              <w:t>APPROACH TO BASELINE DATA</w:t>
            </w:r>
          </w:p>
        </w:tc>
      </w:tr>
    </w:tbl>
    <w:p w14:paraId="5E4F7047" w14:textId="77777777" w:rsidR="000B173B" w:rsidRPr="0007741A" w:rsidRDefault="000B173B" w:rsidP="000B173B">
      <w:pPr>
        <w:keepNext/>
        <w:keepLines/>
        <w:rPr>
          <w:i/>
          <w:iCs/>
          <w:color w:val="4472C4" w:themeColor="accent1"/>
        </w:rPr>
      </w:pPr>
      <w:r w:rsidRPr="0007741A">
        <w:rPr>
          <w:i/>
          <w:iCs/>
          <w:color w:val="4472C4" w:themeColor="accent1"/>
        </w:rPr>
        <w:t>This section provides a summary of the baseline information used in the assessment. It sets out:</w:t>
      </w:r>
    </w:p>
    <w:p w14:paraId="2893496F" w14:textId="77777777" w:rsidR="000B173B" w:rsidRPr="0007741A" w:rsidRDefault="000B173B" w:rsidP="000B173B">
      <w:pPr>
        <w:pStyle w:val="Bullet1"/>
        <w:keepNext/>
        <w:keepLines/>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3574E18B" w14:textId="77777777" w:rsidR="000B173B" w:rsidRDefault="000B173B" w:rsidP="000B173B">
      <w:pPr>
        <w:pStyle w:val="Bullet1"/>
        <w:keepNext/>
        <w:keepLines/>
        <w:rPr>
          <w:i/>
          <w:iCs/>
          <w:color w:val="4472C4" w:themeColor="accent1"/>
        </w:rPr>
      </w:pPr>
      <w:r w:rsidRPr="0007741A">
        <w:rPr>
          <w:i/>
          <w:iCs/>
          <w:color w:val="4472C4" w:themeColor="accent1"/>
        </w:rPr>
        <w:t>An overview of the population mapping for the species</w:t>
      </w:r>
    </w:p>
    <w:p w14:paraId="5FFD7081" w14:textId="77777777" w:rsidR="000B173B" w:rsidRPr="00296917" w:rsidRDefault="000B173B" w:rsidP="000B173B">
      <w:pPr>
        <w:keepNext/>
        <w:keepLines/>
        <w:rPr>
          <w:i/>
          <w:color w:val="4472C4" w:themeColor="accent1"/>
        </w:rPr>
      </w:pPr>
      <w:r w:rsidRPr="000816D6">
        <w:rPr>
          <w:i/>
          <w:color w:val="4472C4" w:themeColor="accent1"/>
        </w:rPr>
        <w:t xml:space="preserve">Please refer to </w:t>
      </w:r>
      <w:r w:rsidRPr="006900FB">
        <w:rPr>
          <w:i/>
          <w:color w:val="4472C4" w:themeColor="accent1"/>
        </w:rPr>
        <w:t>Chapter 13</w:t>
      </w:r>
      <w:r w:rsidRPr="00BB3ECF">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156F2246" w14:textId="77777777" w:rsidTr="00A15226">
        <w:tc>
          <w:tcPr>
            <w:tcW w:w="1526" w:type="dxa"/>
            <w:vMerge w:val="restart"/>
            <w:vAlign w:val="center"/>
          </w:tcPr>
          <w:p w14:paraId="18D1EAFE"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4830DBDA"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GROWTH AREAS</w:t>
            </w:r>
          </w:p>
        </w:tc>
      </w:tr>
      <w:tr w:rsidR="000B173B" w:rsidRPr="00980D4D" w14:paraId="6B0E2E4D" w14:textId="77777777" w:rsidTr="00A15226">
        <w:tc>
          <w:tcPr>
            <w:tcW w:w="1526" w:type="dxa"/>
            <w:vMerge/>
            <w:vAlign w:val="center"/>
          </w:tcPr>
          <w:p w14:paraId="6382965E" w14:textId="77777777" w:rsidR="000B173B" w:rsidRDefault="000B173B" w:rsidP="00A15226">
            <w:pPr>
              <w:pStyle w:val="Tabletext"/>
              <w:rPr>
                <w:rFonts w:ascii="Helvetica" w:hAnsi="Helvetica"/>
                <w:b/>
                <w:bCs/>
                <w:sz w:val="14"/>
              </w:rPr>
            </w:pPr>
          </w:p>
        </w:tc>
        <w:tc>
          <w:tcPr>
            <w:tcW w:w="8113" w:type="dxa"/>
            <w:vAlign w:val="center"/>
          </w:tcPr>
          <w:p w14:paraId="23CF842B"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7209CA57" w14:textId="77777777" w:rsidTr="00A15226">
        <w:tc>
          <w:tcPr>
            <w:tcW w:w="1526" w:type="dxa"/>
            <w:vMerge/>
            <w:vAlign w:val="center"/>
          </w:tcPr>
          <w:p w14:paraId="1A132128"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6AEBC5A2" w14:textId="77777777" w:rsidR="000B173B" w:rsidRDefault="000B173B" w:rsidP="00A15226">
            <w:pPr>
              <w:pStyle w:val="Tabletext"/>
              <w:rPr>
                <w:b/>
                <w:bCs/>
              </w:rPr>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2128EEB7" w14:textId="77777777" w:rsidTr="00A15226">
        <w:tc>
          <w:tcPr>
            <w:tcW w:w="1526" w:type="dxa"/>
            <w:vMerge/>
            <w:vAlign w:val="center"/>
          </w:tcPr>
          <w:p w14:paraId="7CA45A6C" w14:textId="77777777" w:rsidR="000B173B" w:rsidRDefault="000B173B" w:rsidP="00A15226">
            <w:pPr>
              <w:pStyle w:val="Tabletext"/>
              <w:rPr>
                <w:rFonts w:ascii="Helvetica" w:hAnsi="Helvetica"/>
                <w:b/>
                <w:bCs/>
                <w:sz w:val="14"/>
              </w:rPr>
            </w:pPr>
          </w:p>
        </w:tc>
        <w:tc>
          <w:tcPr>
            <w:tcW w:w="8113" w:type="dxa"/>
            <w:vAlign w:val="center"/>
          </w:tcPr>
          <w:p w14:paraId="482DD3F3" w14:textId="77777777" w:rsidR="000B173B" w:rsidRDefault="000B173B" w:rsidP="00A15226">
            <w:pPr>
              <w:pStyle w:val="Tabletext"/>
              <w:rPr>
                <w:b/>
                <w:bCs/>
              </w:rPr>
            </w:pPr>
            <w:r>
              <w:rPr>
                <w:b/>
                <w:bCs/>
              </w:rPr>
              <w:t xml:space="preserve">N/A. </w:t>
            </w:r>
            <w:r>
              <w:t>Surveys conducted within the Growth Areas concluded that there is unlikely to be suitable habitat present for this species.</w:t>
            </w:r>
          </w:p>
        </w:tc>
      </w:tr>
      <w:tr w:rsidR="000B173B" w:rsidRPr="00980D4D" w14:paraId="43B24CEB" w14:textId="77777777" w:rsidTr="00A15226">
        <w:tc>
          <w:tcPr>
            <w:tcW w:w="1526" w:type="dxa"/>
            <w:vMerge/>
            <w:vAlign w:val="center"/>
          </w:tcPr>
          <w:p w14:paraId="3A5AA95D"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320282E"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22CA252E" w14:textId="77777777" w:rsidTr="00A15226">
        <w:tc>
          <w:tcPr>
            <w:tcW w:w="1526" w:type="dxa"/>
            <w:vMerge/>
            <w:vAlign w:val="center"/>
          </w:tcPr>
          <w:p w14:paraId="2A3DB5E7" w14:textId="77777777" w:rsidR="000B173B" w:rsidRPr="000816D6" w:rsidRDefault="000B173B" w:rsidP="00A15226">
            <w:pPr>
              <w:pStyle w:val="Tabletext"/>
              <w:rPr>
                <w:rFonts w:ascii="Helvetica" w:hAnsi="Helvetica"/>
                <w:b/>
                <w:bCs/>
                <w:sz w:val="14"/>
              </w:rPr>
            </w:pPr>
          </w:p>
        </w:tc>
        <w:tc>
          <w:tcPr>
            <w:tcW w:w="8113" w:type="dxa"/>
            <w:vAlign w:val="center"/>
          </w:tcPr>
          <w:p w14:paraId="1C78334A"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4A546597" w14:textId="77777777" w:rsidR="000B173B" w:rsidRPr="00980D4D" w:rsidRDefault="000B173B" w:rsidP="00A15226">
            <w:pPr>
              <w:pStyle w:val="Tabletext"/>
            </w:pPr>
            <w:r w:rsidRPr="00B03721">
              <w:t>Refer to</w:t>
            </w:r>
            <w:r>
              <w:t xml:space="preserve"> </w:t>
            </w:r>
            <w:r w:rsidRPr="006900FB">
              <w:t>Chapter 13 of Part 3</w:t>
            </w:r>
            <w:r w:rsidRPr="00BB3ECF">
              <w:t xml:space="preserve"> for</w:t>
            </w:r>
            <w:r>
              <w:t xml:space="preserve"> a detailed description of the baseline mapping, landholder surveys, and HIMs.</w:t>
            </w:r>
          </w:p>
        </w:tc>
      </w:tr>
      <w:tr w:rsidR="000B173B" w:rsidRPr="003E1ADD" w14:paraId="3309E470" w14:textId="77777777" w:rsidTr="00A15226">
        <w:tc>
          <w:tcPr>
            <w:tcW w:w="1526" w:type="dxa"/>
            <w:vMerge w:val="restart"/>
            <w:vAlign w:val="center"/>
          </w:tcPr>
          <w:p w14:paraId="40010896"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02B34926"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0FF1177E" w14:textId="77777777" w:rsidTr="00A15226">
        <w:tc>
          <w:tcPr>
            <w:tcW w:w="1526" w:type="dxa"/>
            <w:vMerge/>
            <w:vAlign w:val="center"/>
          </w:tcPr>
          <w:p w14:paraId="1D8D67EC" w14:textId="77777777" w:rsidR="000B173B" w:rsidRDefault="000B173B" w:rsidP="00A15226">
            <w:pPr>
              <w:pStyle w:val="Tabletext"/>
              <w:rPr>
                <w:rFonts w:ascii="Helvetica" w:hAnsi="Helvetica"/>
                <w:b/>
                <w:bCs/>
                <w:sz w:val="14"/>
              </w:rPr>
            </w:pPr>
          </w:p>
        </w:tc>
        <w:tc>
          <w:tcPr>
            <w:tcW w:w="8113" w:type="dxa"/>
            <w:vAlign w:val="center"/>
          </w:tcPr>
          <w:p w14:paraId="54D87AEF"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401D2383" w14:textId="77777777" w:rsidTr="00A15226">
        <w:tc>
          <w:tcPr>
            <w:tcW w:w="1526" w:type="dxa"/>
            <w:vMerge/>
            <w:vAlign w:val="center"/>
          </w:tcPr>
          <w:p w14:paraId="2F1EE922"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FE28535"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62FC8C24" w14:textId="77777777" w:rsidTr="00A15226">
        <w:tc>
          <w:tcPr>
            <w:tcW w:w="1526" w:type="dxa"/>
            <w:vMerge/>
            <w:vAlign w:val="center"/>
          </w:tcPr>
          <w:p w14:paraId="38E82997" w14:textId="77777777" w:rsidR="000B173B" w:rsidRDefault="000B173B" w:rsidP="00A15226">
            <w:pPr>
              <w:pStyle w:val="Tabletext"/>
              <w:rPr>
                <w:rFonts w:ascii="Helvetica" w:hAnsi="Helvetica"/>
                <w:b/>
                <w:bCs/>
                <w:sz w:val="14"/>
              </w:rPr>
            </w:pPr>
          </w:p>
        </w:tc>
        <w:tc>
          <w:tcPr>
            <w:tcW w:w="8113" w:type="dxa"/>
            <w:vAlign w:val="center"/>
          </w:tcPr>
          <w:p w14:paraId="3D9046E5" w14:textId="77777777" w:rsidR="000B173B" w:rsidRPr="00BB022D" w:rsidRDefault="000B173B" w:rsidP="00A15226">
            <w:pPr>
              <w:pStyle w:val="Bullet1"/>
              <w:numPr>
                <w:ilvl w:val="0"/>
                <w:numId w:val="0"/>
              </w:numPr>
              <w:ind w:left="360" w:hanging="360"/>
            </w:pPr>
            <w:r w:rsidRPr="006A4149">
              <w:t xml:space="preserve">VBA records for the </w:t>
            </w:r>
            <w:r>
              <w:t>Greater Sand Plover</w:t>
            </w:r>
            <w:r w:rsidRPr="006A4149">
              <w:t xml:space="preserve"> used in this assessment were downloaded in June 2022.</w:t>
            </w:r>
          </w:p>
        </w:tc>
      </w:tr>
      <w:tr w:rsidR="000B173B" w:rsidRPr="003E1ADD" w14:paraId="66FC95E1" w14:textId="77777777" w:rsidTr="00A15226">
        <w:tc>
          <w:tcPr>
            <w:tcW w:w="1526" w:type="dxa"/>
            <w:vMerge/>
            <w:vAlign w:val="center"/>
          </w:tcPr>
          <w:p w14:paraId="0D992FD3"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8CC76F6"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420B5F76" w14:textId="77777777" w:rsidTr="00A15226">
        <w:tc>
          <w:tcPr>
            <w:tcW w:w="1526" w:type="dxa"/>
            <w:vMerge/>
            <w:vAlign w:val="center"/>
          </w:tcPr>
          <w:p w14:paraId="030EC2C4" w14:textId="77777777" w:rsidR="000B173B" w:rsidRDefault="000B173B" w:rsidP="00A15226">
            <w:pPr>
              <w:pStyle w:val="Tabletext"/>
              <w:rPr>
                <w:rFonts w:ascii="Helvetica" w:hAnsi="Helvetica"/>
                <w:b/>
                <w:bCs/>
                <w:sz w:val="14"/>
              </w:rPr>
            </w:pPr>
          </w:p>
        </w:tc>
        <w:tc>
          <w:tcPr>
            <w:tcW w:w="8113" w:type="dxa"/>
            <w:vAlign w:val="center"/>
          </w:tcPr>
          <w:p w14:paraId="68528D80" w14:textId="77777777" w:rsidR="000B173B" w:rsidRPr="00BB022D" w:rsidRDefault="000B173B" w:rsidP="00A15226">
            <w:pPr>
              <w:pStyle w:val="Tabletext"/>
            </w:pPr>
            <w:r w:rsidRPr="00C62332">
              <w:t xml:space="preserve">Given the mobile nature of the species, all records within the Study Area </w:t>
            </w:r>
            <w:r>
              <w:t>are</w:t>
            </w:r>
            <w:r w:rsidRPr="00C62332">
              <w:t xml:space="preserve"> considered a single population.</w:t>
            </w:r>
          </w:p>
        </w:tc>
      </w:tr>
    </w:tbl>
    <w:p w14:paraId="495A1B4B"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466D683F" w14:textId="77777777" w:rsidTr="00A15226">
        <w:tc>
          <w:tcPr>
            <w:tcW w:w="9622" w:type="dxa"/>
            <w:shd w:val="clear" w:color="auto" w:fill="C9C9C9" w:themeFill="accent3" w:themeFillTint="99"/>
          </w:tcPr>
          <w:p w14:paraId="20D5D587"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6E45084F"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the </w:t>
      </w:r>
      <w:r w:rsidRPr="00CA1943">
        <w:rPr>
          <w:i/>
          <w:iCs/>
          <w:color w:val="4472C4" w:themeColor="accent1"/>
        </w:rPr>
        <w:t>Study Area. It includes reference to a map of records and habitat which can be viewed as a separate file. The map provides critical context for the assessment and should be viewed in conjunction with the text presented in this assessment. This section also provides a qualitative</w:t>
      </w:r>
      <w:r w:rsidRPr="00BB022D">
        <w:rPr>
          <w:i/>
          <w:iCs/>
          <w:color w:val="4472C4" w:themeColor="accent1"/>
        </w:rPr>
        <w:t xml:space="preserve"> description of where records and habitat occur.</w:t>
      </w:r>
    </w:p>
    <w:p w14:paraId="695CAD37" w14:textId="77777777" w:rsidR="000B173B" w:rsidRPr="003F174B" w:rsidRDefault="000B173B" w:rsidP="000B173B">
      <w:pPr>
        <w:rPr>
          <w:highlight w:val="yellow"/>
        </w:rPr>
      </w:pPr>
      <w:r w:rsidRPr="00AC3067">
        <w:t xml:space="preserve">See </w:t>
      </w:r>
      <w:hyperlink r:id="rId142" w:history="1">
        <w:r w:rsidRPr="00AC291E">
          <w:rPr>
            <w:rStyle w:val="Hyperlink"/>
          </w:rPr>
          <w:t>Map 19-16</w:t>
        </w:r>
      </w:hyperlink>
      <w:r w:rsidRPr="006900FB">
        <w:t xml:space="preserve"> </w:t>
      </w:r>
      <w:r w:rsidRPr="00BB3ECF">
        <w:t>for</w:t>
      </w:r>
      <w:r w:rsidRPr="00AC3067">
        <w:t xml:space="preserve"> a map of records and habitat across the Strategic Assessment Area.</w:t>
      </w:r>
    </w:p>
    <w:p w14:paraId="236E1430" w14:textId="77777777" w:rsidR="000B173B" w:rsidRPr="0099583D" w:rsidRDefault="000B173B" w:rsidP="000B173B">
      <w:r w:rsidRPr="0099583D">
        <w:t xml:space="preserve">There </w:t>
      </w:r>
      <w:r w:rsidRPr="00BB3ECF">
        <w:t xml:space="preserve">are </w:t>
      </w:r>
      <w:r w:rsidRPr="006900FB">
        <w:t>two records (3 individuals</w:t>
      </w:r>
      <w:r w:rsidRPr="00BB3ECF">
        <w:t>) of the Greater Sand Plover within the Study Area, recorded in 1994 and 1996. The species has</w:t>
      </w:r>
      <w:r w:rsidRPr="0099583D">
        <w:t xml:space="preserve"> not been recorded within the Strategic Assessment Area. </w:t>
      </w:r>
    </w:p>
    <w:p w14:paraId="51093CEB" w14:textId="77777777" w:rsidR="000B173B" w:rsidRPr="00CE7696" w:rsidRDefault="000B173B" w:rsidP="000B173B">
      <w:r w:rsidRPr="00BB3ECF">
        <w:t xml:space="preserve">A total of </w:t>
      </w:r>
      <w:r w:rsidRPr="006900FB">
        <w:t>2,988.6 ha</w:t>
      </w:r>
      <w:r w:rsidRPr="00BB3ECF">
        <w:t xml:space="preserve"> of potential habitat has been mapped within the Study Area. Of this</w:t>
      </w:r>
      <w:r w:rsidRPr="006900FB">
        <w:t>, 0.5 ha</w:t>
      </w:r>
      <w:r>
        <w:t xml:space="preserve"> has been mapped within the Strategic Assessment Area. No habitat has been mapped within the Growth Areas.</w:t>
      </w:r>
    </w:p>
    <w:p w14:paraId="6A72E826" w14:textId="77777777" w:rsidR="000B173B" w:rsidRDefault="000B173B" w:rsidP="000B173B">
      <w:r>
        <w:t>Both records and mapped habitat for the Greater Sand Plover occurs in the Moolap locality.</w:t>
      </w:r>
    </w:p>
    <w:p w14:paraId="5540DF68" w14:textId="77777777" w:rsidR="000B173B" w:rsidRPr="003F174B" w:rsidRDefault="000B173B" w:rsidP="000B173B">
      <w:pPr>
        <w:rPr>
          <w:highlight w:val="yellow"/>
        </w:rPr>
      </w:pPr>
      <w:r>
        <w:t>Otherwise, habitat is mapped along the northern shoreline of Port Phillip Bay, from Limeburners Bay in the west through to the Study Area boundary in the east, and at the Lake Connewarre Complex.</w:t>
      </w:r>
    </w:p>
    <w:p w14:paraId="34C77E4F" w14:textId="77777777" w:rsidR="000B173B" w:rsidRPr="000816D6"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589675A8" w14:textId="77777777" w:rsidTr="00A15226">
        <w:trPr>
          <w:cantSplit/>
        </w:trPr>
        <w:tc>
          <w:tcPr>
            <w:tcW w:w="9632" w:type="dxa"/>
            <w:shd w:val="clear" w:color="auto" w:fill="D9D9D9" w:themeFill="background1" w:themeFillShade="D9"/>
            <w:vAlign w:val="center"/>
          </w:tcPr>
          <w:p w14:paraId="64457B42" w14:textId="77777777" w:rsidR="000B173B" w:rsidRPr="000816D6" w:rsidRDefault="000B173B" w:rsidP="00A15226">
            <w:pPr>
              <w:pStyle w:val="TableHeadingLarge"/>
            </w:pPr>
            <w:r w:rsidRPr="000816D6">
              <w:rPr>
                <w:rFonts w:ascii="Helvetica" w:hAnsi="Helvetica"/>
              </w:rPr>
              <w:lastRenderedPageBreak/>
              <w:t>POTENTIAL INDIRECT IMPACTS AND MITIGATION</w:t>
            </w:r>
          </w:p>
        </w:tc>
      </w:tr>
    </w:tbl>
    <w:p w14:paraId="1F2C9057"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0BAA1913"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17909B9D"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21AE81DF"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3EB90574" w14:textId="77777777" w:rsidR="000B173B" w:rsidRPr="007C1D70" w:rsidRDefault="000B173B" w:rsidP="000B173B">
      <w:pPr>
        <w:rPr>
          <w:i/>
          <w:color w:val="4472C4" w:themeColor="accent1"/>
        </w:rPr>
      </w:pPr>
      <w:r w:rsidRPr="007C1D70">
        <w:rPr>
          <w:i/>
          <w:color w:val="4472C4" w:themeColor="accent1"/>
        </w:rPr>
        <w:t>Please refer t</w:t>
      </w:r>
      <w:r w:rsidRPr="00BB3ECF">
        <w:rPr>
          <w:i/>
          <w:color w:val="4472C4" w:themeColor="accent1"/>
        </w:rPr>
        <w:t xml:space="preserve">o </w:t>
      </w:r>
      <w:r w:rsidRPr="006900FB">
        <w:rPr>
          <w:i/>
          <w:color w:val="4472C4" w:themeColor="accent1"/>
        </w:rPr>
        <w:t>Chapter 19</w:t>
      </w:r>
      <w:r w:rsidRPr="00BB3ECF">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BB3ECF">
        <w:rPr>
          <w:i/>
          <w:color w:val="4472C4" w:themeColor="accent1"/>
        </w:rPr>
        <w:t xml:space="preserve"> for</w:t>
      </w:r>
      <w:r w:rsidRPr="007C1D70">
        <w:rPr>
          <w:i/>
          <w:color w:val="4472C4" w:themeColor="accent1"/>
        </w:rPr>
        <w:t xml:space="preserve"> a detailed discussion and analysis of indirect impacts and mitigation measures included in the Plan. </w:t>
      </w:r>
    </w:p>
    <w:p w14:paraId="5B130AE1" w14:textId="77777777" w:rsidR="000B173B" w:rsidRDefault="000B173B" w:rsidP="000B173B">
      <w:pPr>
        <w:pStyle w:val="Heading3"/>
        <w:numPr>
          <w:ilvl w:val="0"/>
          <w:numId w:val="0"/>
        </w:numPr>
        <w:ind w:left="720" w:hanging="720"/>
      </w:pPr>
      <w:r w:rsidRPr="00FB680C">
        <w:t>R</w:t>
      </w:r>
      <w:r>
        <w:t>elevant potential indirect impacts</w:t>
      </w:r>
    </w:p>
    <w:p w14:paraId="04954E7B" w14:textId="77777777" w:rsidR="000B173B" w:rsidRDefault="000B173B" w:rsidP="000B173B">
      <w:r w:rsidRPr="00694E93">
        <w:t>The Conservation Advice identifies</w:t>
      </w:r>
      <w:r w:rsidRPr="002B70F0">
        <w:t xml:space="preserve"> a range of threats to the </w:t>
      </w:r>
      <w:r>
        <w:t xml:space="preserve">Greater Sand Plover in Australia </w:t>
      </w:r>
      <w:sdt>
        <w:sdtPr>
          <w:rPr>
            <w:color w:val="000000"/>
          </w:rPr>
          <w:tag w:val="MENDELEY_CITATION_v3_eyJjaXRhdGlvbklEIjoiTUVOREVMRVlfQ0lUQVRJT05fOGRiYzE4OWUtZWQ1Ni00MTg1LThjNjMtMjY3YWU0Y2IwNzYw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260877087"/>
          <w:placeholder>
            <w:docPart w:val="7A87483195E49548AABB39FF484A13FE"/>
          </w:placeholder>
        </w:sdtPr>
        <w:sdtContent>
          <w:r w:rsidRPr="002F46CE">
            <w:rPr>
              <w:color w:val="000000"/>
            </w:rPr>
            <w:t>(TSSC, 2016d)</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6EF07802" w14:textId="77777777" w:rsidR="000B173B" w:rsidRPr="00694E93" w:rsidRDefault="000B173B" w:rsidP="000B173B">
      <w:r>
        <w:t xml:space="preserve">The following potential indirect impacts (identified as threats) are </w:t>
      </w:r>
      <w:r w:rsidRPr="00694E93">
        <w:t>considered relevant to implementation of the Plan:</w:t>
      </w:r>
    </w:p>
    <w:p w14:paraId="1A38CED4" w14:textId="77777777" w:rsidR="000B173B" w:rsidRPr="00694E93" w:rsidRDefault="000B173B" w:rsidP="000B173B">
      <w:pPr>
        <w:pStyle w:val="Bullet1"/>
      </w:pPr>
      <w:r w:rsidRPr="00694E93">
        <w:t>Ongoing human disturbance</w:t>
      </w:r>
    </w:p>
    <w:p w14:paraId="1063564A" w14:textId="77777777" w:rsidR="000B173B" w:rsidRPr="00694E93" w:rsidRDefault="000B173B" w:rsidP="000B173B">
      <w:pPr>
        <w:pStyle w:val="Bullet1"/>
      </w:pPr>
      <w:r w:rsidRPr="00694E93">
        <w:t>Pollution and changes to the water regime</w:t>
      </w:r>
    </w:p>
    <w:p w14:paraId="4DF1FBFF" w14:textId="77777777" w:rsidR="000B173B" w:rsidRDefault="000B173B" w:rsidP="000B173B">
      <w:r>
        <w:t>Invasive weeds are also</w:t>
      </w:r>
      <w:r w:rsidRPr="003A2AF0">
        <w:t xml:space="preserve"> identified in the Conservation Advice</w:t>
      </w:r>
      <w:r>
        <w:t xml:space="preserve"> as a threat to the species</w:t>
      </w:r>
      <w:r w:rsidRPr="003A2AF0">
        <w:t xml:space="preserve">. However, potential indirect impacts associated with </w:t>
      </w:r>
      <w:r>
        <w:t>this threat</w:t>
      </w:r>
      <w:r w:rsidRPr="003A2AF0">
        <w:t xml:space="preserve"> </w:t>
      </w:r>
      <w:r>
        <w:t>are</w:t>
      </w:r>
      <w:r w:rsidRPr="003A2AF0">
        <w:t xml:space="preserve"> considered unlikely given the landscape context of the site and the ecology of the species. Refer </w:t>
      </w:r>
      <w:r w:rsidRPr="00BB3ECF">
        <w:t xml:space="preserve">to </w:t>
      </w:r>
      <w:r w:rsidRPr="006900FB">
        <w:t>Section 17.2 of Chapter 17</w:t>
      </w:r>
      <w:r w:rsidRPr="00BB3ECF">
        <w:t xml:space="preserve"> for</w:t>
      </w:r>
      <w:r>
        <w:t xml:space="preserve"> a detailed assessment of potential indirect impacts associated with the implementation of the Plan.</w:t>
      </w:r>
      <w:r w:rsidRPr="00CC2A00" w:rsidDel="00727335">
        <w:rPr>
          <w:highlight w:val="yellow"/>
        </w:rPr>
        <w:t xml:space="preserve"> </w:t>
      </w:r>
    </w:p>
    <w:p w14:paraId="575D386E" w14:textId="77777777" w:rsidR="000B173B" w:rsidRDefault="000B173B" w:rsidP="000B173B">
      <w:pPr>
        <w:pStyle w:val="Heading4"/>
      </w:pPr>
      <w:r>
        <w:t>Ongoing human disturbance</w:t>
      </w:r>
    </w:p>
    <w:p w14:paraId="2E4AC926" w14:textId="77777777" w:rsidR="000B173B" w:rsidRDefault="000B173B" w:rsidP="000B173B">
      <w:r>
        <w:t xml:space="preserve">Disturbance may result from recreational activities such as fishing, boating, dog walking, four-wheel driving, noise and lighting. While an individual source of disturbance may have a low impact, it is important to consider the cumulative impact of different types of human disturbance on the species </w:t>
      </w:r>
      <w:sdt>
        <w:sdtPr>
          <w:rPr>
            <w:color w:val="000000"/>
          </w:rPr>
          <w:tag w:val="MENDELEY_CITATION_v3_eyJjaXRhdGlvbklEIjoiTUVOREVMRVlfQ0lUQVRJT05fNmI5MzBmYzItOTQxZi00ZjEzLWE3NzItM2NiNjE4MjY3NTgy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714935331"/>
          <w:placeholder>
            <w:docPart w:val="7A87483195E49548AABB39FF484A13FE"/>
          </w:placeholder>
        </w:sdtPr>
        <w:sdtContent>
          <w:r w:rsidRPr="002F46CE">
            <w:rPr>
              <w:color w:val="000000"/>
            </w:rPr>
            <w:t>(TSSC, 2016d)</w:t>
          </w:r>
        </w:sdtContent>
      </w:sdt>
      <w:r>
        <w:t>.</w:t>
      </w:r>
    </w:p>
    <w:p w14:paraId="061393F2" w14:textId="77777777" w:rsidR="000B173B" w:rsidRDefault="000B173B" w:rsidP="000B173B">
      <w:r>
        <w:t xml:space="preserve">As a migratory shorebird, the Greater Sand Plover requires suitable foraging opportunities to build up energy stores required for migration. Human disturbance can interrupt the species’ feeding or roosting behaviours and may cause the species not to feed or roost in a location that would otherwise provide suitable habitat. Disturbance can also reduce the time the species has available for foraging and resting and increase the time the species spends engaging in vigilance and anti-predator behaviour </w:t>
      </w:r>
      <w:sdt>
        <w:sdtPr>
          <w:rPr>
            <w:color w:val="000000"/>
          </w:rPr>
          <w:tag w:val="MENDELEY_CITATION_v3_eyJjaXRhdGlvbklEIjoiTUVOREVMRVlfQ0lUQVRJT05fYjViZTdlYWQtYmZmYS00ZDgwLWFiNWQtODVkM2NhY2RjNmQ0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209343115"/>
          <w:placeholder>
            <w:docPart w:val="7A87483195E49548AABB39FF484A13FE"/>
          </w:placeholder>
        </w:sdtPr>
        <w:sdtContent>
          <w:r w:rsidRPr="002F46CE">
            <w:rPr>
              <w:color w:val="000000"/>
            </w:rPr>
            <w:t>(TSSC, 2016d)</w:t>
          </w:r>
        </w:sdtContent>
      </w:sdt>
      <w:r>
        <w:t>.</w:t>
      </w:r>
    </w:p>
    <w:p w14:paraId="381F55EC" w14:textId="77777777" w:rsidR="000B173B" w:rsidRPr="0066115E" w:rsidRDefault="000B173B" w:rsidP="000B173B">
      <w:pPr>
        <w:pStyle w:val="Heading4"/>
      </w:pPr>
      <w:r>
        <w:t>Pollution and changes to the water regime</w:t>
      </w:r>
    </w:p>
    <w:p w14:paraId="2530229E" w14:textId="77777777" w:rsidR="000B173B" w:rsidRDefault="000B173B" w:rsidP="000B173B">
      <w:r>
        <w:t xml:space="preserve">Pollution and changes to the water regime in habitat used by the Greater Sand Plover for foraging and/or roosting can cause indirect loss of habitat for the species through habitat degradation. The species is particularly sensitive to impacts due to its high site fidelity, tendency to aggregate, high energy demands required for migration and requirement for a network of foraging and roosting habitats </w:t>
      </w:r>
      <w:sdt>
        <w:sdtPr>
          <w:rPr>
            <w:color w:val="000000"/>
          </w:rPr>
          <w:tag w:val="MENDELEY_CITATION_v3_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"/>
          <w:id w:val="-1693140847"/>
          <w:placeholder>
            <w:docPart w:val="7A87483195E49548AABB39FF484A13FE"/>
          </w:placeholder>
        </w:sdtPr>
        <w:sdtContent>
          <w:r w:rsidRPr="002F46CE">
            <w:rPr>
              <w:color w:val="000000"/>
            </w:rPr>
            <w:t>(TSSC, 2016d)</w:t>
          </w:r>
        </w:sdtContent>
      </w:sdt>
      <w:r>
        <w:t>.</w:t>
      </w:r>
    </w:p>
    <w:p w14:paraId="42ACBFBF"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026B89A5" w14:textId="77777777" w:rsidTr="00A15226">
        <w:tc>
          <w:tcPr>
            <w:tcW w:w="9622" w:type="dxa"/>
            <w:shd w:val="clear" w:color="auto" w:fill="C9C9C9" w:themeFill="accent3" w:themeFillTint="99"/>
          </w:tcPr>
          <w:p w14:paraId="7844CCA3" w14:textId="77777777" w:rsidR="000B173B" w:rsidRPr="008F55BC" w:rsidRDefault="000B173B" w:rsidP="00A15226">
            <w:pPr>
              <w:pStyle w:val="Tabletext"/>
              <w:keepNext/>
              <w:keepLines/>
              <w:rPr>
                <w:b/>
                <w:bCs/>
              </w:rPr>
            </w:pPr>
            <w:r>
              <w:rPr>
                <w:rFonts w:ascii="Helvetica" w:hAnsi="Helvetica"/>
                <w:b/>
                <w:sz w:val="16"/>
                <w:szCs w:val="16"/>
              </w:rPr>
              <w:lastRenderedPageBreak/>
              <w:t xml:space="preserve">RECOVERY PLAN, KEY THREATENING PROCESSES AND THREAT ABATEMENT PLANS </w:t>
            </w:r>
          </w:p>
        </w:tc>
      </w:tr>
    </w:tbl>
    <w:p w14:paraId="728C3F27" w14:textId="77777777" w:rsidR="000B173B" w:rsidRPr="00C6364C" w:rsidRDefault="000B173B" w:rsidP="000B173B">
      <w:pPr>
        <w:keepNext/>
        <w:keepLines/>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17.3</w:t>
      </w:r>
      <w:r w:rsidRPr="00BB3ECF">
        <w:rPr>
          <w:i/>
          <w:color w:val="4472C4" w:themeColor="accent1"/>
        </w:rPr>
        <w:t xml:space="preserve"> of </w:t>
      </w:r>
      <w:r w:rsidRPr="006900FB">
        <w:rPr>
          <w:i/>
          <w:color w:val="4472C4" w:themeColor="accent1"/>
        </w:rPr>
        <w:t>Chapter 17.</w:t>
      </w:r>
    </w:p>
    <w:p w14:paraId="095FAE90" w14:textId="77777777" w:rsidR="000B173B" w:rsidRPr="000816D6" w:rsidRDefault="000B173B" w:rsidP="000B173B">
      <w:pPr>
        <w:pStyle w:val="Heading3"/>
        <w:numPr>
          <w:ilvl w:val="0"/>
          <w:numId w:val="0"/>
        </w:numPr>
        <w:ind w:left="720" w:hanging="720"/>
      </w:pPr>
      <w:r w:rsidRPr="000816D6">
        <w:t>C</w:t>
      </w:r>
      <w:r>
        <w:t>onsistency with recovery plan</w:t>
      </w:r>
    </w:p>
    <w:p w14:paraId="36B88A3A" w14:textId="77777777" w:rsidR="000B173B" w:rsidRDefault="000B173B" w:rsidP="000B173B">
      <w:pPr>
        <w:keepNext/>
        <w:keepLines/>
      </w:pPr>
      <w:r>
        <w:t>There is no adopted or made Recovery Plan for this species.</w:t>
      </w:r>
    </w:p>
    <w:p w14:paraId="609BAA96"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4EEC1C53"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_Ref106869045 \h </w:instrText>
      </w:r>
      <w:r>
        <w:fldChar w:fldCharType="separate"/>
      </w:r>
      <w:r>
        <w:t xml:space="preserve">Table </w:t>
      </w:r>
      <w:r>
        <w:rPr>
          <w:noProof/>
        </w:rPr>
        <w:t>B</w:t>
      </w:r>
      <w:r>
        <w:noBreakHyphen/>
      </w:r>
      <w:r>
        <w:rPr>
          <w:noProof/>
        </w:rPr>
        <w:t>7</w:t>
      </w:r>
      <w:r>
        <w:fldChar w:fldCharType="end"/>
      </w:r>
      <w:r>
        <w:t xml:space="preserve"> where they relate to:</w:t>
      </w:r>
    </w:p>
    <w:p w14:paraId="53078234" w14:textId="77777777" w:rsidR="000B173B" w:rsidRDefault="000B173B" w:rsidP="000B173B">
      <w:pPr>
        <w:pStyle w:val="Bullet1"/>
      </w:pPr>
      <w:r>
        <w:t>The potential direct impacts of the Plan, or</w:t>
      </w:r>
    </w:p>
    <w:p w14:paraId="621AEDDD" w14:textId="77777777" w:rsidR="000B173B" w:rsidRDefault="000B173B" w:rsidP="000B173B">
      <w:pPr>
        <w:pStyle w:val="Bullet1"/>
      </w:pPr>
      <w:r>
        <w:t>The relevant indirect impacts</w:t>
      </w:r>
    </w:p>
    <w:p w14:paraId="3E24237B" w14:textId="77777777" w:rsidR="000B173B" w:rsidRDefault="000B173B" w:rsidP="000B173B">
      <w:pPr>
        <w:pStyle w:val="Caption"/>
        <w:keepNext/>
      </w:pPr>
      <w:bookmarkStart w:id="272" w:name="_Ref106869045"/>
      <w:bookmarkStart w:id="273" w:name="_Toc134697924"/>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7</w:t>
      </w:r>
      <w:r>
        <w:fldChar w:fldCharType="end"/>
      </w:r>
      <w:bookmarkEnd w:id="272"/>
      <w:r>
        <w:t xml:space="preserve">: </w:t>
      </w:r>
      <w:r w:rsidRPr="005F676F">
        <w:t xml:space="preserve">Relevant Key Threatening Processes and associated Threat Abatement Plans for </w:t>
      </w:r>
      <w:r>
        <w:t>the Greater Sand Plover</w:t>
      </w:r>
      <w:bookmarkEnd w:id="273"/>
    </w:p>
    <w:tbl>
      <w:tblPr>
        <w:tblStyle w:val="TableGrid"/>
        <w:tblW w:w="0" w:type="auto"/>
        <w:tblLook w:val="04A0" w:firstRow="1" w:lastRow="0" w:firstColumn="1" w:lastColumn="0" w:noHBand="0" w:noVBand="1"/>
      </w:tblPr>
      <w:tblGrid>
        <w:gridCol w:w="4811"/>
        <w:gridCol w:w="4811"/>
      </w:tblGrid>
      <w:tr w:rsidR="000B173B" w14:paraId="7FAB52E6" w14:textId="77777777" w:rsidTr="00A15226">
        <w:trPr>
          <w:tblHeader/>
        </w:trPr>
        <w:tc>
          <w:tcPr>
            <w:tcW w:w="4811" w:type="dxa"/>
            <w:shd w:val="clear" w:color="auto" w:fill="DBDBDB" w:themeFill="accent3" w:themeFillTint="66"/>
          </w:tcPr>
          <w:p w14:paraId="0B720A9E"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310DF636" w14:textId="77777777" w:rsidR="000B173B" w:rsidRPr="00FF1996" w:rsidRDefault="000B173B" w:rsidP="00A15226">
            <w:pPr>
              <w:pStyle w:val="Tabletext"/>
              <w:rPr>
                <w:b/>
                <w:bCs/>
              </w:rPr>
            </w:pPr>
            <w:r w:rsidRPr="00FF1996">
              <w:rPr>
                <w:b/>
                <w:bCs/>
              </w:rPr>
              <w:t>Threat abatement plan</w:t>
            </w:r>
          </w:p>
        </w:tc>
      </w:tr>
      <w:tr w:rsidR="000B173B" w14:paraId="3BBE9A37" w14:textId="77777777" w:rsidTr="00A15226">
        <w:tc>
          <w:tcPr>
            <w:tcW w:w="4811" w:type="dxa"/>
            <w:vAlign w:val="center"/>
          </w:tcPr>
          <w:p w14:paraId="6A984739" w14:textId="77777777" w:rsidR="000B173B" w:rsidRDefault="000B173B" w:rsidP="00A15226">
            <w:pPr>
              <w:pStyle w:val="Tabletext"/>
            </w:pPr>
            <w:r>
              <w:t>Land clearance</w:t>
            </w:r>
          </w:p>
        </w:tc>
        <w:tc>
          <w:tcPr>
            <w:tcW w:w="4811" w:type="dxa"/>
          </w:tcPr>
          <w:p w14:paraId="6EF157B4" w14:textId="77777777" w:rsidR="000B173B" w:rsidRDefault="000B173B" w:rsidP="00A15226">
            <w:pPr>
              <w:pStyle w:val="Tabletext"/>
            </w:pPr>
            <w:r>
              <w:t>There is no relevant TAP</w:t>
            </w:r>
          </w:p>
        </w:tc>
      </w:tr>
      <w:tr w:rsidR="000B173B" w14:paraId="75A061C6" w14:textId="77777777" w:rsidTr="00A15226">
        <w:tc>
          <w:tcPr>
            <w:tcW w:w="4811" w:type="dxa"/>
          </w:tcPr>
          <w:p w14:paraId="1A2EF332" w14:textId="77777777" w:rsidR="000B173B" w:rsidRDefault="000B173B" w:rsidP="00A15226">
            <w:pPr>
              <w:pStyle w:val="Tabletext"/>
            </w:pPr>
            <w:r w:rsidRPr="003919C8">
              <w:t>Loss and degradation of native plant and animal habitat by invasion of escaped garden plants</w:t>
            </w:r>
          </w:p>
        </w:tc>
        <w:tc>
          <w:tcPr>
            <w:tcW w:w="4811" w:type="dxa"/>
          </w:tcPr>
          <w:p w14:paraId="16347605" w14:textId="77777777" w:rsidR="000B173B" w:rsidRDefault="000B173B" w:rsidP="00A15226">
            <w:pPr>
              <w:pStyle w:val="Tabletext"/>
            </w:pPr>
            <w:r>
              <w:t>There is no relevant TAP</w:t>
            </w:r>
          </w:p>
        </w:tc>
      </w:tr>
      <w:tr w:rsidR="000B173B" w14:paraId="3C3756AD" w14:textId="77777777" w:rsidTr="00A15226">
        <w:tc>
          <w:tcPr>
            <w:tcW w:w="4811" w:type="dxa"/>
          </w:tcPr>
          <w:p w14:paraId="24D3DF78" w14:textId="77777777" w:rsidR="000B173B" w:rsidRPr="003919C8" w:rsidRDefault="000B173B" w:rsidP="00A15226">
            <w:pPr>
              <w:pStyle w:val="Tabletext"/>
            </w:pPr>
            <w:r>
              <w:t>Novel biota and their impact on biodiversity</w:t>
            </w:r>
          </w:p>
        </w:tc>
        <w:tc>
          <w:tcPr>
            <w:tcW w:w="4811" w:type="dxa"/>
          </w:tcPr>
          <w:p w14:paraId="6F30BFB4" w14:textId="77777777" w:rsidR="000B173B" w:rsidRDefault="000B173B" w:rsidP="00A15226">
            <w:pPr>
              <w:pStyle w:val="Tabletext"/>
            </w:pPr>
            <w:r>
              <w:t>There is no relevant TAP</w:t>
            </w:r>
          </w:p>
        </w:tc>
      </w:tr>
    </w:tbl>
    <w:p w14:paraId="3204EF1C" w14:textId="77777777" w:rsidR="000B173B" w:rsidRPr="00E06EF9" w:rsidRDefault="000B173B" w:rsidP="000B173B"/>
    <w:p w14:paraId="0255CADC" w14:textId="77777777" w:rsidR="000B173B" w:rsidRDefault="000B173B" w:rsidP="000B173B">
      <w:pPr>
        <w:tabs>
          <w:tab w:val="clear" w:pos="4962"/>
        </w:tabs>
        <w:spacing w:before="0" w:after="0" w:line="240" w:lineRule="auto"/>
      </w:pPr>
      <w:r>
        <w:br w:type="page"/>
      </w:r>
    </w:p>
    <w:p w14:paraId="30540A8D" w14:textId="77777777" w:rsidR="000B173B" w:rsidRPr="00297975" w:rsidRDefault="000B173B" w:rsidP="000B173B">
      <w:pPr>
        <w:pStyle w:val="Heading2"/>
        <w:numPr>
          <w:ilvl w:val="0"/>
          <w:numId w:val="0"/>
        </w:numPr>
        <w:ind w:left="576" w:hanging="576"/>
      </w:pPr>
      <w:bookmarkStart w:id="274" w:name="_Toc131154209"/>
      <w:bookmarkStart w:id="275" w:name="_Toc131154396"/>
      <w:r>
        <w:lastRenderedPageBreak/>
        <w:t xml:space="preserve">Lesser Sand Plover </w:t>
      </w:r>
      <w:r>
        <w:rPr>
          <w:i/>
          <w:iCs/>
        </w:rPr>
        <w:t>(Charadrius mongolus)</w:t>
      </w:r>
      <w:bookmarkEnd w:id="274"/>
      <w:bookmarkEnd w:id="275"/>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745DBF1D" w14:textId="77777777" w:rsidTr="00A15226">
        <w:trPr>
          <w:tblHeader/>
        </w:trPr>
        <w:tc>
          <w:tcPr>
            <w:tcW w:w="9747" w:type="dxa"/>
            <w:shd w:val="clear" w:color="auto" w:fill="D9D9D9" w:themeFill="background1" w:themeFillShade="D9"/>
            <w:vAlign w:val="center"/>
          </w:tcPr>
          <w:p w14:paraId="232598A5"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4B79BF2F"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08FD6183" w14:textId="77777777" w:rsidTr="00A15226">
        <w:tc>
          <w:tcPr>
            <w:tcW w:w="1526" w:type="dxa"/>
            <w:vAlign w:val="center"/>
          </w:tcPr>
          <w:p w14:paraId="18A84D7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0BB0641D" w14:textId="77777777" w:rsidR="000B173B" w:rsidRPr="003E1ADD" w:rsidRDefault="000B173B" w:rsidP="00A15226">
            <w:pPr>
              <w:pStyle w:val="Tabletext"/>
            </w:pPr>
            <w:r>
              <w:t>Endangered, Migratory</w:t>
            </w:r>
          </w:p>
        </w:tc>
      </w:tr>
      <w:tr w:rsidR="000B173B" w:rsidRPr="000816D6" w14:paraId="7E91B7C9" w14:textId="77777777" w:rsidTr="00A15226">
        <w:tc>
          <w:tcPr>
            <w:tcW w:w="1526" w:type="dxa"/>
            <w:vAlign w:val="center"/>
          </w:tcPr>
          <w:p w14:paraId="7B92A22C"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43646C0B" w14:textId="77777777" w:rsidR="000B173B" w:rsidRPr="00F75D12" w:rsidRDefault="000B173B" w:rsidP="00A15226">
            <w:pPr>
              <w:pStyle w:val="Tabletext"/>
            </w:pPr>
            <w:r>
              <w:rPr>
                <w:i/>
                <w:iCs/>
              </w:rPr>
              <w:t xml:space="preserve">Charadrius mongolus </w:t>
            </w:r>
            <w:r>
              <w:t xml:space="preserve">(Lesser Sand Plover) is a small to medium shorebird, 18 – 21 cm in length. The body is grey-brown and white, and the sexes differ in breeding plumage. While the species is in Australia, it is in non-breeding plumage and is often difficult to distinguish from </w:t>
            </w:r>
            <w:r>
              <w:rPr>
                <w:i/>
                <w:iCs/>
              </w:rPr>
              <w:t xml:space="preserve">Charadrius mongolus </w:t>
            </w:r>
            <w:r>
              <w:t xml:space="preserve">(Greater Sand Plover) </w:t>
            </w:r>
            <w:sdt>
              <w:sdtPr>
                <w:rPr>
                  <w:color w:val="000000"/>
                </w:rPr>
                <w:tag w:val="MENDELEY_CITATION_v3_eyJjaXRhdGlvbklEIjoiTUVOREVMRVlfQ0lUQVRJT05fZmJiYTg2Y2EtODk3Mi00ODk1LWJjZmYtNWJmZWFjZDQ2MWUx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767578165"/>
                <w:placeholder>
                  <w:docPart w:val="7A87483195E49548AABB39FF484A13FE"/>
                </w:placeholder>
              </w:sdtPr>
              <w:sdtContent>
                <w:r w:rsidRPr="002F46CE">
                  <w:rPr>
                    <w:color w:val="000000"/>
                  </w:rPr>
                  <w:t>(TSSC, 2016e)</w:t>
                </w:r>
              </w:sdtContent>
            </w:sdt>
            <w:r>
              <w:t>.</w:t>
            </w:r>
          </w:p>
        </w:tc>
      </w:tr>
      <w:tr w:rsidR="000B173B" w:rsidRPr="000816D6" w14:paraId="27B4547C" w14:textId="77777777" w:rsidTr="00A15226">
        <w:tc>
          <w:tcPr>
            <w:tcW w:w="1526" w:type="dxa"/>
            <w:vAlign w:val="center"/>
          </w:tcPr>
          <w:p w14:paraId="3744996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5DBDAFCD" w14:textId="77777777" w:rsidR="000B173B" w:rsidRDefault="000B173B" w:rsidP="00A15226">
            <w:pPr>
              <w:pStyle w:val="Tabletext"/>
            </w:pPr>
            <w:r>
              <w:t xml:space="preserve">The Lesser Sand Plover breeds in the northern hemisphere and undertakes annual migrations to and from southern feeding grounds. It has a generational time of 8 years, with a maximum longevity of 12.6 years </w:t>
            </w:r>
            <w:sdt>
              <w:sdtPr>
                <w:rPr>
                  <w:color w:val="000000"/>
                </w:rPr>
                <w:tag w:val="MENDELEY_CITATION_v3_eyJjaXRhdGlvbklEIjoiTUVOREVMRVlfQ0lUQVRJT05fMWVmOWVkYWItMGRkNi00ZjhlLTlmOTYtNDI1ODY3NjY5Njcx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731838905"/>
                <w:placeholder>
                  <w:docPart w:val="7A87483195E49548AABB39FF484A13FE"/>
                </w:placeholder>
              </w:sdtPr>
              <w:sdtContent>
                <w:r w:rsidRPr="002F46CE">
                  <w:rPr>
                    <w:color w:val="000000"/>
                  </w:rPr>
                  <w:t>(TSSC, 2016e)</w:t>
                </w:r>
              </w:sdtContent>
            </w:sdt>
            <w:r>
              <w:t>.</w:t>
            </w:r>
          </w:p>
          <w:p w14:paraId="510E2BD4" w14:textId="77777777" w:rsidR="000B173B" w:rsidRPr="003E1ADD" w:rsidRDefault="000B173B" w:rsidP="00A15226">
            <w:pPr>
              <w:pStyle w:val="Tabletext"/>
            </w:pPr>
            <w:r>
              <w:t xml:space="preserve">The species occurs in small to large flocks, often with greater than 100 individuals. During the non-breeding season, the species diet is comprised of insects, crustaceans, molluscs and polychaete worms </w:t>
            </w:r>
            <w:sdt>
              <w:sdtPr>
                <w:rPr>
                  <w:color w:val="000000"/>
                </w:rPr>
                <w:tag w:val="MENDELEY_CITATION_v3_eyJjaXRhdGlvbklEIjoiTUVOREVMRVlfQ0lUQVRJT05fMzkyMGIwYTAtNDkxNS00ZGYxLTkwOWUtZDE0Y2ViMzg1NTgw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611967782"/>
                <w:placeholder>
                  <w:docPart w:val="7A87483195E49548AABB39FF484A13FE"/>
                </w:placeholder>
              </w:sdtPr>
              <w:sdtContent>
                <w:r w:rsidRPr="002F46CE">
                  <w:rPr>
                    <w:color w:val="000000"/>
                  </w:rPr>
                  <w:t>(TSSC, 2016e)</w:t>
                </w:r>
              </w:sdtContent>
            </w:sdt>
            <w:r>
              <w:t>.</w:t>
            </w:r>
          </w:p>
        </w:tc>
      </w:tr>
      <w:tr w:rsidR="000B173B" w:rsidRPr="000816D6" w14:paraId="0B22FA80" w14:textId="77777777" w:rsidTr="00A15226">
        <w:tc>
          <w:tcPr>
            <w:tcW w:w="1526" w:type="dxa"/>
            <w:vAlign w:val="center"/>
          </w:tcPr>
          <w:p w14:paraId="4C19E52C"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1879B7CE" w14:textId="77777777" w:rsidR="000B173B" w:rsidRDefault="000B173B" w:rsidP="00A15226">
            <w:pPr>
              <w:pStyle w:val="Tabletext"/>
            </w:pPr>
            <w:r>
              <w:t xml:space="preserve">Four of the five subspecies occur in the East Asian-Australasian Flyway, of these, two occur in Australia during the non-breeding season including </w:t>
            </w:r>
            <w:r>
              <w:rPr>
                <w:i/>
                <w:iCs/>
              </w:rPr>
              <w:t xml:space="preserve">Charadrius mongolus </w:t>
            </w:r>
            <w:r>
              <w:t xml:space="preserve">subsp. </w:t>
            </w:r>
            <w:r>
              <w:rPr>
                <w:i/>
                <w:iCs/>
              </w:rPr>
              <w:t>mongolus</w:t>
            </w:r>
            <w:r>
              <w:t xml:space="preserve">, and </w:t>
            </w:r>
            <w:r>
              <w:rPr>
                <w:i/>
                <w:iCs/>
              </w:rPr>
              <w:t xml:space="preserve">Charadrius mongolus </w:t>
            </w:r>
            <w:r>
              <w:t xml:space="preserve">subsp. </w:t>
            </w:r>
            <w:r>
              <w:rPr>
                <w:i/>
                <w:iCs/>
              </w:rPr>
              <w:t xml:space="preserve">stegmanni </w:t>
            </w:r>
            <w:sdt>
              <w:sdtPr>
                <w:rPr>
                  <w:iCs/>
                  <w:color w:val="000000"/>
                </w:rPr>
                <w:tag w:val="MENDELEY_CITATION_v3_eyJjaXRhdGlvbklEIjoiTUVOREVMRVlfQ0lUQVRJT05fZGNhZTQzYTgtZWNjMi00YjJmLTgwODUtNjQ3ODRhZTNjY2U0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652202283"/>
                <w:placeholder>
                  <w:docPart w:val="7A87483195E49548AABB39FF484A13FE"/>
                </w:placeholder>
              </w:sdtPr>
              <w:sdtEndPr>
                <w:rPr>
                  <w:iCs w:val="0"/>
                </w:rPr>
              </w:sdtEndPr>
              <w:sdtContent>
                <w:r w:rsidRPr="002F46CE">
                  <w:rPr>
                    <w:color w:val="000000"/>
                  </w:rPr>
                  <w:t>(TSSC, 2016e)</w:t>
                </w:r>
              </w:sdtContent>
            </w:sdt>
            <w:r>
              <w:t>.</w:t>
            </w:r>
          </w:p>
          <w:p w14:paraId="108D261E" w14:textId="77777777" w:rsidR="000B173B" w:rsidRDefault="000B173B" w:rsidP="00A15226">
            <w:pPr>
              <w:pStyle w:val="Tabletext"/>
            </w:pPr>
            <w:r>
              <w:t xml:space="preserve">Within Australia, the Lesser Sand Plover is widespread in coastal regions, and the species has been recorded in all states. It mostly occurs in northern and eastern Australia, in south-eastern parts of the Gulf of Carpentaria, western Cape York Peninsula, and islands in the Torres Strait, and along the entire east coast of Australia, where it is most abundant in Queensland and New South Wales </w:t>
            </w:r>
            <w:sdt>
              <w:sdtPr>
                <w:rPr>
                  <w:color w:val="000000"/>
                </w:rPr>
                <w:tag w:val="MENDELEY_CITATION_v3_eyJjaXRhdGlvbklEIjoiTUVOREVMRVlfQ0lUQVRJT05fZWNkNDU2ZDktNzRkZS00Y2ZkLWJlNmMtODMwYThjMWUxZDgy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948186175"/>
                <w:placeholder>
                  <w:docPart w:val="7A87483195E49548AABB39FF484A13FE"/>
                </w:placeholder>
              </w:sdtPr>
              <w:sdtContent>
                <w:r w:rsidRPr="002F46CE">
                  <w:rPr>
                    <w:color w:val="000000"/>
                  </w:rPr>
                  <w:t>(TSSC, 2016e)</w:t>
                </w:r>
              </w:sdtContent>
            </w:sdt>
            <w:r>
              <w:t>.</w:t>
            </w:r>
          </w:p>
          <w:p w14:paraId="11FBFCEE" w14:textId="77777777" w:rsidR="000B173B" w:rsidRPr="003E1ADD" w:rsidRDefault="000B173B" w:rsidP="00A15226">
            <w:pPr>
              <w:pStyle w:val="Tabletext"/>
            </w:pPr>
            <w:r>
              <w:t xml:space="preserve">During the non-breeding season, the Lesser Sand Plover is almost strictly coastal and prefers sandy beaches, mudflats of coastal bays and estuaries, sand flats and dunes near the coast, and occasionally mangrove mudflats. Feeding habitat is primarily comprised of intertidal sandflats and mudflats in estuaries or beaches or in shallow ponds. Occasional foraging also occurs on coral reefs, along sandy or muddy river margins, and in muddy areas around lakes and bores. The Lesser Sand Plover roosts on beaches, banks, spits and banks of sand or shells </w:t>
            </w:r>
            <w:sdt>
              <w:sdtPr>
                <w:rPr>
                  <w:color w:val="000000"/>
                </w:rPr>
                <w:tag w:val="MENDELEY_CITATION_v3_eyJjaXRhdGlvbklEIjoiTUVOREVMRVlfQ0lUQVRJT05fODRkNzdhOTItMjk0Zi00NzhhLTlhNGUtOWM0YmU2ZGRjODE1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2118598113"/>
                <w:placeholder>
                  <w:docPart w:val="7A87483195E49548AABB39FF484A13FE"/>
                </w:placeholder>
              </w:sdtPr>
              <w:sdtContent>
                <w:r w:rsidRPr="002F46CE">
                  <w:rPr>
                    <w:color w:val="000000"/>
                  </w:rPr>
                  <w:t>(TSSC, 2016e)</w:t>
                </w:r>
              </w:sdtContent>
            </w:sdt>
            <w:r>
              <w:t>.</w:t>
            </w:r>
          </w:p>
        </w:tc>
      </w:tr>
      <w:tr w:rsidR="000B173B" w:rsidRPr="000816D6" w14:paraId="3E508A19" w14:textId="77777777" w:rsidTr="00A15226">
        <w:tc>
          <w:tcPr>
            <w:tcW w:w="1526" w:type="dxa"/>
            <w:vAlign w:val="center"/>
          </w:tcPr>
          <w:p w14:paraId="57F0B14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47CDD426" w14:textId="77777777" w:rsidR="000B173B" w:rsidRPr="00CB3027" w:rsidRDefault="000B173B" w:rsidP="00A15226">
            <w:pPr>
              <w:pStyle w:val="Tabletext"/>
            </w:pPr>
            <w:r>
              <w:t xml:space="preserve">The most recent population estimate of the species present in the East Asian-Australasian Flyway is 180,000 – 275,000 </w:t>
            </w:r>
            <w:sdt>
              <w:sdtPr>
                <w:tag w:val="MENDELEY_CITATION_v3_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"/>
                <w:id w:val="-849952429"/>
                <w:placeholder>
                  <w:docPart w:val="7A87483195E49548AABB39FF484A13FE"/>
                </w:placeholder>
              </w:sdtPr>
              <w:sdtContent>
                <w:r>
                  <w:rPr>
                    <w:rFonts w:eastAsia="Times New Roman"/>
                  </w:rPr>
                  <w:t xml:space="preserve">(Hansen </w:t>
                </w:r>
                <w:r>
                  <w:rPr>
                    <w:rFonts w:eastAsia="Times New Roman"/>
                    <w:i/>
                    <w:iCs/>
                  </w:rPr>
                  <w:t>et al.</w:t>
                </w:r>
                <w:r>
                  <w:rPr>
                    <w:rFonts w:eastAsia="Times New Roman"/>
                  </w:rPr>
                  <w:t>, 2016)</w:t>
                </w:r>
              </w:sdtContent>
            </w:sdt>
            <w:r>
              <w:t>.</w:t>
            </w:r>
          </w:p>
        </w:tc>
      </w:tr>
      <w:tr w:rsidR="000B173B" w:rsidRPr="002F23FB" w14:paraId="3F2093EE" w14:textId="77777777" w:rsidTr="00A15226">
        <w:tc>
          <w:tcPr>
            <w:tcW w:w="1526" w:type="dxa"/>
            <w:vAlign w:val="center"/>
          </w:tcPr>
          <w:p w14:paraId="32CEC82F"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41E28A84" w14:textId="77777777" w:rsidR="000B173B" w:rsidRDefault="000B173B" w:rsidP="00A15226">
            <w:pPr>
              <w:pStyle w:val="Tabletext"/>
            </w:pPr>
            <w:r>
              <w:t xml:space="preserve">The species Conservation Advice identifies the following threats in Australia </w:t>
            </w:r>
            <w:sdt>
              <w:sdtPr>
                <w:rPr>
                  <w:color w:val="000000"/>
                </w:rPr>
                <w:tag w:val="MENDELEY_CITATION_v3_eyJjaXRhdGlvbklEIjoiTUVOREVMRVlfQ0lUQVRJT05fNjUxOTRjNGEtMTZjYS00NzEzLWE4YjUtMjg5ZjhkZGVmZjFi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889299860"/>
                <w:placeholder>
                  <w:docPart w:val="7A87483195E49548AABB39FF484A13FE"/>
                </w:placeholder>
              </w:sdtPr>
              <w:sdtContent>
                <w:r w:rsidRPr="002F46CE">
                  <w:rPr>
                    <w:color w:val="000000"/>
                  </w:rPr>
                  <w:t>(TSSC, 2016e)</w:t>
                </w:r>
              </w:sdtContent>
            </w:sdt>
            <w:r>
              <w:t>:</w:t>
            </w:r>
          </w:p>
          <w:p w14:paraId="2AE8C2D2" w14:textId="77777777" w:rsidR="000B173B" w:rsidRDefault="000B173B" w:rsidP="00A15226">
            <w:pPr>
              <w:pStyle w:val="Bullet1"/>
            </w:pPr>
            <w:r>
              <w:t>Ongoing human disturbance</w:t>
            </w:r>
          </w:p>
          <w:p w14:paraId="3E86B619" w14:textId="77777777" w:rsidR="000B173B" w:rsidRDefault="000B173B" w:rsidP="00A15226">
            <w:pPr>
              <w:pStyle w:val="Bullet1"/>
            </w:pPr>
            <w:r>
              <w:t>Pollution and changes to the water regime</w:t>
            </w:r>
          </w:p>
          <w:p w14:paraId="5104C5AE" w14:textId="77777777" w:rsidR="000B173B" w:rsidRPr="003E1ADD" w:rsidRDefault="000B173B" w:rsidP="00A15226">
            <w:pPr>
              <w:pStyle w:val="Bullet1"/>
            </w:pPr>
            <w:r>
              <w:t>Invasive plants</w:t>
            </w:r>
          </w:p>
        </w:tc>
      </w:tr>
      <w:tr w:rsidR="000B173B" w:rsidRPr="002F23FB" w14:paraId="4C281A0F" w14:textId="77777777" w:rsidTr="00A15226">
        <w:tc>
          <w:tcPr>
            <w:tcW w:w="1526" w:type="dxa"/>
            <w:vAlign w:val="center"/>
          </w:tcPr>
          <w:p w14:paraId="5FD7E4A1"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786AE627" w14:textId="77777777" w:rsidR="000B173B" w:rsidRDefault="000B173B" w:rsidP="00A15226">
            <w:pPr>
              <w:pStyle w:val="Tabletext"/>
              <w:rPr>
                <w:iCs/>
              </w:rPr>
            </w:pPr>
            <w:r w:rsidRPr="0011395B">
              <w:rPr>
                <w:iCs/>
              </w:rPr>
              <w:t xml:space="preserve">Conservation Advice </w:t>
            </w:r>
            <w:r w:rsidRPr="0011395B">
              <w:rPr>
                <w:i/>
              </w:rPr>
              <w:t>Charadrius mongolus</w:t>
            </w:r>
            <w:r w:rsidRPr="0011395B">
              <w:rPr>
                <w:iCs/>
              </w:rPr>
              <w:t xml:space="preserve"> Lesser </w:t>
            </w:r>
            <w:r>
              <w:rPr>
                <w:iCs/>
              </w:rPr>
              <w:t>S</w:t>
            </w:r>
            <w:r w:rsidRPr="0011395B">
              <w:rPr>
                <w:iCs/>
              </w:rPr>
              <w:t xml:space="preserve">and </w:t>
            </w:r>
            <w:r>
              <w:rPr>
                <w:iCs/>
              </w:rPr>
              <w:t>P</w:t>
            </w:r>
            <w:r w:rsidRPr="0011395B">
              <w:rPr>
                <w:iCs/>
              </w:rPr>
              <w:t>lover</w:t>
            </w:r>
            <w:r>
              <w:rPr>
                <w:iCs/>
              </w:rPr>
              <w:t xml:space="preserve"> </w:t>
            </w:r>
            <w:sdt>
              <w:sdtPr>
                <w:rPr>
                  <w:iCs/>
                  <w:color w:val="000000"/>
                </w:rPr>
                <w:tag w:val="MENDELEY_CITATION_v3_eyJjaXRhdGlvbklEIjoiTUVOREVMRVlfQ0lUQVRJT05fYTEyNWNhYWUtZjEzMC00MzhkLTgwMWEtNmMxODUyYjJmZWM5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391348233"/>
                <w:placeholder>
                  <w:docPart w:val="7A87483195E49548AABB39FF484A13FE"/>
                </w:placeholder>
              </w:sdtPr>
              <w:sdtEndPr>
                <w:rPr>
                  <w:iCs w:val="0"/>
                </w:rPr>
              </w:sdtEndPr>
              <w:sdtContent>
                <w:r w:rsidRPr="002F46CE">
                  <w:rPr>
                    <w:color w:val="000000"/>
                  </w:rPr>
                  <w:t>(TSSC, 2016e)</w:t>
                </w:r>
              </w:sdtContent>
            </w:sdt>
          </w:p>
          <w:p w14:paraId="380C5510" w14:textId="77777777" w:rsidR="000B173B" w:rsidRPr="003E1ADD" w:rsidRDefault="000B173B" w:rsidP="00A15226">
            <w:pPr>
              <w:pStyle w:val="Tabletext"/>
              <w:rPr>
                <w:iCs/>
              </w:rPr>
            </w:pPr>
            <w:r w:rsidRPr="0011395B">
              <w:rPr>
                <w:iCs/>
              </w:rPr>
              <w:t>Threat abatement plan for predation by the European red fox</w:t>
            </w:r>
            <w:r>
              <w:rPr>
                <w:iCs/>
              </w:rPr>
              <w:t xml:space="preserve"> </w:t>
            </w:r>
            <w:sdt>
              <w:sdtPr>
                <w:rPr>
                  <w:iCs/>
                  <w:color w:val="000000"/>
                </w:rPr>
                <w:tag w:val="MENDELEY_CITATION_v3_eyJjaXRhdGlvbklEIjoiTUVOREVMRVlfQ0lUQVRJT05fNzk5Mjg2YzgtMTYwNi00MDVlLTkyZWYtMTljNWJiZWRmNWJh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536744973"/>
                <w:placeholder>
                  <w:docPart w:val="7A87483195E49548AABB39FF484A13FE"/>
                </w:placeholder>
              </w:sdtPr>
              <w:sdtEndPr>
                <w:rPr>
                  <w:iCs w:val="0"/>
                </w:rPr>
              </w:sdtEndPr>
              <w:sdtContent>
                <w:r w:rsidRPr="002F46CE">
                  <w:rPr>
                    <w:color w:val="000000"/>
                  </w:rPr>
                  <w:t>(DEWHA, 2008f)</w:t>
                </w:r>
              </w:sdtContent>
            </w:sdt>
          </w:p>
        </w:tc>
      </w:tr>
      <w:tr w:rsidR="000B173B" w:rsidRPr="000816D6" w14:paraId="3B501F91" w14:textId="77777777" w:rsidTr="00A15226">
        <w:tc>
          <w:tcPr>
            <w:tcW w:w="1526" w:type="dxa"/>
            <w:vAlign w:val="center"/>
          </w:tcPr>
          <w:p w14:paraId="397C83B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78D6149D" w14:textId="77777777" w:rsidR="000B173B" w:rsidRDefault="000B173B" w:rsidP="00A15226">
            <w:pPr>
              <w:pStyle w:val="Tabletext"/>
            </w:pPr>
            <w:r w:rsidRPr="00D32954">
              <w:t>Wildlife Conservation Plan for Migratory Shorebirds</w:t>
            </w:r>
            <w:r>
              <w:t xml:space="preserve"> </w:t>
            </w:r>
            <w:sdt>
              <w:sdtPr>
                <w:rPr>
                  <w:color w:val="000000"/>
                </w:rPr>
                <w:tag w:val="MENDELEY_CITATION_v3_eyJjaXRhdGlvbklEIjoiTUVOREVMRVlfQ0lUQVRJT05fZjMwYmY3ZDctNTJiZi00ZGMzLTkzYjQtNDgyOGZiMDFkOGU5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121618505"/>
                <w:placeholder>
                  <w:docPart w:val="7A87483195E49548AABB39FF484A13FE"/>
                </w:placeholder>
              </w:sdtPr>
              <w:sdtContent>
                <w:r w:rsidRPr="002F46CE">
                  <w:rPr>
                    <w:color w:val="000000"/>
                  </w:rPr>
                  <w:t>(Commonwealth of Australia, 2015)</w:t>
                </w:r>
              </w:sdtContent>
            </w:sdt>
          </w:p>
          <w:p w14:paraId="47E1C505" w14:textId="77777777" w:rsidR="000B173B" w:rsidRPr="00980D4D" w:rsidRDefault="000B173B" w:rsidP="00A15226">
            <w:pPr>
              <w:pStyle w:val="Tabletext"/>
            </w:pPr>
            <w:r>
              <w:t>E</w:t>
            </w:r>
            <w:r w:rsidRPr="00A31A72">
              <w:t>PBC Act Policy Statement 3.21 - Industry Guidelines for avoiding, assessing and mitigating impacts on EBBC Act listed migratory shorebird species</w:t>
            </w:r>
            <w:r>
              <w:t xml:space="preserve"> </w:t>
            </w:r>
            <w:sdt>
              <w:sdtPr>
                <w:rPr>
                  <w:color w:val="000000"/>
                </w:rPr>
                <w:tag w:val="MENDELEY_CITATION_v3_eyJjaXRhdGlvbklEIjoiTUVOREVMRVlfQ0lUQVRJT05fMTAxNWUwMDMtYTMyZC00NmNlLWFiZDEtNGU4OTA4YTBhYmY2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1207333383"/>
                <w:placeholder>
                  <w:docPart w:val="7A87483195E49548AABB39FF484A13FE"/>
                </w:placeholder>
              </w:sdtPr>
              <w:sdtContent>
                <w:r w:rsidRPr="002F46CE">
                  <w:rPr>
                    <w:color w:val="000000"/>
                  </w:rPr>
                  <w:t>(DoE, 2017)</w:t>
                </w:r>
              </w:sdtContent>
            </w:sdt>
          </w:p>
        </w:tc>
      </w:tr>
      <w:tr w:rsidR="000B173B" w:rsidRPr="000816D6" w14:paraId="406AF2DF" w14:textId="77777777" w:rsidTr="00A15226">
        <w:tc>
          <w:tcPr>
            <w:tcW w:w="1526" w:type="dxa"/>
            <w:vAlign w:val="center"/>
          </w:tcPr>
          <w:p w14:paraId="0BD7D3D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71E6DAF6" w14:textId="77777777" w:rsidR="000B173B" w:rsidRPr="003E1ADD" w:rsidRDefault="000B173B" w:rsidP="00A15226">
            <w:pPr>
              <w:pStyle w:val="Tabletext"/>
            </w:pPr>
            <w:hyperlink r:id="rId143" w:history="1">
              <w:r w:rsidRPr="007473F6">
                <w:rPr>
                  <w:rStyle w:val="Hyperlink"/>
                </w:rPr>
                <w:t>http://www.environment.gov.au/cgi-bin/sprat/public/publicspecies.pl?taxon_id=879</w:t>
              </w:r>
            </w:hyperlink>
            <w:r>
              <w:t xml:space="preserve"> </w:t>
            </w:r>
          </w:p>
        </w:tc>
      </w:tr>
    </w:tbl>
    <w:p w14:paraId="61F4373E"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7A989BCA" w14:textId="77777777" w:rsidTr="00A15226">
        <w:tc>
          <w:tcPr>
            <w:tcW w:w="9622" w:type="dxa"/>
            <w:shd w:val="clear" w:color="auto" w:fill="C9C9C9" w:themeFill="accent3" w:themeFillTint="99"/>
          </w:tcPr>
          <w:p w14:paraId="70F82461" w14:textId="77777777" w:rsidR="000B173B" w:rsidRPr="008F55BC" w:rsidRDefault="000B173B" w:rsidP="00A15226">
            <w:pPr>
              <w:pStyle w:val="Tabletext"/>
              <w:keepNext/>
              <w:keepLines/>
              <w:rPr>
                <w:b/>
                <w:bCs/>
              </w:rPr>
            </w:pPr>
            <w:r>
              <w:rPr>
                <w:rFonts w:ascii="Helvetica" w:hAnsi="Helvetica"/>
                <w:b/>
                <w:sz w:val="16"/>
                <w:szCs w:val="16"/>
              </w:rPr>
              <w:lastRenderedPageBreak/>
              <w:t>APPROACH TO BASELINE DATA</w:t>
            </w:r>
          </w:p>
        </w:tc>
      </w:tr>
    </w:tbl>
    <w:p w14:paraId="4B9D8CA4" w14:textId="77777777" w:rsidR="000B173B" w:rsidRPr="0007741A" w:rsidRDefault="000B173B" w:rsidP="000B173B">
      <w:pPr>
        <w:keepNext/>
        <w:keepLines/>
        <w:rPr>
          <w:i/>
          <w:iCs/>
          <w:color w:val="4472C4" w:themeColor="accent1"/>
        </w:rPr>
      </w:pPr>
      <w:r w:rsidRPr="0007741A">
        <w:rPr>
          <w:i/>
          <w:iCs/>
          <w:color w:val="4472C4" w:themeColor="accent1"/>
        </w:rPr>
        <w:t>This section provides a summary of the baseline information used in the assessment. It sets out:</w:t>
      </w:r>
    </w:p>
    <w:p w14:paraId="76295DF2" w14:textId="77777777" w:rsidR="000B173B" w:rsidRPr="0007741A" w:rsidRDefault="000B173B" w:rsidP="000B173B">
      <w:pPr>
        <w:pStyle w:val="Bullet1"/>
        <w:keepNext/>
        <w:keepLines/>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2C05FC1C" w14:textId="77777777" w:rsidR="000B173B" w:rsidRDefault="000B173B" w:rsidP="000B173B">
      <w:pPr>
        <w:pStyle w:val="Bullet1"/>
        <w:keepNext/>
        <w:keepLines/>
        <w:rPr>
          <w:i/>
          <w:iCs/>
          <w:color w:val="4472C4" w:themeColor="accent1"/>
        </w:rPr>
      </w:pPr>
      <w:r w:rsidRPr="0007741A">
        <w:rPr>
          <w:i/>
          <w:iCs/>
          <w:color w:val="4472C4" w:themeColor="accent1"/>
        </w:rPr>
        <w:t>An overview of the population mapping for the species</w:t>
      </w:r>
    </w:p>
    <w:p w14:paraId="7CA586ED" w14:textId="77777777" w:rsidR="000B173B" w:rsidRPr="00296917" w:rsidRDefault="000B173B" w:rsidP="000B173B">
      <w:pPr>
        <w:rPr>
          <w:i/>
          <w:color w:val="4472C4" w:themeColor="accent1"/>
        </w:rPr>
      </w:pPr>
      <w:r w:rsidRPr="000816D6">
        <w:rPr>
          <w:i/>
          <w:color w:val="4472C4" w:themeColor="accent1"/>
        </w:rPr>
        <w:t xml:space="preserve">Please refer to </w:t>
      </w:r>
      <w:r w:rsidRPr="006900FB">
        <w:rPr>
          <w:i/>
          <w:color w:val="4472C4" w:themeColor="accent1"/>
        </w:rPr>
        <w:t>Chapter 13</w:t>
      </w:r>
      <w:r w:rsidRPr="00BB3ECF">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22AD1D81" w14:textId="77777777" w:rsidTr="00A15226">
        <w:tc>
          <w:tcPr>
            <w:tcW w:w="1526" w:type="dxa"/>
            <w:vMerge w:val="restart"/>
            <w:vAlign w:val="center"/>
          </w:tcPr>
          <w:p w14:paraId="75361A3F"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3799CF29"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25E17D87" w14:textId="77777777" w:rsidTr="00A15226">
        <w:tc>
          <w:tcPr>
            <w:tcW w:w="1526" w:type="dxa"/>
            <w:vMerge/>
            <w:vAlign w:val="center"/>
          </w:tcPr>
          <w:p w14:paraId="6651ADE2" w14:textId="77777777" w:rsidR="000B173B" w:rsidRDefault="000B173B" w:rsidP="00A15226">
            <w:pPr>
              <w:pStyle w:val="Tabletext"/>
              <w:rPr>
                <w:rFonts w:ascii="Helvetica" w:hAnsi="Helvetica"/>
                <w:b/>
                <w:bCs/>
                <w:sz w:val="14"/>
              </w:rPr>
            </w:pPr>
          </w:p>
        </w:tc>
        <w:tc>
          <w:tcPr>
            <w:tcW w:w="8113" w:type="dxa"/>
            <w:vAlign w:val="center"/>
          </w:tcPr>
          <w:p w14:paraId="6688B701"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1DEEF9E7" w14:textId="77777777" w:rsidTr="00A15226">
        <w:tc>
          <w:tcPr>
            <w:tcW w:w="1526" w:type="dxa"/>
            <w:vMerge/>
            <w:vAlign w:val="center"/>
          </w:tcPr>
          <w:p w14:paraId="5699678D"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56267F50"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6C79952F" w14:textId="77777777" w:rsidTr="00A15226">
        <w:tc>
          <w:tcPr>
            <w:tcW w:w="1526" w:type="dxa"/>
            <w:vMerge/>
            <w:vAlign w:val="center"/>
          </w:tcPr>
          <w:p w14:paraId="73F5E496" w14:textId="77777777" w:rsidR="000B173B" w:rsidRDefault="000B173B" w:rsidP="00A15226">
            <w:pPr>
              <w:pStyle w:val="Tabletext"/>
              <w:rPr>
                <w:rFonts w:ascii="Helvetica" w:hAnsi="Helvetica"/>
                <w:b/>
                <w:bCs/>
                <w:sz w:val="14"/>
              </w:rPr>
            </w:pPr>
          </w:p>
        </w:tc>
        <w:tc>
          <w:tcPr>
            <w:tcW w:w="8113" w:type="dxa"/>
            <w:vAlign w:val="center"/>
          </w:tcPr>
          <w:p w14:paraId="3B4F4E3F"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2F847002" w14:textId="77777777" w:rsidTr="00A15226">
        <w:tc>
          <w:tcPr>
            <w:tcW w:w="1526" w:type="dxa"/>
            <w:vMerge/>
            <w:vAlign w:val="center"/>
          </w:tcPr>
          <w:p w14:paraId="0F5D2529"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3675DC1"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4815BC81" w14:textId="77777777" w:rsidTr="00A15226">
        <w:tc>
          <w:tcPr>
            <w:tcW w:w="1526" w:type="dxa"/>
            <w:vMerge/>
            <w:vAlign w:val="center"/>
          </w:tcPr>
          <w:p w14:paraId="06C9CDBA" w14:textId="77777777" w:rsidR="000B173B" w:rsidRPr="000816D6" w:rsidRDefault="000B173B" w:rsidP="00A15226">
            <w:pPr>
              <w:pStyle w:val="Tabletext"/>
              <w:rPr>
                <w:rFonts w:ascii="Helvetica" w:hAnsi="Helvetica"/>
                <w:b/>
                <w:bCs/>
                <w:sz w:val="14"/>
              </w:rPr>
            </w:pPr>
          </w:p>
        </w:tc>
        <w:tc>
          <w:tcPr>
            <w:tcW w:w="8113" w:type="dxa"/>
            <w:vAlign w:val="center"/>
          </w:tcPr>
          <w:p w14:paraId="06E6199D"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447142A0" w14:textId="77777777" w:rsidR="000B173B" w:rsidRPr="00980D4D" w:rsidRDefault="000B173B" w:rsidP="00A15226">
            <w:pPr>
              <w:pStyle w:val="Tabletext"/>
            </w:pPr>
            <w:r w:rsidRPr="00B03721">
              <w:t>Refer to</w:t>
            </w:r>
            <w:r>
              <w:t xml:space="preserve"> </w:t>
            </w:r>
            <w:r w:rsidRPr="006900FB">
              <w:t>Chapter 13 of Part 3</w:t>
            </w:r>
            <w:r w:rsidRPr="00BB3ECF">
              <w:t xml:space="preserve"> for</w:t>
            </w:r>
            <w:r>
              <w:t xml:space="preserve"> a detailed description of the baseline mapping, landholder surveys, and HIMs.</w:t>
            </w:r>
          </w:p>
        </w:tc>
      </w:tr>
      <w:tr w:rsidR="000B173B" w:rsidRPr="003E1ADD" w14:paraId="1DA33A2F" w14:textId="77777777" w:rsidTr="00A15226">
        <w:tc>
          <w:tcPr>
            <w:tcW w:w="1526" w:type="dxa"/>
            <w:vMerge w:val="restart"/>
            <w:vAlign w:val="center"/>
          </w:tcPr>
          <w:p w14:paraId="04ED8C8A"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28353E49"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3CBCF161" w14:textId="77777777" w:rsidTr="00A15226">
        <w:tc>
          <w:tcPr>
            <w:tcW w:w="1526" w:type="dxa"/>
            <w:vMerge/>
            <w:vAlign w:val="center"/>
          </w:tcPr>
          <w:p w14:paraId="19FBD160" w14:textId="77777777" w:rsidR="000B173B" w:rsidRDefault="000B173B" w:rsidP="00A15226">
            <w:pPr>
              <w:pStyle w:val="Tabletext"/>
              <w:rPr>
                <w:rFonts w:ascii="Helvetica" w:hAnsi="Helvetica"/>
                <w:b/>
                <w:bCs/>
                <w:sz w:val="14"/>
              </w:rPr>
            </w:pPr>
          </w:p>
        </w:tc>
        <w:tc>
          <w:tcPr>
            <w:tcW w:w="8113" w:type="dxa"/>
            <w:vAlign w:val="center"/>
          </w:tcPr>
          <w:p w14:paraId="6C9C2178"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01DE7384" w14:textId="77777777" w:rsidTr="00A15226">
        <w:tc>
          <w:tcPr>
            <w:tcW w:w="1526" w:type="dxa"/>
            <w:vMerge/>
            <w:vAlign w:val="center"/>
          </w:tcPr>
          <w:p w14:paraId="3784E896"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0DB8DE0"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5F1BEA0F" w14:textId="77777777" w:rsidTr="00A15226">
        <w:tc>
          <w:tcPr>
            <w:tcW w:w="1526" w:type="dxa"/>
            <w:vMerge/>
            <w:vAlign w:val="center"/>
          </w:tcPr>
          <w:p w14:paraId="4E0237B7" w14:textId="77777777" w:rsidR="000B173B" w:rsidRDefault="000B173B" w:rsidP="00A15226">
            <w:pPr>
              <w:pStyle w:val="Tabletext"/>
              <w:rPr>
                <w:rFonts w:ascii="Helvetica" w:hAnsi="Helvetica"/>
                <w:b/>
                <w:bCs/>
                <w:sz w:val="14"/>
              </w:rPr>
            </w:pPr>
          </w:p>
        </w:tc>
        <w:tc>
          <w:tcPr>
            <w:tcW w:w="8113" w:type="dxa"/>
            <w:vAlign w:val="center"/>
          </w:tcPr>
          <w:p w14:paraId="462045A0" w14:textId="77777777" w:rsidR="000B173B" w:rsidRPr="00BB022D" w:rsidRDefault="000B173B" w:rsidP="00A15226">
            <w:pPr>
              <w:pStyle w:val="Bullet1"/>
              <w:numPr>
                <w:ilvl w:val="0"/>
                <w:numId w:val="0"/>
              </w:numPr>
              <w:ind w:left="360" w:hanging="360"/>
            </w:pPr>
            <w:r w:rsidRPr="006A4149">
              <w:t xml:space="preserve">VBA records for the </w:t>
            </w:r>
            <w:r>
              <w:t>Lesser Sand Plover</w:t>
            </w:r>
            <w:r w:rsidRPr="006A4149">
              <w:t xml:space="preserve"> used in this assessment were downloaded in June 2022.</w:t>
            </w:r>
          </w:p>
        </w:tc>
      </w:tr>
      <w:tr w:rsidR="000B173B" w:rsidRPr="003E1ADD" w14:paraId="2873FA37" w14:textId="77777777" w:rsidTr="00A15226">
        <w:tc>
          <w:tcPr>
            <w:tcW w:w="1526" w:type="dxa"/>
            <w:vMerge/>
            <w:vAlign w:val="center"/>
          </w:tcPr>
          <w:p w14:paraId="4CEF209C"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CC2CE60"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196B1EDF" w14:textId="77777777" w:rsidTr="00A15226">
        <w:tc>
          <w:tcPr>
            <w:tcW w:w="1526" w:type="dxa"/>
            <w:vMerge/>
            <w:vAlign w:val="center"/>
          </w:tcPr>
          <w:p w14:paraId="0452D272" w14:textId="77777777" w:rsidR="000B173B" w:rsidRDefault="000B173B" w:rsidP="00A15226">
            <w:pPr>
              <w:pStyle w:val="Tabletext"/>
              <w:rPr>
                <w:rFonts w:ascii="Helvetica" w:hAnsi="Helvetica"/>
                <w:b/>
                <w:bCs/>
                <w:sz w:val="14"/>
              </w:rPr>
            </w:pPr>
          </w:p>
        </w:tc>
        <w:tc>
          <w:tcPr>
            <w:tcW w:w="8113" w:type="dxa"/>
            <w:vAlign w:val="center"/>
          </w:tcPr>
          <w:p w14:paraId="7860174F" w14:textId="77777777" w:rsidR="000B173B" w:rsidRPr="00BB022D" w:rsidRDefault="000B173B" w:rsidP="00A15226">
            <w:pPr>
              <w:pStyle w:val="Tabletext"/>
            </w:pPr>
            <w:r w:rsidRPr="00C62332">
              <w:t xml:space="preserve">Given the mobile nature of the species, all records within the Study Area </w:t>
            </w:r>
            <w:r>
              <w:t>are</w:t>
            </w:r>
            <w:r w:rsidRPr="00C62332">
              <w:t xml:space="preserve"> considered a single population.</w:t>
            </w:r>
          </w:p>
        </w:tc>
      </w:tr>
    </w:tbl>
    <w:p w14:paraId="3D8C1D84"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32358380" w14:textId="77777777" w:rsidTr="00A15226">
        <w:tc>
          <w:tcPr>
            <w:tcW w:w="9622" w:type="dxa"/>
            <w:shd w:val="clear" w:color="auto" w:fill="C9C9C9" w:themeFill="accent3" w:themeFillTint="99"/>
          </w:tcPr>
          <w:p w14:paraId="435515E3"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4A029DC4"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the </w:t>
      </w:r>
      <w:r>
        <w:rPr>
          <w:i/>
          <w:iCs/>
          <w:color w:val="4472C4" w:themeColor="accent1"/>
        </w:rPr>
        <w:t xml:space="preserve">Study </w:t>
      </w:r>
      <w:r w:rsidRPr="00CA1943">
        <w:rPr>
          <w:i/>
          <w:iCs/>
          <w:color w:val="4472C4" w:themeColor="accent1"/>
        </w:rPr>
        <w:t>Area. It includes reference to a map of records and habitat which can be viewed as a separate file. The map provides critical context for the assessment and should be viewed in conjunction with the text presented in this assessment. This section also provides a qualitative description</w:t>
      </w:r>
      <w:r w:rsidRPr="00BB022D">
        <w:rPr>
          <w:i/>
          <w:iCs/>
          <w:color w:val="4472C4" w:themeColor="accent1"/>
        </w:rPr>
        <w:t xml:space="preserve"> of where records and habitat occur.</w:t>
      </w:r>
    </w:p>
    <w:p w14:paraId="616B40FE" w14:textId="77777777" w:rsidR="000B173B" w:rsidRPr="003F174B" w:rsidRDefault="000B173B" w:rsidP="000B173B">
      <w:pPr>
        <w:rPr>
          <w:b/>
          <w:bCs/>
          <w:highlight w:val="yellow"/>
        </w:rPr>
      </w:pPr>
      <w:r w:rsidRPr="00BB3ECF">
        <w:t>See</w:t>
      </w:r>
      <w:r w:rsidRPr="006900FB">
        <w:t xml:space="preserve"> </w:t>
      </w:r>
      <w:hyperlink r:id="rId144" w:history="1">
        <w:r w:rsidRPr="00AC291E">
          <w:rPr>
            <w:rStyle w:val="Hyperlink"/>
          </w:rPr>
          <w:t>Map 19-17</w:t>
        </w:r>
      </w:hyperlink>
      <w:r w:rsidRPr="00BB3ECF">
        <w:t xml:space="preserve"> for</w:t>
      </w:r>
      <w:r w:rsidRPr="00E83B3E">
        <w:t xml:space="preserve"> a map of records and habitat across the Strategic Assessment Area.</w:t>
      </w:r>
      <w:r w:rsidRPr="00E83B3E">
        <w:rPr>
          <w:b/>
          <w:bCs/>
        </w:rPr>
        <w:t xml:space="preserve"> </w:t>
      </w:r>
    </w:p>
    <w:p w14:paraId="6AA9337A" w14:textId="77777777" w:rsidR="000B173B" w:rsidRDefault="000B173B" w:rsidP="000B173B">
      <w:r w:rsidRPr="00BB3ECF">
        <w:t xml:space="preserve">There are </w:t>
      </w:r>
      <w:r w:rsidRPr="006900FB">
        <w:t>four records (four individuals</w:t>
      </w:r>
      <w:r w:rsidRPr="00BB3ECF">
        <w:t>) of</w:t>
      </w:r>
      <w:r w:rsidRPr="00E83B3E">
        <w:t xml:space="preserve"> the Lesser Sand Plover within the Study Area. The most recent was recorded in 2008, and the remainder were recorded between 1991 and 1996. The species has not been recorded within the Strategic Assessment Area.</w:t>
      </w:r>
    </w:p>
    <w:p w14:paraId="7828BC0A" w14:textId="77777777" w:rsidR="000B173B" w:rsidRDefault="000B173B" w:rsidP="000B173B">
      <w:r w:rsidRPr="00BB3ECF">
        <w:t xml:space="preserve">A total of </w:t>
      </w:r>
      <w:r w:rsidRPr="006900FB">
        <w:t>4,468.6 ha</w:t>
      </w:r>
      <w:r w:rsidRPr="00BB3ECF">
        <w:t xml:space="preserve"> of potential habitat has been mapped within the Study Area. Of this</w:t>
      </w:r>
      <w:r w:rsidRPr="006900FB">
        <w:t>, 2.2 ha</w:t>
      </w:r>
      <w:r w:rsidRPr="00BB3ECF">
        <w:t xml:space="preserve"> h</w:t>
      </w:r>
      <w:r>
        <w:t>as been mapped within the Strategic Assessment Area. No habitat has been mapped within the Growth Areas.</w:t>
      </w:r>
    </w:p>
    <w:p w14:paraId="4DC2BAFA" w14:textId="77777777" w:rsidR="000B173B" w:rsidRPr="002E0C89" w:rsidRDefault="000B173B" w:rsidP="000B173B">
      <w:pPr>
        <w:keepNext/>
        <w:keepLines/>
      </w:pPr>
      <w:r>
        <w:lastRenderedPageBreak/>
        <w:t>Mapped habitat for the Lesser Sand Plover occurs along the northern shoreline of Port Phillip Bay, from Limeburners Bay in the west through to the Study Area boundary in the east</w:t>
      </w:r>
      <w:r w:rsidRPr="002E0C89">
        <w:t xml:space="preserve">. </w:t>
      </w:r>
      <w:r w:rsidRPr="006900FB">
        <w:t>A single record (of one individual</w:t>
      </w:r>
      <w:r w:rsidRPr="002E0C89">
        <w:t>) occurs in the Port Wilson area.</w:t>
      </w:r>
    </w:p>
    <w:p w14:paraId="428BDF83" w14:textId="77777777" w:rsidR="000B173B" w:rsidRDefault="000B173B" w:rsidP="000B173B">
      <w:pPr>
        <w:keepNext/>
        <w:keepLines/>
      </w:pPr>
      <w:r w:rsidRPr="006900FB">
        <w:t>Three records (three individuals</w:t>
      </w:r>
      <w:r w:rsidRPr="002E0C89">
        <w:t>) and mapped habitat also occur in the Moolap locality.</w:t>
      </w:r>
    </w:p>
    <w:p w14:paraId="0B0A8480" w14:textId="77777777" w:rsidR="000B173B" w:rsidRPr="00E83B3E" w:rsidRDefault="000B173B" w:rsidP="000B173B">
      <w:pPr>
        <w:keepNext/>
        <w:keepLines/>
      </w:pPr>
      <w:r>
        <w:t>Mapped habitat not associated with records occurs at the Lake Connewarre Complex and in the estuarine environment of Thompson Creek in the south of the Study Area.</w:t>
      </w:r>
    </w:p>
    <w:p w14:paraId="2D89E929" w14:textId="77777777" w:rsidR="000B173B" w:rsidRDefault="000B173B" w:rsidP="000B173B"/>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27F7042D" w14:textId="77777777" w:rsidTr="00A15226">
        <w:trPr>
          <w:cantSplit/>
        </w:trPr>
        <w:tc>
          <w:tcPr>
            <w:tcW w:w="9632" w:type="dxa"/>
            <w:shd w:val="clear" w:color="auto" w:fill="D9D9D9" w:themeFill="background1" w:themeFillShade="D9"/>
            <w:vAlign w:val="center"/>
          </w:tcPr>
          <w:p w14:paraId="1EC28863" w14:textId="77777777" w:rsidR="000B173B" w:rsidRPr="000816D6" w:rsidRDefault="000B173B" w:rsidP="00A15226">
            <w:pPr>
              <w:pStyle w:val="TableHeadingLarge"/>
            </w:pPr>
            <w:r w:rsidRPr="000816D6">
              <w:rPr>
                <w:rFonts w:ascii="Helvetica" w:hAnsi="Helvetica"/>
              </w:rPr>
              <w:t>POTENTIAL INDIRECT IMPACTS AND MITIGATION</w:t>
            </w:r>
          </w:p>
        </w:tc>
      </w:tr>
    </w:tbl>
    <w:p w14:paraId="4A67ED64"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100AF444"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0F498D81"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13C63534"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35F3CD3B" w14:textId="77777777" w:rsidR="000B173B" w:rsidRPr="007C1D70" w:rsidRDefault="000B173B" w:rsidP="000B173B">
      <w:pPr>
        <w:rPr>
          <w:i/>
          <w:color w:val="4472C4" w:themeColor="accent1"/>
        </w:rPr>
      </w:pPr>
      <w:r w:rsidRPr="007C1D70">
        <w:rPr>
          <w:i/>
          <w:color w:val="4472C4" w:themeColor="accent1"/>
        </w:rPr>
        <w:t xml:space="preserve">Please refer </w:t>
      </w:r>
      <w:r w:rsidRPr="002E0C89">
        <w:rPr>
          <w:i/>
          <w:color w:val="4472C4" w:themeColor="accent1"/>
        </w:rPr>
        <w:t xml:space="preserve">to </w:t>
      </w:r>
      <w:r w:rsidRPr="006900FB">
        <w:rPr>
          <w:i/>
          <w:color w:val="4472C4" w:themeColor="accent1"/>
        </w:rPr>
        <w:t>Chapter 19</w:t>
      </w:r>
      <w:r w:rsidRPr="002E0C89">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2E0C89">
        <w:rPr>
          <w:i/>
          <w:color w:val="4472C4" w:themeColor="accent1"/>
        </w:rPr>
        <w:t xml:space="preserve"> for a detailed</w:t>
      </w:r>
      <w:r w:rsidRPr="007C1D70">
        <w:rPr>
          <w:i/>
          <w:color w:val="4472C4" w:themeColor="accent1"/>
        </w:rPr>
        <w:t xml:space="preserve"> discussion and analysis of indirect impacts and mitigation measures included in the Plan. </w:t>
      </w:r>
    </w:p>
    <w:p w14:paraId="651512E5" w14:textId="77777777" w:rsidR="000B173B" w:rsidRDefault="000B173B" w:rsidP="000B173B">
      <w:pPr>
        <w:pStyle w:val="Heading3"/>
        <w:numPr>
          <w:ilvl w:val="0"/>
          <w:numId w:val="0"/>
        </w:numPr>
        <w:ind w:left="720" w:hanging="720"/>
      </w:pPr>
      <w:r w:rsidRPr="00FB680C">
        <w:t>R</w:t>
      </w:r>
      <w:r>
        <w:t>elevant potential indirect impacts</w:t>
      </w:r>
    </w:p>
    <w:p w14:paraId="7482B973" w14:textId="77777777" w:rsidR="000B173B" w:rsidRDefault="000B173B" w:rsidP="000B173B">
      <w:r w:rsidRPr="00C02E8B">
        <w:t>The Conservation Advice for the Lesser</w:t>
      </w:r>
      <w:r>
        <w:t xml:space="preserve"> Sand Plover</w:t>
      </w:r>
      <w:r w:rsidRPr="002B70F0">
        <w:t xml:space="preserve"> identifies a range of threats to the species</w:t>
      </w:r>
      <w:r>
        <w:t xml:space="preserve"> in Australia </w:t>
      </w:r>
      <w:sdt>
        <w:sdtPr>
          <w:rPr>
            <w:color w:val="000000"/>
          </w:rPr>
          <w:tag w:val="MENDELEY_CITATION_v3_eyJjaXRhdGlvbklEIjoiTUVOREVMRVlfQ0lUQVRJT05fODUyOGMxOTMtODdiOC00MGE2LWIyYTAtZThiOGY0NjQwMTg0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82597156"/>
          <w:placeholder>
            <w:docPart w:val="7A87483195E49548AABB39FF484A13FE"/>
          </w:placeholder>
        </w:sdtPr>
        <w:sdtContent>
          <w:r w:rsidRPr="002F46CE">
            <w:rPr>
              <w:color w:val="000000"/>
            </w:rPr>
            <w:t>(TSSC, 2016e)</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56115DF2" w14:textId="77777777" w:rsidR="000B173B" w:rsidRDefault="000B173B" w:rsidP="000B173B">
      <w:r>
        <w:t>The following potential indirect impacts (identified as threats) are considered relevant to implementation of the Plan:</w:t>
      </w:r>
    </w:p>
    <w:p w14:paraId="734DFFC7" w14:textId="77777777" w:rsidR="000B173B" w:rsidRPr="00292D2C" w:rsidRDefault="000B173B" w:rsidP="000B173B">
      <w:pPr>
        <w:pStyle w:val="Bullet1"/>
      </w:pPr>
      <w:r w:rsidRPr="00292D2C">
        <w:t>Ongoing human disturbance</w:t>
      </w:r>
    </w:p>
    <w:p w14:paraId="125A6098" w14:textId="77777777" w:rsidR="000B173B" w:rsidRPr="00292D2C" w:rsidRDefault="000B173B" w:rsidP="000B173B">
      <w:pPr>
        <w:pStyle w:val="Bullet1"/>
      </w:pPr>
      <w:r w:rsidRPr="00292D2C">
        <w:t>Pollution and changes to the water regime</w:t>
      </w:r>
    </w:p>
    <w:p w14:paraId="30385EE4" w14:textId="77777777" w:rsidR="000B173B" w:rsidRDefault="000B173B" w:rsidP="000B173B">
      <w:r>
        <w:t>Invasive weeds are also</w:t>
      </w:r>
      <w:r w:rsidRPr="003A2AF0">
        <w:t xml:space="preserve"> identified in the Conservation Advice</w:t>
      </w:r>
      <w:r>
        <w:t xml:space="preserve"> as a threat to the species</w:t>
      </w:r>
      <w:r w:rsidRPr="003A2AF0">
        <w:t xml:space="preserve">. However, potential indirect impacts associated with </w:t>
      </w:r>
      <w:r>
        <w:t>this threat</w:t>
      </w:r>
      <w:r w:rsidRPr="003A2AF0">
        <w:t xml:space="preserve"> </w:t>
      </w:r>
      <w:r>
        <w:t>are</w:t>
      </w:r>
      <w:r w:rsidRPr="003A2AF0">
        <w:t xml:space="preserve"> considered unlikely given the landscape context of the site and the ecology of the species. Refer to</w:t>
      </w:r>
      <w:r>
        <w:t xml:space="preserve"> </w:t>
      </w:r>
      <w:r w:rsidRPr="006900FB">
        <w:t>Section 17.2 of Chapter 17</w:t>
      </w:r>
      <w:r w:rsidRPr="002E0C89">
        <w:t xml:space="preserve"> for</w:t>
      </w:r>
      <w:r>
        <w:t xml:space="preserve"> a detailed assessment of potential indirect impacts associated with the implementation of the Plan.</w:t>
      </w:r>
      <w:r w:rsidRPr="00CC2A00" w:rsidDel="00727335">
        <w:rPr>
          <w:highlight w:val="yellow"/>
        </w:rPr>
        <w:t xml:space="preserve"> </w:t>
      </w:r>
    </w:p>
    <w:p w14:paraId="7D9D2917" w14:textId="77777777" w:rsidR="000B173B" w:rsidRPr="00292D2C" w:rsidRDefault="000B173B" w:rsidP="000B173B">
      <w:pPr>
        <w:pStyle w:val="Heading4"/>
      </w:pPr>
      <w:r w:rsidRPr="00292D2C">
        <w:t>Ongoing human disturbance</w:t>
      </w:r>
    </w:p>
    <w:p w14:paraId="113E5683" w14:textId="77777777" w:rsidR="000B173B" w:rsidRPr="00292D2C" w:rsidRDefault="000B173B" w:rsidP="000B173B">
      <w:r w:rsidRPr="00292D2C">
        <w:t>Disturbance may result from recreational activities such as fishing, boating, dog walking</w:t>
      </w:r>
      <w:r>
        <w:t xml:space="preserve"> (particularly unleashed dogs)</w:t>
      </w:r>
      <w:r w:rsidRPr="00292D2C">
        <w:t>, four-wheel driving,</w:t>
      </w:r>
      <w:r>
        <w:t xml:space="preserve"> jet skiing,</w:t>
      </w:r>
      <w:r w:rsidRPr="00292D2C">
        <w:t xml:space="preserve"> noise</w:t>
      </w:r>
      <w:r>
        <w:t>,</w:t>
      </w:r>
      <w:r w:rsidRPr="00292D2C">
        <w:t xml:space="preserve"> and lighting. While an individual source of disturbance may have a low impact, it is important to consider the cumulative impact of different types of human disturbance on the species </w:t>
      </w:r>
      <w:sdt>
        <w:sdtPr>
          <w:rPr>
            <w:color w:val="000000"/>
          </w:rPr>
          <w:tag w:val="MENDELEY_CITATION_v3_eyJjaXRhdGlvbklEIjoiTUVOREVMRVlfQ0lUQVRJT05fNDU1YTNlNjktZDkyYi00ZjVhLWI0ZTgtNzYyNjI5YzRiMzE0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141104388"/>
          <w:placeholder>
            <w:docPart w:val="7A87483195E49548AABB39FF484A13FE"/>
          </w:placeholder>
        </w:sdtPr>
        <w:sdtContent>
          <w:r w:rsidRPr="002F46CE">
            <w:rPr>
              <w:color w:val="000000"/>
            </w:rPr>
            <w:t>(TSSC, 2016e)</w:t>
          </w:r>
        </w:sdtContent>
      </w:sdt>
      <w:r w:rsidRPr="00292D2C">
        <w:t xml:space="preserve">. </w:t>
      </w:r>
    </w:p>
    <w:p w14:paraId="1F899C82" w14:textId="77777777" w:rsidR="000B173B" w:rsidRPr="00292D2C" w:rsidRDefault="000B173B" w:rsidP="000B173B">
      <w:r w:rsidRPr="00292D2C">
        <w:t xml:space="preserve">As a migratory shorebird, the Lesser Sand Plover requires suitable foraging opportunities to build up energy stores required for migration. Human disturbance can interrupt the species’ feeding or roosting behaviours and may cause the species not to feed or roost in a location that would otherwise provide suitable habitat. Disturbance can also reduce the time the species has available for foraging and resting and increase the time the species spends engaging in vigilance and anti-predator behaviour </w:t>
      </w:r>
      <w:sdt>
        <w:sdtPr>
          <w:rPr>
            <w:color w:val="000000"/>
          </w:rPr>
          <w:tag w:val="MENDELEY_CITATION_v3_eyJjaXRhdGlvbklEIjoiTUVOREVMRVlfQ0lUQVRJT05fYzA3YjU2MDItNGFhZi00NTU3LTkwNTEtN2QzNjVlYjdmMjQ5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2115347926"/>
          <w:placeholder>
            <w:docPart w:val="7A87483195E49548AABB39FF484A13FE"/>
          </w:placeholder>
        </w:sdtPr>
        <w:sdtContent>
          <w:r w:rsidRPr="002F46CE">
            <w:rPr>
              <w:color w:val="000000"/>
            </w:rPr>
            <w:t>(TSSC, 2016e)</w:t>
          </w:r>
        </w:sdtContent>
      </w:sdt>
      <w:r w:rsidRPr="00292D2C">
        <w:t>.</w:t>
      </w:r>
    </w:p>
    <w:p w14:paraId="7D45F48D" w14:textId="77777777" w:rsidR="000B173B" w:rsidRPr="004A3438" w:rsidRDefault="000B173B" w:rsidP="000B173B">
      <w:pPr>
        <w:pStyle w:val="Heading4"/>
      </w:pPr>
      <w:r w:rsidRPr="004A3438">
        <w:t>Pollution and changes to the water regime</w:t>
      </w:r>
    </w:p>
    <w:p w14:paraId="7FC3B071" w14:textId="77777777" w:rsidR="000B173B" w:rsidRDefault="000B173B" w:rsidP="000B173B">
      <w:r w:rsidRPr="004A3438">
        <w:t xml:space="preserve">Pollution and changes to the water regime in habitat used by the Lesser Sand Plover for foraging and/or roosting can cause indirect loss of habitat for the species through habitat degradation. The species is particularly sensitive to impacts due to its high site fidelity, tendency to aggregate, high energy demands required for migration and requirement for a network of foraging and roosting habitats. It is also noted that some sites remain important throughout the year for juveniles who may stay in Australia until maturity is reached </w:t>
      </w:r>
      <w:sdt>
        <w:sdtPr>
          <w:rPr>
            <w:color w:val="000000"/>
          </w:rPr>
          <w:tag w:val="MENDELEY_CITATION_v3_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"/>
          <w:id w:val="1350604694"/>
          <w:placeholder>
            <w:docPart w:val="7A87483195E49548AABB39FF484A13FE"/>
          </w:placeholder>
        </w:sdtPr>
        <w:sdtContent>
          <w:r w:rsidRPr="002F46CE">
            <w:rPr>
              <w:color w:val="000000"/>
            </w:rPr>
            <w:t>(TSSC, 2016e)</w:t>
          </w:r>
        </w:sdtContent>
      </w:sdt>
      <w:r w:rsidRPr="004A343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7F9E1703" w14:textId="77777777" w:rsidTr="00A15226">
        <w:tc>
          <w:tcPr>
            <w:tcW w:w="9622" w:type="dxa"/>
            <w:shd w:val="clear" w:color="auto" w:fill="C9C9C9" w:themeFill="accent3" w:themeFillTint="99"/>
          </w:tcPr>
          <w:p w14:paraId="1154DC8F" w14:textId="77777777" w:rsidR="000B173B" w:rsidRPr="008F55BC" w:rsidRDefault="000B173B" w:rsidP="00A15226">
            <w:pPr>
              <w:pStyle w:val="Tabletext"/>
              <w:rPr>
                <w:b/>
                <w:bCs/>
              </w:rPr>
            </w:pPr>
            <w:r>
              <w:rPr>
                <w:rFonts w:ascii="Helvetica" w:hAnsi="Helvetica"/>
                <w:b/>
                <w:sz w:val="16"/>
                <w:szCs w:val="16"/>
              </w:rPr>
              <w:lastRenderedPageBreak/>
              <w:t xml:space="preserve">RECOVERY PLAN, KEY THREATENING PROCESSES AND THREAT ABATEMENT PLANS </w:t>
            </w:r>
          </w:p>
        </w:tc>
      </w:tr>
    </w:tbl>
    <w:p w14:paraId="6EE5CFB7"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17.3</w:t>
      </w:r>
      <w:r w:rsidRPr="002E0C89">
        <w:rPr>
          <w:i/>
          <w:color w:val="4472C4" w:themeColor="accent1"/>
        </w:rPr>
        <w:t xml:space="preserve"> of </w:t>
      </w:r>
      <w:r w:rsidRPr="006900FB">
        <w:rPr>
          <w:i/>
          <w:color w:val="4472C4" w:themeColor="accent1"/>
        </w:rPr>
        <w:t>Chapter 17</w:t>
      </w:r>
      <w:r w:rsidRPr="002E0C89">
        <w:rPr>
          <w:i/>
          <w:color w:val="4472C4" w:themeColor="accent1"/>
        </w:rPr>
        <w:t>.</w:t>
      </w:r>
    </w:p>
    <w:p w14:paraId="015E8277" w14:textId="77777777" w:rsidR="000B173B" w:rsidRDefault="000B173B" w:rsidP="000B173B">
      <w:pPr>
        <w:pStyle w:val="Heading3"/>
        <w:numPr>
          <w:ilvl w:val="0"/>
          <w:numId w:val="0"/>
        </w:numPr>
        <w:ind w:left="720" w:hanging="720"/>
      </w:pPr>
      <w:r w:rsidRPr="000816D6">
        <w:t>C</w:t>
      </w:r>
      <w:r>
        <w:t>onsistency with recovery plan</w:t>
      </w:r>
    </w:p>
    <w:p w14:paraId="21BFC0C3" w14:textId="77777777" w:rsidR="000B173B" w:rsidRPr="00301651" w:rsidRDefault="000B173B" w:rsidP="000B173B">
      <w:r>
        <w:t>There is no adopted or made Recovery Plan for this species.</w:t>
      </w:r>
    </w:p>
    <w:p w14:paraId="5452AECA"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03085856"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_Ref106869186 \h </w:instrText>
      </w:r>
      <w:r>
        <w:fldChar w:fldCharType="separate"/>
      </w:r>
      <w:r>
        <w:t xml:space="preserve">Table </w:t>
      </w:r>
      <w:r>
        <w:rPr>
          <w:noProof/>
        </w:rPr>
        <w:t>B</w:t>
      </w:r>
      <w:r>
        <w:noBreakHyphen/>
      </w:r>
      <w:r>
        <w:rPr>
          <w:noProof/>
        </w:rPr>
        <w:t>8</w:t>
      </w:r>
      <w:r>
        <w:fldChar w:fldCharType="end"/>
      </w:r>
      <w:r>
        <w:t xml:space="preserve"> where they relate to:</w:t>
      </w:r>
    </w:p>
    <w:p w14:paraId="7231880C" w14:textId="77777777" w:rsidR="000B173B" w:rsidRDefault="000B173B" w:rsidP="000B173B">
      <w:pPr>
        <w:pStyle w:val="Bullet1"/>
      </w:pPr>
      <w:r>
        <w:t>The potential direct impacts of the Plan, or</w:t>
      </w:r>
    </w:p>
    <w:p w14:paraId="713D2606" w14:textId="77777777" w:rsidR="000B173B" w:rsidRDefault="000B173B" w:rsidP="000B173B">
      <w:pPr>
        <w:pStyle w:val="Bullet1"/>
      </w:pPr>
      <w:r>
        <w:t>The relevant indirect impacts</w:t>
      </w:r>
    </w:p>
    <w:p w14:paraId="51E8BA13" w14:textId="77777777" w:rsidR="000B173B" w:rsidRDefault="000B173B" w:rsidP="000B173B">
      <w:pPr>
        <w:pStyle w:val="Caption"/>
        <w:keepNext/>
      </w:pPr>
      <w:bookmarkStart w:id="276" w:name="_Ref106869186"/>
      <w:bookmarkStart w:id="277" w:name="_Toc134697925"/>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8</w:t>
      </w:r>
      <w:r>
        <w:fldChar w:fldCharType="end"/>
      </w:r>
      <w:bookmarkEnd w:id="276"/>
      <w:r>
        <w:t xml:space="preserve">: </w:t>
      </w:r>
      <w:r w:rsidRPr="005F676F">
        <w:t xml:space="preserve">Relevant Key Threatening Processes and associated Threat Abatement Plans for </w:t>
      </w:r>
      <w:r>
        <w:t>the Lesser Sand Plover</w:t>
      </w:r>
      <w:bookmarkEnd w:id="277"/>
    </w:p>
    <w:tbl>
      <w:tblPr>
        <w:tblStyle w:val="TableGrid"/>
        <w:tblW w:w="0" w:type="auto"/>
        <w:tblLook w:val="04A0" w:firstRow="1" w:lastRow="0" w:firstColumn="1" w:lastColumn="0" w:noHBand="0" w:noVBand="1"/>
      </w:tblPr>
      <w:tblGrid>
        <w:gridCol w:w="4811"/>
        <w:gridCol w:w="4811"/>
      </w:tblGrid>
      <w:tr w:rsidR="000B173B" w14:paraId="6A598AD0" w14:textId="77777777" w:rsidTr="00A15226">
        <w:trPr>
          <w:tblHeader/>
        </w:trPr>
        <w:tc>
          <w:tcPr>
            <w:tcW w:w="4811" w:type="dxa"/>
            <w:shd w:val="clear" w:color="auto" w:fill="DBDBDB" w:themeFill="accent3" w:themeFillTint="66"/>
          </w:tcPr>
          <w:p w14:paraId="68375B84"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2EBED762" w14:textId="77777777" w:rsidR="000B173B" w:rsidRPr="00FF1996" w:rsidRDefault="000B173B" w:rsidP="00A15226">
            <w:pPr>
              <w:pStyle w:val="Tabletext"/>
              <w:rPr>
                <w:b/>
                <w:bCs/>
              </w:rPr>
            </w:pPr>
            <w:r w:rsidRPr="00FF1996">
              <w:rPr>
                <w:b/>
                <w:bCs/>
              </w:rPr>
              <w:t>Threat abatement plan</w:t>
            </w:r>
          </w:p>
        </w:tc>
      </w:tr>
      <w:tr w:rsidR="000B173B" w14:paraId="5F959476" w14:textId="77777777" w:rsidTr="00A15226">
        <w:tc>
          <w:tcPr>
            <w:tcW w:w="4811" w:type="dxa"/>
            <w:vAlign w:val="center"/>
          </w:tcPr>
          <w:p w14:paraId="082F40F5" w14:textId="77777777" w:rsidR="000B173B" w:rsidRDefault="000B173B" w:rsidP="00A15226">
            <w:pPr>
              <w:pStyle w:val="Tabletext"/>
            </w:pPr>
            <w:r>
              <w:t xml:space="preserve">Land clearance </w:t>
            </w:r>
          </w:p>
        </w:tc>
        <w:tc>
          <w:tcPr>
            <w:tcW w:w="4811" w:type="dxa"/>
          </w:tcPr>
          <w:p w14:paraId="17DB9FFE" w14:textId="77777777" w:rsidR="000B173B" w:rsidRDefault="000B173B" w:rsidP="00A15226">
            <w:pPr>
              <w:pStyle w:val="Tabletext"/>
            </w:pPr>
            <w:r>
              <w:t>There is no relevant TAP</w:t>
            </w:r>
          </w:p>
        </w:tc>
      </w:tr>
      <w:tr w:rsidR="000B173B" w14:paraId="712C3274" w14:textId="77777777" w:rsidTr="00A15226">
        <w:tc>
          <w:tcPr>
            <w:tcW w:w="4811" w:type="dxa"/>
          </w:tcPr>
          <w:p w14:paraId="086D4DC2" w14:textId="77777777" w:rsidR="000B173B" w:rsidRDefault="000B173B" w:rsidP="00A15226">
            <w:pPr>
              <w:pStyle w:val="Tabletext"/>
            </w:pPr>
            <w:r w:rsidRPr="003919C8">
              <w:t>Loss and degradation of native plant and animal habitat by invasion of escaped garden plants</w:t>
            </w:r>
          </w:p>
        </w:tc>
        <w:tc>
          <w:tcPr>
            <w:tcW w:w="4811" w:type="dxa"/>
          </w:tcPr>
          <w:p w14:paraId="644CCB9D" w14:textId="77777777" w:rsidR="000B173B" w:rsidRDefault="000B173B" w:rsidP="00A15226">
            <w:pPr>
              <w:pStyle w:val="Tabletext"/>
            </w:pPr>
            <w:r>
              <w:t>There is no relevant TAP</w:t>
            </w:r>
          </w:p>
        </w:tc>
      </w:tr>
      <w:tr w:rsidR="000B173B" w14:paraId="7C7E8D42" w14:textId="77777777" w:rsidTr="00A15226">
        <w:tc>
          <w:tcPr>
            <w:tcW w:w="4811" w:type="dxa"/>
          </w:tcPr>
          <w:p w14:paraId="479885F9" w14:textId="77777777" w:rsidR="000B173B" w:rsidRPr="003919C8" w:rsidRDefault="000B173B" w:rsidP="00A15226">
            <w:pPr>
              <w:pStyle w:val="Tabletext"/>
            </w:pPr>
            <w:r w:rsidRPr="003919C8">
              <w:t>Novel biota and their impact on biodiversity</w:t>
            </w:r>
          </w:p>
        </w:tc>
        <w:tc>
          <w:tcPr>
            <w:tcW w:w="4811" w:type="dxa"/>
          </w:tcPr>
          <w:p w14:paraId="415888A2" w14:textId="77777777" w:rsidR="000B173B" w:rsidRDefault="000B173B" w:rsidP="00A15226">
            <w:pPr>
              <w:pStyle w:val="Tabletext"/>
            </w:pPr>
            <w:r>
              <w:t>There is no relevant TAP</w:t>
            </w:r>
          </w:p>
        </w:tc>
      </w:tr>
      <w:tr w:rsidR="000B173B" w14:paraId="5E852B4C" w14:textId="77777777" w:rsidTr="00A15226">
        <w:tc>
          <w:tcPr>
            <w:tcW w:w="4811" w:type="dxa"/>
            <w:vAlign w:val="center"/>
          </w:tcPr>
          <w:p w14:paraId="1DFE1816" w14:textId="77777777" w:rsidR="000B173B" w:rsidRPr="00672E41" w:rsidRDefault="000B173B" w:rsidP="00A15226">
            <w:pPr>
              <w:pStyle w:val="Tabletext"/>
            </w:pPr>
            <w:r>
              <w:t>Predation by European red fox</w:t>
            </w:r>
          </w:p>
        </w:tc>
        <w:tc>
          <w:tcPr>
            <w:tcW w:w="4811" w:type="dxa"/>
            <w:vAlign w:val="center"/>
          </w:tcPr>
          <w:p w14:paraId="37EEC841" w14:textId="77777777" w:rsidR="000B173B" w:rsidRDefault="000B173B" w:rsidP="00A15226">
            <w:pPr>
              <w:pStyle w:val="Tabletext"/>
            </w:pPr>
            <w:r w:rsidRPr="0011395B">
              <w:rPr>
                <w:iCs/>
              </w:rPr>
              <w:t>Threat abatement plan for predation by the European red fox</w:t>
            </w:r>
            <w:r>
              <w:rPr>
                <w:iCs/>
              </w:rPr>
              <w:t xml:space="preserve"> </w:t>
            </w:r>
            <w:sdt>
              <w:sdtPr>
                <w:rPr>
                  <w:iCs/>
                  <w:color w:val="000000"/>
                </w:rPr>
                <w:tag w:val="MENDELEY_CITATION_v3_eyJjaXRhdGlvbklEIjoiTUVOREVMRVlfQ0lUQVRJT05fOThmODhiMWMtYWY4My00NzZkLThjZWMtYmJkODI3NWU0NWIz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342172634"/>
                <w:placeholder>
                  <w:docPart w:val="7A87483195E49548AABB39FF484A13FE"/>
                </w:placeholder>
              </w:sdtPr>
              <w:sdtEndPr>
                <w:rPr>
                  <w:iCs w:val="0"/>
                </w:rPr>
              </w:sdtEndPr>
              <w:sdtContent>
                <w:r w:rsidRPr="002F46CE">
                  <w:rPr>
                    <w:color w:val="000000"/>
                  </w:rPr>
                  <w:t>(DEWHA, 2008f)</w:t>
                </w:r>
              </w:sdtContent>
            </w:sdt>
          </w:p>
        </w:tc>
      </w:tr>
    </w:tbl>
    <w:p w14:paraId="35DAD99A" w14:textId="77777777" w:rsidR="000B173B" w:rsidRDefault="000B173B" w:rsidP="000B173B">
      <w:r>
        <w:br w:type="page"/>
      </w:r>
    </w:p>
    <w:p w14:paraId="27DABE5E" w14:textId="77777777" w:rsidR="000B173B" w:rsidRPr="00297975" w:rsidRDefault="000B173B" w:rsidP="000B173B">
      <w:pPr>
        <w:pStyle w:val="Heading2"/>
        <w:numPr>
          <w:ilvl w:val="0"/>
          <w:numId w:val="0"/>
        </w:numPr>
        <w:ind w:left="576" w:hanging="576"/>
      </w:pPr>
      <w:bookmarkStart w:id="278" w:name="_Toc115361215"/>
      <w:bookmarkStart w:id="279" w:name="_Toc131154210"/>
      <w:bookmarkStart w:id="280" w:name="_Toc131154397"/>
      <w:r>
        <w:lastRenderedPageBreak/>
        <w:t xml:space="preserve">Orange-bellied Parrot </w:t>
      </w:r>
      <w:r>
        <w:rPr>
          <w:i/>
          <w:iCs/>
        </w:rPr>
        <w:t>(Neophema chrysogaster)</w:t>
      </w:r>
      <w:bookmarkEnd w:id="278"/>
      <w:bookmarkEnd w:id="279"/>
      <w:bookmarkEnd w:id="280"/>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79227A23" w14:textId="77777777" w:rsidTr="00A15226">
        <w:trPr>
          <w:tblHeader/>
        </w:trPr>
        <w:tc>
          <w:tcPr>
            <w:tcW w:w="9747" w:type="dxa"/>
            <w:shd w:val="clear" w:color="auto" w:fill="D9D9D9" w:themeFill="background1" w:themeFillShade="D9"/>
            <w:vAlign w:val="center"/>
          </w:tcPr>
          <w:p w14:paraId="0DC5D253"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3AB49590"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3D5E7EA7" w14:textId="77777777" w:rsidTr="00A15226">
        <w:tc>
          <w:tcPr>
            <w:tcW w:w="1526" w:type="dxa"/>
            <w:vAlign w:val="center"/>
          </w:tcPr>
          <w:p w14:paraId="3CDA911A"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27FD597B" w14:textId="77777777" w:rsidR="000B173B" w:rsidRPr="003E1ADD" w:rsidRDefault="000B173B" w:rsidP="00A15226">
            <w:pPr>
              <w:pStyle w:val="Tabletext"/>
            </w:pPr>
            <w:r>
              <w:t>Critically Endangered</w:t>
            </w:r>
          </w:p>
        </w:tc>
      </w:tr>
      <w:tr w:rsidR="000B173B" w:rsidRPr="000816D6" w14:paraId="42B7EBC1" w14:textId="77777777" w:rsidTr="00A15226">
        <w:tc>
          <w:tcPr>
            <w:tcW w:w="1526" w:type="dxa"/>
            <w:vAlign w:val="center"/>
          </w:tcPr>
          <w:p w14:paraId="6D2DA4A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0B11BE23" w14:textId="77777777" w:rsidR="000B173B" w:rsidRPr="0027404E" w:rsidRDefault="000B173B" w:rsidP="00A15226">
            <w:pPr>
              <w:pStyle w:val="Tabletext"/>
            </w:pPr>
            <w:r>
              <w:t>The Orange-Bellied Parrot (</w:t>
            </w:r>
            <w:r>
              <w:rPr>
                <w:i/>
                <w:iCs/>
              </w:rPr>
              <w:t>Neophema chrysogaster</w:t>
            </w:r>
            <w:r>
              <w:t xml:space="preserve">) is a small parrot that grows to approximately 21 cm in length and weighs about 45 – 50 grams. The upper body is bright green, and the under body is light green to bright yellow with an orange patch on the belly </w:t>
            </w:r>
            <w:sdt>
              <w:sdtPr>
                <w:rPr>
                  <w:color w:val="000000"/>
                </w:rPr>
                <w:tag w:val="MENDELEY_CITATION_v3_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"/>
                <w:id w:val="1660889219"/>
                <w:placeholder>
                  <w:docPart w:val="7A87483195E49548AABB39FF484A13FE"/>
                </w:placeholder>
              </w:sdtPr>
              <w:sdtContent>
                <w:r w:rsidRPr="002F46CE">
                  <w:rPr>
                    <w:color w:val="000000"/>
                  </w:rPr>
                  <w:t>(TSSC, 2006)</w:t>
                </w:r>
              </w:sdtContent>
            </w:sdt>
            <w:r>
              <w:t>.</w:t>
            </w:r>
          </w:p>
        </w:tc>
      </w:tr>
      <w:tr w:rsidR="000B173B" w:rsidRPr="000816D6" w14:paraId="08F610AD" w14:textId="77777777" w:rsidTr="00A15226">
        <w:tc>
          <w:tcPr>
            <w:tcW w:w="1526" w:type="dxa"/>
            <w:vAlign w:val="center"/>
          </w:tcPr>
          <w:p w14:paraId="24DC16F1"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2A68EE7F" w14:textId="77777777" w:rsidR="000B173B" w:rsidRDefault="000B173B" w:rsidP="00A15226">
            <w:pPr>
              <w:pStyle w:val="Tabletext"/>
            </w:pPr>
            <w:r>
              <w:t xml:space="preserve">The Orange-bellied Parrot migrates yearly from its breeding sites in south-western Tasmania north to the mainland. Breeding occurs between November and March, and overwintering occurs between April and October </w:t>
            </w:r>
            <w:sdt>
              <w:sdtPr>
                <w:rPr>
                  <w:color w:val="000000"/>
                </w:rPr>
                <w:tag w:val="MENDELEY_CITATION_v3_eyJjaXRhdGlvbklEIjoiTUVOREVMRVlfQ0lUQVRJT05fZTgwNjRmMTYtMTJhOS00NTBkLTgxYjctYWJhNTFmZGNjMjk2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64461533"/>
                <w:placeholder>
                  <w:docPart w:val="7A87483195E49548AABB39FF484A13FE"/>
                </w:placeholder>
              </w:sdtPr>
              <w:sdtContent>
                <w:r w:rsidRPr="002F46CE">
                  <w:rPr>
                    <w:color w:val="000000"/>
                  </w:rPr>
                  <w:t>(DELWP, 2016)</w:t>
                </w:r>
              </w:sdtContent>
            </w:sdt>
            <w:r>
              <w:t>.</w:t>
            </w:r>
          </w:p>
          <w:p w14:paraId="16925AE7" w14:textId="77777777" w:rsidR="000B173B" w:rsidRDefault="000B173B" w:rsidP="00A15226">
            <w:pPr>
              <w:pStyle w:val="Tabletext"/>
            </w:pPr>
            <w:r>
              <w:t xml:space="preserve">The species has demonstrated low lifespan and survival rates. The mean lifespan was observed at 2.22 years between 1990 and 1999, and a decline in lifespan may have occurred during this period. Annual survival averaged at 56 per cent for juveniles and 65 per cent for adults between 1990 and 2006, with substantial inter-annual variation </w:t>
            </w:r>
            <w:sdt>
              <w:sdtPr>
                <w:rPr>
                  <w:color w:val="000000"/>
                </w:rPr>
                <w:tag w:val="MENDELEY_CITATION_v3_eyJjaXRhdGlvbklEIjoiTUVOREVMRVlfQ0lUQVRJT05fNGM3Yzk5MTUtM2I0MC00M2FlLWEwMmQtZjFiYTRhZTMzNzE4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781412983"/>
                <w:placeholder>
                  <w:docPart w:val="7A87483195E49548AABB39FF484A13FE"/>
                </w:placeholder>
              </w:sdtPr>
              <w:sdtContent>
                <w:r w:rsidRPr="002F46CE">
                  <w:rPr>
                    <w:color w:val="000000"/>
                  </w:rPr>
                  <w:t>(DELWP, 2016)</w:t>
                </w:r>
              </w:sdtContent>
            </w:sdt>
            <w:r>
              <w:t>.</w:t>
            </w:r>
          </w:p>
          <w:p w14:paraId="07B5FE74" w14:textId="77777777" w:rsidR="000B173B" w:rsidRDefault="000B173B" w:rsidP="00A15226">
            <w:pPr>
              <w:pStyle w:val="Tabletext"/>
            </w:pPr>
            <w:r>
              <w:t xml:space="preserve">Birds can nest in natural hollows or artificial nests. Females produce 4 – 6 eggs with most nests producing fledglings. Pairs produce one brood in a breeding season, though not all females will breed in all years. The reason for this is not known, though may relate to the body condition of females in the beginning of the breeding season </w:t>
            </w:r>
            <w:sdt>
              <w:sdtPr>
                <w:rPr>
                  <w:color w:val="000000"/>
                </w:rPr>
                <w:tag w:val="MENDELEY_CITATION_v3_eyJjaXRhdGlvbklEIjoiTUVOREVMRVlfQ0lUQVRJT05fZDc1MTM0YTctM2U1MC00MDU2LTlkMDAtMDRiNWI3NjM4MGIz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602923152"/>
                <w:placeholder>
                  <w:docPart w:val="7A87483195E49548AABB39FF484A13FE"/>
                </w:placeholder>
              </w:sdtPr>
              <w:sdtContent>
                <w:r w:rsidRPr="002F46CE">
                  <w:rPr>
                    <w:color w:val="000000"/>
                  </w:rPr>
                  <w:t>(DELWP, 2016)</w:t>
                </w:r>
              </w:sdtContent>
            </w:sdt>
            <w:r>
              <w:t xml:space="preserve">. </w:t>
            </w:r>
          </w:p>
          <w:p w14:paraId="6BEF53E5" w14:textId="77777777" w:rsidR="000B173B" w:rsidRDefault="000B173B" w:rsidP="00A15226">
            <w:pPr>
              <w:pStyle w:val="Tabletext"/>
            </w:pPr>
            <w:r>
              <w:t xml:space="preserve">The Orange-Bellied Parrot forages on the ground or in low vegetation, usually less than 1 m above the ground. The species typically forages in pairs or singly during the breeding season, and in small flocks during the non-breeding seasons. Single birds have often been recorded feeding with other species, including </w:t>
            </w:r>
            <w:r>
              <w:rPr>
                <w:i/>
                <w:iCs/>
              </w:rPr>
              <w:t xml:space="preserve">Neophema chrysostoma </w:t>
            </w:r>
            <w:r>
              <w:t xml:space="preserve">(Blue-winged Parrot) </w:t>
            </w:r>
            <w:sdt>
              <w:sdtPr>
                <w:rPr>
                  <w:color w:val="000000"/>
                </w:rPr>
                <w:tag w:val="MENDELEY_CITATION_v3_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"/>
                <w:id w:val="1508720370"/>
                <w:placeholder>
                  <w:docPart w:val="7A87483195E49548AABB39FF484A13FE"/>
                </w:placeholder>
              </w:sdtPr>
              <w:sdtContent>
                <w:r w:rsidRPr="002F46CE">
                  <w:rPr>
                    <w:color w:val="000000"/>
                  </w:rPr>
                  <w:t>(TSSC, 2006)</w:t>
                </w:r>
              </w:sdtContent>
            </w:sdt>
            <w:r>
              <w:t xml:space="preserve">. </w:t>
            </w:r>
          </w:p>
          <w:p w14:paraId="57727B64" w14:textId="77777777" w:rsidR="000B173B" w:rsidRPr="00677F8D" w:rsidRDefault="000B173B" w:rsidP="00A15226">
            <w:pPr>
              <w:pStyle w:val="Tabletext"/>
            </w:pPr>
            <w:r>
              <w:t xml:space="preserve">On the mainland, the species feeds on a range of food plants, including some introduced species, and occasionally in irrigated crops. Food plant species appear to have become narrower in recent decades. Food availability changes throughout winter as different plants set seed at different times, and food at some sites may become temporarily unavailable due to inundation in closed wetland and estuary systems. It is therefore likely that the species requires a range of winter feeding locations and a wide variety of food plant species to sustain them </w:t>
            </w:r>
            <w:sdt>
              <w:sdtPr>
                <w:rPr>
                  <w:color w:val="000000"/>
                </w:rPr>
                <w:tag w:val="MENDELEY_CITATION_v3_eyJjaXRhdGlvbklEIjoiTUVOREVMRVlfQ0lUQVRJT05fZGExZWVhOTUtZTViYy00NWUyLWE3ZTctNDMyMzg2YWExZWI5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1233256"/>
                <w:placeholder>
                  <w:docPart w:val="7A87483195E49548AABB39FF484A13FE"/>
                </w:placeholder>
              </w:sdtPr>
              <w:sdtContent>
                <w:r w:rsidRPr="002F46CE">
                  <w:rPr>
                    <w:color w:val="000000"/>
                  </w:rPr>
                  <w:t>(DELWP, 2016)</w:t>
                </w:r>
              </w:sdtContent>
            </w:sdt>
            <w:r>
              <w:t>.</w:t>
            </w:r>
          </w:p>
          <w:p w14:paraId="5DF48743" w14:textId="77777777" w:rsidR="000B173B" w:rsidRPr="003E1ADD" w:rsidRDefault="000B173B" w:rsidP="00A15226">
            <w:pPr>
              <w:pStyle w:val="Tabletext"/>
            </w:pPr>
            <w:r>
              <w:t xml:space="preserve">During winter, the species appears to be semi-nomadic – moving between food sources and locations. This is likely in response to changing availability of food sources, and the species appears to avoid areas with high levels of disturbance and human development </w:t>
            </w:r>
            <w:sdt>
              <w:sdtPr>
                <w:rPr>
                  <w:color w:val="000000"/>
                </w:rPr>
                <w:tag w:val="MENDELEY_CITATION_v3_eyJjaXRhdGlvbklEIjoiTUVOREVMRVlfQ0lUQVRJT05fMzliZjkyMjYtNTU2Zi00M2I1LThhOTAtNzY0M2M5YWQyNGQy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741061109"/>
                <w:placeholder>
                  <w:docPart w:val="7A87483195E49548AABB39FF484A13FE"/>
                </w:placeholder>
              </w:sdtPr>
              <w:sdtContent>
                <w:r w:rsidRPr="002F46CE">
                  <w:rPr>
                    <w:color w:val="000000"/>
                  </w:rPr>
                  <w:t>(DELWP, 2016)</w:t>
                </w:r>
              </w:sdtContent>
            </w:sdt>
            <w:r>
              <w:t>.</w:t>
            </w:r>
          </w:p>
        </w:tc>
      </w:tr>
      <w:tr w:rsidR="000B173B" w:rsidRPr="000816D6" w14:paraId="538386D6" w14:textId="77777777" w:rsidTr="00A15226">
        <w:tc>
          <w:tcPr>
            <w:tcW w:w="1526" w:type="dxa"/>
            <w:vAlign w:val="center"/>
          </w:tcPr>
          <w:p w14:paraId="62EA6F9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56C7331E" w14:textId="77777777" w:rsidR="000B173B" w:rsidRDefault="000B173B" w:rsidP="00A15226">
            <w:pPr>
              <w:pStyle w:val="Heading4"/>
              <w:spacing w:before="120" w:after="120"/>
            </w:pPr>
            <w:r>
              <w:t>Distribution</w:t>
            </w:r>
          </w:p>
          <w:p w14:paraId="3300E223" w14:textId="77777777" w:rsidR="000B173B" w:rsidRDefault="000B173B" w:rsidP="00A15226">
            <w:pPr>
              <w:pStyle w:val="Tabletext"/>
            </w:pPr>
            <w:r>
              <w:t xml:space="preserve">The Orange-bellied Parrot is endemic to south-eastern Australia. The species migrates between distinct breeding and non-breeding ranges. Breeding occurs in south-west Tasmania and overwintering occurs on the south-east coast of mainland Australia </w:t>
            </w:r>
            <w:sdt>
              <w:sdtPr>
                <w:rPr>
                  <w:color w:val="000000"/>
                </w:rPr>
                <w:tag w:val="MENDELEY_CITATION_v3_eyJjaXRhdGlvbklEIjoiTUVOREVMRVlfQ0lUQVRJT05fZTJkNjNiZjItMzU4Yi00YzdkLWJiNmMtZGFkNjI5OWQwZmQx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506900734"/>
                <w:placeholder>
                  <w:docPart w:val="7A87483195E49548AABB39FF484A13FE"/>
                </w:placeholder>
              </w:sdtPr>
              <w:sdtContent>
                <w:r w:rsidRPr="002F46CE">
                  <w:rPr>
                    <w:color w:val="000000"/>
                  </w:rPr>
                  <w:t>(DELWP, 2016)</w:t>
                </w:r>
              </w:sdtContent>
            </w:sdt>
            <w:r>
              <w:t>.</w:t>
            </w:r>
          </w:p>
          <w:p w14:paraId="43F02332" w14:textId="77777777" w:rsidR="000B173B" w:rsidRDefault="000B173B" w:rsidP="00A15226">
            <w:pPr>
              <w:pStyle w:val="Tabletext"/>
            </w:pPr>
            <w:r>
              <w:t xml:space="preserve">Non-breeding birds are found along the coast of Victoria and South Australia, and occasionally in NSW(although sightings in NSW are now very rare) </w:t>
            </w:r>
            <w:sdt>
              <w:sdtPr>
                <w:rPr>
                  <w:color w:val="000000"/>
                </w:rPr>
                <w:tag w:val="MENDELEY_CITATION_v3_eyJjaXRhdGlvbklEIjoiTUVOREVMRVlfQ0lUQVRJT05fODE0NDk1ZjctMTgzZi00NGM3LThkMWItMTc3ZDA4MGZhMTRk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684408931"/>
                <w:placeholder>
                  <w:docPart w:val="7A87483195E49548AABB39FF484A13FE"/>
                </w:placeholder>
              </w:sdtPr>
              <w:sdtContent>
                <w:r w:rsidRPr="002F46CE">
                  <w:rPr>
                    <w:color w:val="000000"/>
                  </w:rPr>
                  <w:t>(DELWP, 2016)</w:t>
                </w:r>
              </w:sdtContent>
            </w:sdt>
            <w:r>
              <w:t xml:space="preserve">. The mainland distribution covers approximately 1,000 km of coastline from the mouth of the Murray River in SA to east of Jack Smith Lake in Victoria. The most common overwintering sites include the Bellarine Peninsula at Port Phillip Bay, Victoria, and Carpenter Rocks in South Australia </w:t>
            </w:r>
            <w:sdt>
              <w:sdtPr>
                <w:rPr>
                  <w:color w:val="000000"/>
                </w:rPr>
                <w:tag w:val="MENDELEY_CITATION_v3_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"/>
                <w:id w:val="69395960"/>
                <w:placeholder>
                  <w:docPart w:val="7A87483195E49548AABB39FF484A13FE"/>
                </w:placeholder>
              </w:sdtPr>
              <w:sdtContent>
                <w:r w:rsidRPr="002F46CE">
                  <w:rPr>
                    <w:color w:val="000000"/>
                  </w:rPr>
                  <w:t>(TSSC, 2006)</w:t>
                </w:r>
              </w:sdtContent>
            </w:sdt>
            <w:r>
              <w:t>.</w:t>
            </w:r>
          </w:p>
          <w:p w14:paraId="6E82FDC4" w14:textId="77777777" w:rsidR="000B173B" w:rsidRDefault="000B173B" w:rsidP="00A15226">
            <w:pPr>
              <w:pStyle w:val="Heading4"/>
              <w:spacing w:before="120" w:after="120"/>
            </w:pPr>
            <w:r>
              <w:t>Habitat</w:t>
            </w:r>
          </w:p>
          <w:p w14:paraId="324E48C8" w14:textId="77777777" w:rsidR="000B173B" w:rsidRPr="005613D1" w:rsidRDefault="000B173B" w:rsidP="00A15226">
            <w:pPr>
              <w:pStyle w:val="Tabletext"/>
            </w:pPr>
            <w:r>
              <w:t xml:space="preserve">During the non-breeding season, the species forages in low shrubs or prostrate vegetation 10 km of the coast. When migrating, the Orange-bellied Parrot is found in locations associated with saltmarshes and adjacent pastures that are close to free-standing water bodes. It is likely that the species requires a range of winter feeding locations in different catchments, at different elevations and with a variety of food plant species to sustain them throughout winter. Roosting occurs in dense shrubs within a few kilometres of foraging sites. The species may roost in introduced plant species such as </w:t>
            </w:r>
            <w:r>
              <w:rPr>
                <w:i/>
                <w:iCs/>
              </w:rPr>
              <w:t xml:space="preserve">Lycium ferocissum </w:t>
            </w:r>
            <w:r>
              <w:t xml:space="preserve">(African Boxthorn) </w:t>
            </w:r>
            <w:sdt>
              <w:sdtPr>
                <w:rPr>
                  <w:color w:val="000000"/>
                </w:rPr>
                <w:tag w:val="MENDELEY_CITATION_v3_eyJjaXRhdGlvbklEIjoiTUVOREVMRVlfQ0lUQVRJT05fN2NkM2ZhNDQtZTA3NS00YTJjLWI1ODYtYTdkNjFkMmRkMmI4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229233376"/>
                <w:placeholder>
                  <w:docPart w:val="7A87483195E49548AABB39FF484A13FE"/>
                </w:placeholder>
              </w:sdtPr>
              <w:sdtContent>
                <w:r w:rsidRPr="002F46CE">
                  <w:rPr>
                    <w:color w:val="000000"/>
                  </w:rPr>
                  <w:t>(DELWP, 2016)</w:t>
                </w:r>
              </w:sdtContent>
            </w:sdt>
            <w:r>
              <w:t>.</w:t>
            </w:r>
          </w:p>
          <w:p w14:paraId="004AEED0" w14:textId="77777777" w:rsidR="000B173B" w:rsidRPr="001E1413" w:rsidRDefault="000B173B" w:rsidP="00A15226">
            <w:pPr>
              <w:pStyle w:val="Heading4"/>
              <w:spacing w:before="120" w:after="120"/>
            </w:pPr>
            <w:r w:rsidRPr="001E1413">
              <w:lastRenderedPageBreak/>
              <w:t xml:space="preserve">Habitat critical to survival </w:t>
            </w:r>
          </w:p>
          <w:p w14:paraId="55B83FFB" w14:textId="77777777" w:rsidR="000B173B" w:rsidRDefault="000B173B" w:rsidP="00A15226">
            <w:pPr>
              <w:pStyle w:val="Tabletext"/>
            </w:pPr>
            <w:r>
              <w:t xml:space="preserve">Further mapping is required to identify and map habitat critical to the survival of the species on the mainland. The Recovery Plan notes that it requires a diversity of foraging opportunities, in saltmarshes, dunes and adjacent shrubby areas and weedy pastures, within 10 km from the coast and 200 m of coastal wetlands and waterbodies, but more than 2 km from developed areas such as towns. Non-breeding habitat is required at several locations throughout the mainland range to support migration and local movements of the species which exploit fluctuating food sources during winter </w:t>
            </w:r>
            <w:sdt>
              <w:sdtPr>
                <w:rPr>
                  <w:color w:val="000000"/>
                </w:rPr>
                <w:tag w:val="MENDELEY_CITATION_v3_eyJjaXRhdGlvbklEIjoiTUVOREVMRVlfQ0lUQVRJT05fZGMyNzcxNDAtNWE0Ni00MDRhLThhYWYtYmNhMzFiNDM2Y2Yw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292762290"/>
                <w:placeholder>
                  <w:docPart w:val="7A87483195E49548AABB39FF484A13FE"/>
                </w:placeholder>
              </w:sdtPr>
              <w:sdtContent>
                <w:r w:rsidRPr="002F46CE">
                  <w:rPr>
                    <w:color w:val="000000"/>
                  </w:rPr>
                  <w:t>(DELWP, 2016)</w:t>
                </w:r>
              </w:sdtContent>
            </w:sdt>
            <w:r>
              <w:t>.</w:t>
            </w:r>
          </w:p>
          <w:p w14:paraId="187B76A6" w14:textId="77777777" w:rsidR="000B173B" w:rsidRPr="00E41DEC" w:rsidRDefault="000B173B" w:rsidP="00A15226">
            <w:pPr>
              <w:pStyle w:val="Tabletext"/>
            </w:pPr>
            <w:r>
              <w:t xml:space="preserve">Because the wild population is small and difficult to detect, at a minimum, all non-breeding locations occupied since the year 2000 are considered essential for the survival of the species. Other locations are likely to become important as the population expands </w:t>
            </w:r>
            <w:sdt>
              <w:sdtPr>
                <w:rPr>
                  <w:color w:val="000000"/>
                </w:rPr>
                <w:tag w:val="MENDELEY_CITATION_v3_eyJjaXRhdGlvbklEIjoiTUVOREVMRVlfQ0lUQVRJT05fNTBmZjA0N2UtMGMxNy00YzE4LWFkNjItYjFlMjk1NjY1YTNi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480390087"/>
                <w:placeholder>
                  <w:docPart w:val="7A87483195E49548AABB39FF484A13FE"/>
                </w:placeholder>
              </w:sdtPr>
              <w:sdtContent>
                <w:r w:rsidRPr="002F46CE">
                  <w:rPr>
                    <w:color w:val="000000"/>
                  </w:rPr>
                  <w:t>(DELWP, 2016)</w:t>
                </w:r>
              </w:sdtContent>
            </w:sdt>
            <w:r>
              <w:t>.</w:t>
            </w:r>
          </w:p>
        </w:tc>
      </w:tr>
      <w:tr w:rsidR="000B173B" w:rsidRPr="000816D6" w14:paraId="140A0A35" w14:textId="77777777" w:rsidTr="00A15226">
        <w:tc>
          <w:tcPr>
            <w:tcW w:w="1526" w:type="dxa"/>
            <w:vAlign w:val="center"/>
          </w:tcPr>
          <w:p w14:paraId="77D892FC"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 xml:space="preserve">POPULATIONS </w:t>
            </w:r>
          </w:p>
        </w:tc>
        <w:tc>
          <w:tcPr>
            <w:tcW w:w="8113" w:type="dxa"/>
            <w:vAlign w:val="center"/>
          </w:tcPr>
          <w:p w14:paraId="4A8BC62E" w14:textId="77777777" w:rsidR="000B173B" w:rsidRDefault="000B173B" w:rsidP="00A15226">
            <w:pPr>
              <w:pStyle w:val="Tabletext"/>
            </w:pPr>
            <w:r>
              <w:t xml:space="preserve">Until 1920 the Orange-bellied Parrot was reported as common or locally abundant. The species has experienced a significant reduction in abundance since that time </w:t>
            </w:r>
            <w:sdt>
              <w:sdtPr>
                <w:rPr>
                  <w:color w:val="000000"/>
                </w:rPr>
                <w:tag w:val="MENDELEY_CITATION_v3_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"/>
                <w:id w:val="664678087"/>
                <w:placeholder>
                  <w:docPart w:val="7A87483195E49548AABB39FF484A13FE"/>
                </w:placeholder>
              </w:sdtPr>
              <w:sdtContent>
                <w:r w:rsidRPr="002F46CE">
                  <w:rPr>
                    <w:color w:val="000000"/>
                  </w:rPr>
                  <w:t>(TSSC, 2006)</w:t>
                </w:r>
              </w:sdtContent>
            </w:sdt>
            <w:r>
              <w:t xml:space="preserve">. </w:t>
            </w:r>
          </w:p>
          <w:p w14:paraId="6F3EBD7B" w14:textId="77777777" w:rsidR="000B173B" w:rsidRDefault="000B173B" w:rsidP="00A15226">
            <w:pPr>
              <w:pStyle w:val="Tabletext"/>
            </w:pPr>
            <w:r>
              <w:t xml:space="preserve">70 adult Orange-bellied Parrots were recorded returning to breeding grounds in Melaleuca (in Tasmania) at the beginning of the 2021/22 breeding season </w:t>
            </w:r>
            <w:sdt>
              <w:sdtPr>
                <w:rPr>
                  <w:color w:val="000000"/>
                </w:rPr>
                <w:tag w:val="MENDELEY_CITATION_v3_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"/>
                <w:id w:val="447129542"/>
                <w:placeholder>
                  <w:docPart w:val="7A87483195E49548AABB39FF484A13FE"/>
                </w:placeholder>
              </w:sdtPr>
              <w:sdtContent>
                <w:r w:rsidRPr="002F46CE">
                  <w:rPr>
                    <w:color w:val="000000"/>
                  </w:rPr>
                  <w:t>(Birdlife Australia, 2022)</w:t>
                </w:r>
              </w:sdtContent>
            </w:sdt>
            <w:r>
              <w:t xml:space="preserve">. This was a significant increase from previous years where approximately 50 individuals were recorded. </w:t>
            </w:r>
          </w:p>
          <w:p w14:paraId="54F811AA" w14:textId="77777777" w:rsidR="000B173B" w:rsidRDefault="000B173B" w:rsidP="00A15226">
            <w:pPr>
              <w:pStyle w:val="Tabletext"/>
            </w:pPr>
            <w:r>
              <w:t xml:space="preserve">Genetic analysis suggests the wild population has suffered a significant genetic decline. Further genetic declines are predicted to occur due to the continued decline of the species and current very low population size </w:t>
            </w:r>
            <w:sdt>
              <w:sdtPr>
                <w:rPr>
                  <w:color w:val="000000"/>
                </w:rPr>
                <w:tag w:val="MENDELEY_CITATION_v3_eyJjaXRhdGlvbklEIjoiTUVOREVMRVlfQ0lUQVRJT05fNjUwODUyMjItMzg4OS00OGE0LWE4NTYtOTg2N2JhODM2ZTJi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860810771"/>
                <w:placeholder>
                  <w:docPart w:val="7A87483195E49548AABB39FF484A13FE"/>
                </w:placeholder>
              </w:sdtPr>
              <w:sdtContent>
                <w:r w:rsidRPr="002F46CE">
                  <w:rPr>
                    <w:color w:val="000000"/>
                  </w:rPr>
                  <w:t>(DELWP, 2016)</w:t>
                </w:r>
              </w:sdtContent>
            </w:sdt>
            <w:r>
              <w:t>.</w:t>
            </w:r>
          </w:p>
          <w:p w14:paraId="4BCA9BDF" w14:textId="77777777" w:rsidR="000B173B" w:rsidRDefault="000B173B" w:rsidP="00A15226">
            <w:pPr>
              <w:pStyle w:val="Tabletext"/>
            </w:pPr>
            <w:r>
              <w:t xml:space="preserve">As of May 2022, there are over 500 Orange-bellied Parrots in captivity </w:t>
            </w:r>
            <w:sdt>
              <w:sdtPr>
                <w:rPr>
                  <w:color w:val="000000"/>
                </w:rPr>
                <w:tag w:val="MENDELEY_CITATION_v3_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"/>
                <w:id w:val="-110130898"/>
                <w:placeholder>
                  <w:docPart w:val="7A87483195E49548AABB39FF484A13FE"/>
                </w:placeholder>
              </w:sdtPr>
              <w:sdtContent>
                <w:r w:rsidRPr="002F46CE">
                  <w:rPr>
                    <w:color w:val="000000"/>
                  </w:rPr>
                  <w:t>(Birdlife Australia, 2022)</w:t>
                </w:r>
              </w:sdtContent>
            </w:sdt>
            <w:r>
              <w:t xml:space="preserve">. Breeding success is lower in the captive populations than in the wild. The captive population has produced a strongly female biased sex ratio (approximately 30 per cent male), the cause of this is unknown. This population is intended to serve as both an insurance population if extinction occurs in the wild, and a source population for release of captive-bred birds to the wild </w:t>
            </w:r>
            <w:sdt>
              <w:sdtPr>
                <w:rPr>
                  <w:color w:val="000000"/>
                </w:rPr>
                <w:tag w:val="MENDELEY_CITATION_v3_eyJjaXRhdGlvbklEIjoiTUVOREVMRVlfQ0lUQVRJT05fMmQzZjdjMmUtZDNjYS00YTFmLTliYjAtNzI4MWI5ZDlhZjBl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739136152"/>
                <w:placeholder>
                  <w:docPart w:val="7A87483195E49548AABB39FF484A13FE"/>
                </w:placeholder>
              </w:sdtPr>
              <w:sdtContent>
                <w:r w:rsidRPr="002F46CE">
                  <w:rPr>
                    <w:color w:val="000000"/>
                  </w:rPr>
                  <w:t>(DELWP, 2016)</w:t>
                </w:r>
              </w:sdtContent>
            </w:sdt>
            <w:r>
              <w:t xml:space="preserve">. </w:t>
            </w:r>
          </w:p>
          <w:p w14:paraId="36CA902E" w14:textId="77777777" w:rsidR="000B173B" w:rsidRPr="003E1ADD" w:rsidRDefault="000B173B" w:rsidP="00A15226">
            <w:pPr>
              <w:pStyle w:val="Tabletext"/>
            </w:pPr>
            <w:r>
              <w:t xml:space="preserve">However, the survival rate of captive-bred Orange-bellied Parrots released into the wild is low. Recent research has found that the wing shape of captive-bred birds are different to those of wild birds, which may make captive-bred birds less able to successfully migrate long distances. It is possible that altered wing shape may contribute to low observed survival of captive-bred birds </w:t>
            </w:r>
            <w:sdt>
              <w:sdtPr>
                <w:tag w:val="MENDELEY_CITATION_v3_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"/>
                <w:id w:val="-775951579"/>
                <w:placeholder>
                  <w:docPart w:val="7A87483195E49548AABB39FF484A13FE"/>
                </w:placeholder>
              </w:sdtPr>
              <w:sdtContent>
                <w:r>
                  <w:rPr>
                    <w:rFonts w:eastAsia="Times New Roman"/>
                  </w:rPr>
                  <w:t xml:space="preserve">(Stojanovic </w:t>
                </w:r>
                <w:r>
                  <w:rPr>
                    <w:rFonts w:eastAsia="Times New Roman"/>
                    <w:i/>
                    <w:iCs/>
                  </w:rPr>
                  <w:t>et al.</w:t>
                </w:r>
                <w:r>
                  <w:rPr>
                    <w:rFonts w:eastAsia="Times New Roman"/>
                  </w:rPr>
                  <w:t>, 2021)</w:t>
                </w:r>
              </w:sdtContent>
            </w:sdt>
            <w:r>
              <w:t>.</w:t>
            </w:r>
          </w:p>
        </w:tc>
      </w:tr>
      <w:tr w:rsidR="000B173B" w:rsidRPr="002F23FB" w14:paraId="2FD43619" w14:textId="77777777" w:rsidTr="00A15226">
        <w:tc>
          <w:tcPr>
            <w:tcW w:w="1526" w:type="dxa"/>
            <w:vAlign w:val="center"/>
          </w:tcPr>
          <w:p w14:paraId="60365065"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1EB714ED" w14:textId="77777777" w:rsidR="000B173B" w:rsidRDefault="000B173B" w:rsidP="00A15226">
            <w:pPr>
              <w:pStyle w:val="Tabletext"/>
            </w:pPr>
            <w:r>
              <w:t xml:space="preserve">The Recovery Plan has identified the following threats </w:t>
            </w:r>
            <w:sdt>
              <w:sdtPr>
                <w:rPr>
                  <w:color w:val="000000"/>
                </w:rPr>
                <w:tag w:val="MENDELEY_CITATION_v3_eyJjaXRhdGlvbklEIjoiTUVOREVMRVlfQ0lUQVRJT05fOGJjMmM5N2UtM2ZiNC00N2JhLTk2ZDMtOGY3ZmQzMzJkYzZl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445428385"/>
                <w:placeholder>
                  <w:docPart w:val="7A87483195E49548AABB39FF484A13FE"/>
                </w:placeholder>
              </w:sdtPr>
              <w:sdtContent>
                <w:r w:rsidRPr="002F46CE">
                  <w:rPr>
                    <w:color w:val="000000"/>
                  </w:rPr>
                  <w:t>(DELWP, 2016)</w:t>
                </w:r>
              </w:sdtContent>
            </w:sdt>
            <w:r>
              <w:t>:</w:t>
            </w:r>
          </w:p>
          <w:p w14:paraId="70AA8097" w14:textId="77777777" w:rsidR="000B173B" w:rsidRDefault="000B173B" w:rsidP="00A15226">
            <w:pPr>
              <w:pStyle w:val="Bullet1"/>
            </w:pPr>
            <w:r>
              <w:t>Degradation and loss of habitat, including:</w:t>
            </w:r>
          </w:p>
          <w:p w14:paraId="58141F69" w14:textId="77777777" w:rsidR="000B173B" w:rsidRDefault="000B173B" w:rsidP="00A15226">
            <w:pPr>
              <w:pStyle w:val="Bullet2"/>
            </w:pPr>
            <w:r>
              <w:t>Development and land use change</w:t>
            </w:r>
          </w:p>
          <w:p w14:paraId="1705D10B" w14:textId="77777777" w:rsidR="000B173B" w:rsidRDefault="000B173B" w:rsidP="00A15226">
            <w:pPr>
              <w:pStyle w:val="Bullet2"/>
            </w:pPr>
            <w:r>
              <w:t>Inappropriate hydrological regimes</w:t>
            </w:r>
          </w:p>
          <w:p w14:paraId="55315AED" w14:textId="77777777" w:rsidR="000B173B" w:rsidRDefault="000B173B" w:rsidP="00A15226">
            <w:pPr>
              <w:pStyle w:val="Bullet2"/>
            </w:pPr>
            <w:r>
              <w:t>Inappropriate grazing regimes</w:t>
            </w:r>
          </w:p>
          <w:p w14:paraId="617A1E52" w14:textId="77777777" w:rsidR="000B173B" w:rsidRDefault="000B173B" w:rsidP="00A15226">
            <w:pPr>
              <w:pStyle w:val="Bullet2"/>
            </w:pPr>
            <w:r>
              <w:t>Inappropriate fire regimes within the species’ breeding range</w:t>
            </w:r>
          </w:p>
          <w:p w14:paraId="24EA2308" w14:textId="77777777" w:rsidR="000B173B" w:rsidRDefault="000B173B" w:rsidP="00A15226">
            <w:pPr>
              <w:pStyle w:val="Bullet2"/>
            </w:pPr>
            <w:r>
              <w:t>Invasive weeds</w:t>
            </w:r>
          </w:p>
          <w:p w14:paraId="454EAB52" w14:textId="77777777" w:rsidR="000B173B" w:rsidRDefault="000B173B" w:rsidP="00A15226">
            <w:pPr>
              <w:pStyle w:val="Bullet1"/>
            </w:pPr>
            <w:r>
              <w:t>Loss of genetic diversity and inbreeding</w:t>
            </w:r>
          </w:p>
          <w:p w14:paraId="760F3237" w14:textId="77777777" w:rsidR="000B173B" w:rsidRDefault="000B173B" w:rsidP="00A15226">
            <w:pPr>
              <w:pStyle w:val="Bullet1"/>
            </w:pPr>
            <w:r>
              <w:t>Disease (specifically Psittacine Beak and Feather Disease)</w:t>
            </w:r>
          </w:p>
          <w:p w14:paraId="4006687C" w14:textId="77777777" w:rsidR="000B173B" w:rsidRDefault="000B173B" w:rsidP="00A15226">
            <w:pPr>
              <w:pStyle w:val="Bullet1"/>
            </w:pPr>
            <w:r>
              <w:t>Stochastic environmental events (such as major fires within the breeding range, catastrophic weather events, storms during migration, or fires/storms at breeding institutions which house the captive breeding population)</w:t>
            </w:r>
          </w:p>
          <w:p w14:paraId="50E3244E" w14:textId="77777777" w:rsidR="000B173B" w:rsidRDefault="000B173B" w:rsidP="00A15226">
            <w:pPr>
              <w:pStyle w:val="Bullet1"/>
            </w:pPr>
            <w:r>
              <w:t>Climate change</w:t>
            </w:r>
          </w:p>
          <w:p w14:paraId="34F49436" w14:textId="77777777" w:rsidR="000B173B" w:rsidRDefault="000B173B" w:rsidP="00A15226">
            <w:pPr>
              <w:pStyle w:val="Bullet1"/>
            </w:pPr>
            <w:r>
              <w:t>Predators and competitors</w:t>
            </w:r>
          </w:p>
          <w:p w14:paraId="25E6A739" w14:textId="77777777" w:rsidR="000B173B" w:rsidRDefault="000B173B" w:rsidP="00A15226">
            <w:pPr>
              <w:pStyle w:val="Bullet1"/>
            </w:pPr>
            <w:r>
              <w:t>Barriers to migration and movement</w:t>
            </w:r>
          </w:p>
          <w:p w14:paraId="1CA9F3C0" w14:textId="77777777" w:rsidR="000B173B" w:rsidRDefault="000B173B" w:rsidP="00A15226">
            <w:pPr>
              <w:pStyle w:val="Bullet1"/>
            </w:pPr>
            <w:r>
              <w:t>Consumption of toxic food plants</w:t>
            </w:r>
          </w:p>
          <w:p w14:paraId="3EF8CF83" w14:textId="77777777" w:rsidR="000B173B" w:rsidRDefault="000B173B" w:rsidP="00A15226">
            <w:pPr>
              <w:pStyle w:val="Bullet1"/>
            </w:pPr>
            <w:r>
              <w:t>Hybridisation with Blue-winged Parrots</w:t>
            </w:r>
          </w:p>
          <w:p w14:paraId="6A3DA85C" w14:textId="77777777" w:rsidR="000B173B" w:rsidRDefault="000B173B" w:rsidP="00A15226">
            <w:pPr>
              <w:pStyle w:val="Bullet1"/>
            </w:pPr>
            <w:r>
              <w:t>Potentially negative outcomes from unforeseen impacts from land management activities</w:t>
            </w:r>
          </w:p>
          <w:p w14:paraId="5A70AE1B" w14:textId="77777777" w:rsidR="000B173B" w:rsidRPr="003E1ADD" w:rsidRDefault="000B173B" w:rsidP="00A15226">
            <w:pPr>
              <w:pStyle w:val="Tabletext"/>
            </w:pPr>
            <w:r>
              <w:t xml:space="preserve">A recent study found that knowledge of the key threatening processes remains lacking, and that recently used approaches of focusing conservation efforts within the species’ breeding range alone are insufficient to halt its decline. The paper emphasises that mortality rates of migrating and </w:t>
            </w:r>
            <w:r>
              <w:lastRenderedPageBreak/>
              <w:t xml:space="preserve">wintering populations must also be targeted for conservation actions to prevent the species’ extinction </w:t>
            </w:r>
            <w:sdt>
              <w:sdtPr>
                <w:tag w:val="MENDELEY_CITATION_v3_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"/>
                <w:id w:val="1097602408"/>
                <w:placeholder>
                  <w:docPart w:val="7A87483195E49548AABB39FF484A13FE"/>
                </w:placeholder>
              </w:sdtPr>
              <w:sdtContent>
                <w:r>
                  <w:rPr>
                    <w:rFonts w:eastAsia="Times New Roman"/>
                  </w:rPr>
                  <w:t xml:space="preserve">(Stojanovic </w:t>
                </w:r>
                <w:r>
                  <w:rPr>
                    <w:rFonts w:eastAsia="Times New Roman"/>
                    <w:i/>
                    <w:iCs/>
                  </w:rPr>
                  <w:t>et al.</w:t>
                </w:r>
                <w:r>
                  <w:rPr>
                    <w:rFonts w:eastAsia="Times New Roman"/>
                  </w:rPr>
                  <w:t>, 2020)</w:t>
                </w:r>
              </w:sdtContent>
            </w:sdt>
            <w:r>
              <w:t>.</w:t>
            </w:r>
          </w:p>
        </w:tc>
      </w:tr>
      <w:tr w:rsidR="000B173B" w:rsidRPr="002F23FB" w14:paraId="247EFDC0" w14:textId="77777777" w:rsidTr="00A15226">
        <w:tc>
          <w:tcPr>
            <w:tcW w:w="1526" w:type="dxa"/>
            <w:vAlign w:val="center"/>
          </w:tcPr>
          <w:p w14:paraId="7B2C335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RELEVANT PLANS AND POLICIES</w:t>
            </w:r>
          </w:p>
        </w:tc>
        <w:tc>
          <w:tcPr>
            <w:tcW w:w="8113" w:type="dxa"/>
            <w:vAlign w:val="center"/>
          </w:tcPr>
          <w:p w14:paraId="69B9D39D" w14:textId="77777777" w:rsidR="000B173B" w:rsidRDefault="000B173B" w:rsidP="00A15226">
            <w:pPr>
              <w:pStyle w:val="Tabletext"/>
            </w:pPr>
            <w:r w:rsidRPr="00737D15">
              <w:t xml:space="preserve">Commonwealth Listing Advice on </w:t>
            </w:r>
            <w:r w:rsidRPr="0027404E">
              <w:rPr>
                <w:i/>
                <w:iCs/>
              </w:rPr>
              <w:t>Neophema chrysogaster</w:t>
            </w:r>
            <w:r>
              <w:t xml:space="preserve"> </w:t>
            </w:r>
            <w:sdt>
              <w:sdtPr>
                <w:rPr>
                  <w:color w:val="000000"/>
                </w:rPr>
                <w:tag w:val="MENDELEY_CITATION_v3_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"/>
                <w:id w:val="-1477437649"/>
                <w:placeholder>
                  <w:docPart w:val="7A87483195E49548AABB39FF484A13FE"/>
                </w:placeholder>
              </w:sdtPr>
              <w:sdtContent>
                <w:r w:rsidRPr="002F46CE">
                  <w:rPr>
                    <w:color w:val="000000"/>
                  </w:rPr>
                  <w:t>(TSSC, 2006)</w:t>
                </w:r>
              </w:sdtContent>
            </w:sdt>
          </w:p>
          <w:p w14:paraId="18F80D6C" w14:textId="77777777" w:rsidR="000B173B" w:rsidRDefault="000B173B" w:rsidP="00A15226">
            <w:pPr>
              <w:pStyle w:val="Tabletext"/>
            </w:pPr>
            <w:r w:rsidRPr="00737D15">
              <w:t xml:space="preserve">National Recovery Plan for the Orange-bellied Parrot, </w:t>
            </w:r>
            <w:r w:rsidRPr="0027404E">
              <w:rPr>
                <w:i/>
                <w:iCs/>
              </w:rPr>
              <w:t>Neophema chrysogaster</w:t>
            </w:r>
            <w:r>
              <w:t xml:space="preserve"> </w:t>
            </w:r>
            <w:sdt>
              <w:sdtPr>
                <w:rPr>
                  <w:color w:val="000000"/>
                </w:rPr>
                <w:tag w:val="MENDELEY_CITATION_v3_eyJjaXRhdGlvbklEIjoiTUVOREVMRVlfQ0lUQVRJT05fZDc4ZTM3ZTUtNDNhMi00ZTZkLWE3YWItNjJhNTdkMWFmODFm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068001421"/>
                <w:placeholder>
                  <w:docPart w:val="7A87483195E49548AABB39FF484A13FE"/>
                </w:placeholder>
              </w:sdtPr>
              <w:sdtContent>
                <w:r w:rsidRPr="00AB79D8">
                  <w:rPr>
                    <w:color w:val="000000"/>
                  </w:rPr>
                  <w:t>(DELWP, 2016)</w:t>
                </w:r>
              </w:sdtContent>
            </w:sdt>
          </w:p>
          <w:p w14:paraId="7F27A479" w14:textId="77777777" w:rsidR="000B173B" w:rsidRDefault="000B173B" w:rsidP="00A15226">
            <w:pPr>
              <w:pStyle w:val="Tabletext"/>
              <w:rPr>
                <w:iCs/>
              </w:rPr>
            </w:pPr>
            <w:r>
              <w:rPr>
                <w:iCs/>
              </w:rPr>
              <w:t xml:space="preserve">Threat abatement plan for competition and land degradation by rabbits </w:t>
            </w:r>
            <w:sdt>
              <w:sdtPr>
                <w:rPr>
                  <w:iCs/>
                  <w:color w:val="000000"/>
                </w:rPr>
                <w:tag w:val="MENDELEY_CITATION_v3_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"/>
                <w:id w:val="-1190920417"/>
                <w:placeholder>
                  <w:docPart w:val="7A87483195E49548AABB39FF484A13FE"/>
                </w:placeholder>
              </w:sdtPr>
              <w:sdtEndPr>
                <w:rPr>
                  <w:iCs w:val="0"/>
                </w:rPr>
              </w:sdtEndPr>
              <w:sdtContent>
                <w:r w:rsidRPr="00AB79D8">
                  <w:rPr>
                    <w:color w:val="000000"/>
                  </w:rPr>
                  <w:t>(DoEE, 2016)</w:t>
                </w:r>
              </w:sdtContent>
            </w:sdt>
          </w:p>
          <w:p w14:paraId="2EDDB7A9" w14:textId="77777777" w:rsidR="000B173B" w:rsidRDefault="000B173B" w:rsidP="00A15226">
            <w:pPr>
              <w:pStyle w:val="Tabletext"/>
              <w:rPr>
                <w:iCs/>
              </w:rPr>
            </w:pPr>
            <w:r>
              <w:rPr>
                <w:iCs/>
              </w:rPr>
              <w:t xml:space="preserve">Threat abatement plan for predation by feral cats </w:t>
            </w:r>
            <w:sdt>
              <w:sdtPr>
                <w:rPr>
                  <w:iCs/>
                  <w:color w:val="000000"/>
                </w:rPr>
                <w:tag w:val="MENDELEY_CITATION_v3_eyJjaXRhdGlvbklEIjoiTUVOREVMRVlfQ0lUQVRJT05fZGJiOWE5MjMtMTQxMC00MzQ5LTk1MjEtNWI1YTlkMTMyY2Q0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721521810"/>
                <w:placeholder>
                  <w:docPart w:val="7A87483195E49548AABB39FF484A13FE"/>
                </w:placeholder>
              </w:sdtPr>
              <w:sdtEndPr>
                <w:rPr>
                  <w:iCs w:val="0"/>
                </w:rPr>
              </w:sdtEndPr>
              <w:sdtContent>
                <w:r w:rsidRPr="00AB79D8">
                  <w:rPr>
                    <w:color w:val="000000"/>
                  </w:rPr>
                  <w:t>(DoE, 2015h)</w:t>
                </w:r>
              </w:sdtContent>
            </w:sdt>
          </w:p>
          <w:p w14:paraId="0ADB920F" w14:textId="77777777" w:rsidR="000B173B" w:rsidRPr="003E1ADD" w:rsidRDefault="000B173B" w:rsidP="00A15226">
            <w:pPr>
              <w:pStyle w:val="Tabletext"/>
              <w:rPr>
                <w:iCs/>
              </w:rPr>
            </w:pPr>
            <w:r>
              <w:rPr>
                <w:iCs/>
              </w:rPr>
              <w:t xml:space="preserve">Threat abatement plan for predation by the European red fox </w:t>
            </w:r>
            <w:sdt>
              <w:sdtPr>
                <w:rPr>
                  <w:iCs/>
                  <w:color w:val="000000"/>
                </w:rPr>
                <w:tag w:val="MENDELEY_CITATION_v3_eyJjaXRhdGlvbklEIjoiTUVOREVMRVlfQ0lUQVRJT05fODE1M2ZiYTEtY2Q0MS00YjYxLWI4ZGEtYWU2MGY1Y2YyYWMx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928625633"/>
                <w:placeholder>
                  <w:docPart w:val="7A87483195E49548AABB39FF484A13FE"/>
                </w:placeholder>
              </w:sdtPr>
              <w:sdtEndPr>
                <w:rPr>
                  <w:iCs w:val="0"/>
                </w:rPr>
              </w:sdtEndPr>
              <w:sdtContent>
                <w:r w:rsidRPr="00AB79D8">
                  <w:rPr>
                    <w:color w:val="000000"/>
                  </w:rPr>
                  <w:t>(DEWHA, 2008f)</w:t>
                </w:r>
              </w:sdtContent>
            </w:sdt>
          </w:p>
        </w:tc>
      </w:tr>
      <w:tr w:rsidR="000B173B" w:rsidRPr="000816D6" w14:paraId="79DFC675" w14:textId="77777777" w:rsidTr="00A15226">
        <w:tc>
          <w:tcPr>
            <w:tcW w:w="1526" w:type="dxa"/>
            <w:vAlign w:val="center"/>
          </w:tcPr>
          <w:p w14:paraId="36D9805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511DA8C1" w14:textId="77777777" w:rsidR="000B173B" w:rsidRPr="00980D4D" w:rsidRDefault="000B173B" w:rsidP="00A15226">
            <w:pPr>
              <w:pStyle w:val="Tabletext"/>
            </w:pPr>
            <w:r w:rsidRPr="001A3095">
              <w:t>Survey Guidelines for Australia's Threatened Birds. EPBC Act survey guidelines 6.2</w:t>
            </w:r>
            <w:r>
              <w:t xml:space="preserve"> </w:t>
            </w:r>
            <w:sdt>
              <w:sdtPr>
                <w:rPr>
                  <w:color w:val="000000"/>
                </w:rPr>
                <w:tag w:val="MENDELEY_CITATION_v3_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"/>
                <w:id w:val="-1497039565"/>
                <w:placeholder>
                  <w:docPart w:val="7A87483195E49548AABB39FF484A13FE"/>
                </w:placeholder>
              </w:sdtPr>
              <w:sdtContent>
                <w:r w:rsidRPr="00AB79D8">
                  <w:rPr>
                    <w:color w:val="000000"/>
                  </w:rPr>
                  <w:t>(DEWHA, 2010b)</w:t>
                </w:r>
              </w:sdtContent>
            </w:sdt>
          </w:p>
        </w:tc>
      </w:tr>
      <w:tr w:rsidR="000B173B" w:rsidRPr="000816D6" w14:paraId="76BF8D16" w14:textId="77777777" w:rsidTr="00A15226">
        <w:tc>
          <w:tcPr>
            <w:tcW w:w="1526" w:type="dxa"/>
            <w:vAlign w:val="center"/>
          </w:tcPr>
          <w:p w14:paraId="18CD683F"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1B250863" w14:textId="77777777" w:rsidR="000B173B" w:rsidRPr="003E1ADD" w:rsidRDefault="000B173B" w:rsidP="00A15226">
            <w:pPr>
              <w:pStyle w:val="Tabletext"/>
            </w:pPr>
            <w:hyperlink r:id="rId145" w:history="1">
              <w:r w:rsidRPr="007473F6">
                <w:rPr>
                  <w:rStyle w:val="Hyperlink"/>
                </w:rPr>
                <w:t>http://www.environment.gov.au/cgi-bin/sprat/public/publicspecies.pl?taxon_id=747</w:t>
              </w:r>
            </w:hyperlink>
            <w:r>
              <w:t xml:space="preserve"> </w:t>
            </w:r>
          </w:p>
        </w:tc>
      </w:tr>
    </w:tbl>
    <w:p w14:paraId="2D947E01"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45B03580" w14:textId="77777777" w:rsidTr="00A15226">
        <w:tc>
          <w:tcPr>
            <w:tcW w:w="9622" w:type="dxa"/>
            <w:shd w:val="clear" w:color="auto" w:fill="C9C9C9" w:themeFill="accent3" w:themeFillTint="99"/>
          </w:tcPr>
          <w:p w14:paraId="34B2AD54" w14:textId="77777777" w:rsidR="000B173B" w:rsidRPr="008F55BC" w:rsidRDefault="000B173B" w:rsidP="00A15226">
            <w:pPr>
              <w:pStyle w:val="Tabletext"/>
              <w:rPr>
                <w:b/>
                <w:bCs/>
              </w:rPr>
            </w:pPr>
            <w:r>
              <w:rPr>
                <w:rFonts w:ascii="Helvetica" w:hAnsi="Helvetica"/>
                <w:b/>
                <w:sz w:val="16"/>
                <w:szCs w:val="16"/>
              </w:rPr>
              <w:t>APPROACH TO BASELINE DATA</w:t>
            </w:r>
          </w:p>
        </w:tc>
      </w:tr>
    </w:tbl>
    <w:p w14:paraId="14013C01"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0E67B74D"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3BEFBCA5"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7724DE34" w14:textId="77777777" w:rsidR="000B173B" w:rsidRPr="00296917" w:rsidRDefault="000B173B" w:rsidP="000B173B">
      <w:pPr>
        <w:rPr>
          <w:i/>
          <w:color w:val="4472C4" w:themeColor="accent1"/>
        </w:rPr>
      </w:pPr>
      <w:r w:rsidRPr="000816D6">
        <w:rPr>
          <w:i/>
          <w:color w:val="4472C4" w:themeColor="accent1"/>
        </w:rPr>
        <w:t xml:space="preserve">Please refer to </w:t>
      </w:r>
      <w:r w:rsidRPr="006900FB">
        <w:rPr>
          <w:i/>
          <w:color w:val="4472C4" w:themeColor="accent1"/>
        </w:rPr>
        <w:t>Chapter 13</w:t>
      </w:r>
      <w:r w:rsidRPr="002E0C89">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0552261F" w14:textId="77777777" w:rsidTr="00A15226">
        <w:tc>
          <w:tcPr>
            <w:tcW w:w="1526" w:type="dxa"/>
            <w:vMerge w:val="restart"/>
            <w:vAlign w:val="center"/>
          </w:tcPr>
          <w:p w14:paraId="5C6D700B"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6D703946"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GROWTH AREAS</w:t>
            </w:r>
          </w:p>
        </w:tc>
      </w:tr>
      <w:tr w:rsidR="000B173B" w:rsidRPr="00980D4D" w14:paraId="551476E7" w14:textId="77777777" w:rsidTr="00A15226">
        <w:tc>
          <w:tcPr>
            <w:tcW w:w="1526" w:type="dxa"/>
            <w:vMerge/>
            <w:vAlign w:val="center"/>
          </w:tcPr>
          <w:p w14:paraId="3B8D381F" w14:textId="77777777" w:rsidR="000B173B" w:rsidRDefault="000B173B" w:rsidP="00A15226">
            <w:pPr>
              <w:pStyle w:val="Tabletext"/>
              <w:rPr>
                <w:rFonts w:ascii="Helvetica" w:hAnsi="Helvetica"/>
                <w:b/>
                <w:bCs/>
                <w:sz w:val="14"/>
              </w:rPr>
            </w:pPr>
          </w:p>
        </w:tc>
        <w:tc>
          <w:tcPr>
            <w:tcW w:w="8113" w:type="dxa"/>
            <w:vAlign w:val="center"/>
          </w:tcPr>
          <w:p w14:paraId="33AED454" w14:textId="77777777" w:rsidR="000B173B" w:rsidRDefault="000B173B" w:rsidP="00A15226">
            <w:pPr>
              <w:pStyle w:val="Bullet1"/>
              <w:numPr>
                <w:ilvl w:val="0"/>
                <w:numId w:val="0"/>
              </w:numPr>
              <w:ind w:left="360" w:hanging="360"/>
            </w:pPr>
            <w:r>
              <w:t xml:space="preserve">There is no habitat for the Orange-bellied Parrot within the growth areas. </w:t>
            </w:r>
          </w:p>
        </w:tc>
      </w:tr>
      <w:tr w:rsidR="000B173B" w:rsidRPr="00980D4D" w14:paraId="159E4046" w14:textId="77777777" w:rsidTr="00A15226">
        <w:tc>
          <w:tcPr>
            <w:tcW w:w="1526" w:type="dxa"/>
            <w:vMerge/>
            <w:vAlign w:val="center"/>
          </w:tcPr>
          <w:p w14:paraId="0D225456"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790A279A"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6964DA62" w14:textId="77777777" w:rsidTr="00A15226">
        <w:tc>
          <w:tcPr>
            <w:tcW w:w="1526" w:type="dxa"/>
            <w:vMerge/>
            <w:vAlign w:val="center"/>
          </w:tcPr>
          <w:p w14:paraId="73148489" w14:textId="77777777" w:rsidR="000B173B" w:rsidRPr="000816D6" w:rsidRDefault="000B173B" w:rsidP="00A15226">
            <w:pPr>
              <w:pStyle w:val="Tabletext"/>
              <w:rPr>
                <w:rFonts w:ascii="Helvetica" w:hAnsi="Helvetica"/>
                <w:b/>
                <w:bCs/>
                <w:sz w:val="14"/>
              </w:rPr>
            </w:pPr>
          </w:p>
        </w:tc>
        <w:tc>
          <w:tcPr>
            <w:tcW w:w="8113" w:type="dxa"/>
            <w:vAlign w:val="center"/>
          </w:tcPr>
          <w:p w14:paraId="752D6411" w14:textId="77777777" w:rsidR="000B173B" w:rsidRPr="00E93FE3" w:rsidRDefault="000B173B" w:rsidP="00A15226">
            <w:pPr>
              <w:pStyle w:val="Tabletext"/>
            </w:pPr>
            <w:r w:rsidRPr="00E93FE3">
              <w:t>Habitat mapping across the broader Strategic Assessment Area and Study Area was based on the Orange-bellied Parrot HIM prepared by DELWP [insert ref].</w:t>
            </w:r>
          </w:p>
        </w:tc>
      </w:tr>
      <w:tr w:rsidR="000B173B" w:rsidRPr="003E1ADD" w14:paraId="16D1BF2B" w14:textId="77777777" w:rsidTr="00A15226">
        <w:tc>
          <w:tcPr>
            <w:tcW w:w="1526" w:type="dxa"/>
            <w:vMerge w:val="restart"/>
            <w:vAlign w:val="center"/>
          </w:tcPr>
          <w:p w14:paraId="5D1AC554"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67111EA6"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1D4AF845" w14:textId="77777777" w:rsidTr="00A15226">
        <w:tc>
          <w:tcPr>
            <w:tcW w:w="1526" w:type="dxa"/>
            <w:vMerge/>
            <w:vAlign w:val="center"/>
          </w:tcPr>
          <w:p w14:paraId="079F8793" w14:textId="77777777" w:rsidR="000B173B" w:rsidRDefault="000B173B" w:rsidP="00A15226">
            <w:pPr>
              <w:pStyle w:val="Tabletext"/>
              <w:rPr>
                <w:rFonts w:ascii="Helvetica" w:hAnsi="Helvetica"/>
                <w:b/>
                <w:bCs/>
                <w:sz w:val="14"/>
              </w:rPr>
            </w:pPr>
          </w:p>
        </w:tc>
        <w:tc>
          <w:tcPr>
            <w:tcW w:w="8113" w:type="dxa"/>
            <w:vAlign w:val="center"/>
          </w:tcPr>
          <w:p w14:paraId="0E20D9AA" w14:textId="77777777" w:rsidR="000B173B" w:rsidRPr="00BB022D" w:rsidRDefault="000B173B" w:rsidP="00A15226">
            <w:pPr>
              <w:pStyle w:val="Tabletext"/>
            </w:pPr>
            <w:r w:rsidRPr="00144837">
              <w:t>Species records were compiled from the VBA</w:t>
            </w:r>
            <w:r>
              <w:t xml:space="preserve">. </w:t>
            </w:r>
            <w:r w:rsidRPr="00144837">
              <w:t>The records were filtered to remove records prior to 1990 for the purpose of the impact assessment</w:t>
            </w:r>
            <w:r>
              <w:t>.</w:t>
            </w:r>
          </w:p>
        </w:tc>
      </w:tr>
      <w:tr w:rsidR="000B173B" w:rsidRPr="003E1ADD" w14:paraId="73317BCD" w14:textId="77777777" w:rsidTr="00A15226">
        <w:tc>
          <w:tcPr>
            <w:tcW w:w="1526" w:type="dxa"/>
            <w:vMerge/>
            <w:vAlign w:val="center"/>
          </w:tcPr>
          <w:p w14:paraId="60233AAB"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28E9686"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015B2B91" w14:textId="77777777" w:rsidTr="00A15226">
        <w:tc>
          <w:tcPr>
            <w:tcW w:w="1526" w:type="dxa"/>
            <w:vMerge/>
            <w:vAlign w:val="center"/>
          </w:tcPr>
          <w:p w14:paraId="4C67619B" w14:textId="77777777" w:rsidR="000B173B" w:rsidRDefault="000B173B" w:rsidP="00A15226">
            <w:pPr>
              <w:pStyle w:val="Tabletext"/>
              <w:rPr>
                <w:rFonts w:ascii="Helvetica" w:hAnsi="Helvetica"/>
                <w:b/>
                <w:bCs/>
                <w:sz w:val="14"/>
              </w:rPr>
            </w:pPr>
          </w:p>
        </w:tc>
        <w:tc>
          <w:tcPr>
            <w:tcW w:w="8113" w:type="dxa"/>
            <w:vAlign w:val="center"/>
          </w:tcPr>
          <w:p w14:paraId="351853FF" w14:textId="77777777" w:rsidR="000B173B" w:rsidRPr="00BB022D" w:rsidRDefault="000B173B" w:rsidP="00A15226">
            <w:pPr>
              <w:pStyle w:val="Bullet1"/>
              <w:numPr>
                <w:ilvl w:val="0"/>
                <w:numId w:val="0"/>
              </w:numPr>
              <w:ind w:left="360" w:hanging="360"/>
            </w:pPr>
            <w:r w:rsidRPr="00144837">
              <w:t xml:space="preserve">VBA records for </w:t>
            </w:r>
            <w:r>
              <w:t>Orange-bellied Parrot</w:t>
            </w:r>
            <w:r w:rsidRPr="00144837">
              <w:t xml:space="preserve"> used in this assessment were downloaded in June 2022.</w:t>
            </w:r>
          </w:p>
        </w:tc>
      </w:tr>
      <w:tr w:rsidR="000B173B" w:rsidRPr="003E1ADD" w14:paraId="0574DC40" w14:textId="77777777" w:rsidTr="00A15226">
        <w:tc>
          <w:tcPr>
            <w:tcW w:w="1526" w:type="dxa"/>
            <w:vMerge/>
            <w:vAlign w:val="center"/>
          </w:tcPr>
          <w:p w14:paraId="21A3098F"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6B2690D"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3D8F51B0" w14:textId="77777777" w:rsidTr="00A15226">
        <w:tc>
          <w:tcPr>
            <w:tcW w:w="1526" w:type="dxa"/>
            <w:vMerge/>
            <w:vAlign w:val="center"/>
          </w:tcPr>
          <w:p w14:paraId="6F3227C6" w14:textId="77777777" w:rsidR="000B173B" w:rsidRDefault="000B173B" w:rsidP="00A15226">
            <w:pPr>
              <w:pStyle w:val="Tabletext"/>
              <w:rPr>
                <w:rFonts w:ascii="Helvetica" w:hAnsi="Helvetica"/>
                <w:b/>
                <w:bCs/>
                <w:sz w:val="14"/>
              </w:rPr>
            </w:pPr>
          </w:p>
        </w:tc>
        <w:tc>
          <w:tcPr>
            <w:tcW w:w="8113" w:type="dxa"/>
            <w:vAlign w:val="center"/>
          </w:tcPr>
          <w:p w14:paraId="722CD90A" w14:textId="77777777" w:rsidR="000B173B" w:rsidRPr="00BB022D" w:rsidRDefault="000B173B" w:rsidP="00A15226">
            <w:pPr>
              <w:pStyle w:val="Bullet1"/>
              <w:numPr>
                <w:ilvl w:val="0"/>
                <w:numId w:val="0"/>
              </w:numPr>
              <w:ind w:left="360" w:hanging="360"/>
            </w:pPr>
            <w:r>
              <w:t xml:space="preserve">All records of the Orange-bellied Parrot are considered part of the same population. </w:t>
            </w:r>
          </w:p>
        </w:tc>
      </w:tr>
    </w:tbl>
    <w:p w14:paraId="3E3DACEC"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5C645527" w14:textId="77777777" w:rsidTr="00A15226">
        <w:tc>
          <w:tcPr>
            <w:tcW w:w="9622" w:type="dxa"/>
            <w:shd w:val="clear" w:color="auto" w:fill="C9C9C9" w:themeFill="accent3" w:themeFillTint="99"/>
          </w:tcPr>
          <w:p w14:paraId="5F1FA75C" w14:textId="77777777" w:rsidR="000B173B" w:rsidRPr="008F55BC" w:rsidRDefault="000B173B" w:rsidP="00A15226">
            <w:pPr>
              <w:pStyle w:val="Tabletext"/>
              <w:keepNext/>
              <w:keepLines/>
              <w:rPr>
                <w:b/>
                <w:bCs/>
              </w:rPr>
            </w:pPr>
            <w:r>
              <w:rPr>
                <w:rFonts w:ascii="Helvetica" w:hAnsi="Helvetica"/>
                <w:b/>
                <w:sz w:val="16"/>
                <w:szCs w:val="16"/>
              </w:rPr>
              <w:lastRenderedPageBreak/>
              <w:t>OC</w:t>
            </w:r>
            <w:r w:rsidRPr="008F55BC">
              <w:rPr>
                <w:rFonts w:ascii="Helvetica" w:hAnsi="Helvetica"/>
                <w:b/>
                <w:sz w:val="16"/>
                <w:szCs w:val="16"/>
              </w:rPr>
              <w:t>C</w:t>
            </w:r>
            <w:r>
              <w:rPr>
                <w:rFonts w:ascii="Helvetica" w:hAnsi="Helvetica"/>
                <w:b/>
                <w:sz w:val="16"/>
                <w:szCs w:val="16"/>
              </w:rPr>
              <w:t>URRENCE IN THE STUDY AREA</w:t>
            </w:r>
          </w:p>
        </w:tc>
      </w:tr>
    </w:tbl>
    <w:p w14:paraId="1023A61E" w14:textId="77777777" w:rsidR="000B173B" w:rsidRPr="000B2B13" w:rsidRDefault="000B173B" w:rsidP="000B173B">
      <w:pPr>
        <w:keepNext/>
        <w:keepLines/>
        <w:rPr>
          <w:i/>
          <w:iCs/>
          <w:color w:val="4472C4" w:themeColor="accent1"/>
        </w:rPr>
      </w:pPr>
      <w:r w:rsidRPr="00FD6DFC">
        <w:rPr>
          <w:i/>
          <w:iCs/>
          <w:color w:val="4472C4" w:themeColor="accent1"/>
        </w:rPr>
        <w:t xml:space="preserve">This section describes the occurrence of the species in the Study Area. It includes reference to a map of records and habitat which can be viewed as a separate file. The map provides critical context for the assessment and should be viewed in conjunction with the text presented in this assessment. </w:t>
      </w:r>
    </w:p>
    <w:p w14:paraId="42A8846C" w14:textId="77777777" w:rsidR="000B173B" w:rsidRPr="000B2B13" w:rsidRDefault="000B173B" w:rsidP="000B173B">
      <w:pPr>
        <w:keepNext/>
        <w:keepLines/>
        <w:rPr>
          <w:b/>
          <w:bCs/>
          <w:highlight w:val="yellow"/>
        </w:rPr>
      </w:pPr>
      <w:r w:rsidRPr="002E0C89">
        <w:t>See</w:t>
      </w:r>
      <w:r w:rsidRPr="006900FB">
        <w:t xml:space="preserve"> </w:t>
      </w:r>
      <w:hyperlink r:id="rId146" w:history="1">
        <w:r w:rsidRPr="00AC291E">
          <w:rPr>
            <w:rStyle w:val="Hyperlink"/>
          </w:rPr>
          <w:t>Map 19-18</w:t>
        </w:r>
      </w:hyperlink>
      <w:r w:rsidRPr="006900FB">
        <w:t xml:space="preserve"> </w:t>
      </w:r>
      <w:r w:rsidRPr="00E83B3E">
        <w:t>for a map of records and habitat across the Strategic Assessment Area.</w:t>
      </w:r>
      <w:r w:rsidRPr="00E83B3E">
        <w:rPr>
          <w:b/>
          <w:bCs/>
        </w:rPr>
        <w:t xml:space="preserve"> </w:t>
      </w:r>
    </w:p>
    <w:p w14:paraId="55ECED90" w14:textId="77777777" w:rsidR="000B173B" w:rsidRDefault="000B173B" w:rsidP="000B173B">
      <w:pPr>
        <w:keepNext/>
        <w:keepLines/>
      </w:pPr>
      <w:r w:rsidRPr="00E83B3E">
        <w:t xml:space="preserve">There </w:t>
      </w:r>
      <w:r w:rsidRPr="002E0C89">
        <w:t xml:space="preserve">are </w:t>
      </w:r>
      <w:r w:rsidRPr="006900FB">
        <w:t>621 records</w:t>
      </w:r>
      <w:r w:rsidRPr="002E0C89">
        <w:t xml:space="preserve"> (</w:t>
      </w:r>
      <w:r w:rsidRPr="006900FB">
        <w:t>2,793 individuals</w:t>
      </w:r>
      <w:r w:rsidRPr="002E0C89">
        <w:t>)</w:t>
      </w:r>
      <w:r w:rsidRPr="000B2B13">
        <w:t xml:space="preserve"> of the Orange</w:t>
      </w:r>
      <w:r>
        <w:t>-bellied Parrot</w:t>
      </w:r>
      <w:r w:rsidRPr="00E83B3E">
        <w:t xml:space="preserve"> within the Study Area. The most recent was recorded</w:t>
      </w:r>
      <w:r>
        <w:t xml:space="preserve"> in 2020</w:t>
      </w:r>
      <w:r w:rsidRPr="00E83B3E">
        <w:t>. The species has not been recorded within the Strategic Assessment Area.</w:t>
      </w:r>
    </w:p>
    <w:p w14:paraId="7D628E57" w14:textId="77777777" w:rsidR="000B173B" w:rsidRPr="000B2B13" w:rsidRDefault="000B173B" w:rsidP="000B173B">
      <w:pPr>
        <w:keepNext/>
      </w:pPr>
      <w:r>
        <w:t xml:space="preserve">A </w:t>
      </w:r>
      <w:r w:rsidRPr="00E90B6C">
        <w:t xml:space="preserve">total </w:t>
      </w:r>
      <w:r w:rsidRPr="002E0C89">
        <w:t xml:space="preserve">of </w:t>
      </w:r>
      <w:r w:rsidRPr="006900FB">
        <w:t>4,711.4 ha</w:t>
      </w:r>
      <w:r w:rsidRPr="002E0C89">
        <w:t xml:space="preserve"> of potential habitat has been mapped within the Study Area. Of this, </w:t>
      </w:r>
      <w:r w:rsidRPr="006900FB">
        <w:t>2.8 ha</w:t>
      </w:r>
      <w:r w:rsidRPr="002E0C89">
        <w:t xml:space="preserve"> occurs</w:t>
      </w:r>
      <w:r>
        <w:t xml:space="preserve"> within the Strategic Assessment Area. No habitat has been mapped within the Growth Areas.</w:t>
      </w:r>
    </w:p>
    <w:p w14:paraId="48FBA86D" w14:textId="77777777" w:rsidR="000B173B" w:rsidRDefault="000B173B" w:rsidP="000B173B">
      <w:r>
        <w:t xml:space="preserve">Mapped habitat and a large number of </w:t>
      </w:r>
      <w:r w:rsidRPr="002E0C89">
        <w:t>records (</w:t>
      </w:r>
      <w:r w:rsidRPr="006900FB">
        <w:t>580 records</w:t>
      </w:r>
      <w:r w:rsidRPr="002E0C89">
        <w:t xml:space="preserve">, constituting </w:t>
      </w:r>
      <w:r w:rsidRPr="006900FB">
        <w:t>2,175 individuals</w:t>
      </w:r>
      <w:r w:rsidRPr="002E0C89">
        <w:t>) for</w:t>
      </w:r>
      <w:r>
        <w:t xml:space="preserve"> the Orange-bellied Parrot occur along the northern shoreline of Port Phillip Bay, from Limeburners Bay in the west through to the Study Area boundary in the east. Records in this area are not hydrologically connected to the Growth Areas.</w:t>
      </w:r>
    </w:p>
    <w:p w14:paraId="79792AFF" w14:textId="77777777" w:rsidR="000B173B" w:rsidRDefault="000B173B" w:rsidP="000B173B">
      <w:r>
        <w:t xml:space="preserve">Mapped habitat and </w:t>
      </w:r>
      <w:r w:rsidRPr="006900FB">
        <w:t>41 records</w:t>
      </w:r>
      <w:r w:rsidRPr="002E0C89">
        <w:t xml:space="preserve"> (constituting </w:t>
      </w:r>
      <w:r w:rsidRPr="006900FB">
        <w:t>618 individuals</w:t>
      </w:r>
      <w:r w:rsidRPr="002E0C89">
        <w:t>)</w:t>
      </w:r>
      <w:r>
        <w:t xml:space="preserve"> occur at the Lake Connewarre Complex. This area is downstream of parts of the NGGA and the WGGA.</w:t>
      </w:r>
    </w:p>
    <w:p w14:paraId="38736AD4" w14:textId="77777777" w:rsidR="000B173B" w:rsidRDefault="000B173B" w:rsidP="000B173B">
      <w:pPr>
        <w:rPr>
          <w:highlight w:val="cyan"/>
        </w:rPr>
      </w:pPr>
      <w:r>
        <w:t>Habitat not associated with records is located at Moolap and at the estuarine environment of Thompson Creek in the south of the Study Area.</w:t>
      </w:r>
    </w:p>
    <w:p w14:paraId="3ED619F6" w14:textId="77777777" w:rsidR="000B173B" w:rsidRPr="006934FA"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6B4CF9E1" w14:textId="77777777" w:rsidTr="00A15226">
        <w:trPr>
          <w:cantSplit/>
        </w:trPr>
        <w:tc>
          <w:tcPr>
            <w:tcW w:w="9632" w:type="dxa"/>
            <w:shd w:val="clear" w:color="auto" w:fill="D9D9D9" w:themeFill="background1" w:themeFillShade="D9"/>
            <w:vAlign w:val="center"/>
          </w:tcPr>
          <w:p w14:paraId="36AECF21" w14:textId="77777777" w:rsidR="000B173B" w:rsidRPr="000816D6" w:rsidRDefault="000B173B" w:rsidP="00A15226">
            <w:pPr>
              <w:pStyle w:val="TableHeadingLarge"/>
            </w:pPr>
            <w:r w:rsidRPr="000816D6">
              <w:rPr>
                <w:rFonts w:ascii="Helvetica" w:hAnsi="Helvetica"/>
              </w:rPr>
              <w:t>POTENTIAL INDIRECT IMPACTS AND MITIGATION</w:t>
            </w:r>
          </w:p>
        </w:tc>
      </w:tr>
    </w:tbl>
    <w:p w14:paraId="031B253A"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436FD88B"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34D3285D"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23C0366D"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1FF4C7BF" w14:textId="77777777" w:rsidR="000B173B" w:rsidRPr="007C1D70" w:rsidRDefault="000B173B" w:rsidP="000B173B">
      <w:pPr>
        <w:rPr>
          <w:i/>
          <w:color w:val="4472C4" w:themeColor="accent1"/>
        </w:rPr>
      </w:pPr>
      <w:r w:rsidRPr="007C1D70">
        <w:rPr>
          <w:i/>
          <w:color w:val="4472C4" w:themeColor="accent1"/>
        </w:rPr>
        <w:t>Please refer t</w:t>
      </w:r>
      <w:r w:rsidRPr="002E0C89">
        <w:rPr>
          <w:i/>
          <w:color w:val="4472C4" w:themeColor="accent1"/>
        </w:rPr>
        <w:t xml:space="preserve">o </w:t>
      </w:r>
      <w:r w:rsidRPr="006900FB">
        <w:rPr>
          <w:i/>
          <w:color w:val="4472C4" w:themeColor="accent1"/>
        </w:rPr>
        <w:t>Chapter 19</w:t>
      </w:r>
      <w:r w:rsidRPr="002E0C89">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2E0C89">
        <w:rPr>
          <w:i/>
          <w:color w:val="4472C4" w:themeColor="accent1"/>
        </w:rPr>
        <w:t xml:space="preserve"> for</w:t>
      </w:r>
      <w:r w:rsidRPr="007C1D70">
        <w:rPr>
          <w:i/>
          <w:color w:val="4472C4" w:themeColor="accent1"/>
        </w:rPr>
        <w:t xml:space="preserve"> a detailed discussion and analysis of indirect impacts and mitigation measures included in the Plan. </w:t>
      </w:r>
    </w:p>
    <w:p w14:paraId="0C9F9D31" w14:textId="77777777" w:rsidR="000B173B" w:rsidRDefault="000B173B" w:rsidP="000B173B">
      <w:pPr>
        <w:pStyle w:val="Heading3"/>
        <w:numPr>
          <w:ilvl w:val="0"/>
          <w:numId w:val="0"/>
        </w:numPr>
        <w:ind w:left="720" w:hanging="720"/>
      </w:pPr>
      <w:r w:rsidRPr="00FB680C">
        <w:t>R</w:t>
      </w:r>
      <w:r>
        <w:t>elevant potential indirect impacts</w:t>
      </w:r>
    </w:p>
    <w:p w14:paraId="625E1A1F" w14:textId="77777777" w:rsidR="000B173B" w:rsidRDefault="000B173B" w:rsidP="000B173B">
      <w:r w:rsidRPr="00C3233F">
        <w:t>The Recovery Plan for the Orange</w:t>
      </w:r>
      <w:r>
        <w:t>-bellied Parrot</w:t>
      </w:r>
      <w:r w:rsidRPr="002B70F0">
        <w:t xml:space="preserve"> identifies a range of threats to the species</w:t>
      </w:r>
      <w:r>
        <w:t xml:space="preserve"> </w:t>
      </w:r>
      <w:sdt>
        <w:sdtPr>
          <w:rPr>
            <w:color w:val="000000"/>
          </w:rPr>
          <w:tag w:val="MENDELEY_CITATION_v3_eyJjaXRhdGlvbklEIjoiTUVOREVMRVlfQ0lUQVRJT05fMmQ4ZTQyOWMtZDJjNC00ODQ3LTg2ZGEtZjY3YTdiZjI2ODNh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166317202"/>
          <w:placeholder>
            <w:docPart w:val="7A87483195E49548AABB39FF484A13FE"/>
          </w:placeholder>
        </w:sdtPr>
        <w:sdtContent>
          <w:r w:rsidRPr="00AB79D8">
            <w:rPr>
              <w:color w:val="000000"/>
            </w:rPr>
            <w:t>(DELWP, 2016)</w:t>
          </w:r>
        </w:sdtContent>
      </w:sdt>
      <w:r>
        <w:t xml:space="preserve">. </w:t>
      </w:r>
      <w:r w:rsidRPr="002B70F0">
        <w:t>Where these threats are relevant to the implementation of the Plan, the Plan includes management strategies to mitigate their impacts.</w:t>
      </w:r>
      <w:r>
        <w:t xml:space="preserve"> </w:t>
      </w:r>
      <w:r w:rsidRPr="002B70F0">
        <w:t xml:space="preserve">Where these threats are </w:t>
      </w:r>
      <w:r>
        <w:t>present in the Study Area and have the potential to be exacerbated under the Plan</w:t>
      </w:r>
      <w:r w:rsidRPr="002B70F0">
        <w:t xml:space="preserve">, the Plan includes management strategies to mitigate their impacts. </w:t>
      </w:r>
      <w:r>
        <w:t>The following potential indirect impacts (identified as threats) are considered relevant to implementation of the Plan:</w:t>
      </w:r>
    </w:p>
    <w:p w14:paraId="4F1CEF60" w14:textId="77777777" w:rsidR="000B173B" w:rsidRDefault="000B173B" w:rsidP="000B173B">
      <w:pPr>
        <w:pStyle w:val="Bullet1"/>
      </w:pPr>
      <w:r w:rsidRPr="00474B90">
        <w:t>Inappropriate hydrological regimes</w:t>
      </w:r>
    </w:p>
    <w:p w14:paraId="24182718" w14:textId="77777777" w:rsidR="000B173B" w:rsidRPr="00474B90" w:rsidRDefault="000B173B" w:rsidP="000B173B">
      <w:pPr>
        <w:rPr>
          <w:highlight w:val="yellow"/>
        </w:rPr>
      </w:pPr>
      <w:r>
        <w:t xml:space="preserve">There are a wide range of additional key threats which are identified. </w:t>
      </w:r>
      <w:r w:rsidRPr="00196E04">
        <w:t xml:space="preserve">However, these are not considered relevant to implementation of the Plan as the Plan is unlikely to exacerbate the risk across the </w:t>
      </w:r>
      <w:r>
        <w:t xml:space="preserve">Study Area. These threats are </w:t>
      </w:r>
      <w:sdt>
        <w:sdtPr>
          <w:rPr>
            <w:color w:val="000000"/>
          </w:rPr>
          <w:tag w:val="MENDELEY_CITATION_v3_eyJjaXRhdGlvbklEIjoiTUVOREVMRVlfQ0lUQVRJT05fYWUyYmY1YmQtNTcwOC00ZGQ2LWJkOWUtZDBjODI1MGIzNjRk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438454595"/>
          <w:placeholder>
            <w:docPart w:val="7A87483195E49548AABB39FF484A13FE"/>
          </w:placeholder>
        </w:sdtPr>
        <w:sdtContent>
          <w:r w:rsidRPr="00AB79D8">
            <w:rPr>
              <w:color w:val="000000"/>
            </w:rPr>
            <w:t>(DELWP, 2016)</w:t>
          </w:r>
        </w:sdtContent>
      </w:sdt>
      <w:r>
        <w:t>:</w:t>
      </w:r>
    </w:p>
    <w:p w14:paraId="4DA088CD" w14:textId="77777777" w:rsidR="000B173B" w:rsidRDefault="000B173B" w:rsidP="000B173B">
      <w:pPr>
        <w:pStyle w:val="Bullet1"/>
      </w:pPr>
      <w:r>
        <w:t>Invasive weeds</w:t>
      </w:r>
    </w:p>
    <w:p w14:paraId="22AD0C72" w14:textId="77777777" w:rsidR="000B173B" w:rsidRDefault="000B173B" w:rsidP="000B173B">
      <w:pPr>
        <w:pStyle w:val="Bullet1"/>
      </w:pPr>
      <w:r>
        <w:t>Predation by cats</w:t>
      </w:r>
    </w:p>
    <w:p w14:paraId="63C34170" w14:textId="77777777" w:rsidR="000B173B" w:rsidRDefault="000B173B" w:rsidP="000B173B">
      <w:pPr>
        <w:pStyle w:val="Bullet1"/>
      </w:pPr>
      <w:r>
        <w:t>Inappropriate grazing regimes</w:t>
      </w:r>
    </w:p>
    <w:p w14:paraId="54B23F3A" w14:textId="77777777" w:rsidR="000B173B" w:rsidRDefault="000B173B" w:rsidP="000B173B">
      <w:pPr>
        <w:pStyle w:val="Bullet1"/>
      </w:pPr>
      <w:r>
        <w:t>Inappropriate fire regimes within the species’ breeding range</w:t>
      </w:r>
    </w:p>
    <w:p w14:paraId="5530703B" w14:textId="77777777" w:rsidR="000B173B" w:rsidRDefault="000B173B" w:rsidP="000B173B">
      <w:pPr>
        <w:pStyle w:val="Bullet1"/>
      </w:pPr>
      <w:r>
        <w:t>Loss of genetic diversity and inbreeding</w:t>
      </w:r>
    </w:p>
    <w:p w14:paraId="3E4E714F" w14:textId="77777777" w:rsidR="000B173B" w:rsidRDefault="000B173B" w:rsidP="000B173B">
      <w:pPr>
        <w:pStyle w:val="Bullet1"/>
      </w:pPr>
      <w:r>
        <w:t>Disease (specifically Psittacine Beak and Feather Disease)</w:t>
      </w:r>
    </w:p>
    <w:p w14:paraId="625DB06D" w14:textId="77777777" w:rsidR="000B173B" w:rsidRDefault="000B173B" w:rsidP="000B173B">
      <w:pPr>
        <w:pStyle w:val="Bullet1"/>
      </w:pPr>
      <w:r>
        <w:lastRenderedPageBreak/>
        <w:t>Stochastic environmental events (such as major fires within the breeding range, catastrophic weather events, storms during migration, or fires/storms at breeding institutions which house the captive breeding population)</w:t>
      </w:r>
    </w:p>
    <w:p w14:paraId="3F461F70" w14:textId="77777777" w:rsidR="000B173B" w:rsidRDefault="000B173B" w:rsidP="000B173B">
      <w:pPr>
        <w:pStyle w:val="Bullet1"/>
      </w:pPr>
      <w:r>
        <w:t>Predation by a rats, foxes and raptors in the non-breeding range</w:t>
      </w:r>
    </w:p>
    <w:p w14:paraId="0030DD5D" w14:textId="77777777" w:rsidR="000B173B" w:rsidRDefault="000B173B" w:rsidP="000B173B">
      <w:pPr>
        <w:pStyle w:val="Bullet1"/>
      </w:pPr>
      <w:r>
        <w:t>Predation by a wide range of predators within the breeding range</w:t>
      </w:r>
    </w:p>
    <w:p w14:paraId="6DA8EBCF" w14:textId="77777777" w:rsidR="000B173B" w:rsidRDefault="000B173B" w:rsidP="000B173B">
      <w:pPr>
        <w:pStyle w:val="Bullet1"/>
      </w:pPr>
      <w:r>
        <w:t>Competition for food and nest sites within the breeding range</w:t>
      </w:r>
    </w:p>
    <w:p w14:paraId="046B58CB" w14:textId="77777777" w:rsidR="000B173B" w:rsidRDefault="000B173B" w:rsidP="000B173B">
      <w:pPr>
        <w:pStyle w:val="Bullet1"/>
      </w:pPr>
      <w:r>
        <w:t>Potential barriers to migration and movement (such as wind turbines, powerlines and associated infrastructure, aircraft, and illuminated structures and illuminated boats). Barriers to migration for such a wide-ranging species may include barriers where a species may be killed through collision (such as wind turbines), or barriers where infrastructure results in behaviour modification and avoidance of habitat by the species</w:t>
      </w:r>
    </w:p>
    <w:p w14:paraId="253A1786" w14:textId="77777777" w:rsidR="000B173B" w:rsidRDefault="000B173B" w:rsidP="000B173B">
      <w:pPr>
        <w:pStyle w:val="Bullet1"/>
      </w:pPr>
      <w:r>
        <w:t>Consumption of toxic plants</w:t>
      </w:r>
    </w:p>
    <w:p w14:paraId="40A536DD" w14:textId="77777777" w:rsidR="000B173B" w:rsidRDefault="000B173B" w:rsidP="000B173B">
      <w:pPr>
        <w:pStyle w:val="Bullet1"/>
      </w:pPr>
      <w:r>
        <w:t>Hybridisation with Blue-winged Parrots</w:t>
      </w:r>
    </w:p>
    <w:p w14:paraId="1D368531" w14:textId="77777777" w:rsidR="000B173B" w:rsidRDefault="000B173B" w:rsidP="000B173B">
      <w:pPr>
        <w:pStyle w:val="Bullet1"/>
      </w:pPr>
      <w:r>
        <w:t>Potentially negative outcomes from unforeseen impacts from land management activities</w:t>
      </w:r>
    </w:p>
    <w:p w14:paraId="4FA07886" w14:textId="77777777" w:rsidR="000B173B" w:rsidRDefault="000B173B" w:rsidP="000B173B">
      <w:r>
        <w:t>Climate change is also identified as a threat to the species. The potential impacts of climate change and relevant mitigation measures under the Plan are outlined in Part 5.</w:t>
      </w:r>
    </w:p>
    <w:p w14:paraId="5A3C90B5" w14:textId="77777777" w:rsidR="000B173B" w:rsidRDefault="000B173B" w:rsidP="000B173B">
      <w:pPr>
        <w:pStyle w:val="Heading4"/>
      </w:pPr>
      <w:r>
        <w:t>Inappropriate hydrological regimes</w:t>
      </w:r>
    </w:p>
    <w:p w14:paraId="60885C66" w14:textId="77777777" w:rsidR="000B173B" w:rsidRDefault="000B173B" w:rsidP="000B173B">
      <w:r>
        <w:t xml:space="preserve">Hydrological regimes have the potential to be altered in multiple ways within the species’ range, in a manner which negatively impacts the species. Some of the mechanisms which cause changes to hydrological regimes will not be exacerbated under the Plan and therefore are not considered further. These include water extraction and artificial estuary management practices </w:t>
      </w:r>
      <w:sdt>
        <w:sdtPr>
          <w:rPr>
            <w:color w:val="000000"/>
          </w:rPr>
          <w:tag w:val="MENDELEY_CITATION_v3_eyJjaXRhdGlvbklEIjoiTUVOREVMRVlfQ0lUQVRJT05fNzI1NDUyZjYtNzFhMy00ZTg0LWI1MWUtM2YwZTgzODAzN2Nk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220983557"/>
          <w:placeholder>
            <w:docPart w:val="7A87483195E49548AABB39FF484A13FE"/>
          </w:placeholder>
        </w:sdtPr>
        <w:sdtContent>
          <w:r w:rsidRPr="00AB79D8">
            <w:rPr>
              <w:color w:val="000000"/>
            </w:rPr>
            <w:t>(DELWP, 2016)</w:t>
          </w:r>
        </w:sdtContent>
      </w:sdt>
      <w:r>
        <w:t>.</w:t>
      </w:r>
    </w:p>
    <w:p w14:paraId="6A4D9D6D" w14:textId="77777777" w:rsidR="000B173B" w:rsidRDefault="000B173B" w:rsidP="000B173B">
      <w:r>
        <w:t xml:space="preserve">Inappropriate drainage and increased stormwater runoff from developed areas are mechanisms which can result in changes to hydrological regimes which have potential to be impacted under the Plan. These mechanisms can result in changes to the volume and timing of freshwater inflows into saline environments through increased stormwater drainage in the catchment. This, in turn, can alter the floristic composition of habitat for the Orange-bellied Parrot </w:t>
      </w:r>
      <w:sdt>
        <w:sdtPr>
          <w:rPr>
            <w:color w:val="000000"/>
          </w:rPr>
          <w:tag w:val="MENDELEY_CITATION_v3_eyJjaXRhdGlvbklEIjoiTUVOREVMRVlfQ0lUQVRJT05fYmVhNTQ5MWMtZjdkMy00MDIxLTljMDItOGUyYzFlMjcxMmUy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772971844"/>
          <w:placeholder>
            <w:docPart w:val="7A87483195E49548AABB39FF484A13FE"/>
          </w:placeholder>
        </w:sdtPr>
        <w:sdtContent>
          <w:r w:rsidRPr="00AB79D8">
            <w:rPr>
              <w:color w:val="000000"/>
            </w:rPr>
            <w:t>(DELWP, 2016)</w:t>
          </w:r>
        </w:sdtContent>
      </w:sdt>
      <w:r>
        <w:t>.</w:t>
      </w:r>
    </w:p>
    <w:p w14:paraId="3E9D5FC6"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03E7B56A" w14:textId="77777777" w:rsidTr="00A15226">
        <w:tc>
          <w:tcPr>
            <w:tcW w:w="9622" w:type="dxa"/>
            <w:shd w:val="clear" w:color="auto" w:fill="C9C9C9" w:themeFill="accent3" w:themeFillTint="99"/>
          </w:tcPr>
          <w:p w14:paraId="36700E77"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6B27503D"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17.3</w:t>
      </w:r>
      <w:r w:rsidRPr="002E0C89">
        <w:rPr>
          <w:i/>
          <w:color w:val="4472C4" w:themeColor="accent1"/>
        </w:rPr>
        <w:t xml:space="preserve"> of </w:t>
      </w:r>
      <w:r w:rsidRPr="006900FB">
        <w:rPr>
          <w:i/>
          <w:color w:val="4472C4" w:themeColor="accent1"/>
        </w:rPr>
        <w:t>Chapter 17.</w:t>
      </w:r>
    </w:p>
    <w:p w14:paraId="5E3E1EDB" w14:textId="77777777" w:rsidR="000B173B" w:rsidRDefault="000B173B" w:rsidP="000B173B">
      <w:pPr>
        <w:pStyle w:val="Heading3"/>
        <w:numPr>
          <w:ilvl w:val="0"/>
          <w:numId w:val="0"/>
        </w:numPr>
        <w:ind w:left="720" w:hanging="720"/>
      </w:pPr>
      <w:r w:rsidRPr="000816D6">
        <w:t>C</w:t>
      </w:r>
      <w:r>
        <w:t>onsistency with recovery plan</w:t>
      </w:r>
    </w:p>
    <w:p w14:paraId="1032AA94" w14:textId="77777777" w:rsidR="000B173B" w:rsidRPr="00DB68B8" w:rsidRDefault="000B173B" w:rsidP="000B173B">
      <w:r w:rsidRPr="00DB68B8">
        <w:t>In accordance with Section 146K of the EPBC Act, this section considers whether the implementation of the Plan is not inconsistent with the species’ Recovery Plan. It considers two questions:</w:t>
      </w:r>
    </w:p>
    <w:p w14:paraId="02C69C47" w14:textId="77777777" w:rsidR="000B173B" w:rsidRPr="00DB68B8" w:rsidRDefault="000B173B" w:rsidP="000B173B">
      <w:pPr>
        <w:pStyle w:val="Bullet1"/>
      </w:pPr>
      <w:r w:rsidRPr="00DB68B8">
        <w:t xml:space="preserve">Does the Plan </w:t>
      </w:r>
      <w:r>
        <w:t>p</w:t>
      </w:r>
      <w:r w:rsidRPr="00DB68B8">
        <w:t>revent achievement of the objectives of the Recovery Plan?</w:t>
      </w:r>
    </w:p>
    <w:p w14:paraId="1865FF3A" w14:textId="77777777" w:rsidR="000B173B" w:rsidRPr="00DB68B8" w:rsidRDefault="000B173B" w:rsidP="000B173B">
      <w:pPr>
        <w:pStyle w:val="Bullet1"/>
      </w:pPr>
      <w:r w:rsidRPr="00DB68B8">
        <w:t>Does the Plan prevent implementation of the Recovery Plan actions?</w:t>
      </w:r>
    </w:p>
    <w:p w14:paraId="1BFD06BA" w14:textId="77777777" w:rsidR="000B173B" w:rsidRDefault="000B173B" w:rsidP="000B173B">
      <w:r w:rsidRPr="00DB68B8">
        <w:t>These questions are discussed below.</w:t>
      </w:r>
    </w:p>
    <w:p w14:paraId="54F7CFF5" w14:textId="77777777" w:rsidR="000B173B" w:rsidRDefault="000B173B" w:rsidP="000B173B">
      <w:pPr>
        <w:pStyle w:val="Heading4"/>
      </w:pPr>
      <w:r w:rsidRPr="00F614B0">
        <w:t xml:space="preserve">Does the Plan </w:t>
      </w:r>
      <w:r>
        <w:t>p</w:t>
      </w:r>
      <w:r w:rsidRPr="00F614B0">
        <w:t>revent achievement of the objectives of the Recovery Plan?</w:t>
      </w:r>
    </w:p>
    <w:p w14:paraId="41F1C14C" w14:textId="77777777" w:rsidR="000B173B" w:rsidRDefault="000B173B" w:rsidP="000B173B">
      <w:r w:rsidRPr="00F614B0">
        <w:t xml:space="preserve">The </w:t>
      </w:r>
      <w:r>
        <w:t xml:space="preserve">Recovery Plan for the Orange-bellied Parrot has three primary objectives, supported by a fourth objective which is essential in order to achieve the three primary objectives. Each of these key objectives is supported by a series of strategies </w:t>
      </w:r>
      <w:sdt>
        <w:sdtPr>
          <w:rPr>
            <w:color w:val="000000"/>
          </w:rPr>
          <w:tag w:val="MENDELEY_CITATION_v3_eyJjaXRhdGlvbklEIjoiTUVOREVMRVlfQ0lUQVRJT05fYjI5MmRlMGEtOThkNy00YzgxLTgzMjktM2NlMjk1MDcxZGM0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719318040"/>
          <w:placeholder>
            <w:docPart w:val="7A87483195E49548AABB39FF484A13FE"/>
          </w:placeholder>
        </w:sdtPr>
        <w:sdtContent>
          <w:r w:rsidRPr="00AB79D8">
            <w:rPr>
              <w:color w:val="000000"/>
            </w:rPr>
            <w:t>(DELWP, 2016)</w:t>
          </w:r>
        </w:sdtContent>
      </w:sdt>
      <w:r>
        <w:t>:</w:t>
      </w:r>
    </w:p>
    <w:p w14:paraId="72914B89" w14:textId="77777777" w:rsidR="000B173B" w:rsidRDefault="000B173B" w:rsidP="000B173B">
      <w:pPr>
        <w:pStyle w:val="Bullet1"/>
      </w:pPr>
      <w:r>
        <w:t>Objective 1: To achieve a stable or increasing population in the wild within five years</w:t>
      </w:r>
    </w:p>
    <w:p w14:paraId="4B0BB92F" w14:textId="77777777" w:rsidR="000B173B" w:rsidRDefault="000B173B" w:rsidP="000B173B">
      <w:pPr>
        <w:pStyle w:val="Bullet2"/>
        <w:rPr>
          <w:lang w:eastAsia="en-GB"/>
        </w:rPr>
      </w:pPr>
      <w:r w:rsidRPr="00923599">
        <w:rPr>
          <w:lang w:eastAsia="en-GB"/>
        </w:rPr>
        <w:t>Strategy 1</w:t>
      </w:r>
      <w:r>
        <w:rPr>
          <w:lang w:eastAsia="en-GB"/>
        </w:rPr>
        <w:t>:</w:t>
      </w:r>
      <w:r w:rsidRPr="00923599">
        <w:rPr>
          <w:lang w:eastAsia="en-GB"/>
        </w:rPr>
        <w:t xml:space="preserve"> Increase breeding output in the wild</w:t>
      </w:r>
    </w:p>
    <w:p w14:paraId="1BCC2801" w14:textId="77777777" w:rsidR="000B173B" w:rsidRDefault="000B173B" w:rsidP="000B173B">
      <w:pPr>
        <w:pStyle w:val="Bullet2"/>
        <w:rPr>
          <w:lang w:eastAsia="en-GB"/>
        </w:rPr>
      </w:pPr>
      <w:r w:rsidRPr="00923599">
        <w:rPr>
          <w:lang w:eastAsia="en-GB"/>
        </w:rPr>
        <w:t>Strategy 2</w:t>
      </w:r>
      <w:r>
        <w:rPr>
          <w:lang w:eastAsia="en-GB"/>
        </w:rPr>
        <w:t>:</w:t>
      </w:r>
      <w:r w:rsidRPr="00923599">
        <w:rPr>
          <w:lang w:eastAsia="en-GB"/>
        </w:rPr>
        <w:t xml:space="preserve"> Increase survival in the wild</w:t>
      </w:r>
    </w:p>
    <w:p w14:paraId="02275F5F" w14:textId="77777777" w:rsidR="000B173B" w:rsidRDefault="000B173B" w:rsidP="000B173B">
      <w:pPr>
        <w:pStyle w:val="Bullet2"/>
        <w:rPr>
          <w:lang w:eastAsia="en-GB"/>
        </w:rPr>
      </w:pPr>
      <w:r w:rsidRPr="00923599">
        <w:rPr>
          <w:lang w:eastAsia="en-GB"/>
        </w:rPr>
        <w:t>Strategy 3</w:t>
      </w:r>
      <w:r>
        <w:rPr>
          <w:lang w:eastAsia="en-GB"/>
        </w:rPr>
        <w:t>:</w:t>
      </w:r>
      <w:r w:rsidRPr="00923599">
        <w:rPr>
          <w:lang w:eastAsia="en-GB"/>
        </w:rPr>
        <w:t xml:space="preserve"> Maintain wild behaviours</w:t>
      </w:r>
    </w:p>
    <w:p w14:paraId="3B826B0C" w14:textId="77777777" w:rsidR="000B173B" w:rsidRDefault="000B173B" w:rsidP="000B173B">
      <w:pPr>
        <w:pStyle w:val="Bullet1"/>
      </w:pPr>
      <w:r>
        <w:t>Objective 2: To increase the capacity of the captive population, both to support future releases of captive-bred birds to the wild and to provide a secure long-term insurance population</w:t>
      </w:r>
    </w:p>
    <w:p w14:paraId="1551734C" w14:textId="77777777" w:rsidR="000B173B" w:rsidRDefault="000B173B" w:rsidP="000B173B">
      <w:pPr>
        <w:pStyle w:val="Bullet2"/>
        <w:rPr>
          <w:lang w:eastAsia="en-GB"/>
        </w:rPr>
      </w:pPr>
      <w:r w:rsidRPr="00923599">
        <w:rPr>
          <w:lang w:eastAsia="en-GB"/>
        </w:rPr>
        <w:lastRenderedPageBreak/>
        <w:t>Strategy 4</w:t>
      </w:r>
      <w:r>
        <w:rPr>
          <w:lang w:eastAsia="en-GB"/>
        </w:rPr>
        <w:t>:</w:t>
      </w:r>
      <w:r w:rsidRPr="00923599">
        <w:rPr>
          <w:lang w:eastAsia="en-GB"/>
        </w:rPr>
        <w:t xml:space="preserve"> Increase the size of the captive population as quickly as possible</w:t>
      </w:r>
    </w:p>
    <w:p w14:paraId="70C0DD1C" w14:textId="77777777" w:rsidR="000B173B" w:rsidRDefault="000B173B" w:rsidP="000B173B">
      <w:pPr>
        <w:pStyle w:val="Bullet2"/>
        <w:rPr>
          <w:lang w:eastAsia="en-GB"/>
        </w:rPr>
      </w:pPr>
      <w:r w:rsidRPr="00923599">
        <w:rPr>
          <w:lang w:eastAsia="en-GB"/>
        </w:rPr>
        <w:t>Strategy 5</w:t>
      </w:r>
      <w:r>
        <w:rPr>
          <w:lang w:eastAsia="en-GB"/>
        </w:rPr>
        <w:t>:</w:t>
      </w:r>
      <w:r w:rsidRPr="00923599">
        <w:rPr>
          <w:lang w:eastAsia="en-GB"/>
        </w:rPr>
        <w:t xml:space="preserve"> Manage genetics of the captive population</w:t>
      </w:r>
    </w:p>
    <w:p w14:paraId="31EF6559" w14:textId="77777777" w:rsidR="000B173B" w:rsidRDefault="000B173B" w:rsidP="000B173B">
      <w:pPr>
        <w:pStyle w:val="Bullet2"/>
        <w:rPr>
          <w:lang w:eastAsia="en-GB"/>
        </w:rPr>
      </w:pPr>
      <w:r w:rsidRPr="005947A9">
        <w:rPr>
          <w:lang w:eastAsia="en-GB"/>
        </w:rPr>
        <w:t>Strategy 6</w:t>
      </w:r>
      <w:r>
        <w:rPr>
          <w:lang w:eastAsia="en-GB"/>
        </w:rPr>
        <w:t>:</w:t>
      </w:r>
      <w:r w:rsidRPr="005947A9">
        <w:rPr>
          <w:lang w:eastAsia="en-GB"/>
        </w:rPr>
        <w:t xml:space="preserve"> Manage the wild and captive populations as a metapopulation</w:t>
      </w:r>
    </w:p>
    <w:p w14:paraId="480FC9A5" w14:textId="77777777" w:rsidR="000B173B" w:rsidRDefault="000B173B" w:rsidP="000B173B">
      <w:pPr>
        <w:pStyle w:val="Bullet1"/>
      </w:pPr>
      <w:r>
        <w:t>Objective 3: To protect and enhance habitat to maintain, and support growth of, the wild population</w:t>
      </w:r>
    </w:p>
    <w:p w14:paraId="20B78F44" w14:textId="77777777" w:rsidR="000B173B" w:rsidRDefault="000B173B" w:rsidP="000B173B">
      <w:pPr>
        <w:pStyle w:val="Bullet2"/>
        <w:rPr>
          <w:lang w:eastAsia="en-GB"/>
        </w:rPr>
      </w:pPr>
      <w:r w:rsidRPr="66A84613">
        <w:rPr>
          <w:lang w:eastAsia="en-GB"/>
        </w:rPr>
        <w:t>Strategy 7: Maintain the extent of habitat throughout the breeding and non-breeding range</w:t>
      </w:r>
    </w:p>
    <w:p w14:paraId="3CFFF2C1" w14:textId="77777777" w:rsidR="000B173B" w:rsidRDefault="000B173B" w:rsidP="000B173B">
      <w:pPr>
        <w:pStyle w:val="Bullet2"/>
        <w:rPr>
          <w:lang w:eastAsia="en-GB"/>
        </w:rPr>
      </w:pPr>
      <w:r w:rsidRPr="66A84613">
        <w:rPr>
          <w:lang w:eastAsia="en-GB"/>
        </w:rPr>
        <w:t>Strategy 8: Increase the extent of high quality of habitat throughout the breeding and non-breeding range</w:t>
      </w:r>
    </w:p>
    <w:p w14:paraId="4210A1CB" w14:textId="77777777" w:rsidR="000B173B" w:rsidRDefault="000B173B" w:rsidP="000B173B">
      <w:pPr>
        <w:pStyle w:val="Bullet1"/>
        <w:keepNext/>
        <w:keepLines/>
        <w:ind w:left="357" w:hanging="357"/>
      </w:pPr>
      <w:r>
        <w:t>Objective 4: To ensure effective adaptive implementation of the [recovery] plan</w:t>
      </w:r>
    </w:p>
    <w:p w14:paraId="131BADC2" w14:textId="77777777" w:rsidR="000B173B" w:rsidRDefault="000B173B" w:rsidP="000B173B">
      <w:pPr>
        <w:pStyle w:val="Bullet2"/>
        <w:rPr>
          <w:lang w:eastAsia="en-GB"/>
        </w:rPr>
      </w:pPr>
      <w:r w:rsidRPr="005947A9">
        <w:rPr>
          <w:lang w:eastAsia="en-GB"/>
        </w:rPr>
        <w:t>Strategy 9</w:t>
      </w:r>
      <w:r>
        <w:rPr>
          <w:lang w:eastAsia="en-GB"/>
        </w:rPr>
        <w:t>:</w:t>
      </w:r>
      <w:r w:rsidRPr="005947A9">
        <w:rPr>
          <w:lang w:eastAsia="en-GB"/>
        </w:rPr>
        <w:t xml:space="preserve"> Obtain and analyse key information required to measure and improve implementation to achieve the primary objectives</w:t>
      </w:r>
    </w:p>
    <w:p w14:paraId="27E5AA1E" w14:textId="77777777" w:rsidR="000B173B" w:rsidRDefault="000B173B" w:rsidP="000B173B">
      <w:pPr>
        <w:pStyle w:val="Bullet2"/>
        <w:rPr>
          <w:lang w:eastAsia="en-GB"/>
        </w:rPr>
      </w:pPr>
      <w:r w:rsidRPr="005947A9">
        <w:rPr>
          <w:lang w:eastAsia="en-GB"/>
        </w:rPr>
        <w:t>Strategy 10</w:t>
      </w:r>
      <w:r>
        <w:rPr>
          <w:lang w:eastAsia="en-GB"/>
        </w:rPr>
        <w:t>:</w:t>
      </w:r>
      <w:r w:rsidRPr="005947A9">
        <w:rPr>
          <w:lang w:eastAsia="en-GB"/>
        </w:rPr>
        <w:t xml:space="preserve"> Employ sound procedures for managing, reviewing and reporting on progress to ensure effective adaptive management</w:t>
      </w:r>
    </w:p>
    <w:p w14:paraId="30BC150B" w14:textId="77777777" w:rsidR="000B173B" w:rsidRDefault="000B173B" w:rsidP="000B173B">
      <w:pPr>
        <w:pStyle w:val="Bullet2"/>
        <w:rPr>
          <w:lang w:eastAsia="en-GB"/>
        </w:rPr>
      </w:pPr>
      <w:r w:rsidRPr="005947A9">
        <w:rPr>
          <w:lang w:eastAsia="en-GB"/>
        </w:rPr>
        <w:t>Strategy 11</w:t>
      </w:r>
      <w:r>
        <w:rPr>
          <w:lang w:eastAsia="en-GB"/>
        </w:rPr>
        <w:t>:</w:t>
      </w:r>
      <w:r w:rsidRPr="005947A9">
        <w:rPr>
          <w:lang w:eastAsia="en-GB"/>
        </w:rPr>
        <w:t xml:space="preserve"> Secure delivery partners and sufficient funding to ensure very high and high priority actions are implemented</w:t>
      </w:r>
    </w:p>
    <w:p w14:paraId="3A802029" w14:textId="77777777" w:rsidR="000B173B" w:rsidRDefault="000B173B" w:rsidP="000B173B">
      <w:pPr>
        <w:pStyle w:val="Bullet2"/>
        <w:rPr>
          <w:lang w:eastAsia="en-GB"/>
        </w:rPr>
      </w:pPr>
      <w:r w:rsidRPr="005947A9">
        <w:rPr>
          <w:lang w:eastAsia="en-GB"/>
        </w:rPr>
        <w:t>Strategy 12</w:t>
      </w:r>
      <w:r>
        <w:rPr>
          <w:lang w:eastAsia="en-GB"/>
        </w:rPr>
        <w:t>:</w:t>
      </w:r>
      <w:r w:rsidRPr="005947A9">
        <w:rPr>
          <w:lang w:eastAsia="en-GB"/>
        </w:rPr>
        <w:t xml:space="preserve"> Foster and maintain relationships with key individuals, organisations and the broader community</w:t>
      </w:r>
    </w:p>
    <w:p w14:paraId="605EA494" w14:textId="77777777" w:rsidR="000B173B" w:rsidRDefault="000B173B" w:rsidP="000B173B">
      <w:r>
        <w:t xml:space="preserve">It is also recognised that each of the strategies of the Recovery Plan has a detailed series of associated performance criteria against which the success of the Recovery Plan will be </w:t>
      </w:r>
      <w:r w:rsidRPr="000B30E8">
        <w:t xml:space="preserve">measured </w:t>
      </w:r>
      <w:sdt>
        <w:sdtPr>
          <w:rPr>
            <w:color w:val="000000"/>
          </w:rPr>
          <w:tag w:val="MENDELEY_CITATION_v3_eyJjaXRhdGlvbklEIjoiTUVOREVMRVlfQ0lUQVRJT05fMTQ4ZGI1NTUtNmUxNC00Mzk1LWE0YTQtMzRmZWVmMDQ1MTVl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611356285"/>
          <w:placeholder>
            <w:docPart w:val="7A87483195E49548AABB39FF484A13FE"/>
          </w:placeholder>
        </w:sdtPr>
        <w:sdtContent>
          <w:r w:rsidRPr="00AB79D8">
            <w:rPr>
              <w:color w:val="000000"/>
            </w:rPr>
            <w:t>(DELWP, 2016)</w:t>
          </w:r>
        </w:sdtContent>
      </w:sdt>
      <w:r w:rsidRPr="000B30E8">
        <w:t>. The Plan will not prevent the achievement of any of the performance criteria.</w:t>
      </w:r>
    </w:p>
    <w:p w14:paraId="29DC99E2" w14:textId="77777777" w:rsidR="000B173B" w:rsidRDefault="000B173B" w:rsidP="000B173B">
      <w:r>
        <w:t>Overall, the</w:t>
      </w:r>
      <w:r w:rsidRPr="00F614B0">
        <w:t xml:space="preserve"> outcome under the Plan for </w:t>
      </w:r>
      <w:r>
        <w:t xml:space="preserve">the Orange-bellied Parrot </w:t>
      </w:r>
      <w:r w:rsidRPr="00F614B0">
        <w:t xml:space="preserve">will not prevent the achievement of any of the objectives </w:t>
      </w:r>
      <w:r>
        <w:t xml:space="preserve">or associated strategies </w:t>
      </w:r>
      <w:r w:rsidRPr="00F614B0">
        <w:t>of the Recovery Plan.</w:t>
      </w:r>
    </w:p>
    <w:p w14:paraId="0F083DF5" w14:textId="77777777" w:rsidR="000B173B" w:rsidRPr="00F614B0" w:rsidRDefault="000B173B" w:rsidP="000B173B">
      <w:pPr>
        <w:pStyle w:val="Heading4"/>
      </w:pPr>
      <w:r w:rsidRPr="00F614B0">
        <w:t>Does the Plan prevent implementation of the Recovery Plan actions?</w:t>
      </w:r>
    </w:p>
    <w:p w14:paraId="4A3DA516" w14:textId="77777777" w:rsidR="000B173B" w:rsidRPr="002B70F0" w:rsidRDefault="000B173B" w:rsidP="000B173B">
      <w:r w:rsidRPr="00F614B0">
        <w:t>The Recovery Plan identifies a set of actions in order to deliver on the objectives</w:t>
      </w:r>
      <w:r>
        <w:t xml:space="preserve"> </w:t>
      </w:r>
      <w:sdt>
        <w:sdtPr>
          <w:rPr>
            <w:color w:val="000000"/>
          </w:rPr>
          <w:tag w:val="MENDELEY_CITATION_v3_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"/>
          <w:id w:val="1867703296"/>
          <w:placeholder>
            <w:docPart w:val="7A87483195E49548AABB39FF484A13FE"/>
          </w:placeholder>
        </w:sdtPr>
        <w:sdtContent>
          <w:r w:rsidRPr="00AB79D8">
            <w:rPr>
              <w:color w:val="000000"/>
            </w:rPr>
            <w:t>(DELWP, 2016)</w:t>
          </w:r>
        </w:sdtContent>
      </w:sdt>
      <w:r>
        <w:t xml:space="preserve">. </w:t>
      </w:r>
      <w:r w:rsidRPr="00F614B0">
        <w:t>The Plan will not prevent the implementation of any of these actions</w:t>
      </w:r>
      <w:r>
        <w:t>.</w:t>
      </w:r>
    </w:p>
    <w:p w14:paraId="39F328F7"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40775BC1"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_Ref106870181 \h </w:instrText>
      </w:r>
      <w:r>
        <w:fldChar w:fldCharType="separate"/>
      </w:r>
      <w:r>
        <w:t xml:space="preserve">Table </w:t>
      </w:r>
      <w:r>
        <w:rPr>
          <w:noProof/>
        </w:rPr>
        <w:t>B</w:t>
      </w:r>
      <w:r>
        <w:noBreakHyphen/>
      </w:r>
      <w:r>
        <w:rPr>
          <w:noProof/>
        </w:rPr>
        <w:t>9</w:t>
      </w:r>
      <w:r>
        <w:fldChar w:fldCharType="end"/>
      </w:r>
      <w:r>
        <w:t xml:space="preserve"> where they relate to:</w:t>
      </w:r>
    </w:p>
    <w:p w14:paraId="3E07D4A7" w14:textId="77777777" w:rsidR="000B173B" w:rsidRDefault="000B173B" w:rsidP="000B173B">
      <w:pPr>
        <w:pStyle w:val="Bullet1"/>
      </w:pPr>
      <w:r>
        <w:t>The potential direct impacts of the Plan, or</w:t>
      </w:r>
    </w:p>
    <w:p w14:paraId="4D75E6D4" w14:textId="77777777" w:rsidR="000B173B" w:rsidRDefault="000B173B" w:rsidP="000B173B">
      <w:pPr>
        <w:pStyle w:val="Bullet1"/>
      </w:pPr>
      <w:r>
        <w:t>The relevant indirect impacts</w:t>
      </w:r>
    </w:p>
    <w:p w14:paraId="3F253CE4" w14:textId="77777777" w:rsidR="000B173B" w:rsidRDefault="000B173B" w:rsidP="000B173B">
      <w:pPr>
        <w:pStyle w:val="Caption"/>
        <w:keepNext/>
      </w:pPr>
      <w:bookmarkStart w:id="281" w:name="_Ref106870181"/>
      <w:bookmarkStart w:id="282" w:name="_Toc134697926"/>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9</w:t>
      </w:r>
      <w:r>
        <w:fldChar w:fldCharType="end"/>
      </w:r>
      <w:bookmarkEnd w:id="281"/>
      <w:r>
        <w:t xml:space="preserve">: </w:t>
      </w:r>
      <w:r w:rsidRPr="005F676F">
        <w:t xml:space="preserve">Relevant Key Threatening Processes and associated Threat Abatement Plans for </w:t>
      </w:r>
      <w:r>
        <w:t>the Orange-bellied Parrot</w:t>
      </w:r>
      <w:bookmarkEnd w:id="282"/>
    </w:p>
    <w:tbl>
      <w:tblPr>
        <w:tblStyle w:val="TableGrid"/>
        <w:tblW w:w="0" w:type="auto"/>
        <w:tblLook w:val="04A0" w:firstRow="1" w:lastRow="0" w:firstColumn="1" w:lastColumn="0" w:noHBand="0" w:noVBand="1"/>
      </w:tblPr>
      <w:tblGrid>
        <w:gridCol w:w="4684"/>
        <w:gridCol w:w="4938"/>
      </w:tblGrid>
      <w:tr w:rsidR="000B173B" w14:paraId="1B3E3F46" w14:textId="77777777" w:rsidTr="00A15226">
        <w:trPr>
          <w:tblHeader/>
        </w:trPr>
        <w:tc>
          <w:tcPr>
            <w:tcW w:w="4684" w:type="dxa"/>
            <w:shd w:val="clear" w:color="auto" w:fill="DBDBDB" w:themeFill="accent3" w:themeFillTint="66"/>
          </w:tcPr>
          <w:p w14:paraId="129DC38F" w14:textId="77777777" w:rsidR="000B173B" w:rsidRPr="00FF1996" w:rsidRDefault="000B173B" w:rsidP="00A15226">
            <w:pPr>
              <w:pStyle w:val="Tabletext"/>
              <w:rPr>
                <w:b/>
                <w:bCs/>
              </w:rPr>
            </w:pPr>
            <w:r w:rsidRPr="00FF1996">
              <w:rPr>
                <w:b/>
                <w:bCs/>
              </w:rPr>
              <w:t>Key threatening process</w:t>
            </w:r>
          </w:p>
        </w:tc>
        <w:tc>
          <w:tcPr>
            <w:tcW w:w="4938" w:type="dxa"/>
            <w:shd w:val="clear" w:color="auto" w:fill="DBDBDB" w:themeFill="accent3" w:themeFillTint="66"/>
          </w:tcPr>
          <w:p w14:paraId="4963F86D" w14:textId="77777777" w:rsidR="000B173B" w:rsidRPr="00FF1996" w:rsidRDefault="000B173B" w:rsidP="00A15226">
            <w:pPr>
              <w:pStyle w:val="Tabletext"/>
              <w:rPr>
                <w:b/>
                <w:bCs/>
              </w:rPr>
            </w:pPr>
            <w:r w:rsidRPr="00FF1996">
              <w:rPr>
                <w:b/>
                <w:bCs/>
              </w:rPr>
              <w:t>Threat abatement plan</w:t>
            </w:r>
          </w:p>
        </w:tc>
      </w:tr>
      <w:tr w:rsidR="000B173B" w14:paraId="4005FAB0" w14:textId="77777777" w:rsidTr="00A15226">
        <w:tc>
          <w:tcPr>
            <w:tcW w:w="4684" w:type="dxa"/>
            <w:vAlign w:val="center"/>
          </w:tcPr>
          <w:p w14:paraId="3E0E1375" w14:textId="77777777" w:rsidR="000B173B" w:rsidRDefault="000B173B" w:rsidP="00A15226">
            <w:pPr>
              <w:pStyle w:val="Tabletext"/>
            </w:pPr>
            <w:r>
              <w:t>Competition and land degradation by rabbits</w:t>
            </w:r>
          </w:p>
        </w:tc>
        <w:tc>
          <w:tcPr>
            <w:tcW w:w="4938" w:type="dxa"/>
          </w:tcPr>
          <w:p w14:paraId="3D0D3DBB" w14:textId="77777777" w:rsidR="000B173B" w:rsidRPr="001367FF" w:rsidRDefault="000B173B" w:rsidP="00A15226">
            <w:pPr>
              <w:pStyle w:val="Tabletext"/>
              <w:rPr>
                <w:iCs/>
              </w:rPr>
            </w:pPr>
            <w:r w:rsidRPr="001367FF">
              <w:rPr>
                <w:iCs/>
              </w:rPr>
              <w:t xml:space="preserve">Threat abatement plan for competition and land degradation by rabbits </w:t>
            </w:r>
            <w:sdt>
              <w:sdtPr>
                <w:rPr>
                  <w:iCs/>
                  <w:color w:val="000000"/>
                </w:rPr>
                <w:tag w:val="MENDELEY_CITATION_v3_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"/>
                <w:id w:val="-258612500"/>
                <w:placeholder>
                  <w:docPart w:val="7A87483195E49548AABB39FF484A13FE"/>
                </w:placeholder>
              </w:sdtPr>
              <w:sdtEndPr>
                <w:rPr>
                  <w:iCs w:val="0"/>
                </w:rPr>
              </w:sdtEndPr>
              <w:sdtContent>
                <w:r w:rsidRPr="00AB79D8">
                  <w:rPr>
                    <w:color w:val="000000"/>
                  </w:rPr>
                  <w:t>(DoEE, 2016)</w:t>
                </w:r>
              </w:sdtContent>
            </w:sdt>
          </w:p>
        </w:tc>
      </w:tr>
      <w:tr w:rsidR="000B173B" w14:paraId="644D3158" w14:textId="77777777" w:rsidTr="00A15226">
        <w:tc>
          <w:tcPr>
            <w:tcW w:w="4684" w:type="dxa"/>
            <w:vAlign w:val="center"/>
          </w:tcPr>
          <w:p w14:paraId="406EFDEA" w14:textId="77777777" w:rsidR="000B173B" w:rsidRDefault="000B173B" w:rsidP="00A15226">
            <w:pPr>
              <w:pStyle w:val="Tabletext"/>
            </w:pPr>
            <w:r>
              <w:t>Fire regimes that cause declines in biodiversity</w:t>
            </w:r>
          </w:p>
        </w:tc>
        <w:tc>
          <w:tcPr>
            <w:tcW w:w="4938" w:type="dxa"/>
            <w:vAlign w:val="center"/>
          </w:tcPr>
          <w:p w14:paraId="7D0FDAE3" w14:textId="77777777" w:rsidR="000B173B" w:rsidRDefault="000B173B" w:rsidP="00A15226">
            <w:pPr>
              <w:pStyle w:val="Tabletext"/>
            </w:pPr>
            <w:r>
              <w:t>There is no relevant TAP</w:t>
            </w:r>
          </w:p>
        </w:tc>
      </w:tr>
      <w:tr w:rsidR="000B173B" w14:paraId="472BA68B" w14:textId="77777777" w:rsidTr="00A15226">
        <w:tc>
          <w:tcPr>
            <w:tcW w:w="4684" w:type="dxa"/>
            <w:vAlign w:val="center"/>
          </w:tcPr>
          <w:p w14:paraId="006AF8FB" w14:textId="77777777" w:rsidR="000B173B" w:rsidRDefault="000B173B" w:rsidP="00A15226">
            <w:pPr>
              <w:pStyle w:val="Tabletext"/>
            </w:pPr>
            <w:r>
              <w:t>Land clearance</w:t>
            </w:r>
          </w:p>
        </w:tc>
        <w:tc>
          <w:tcPr>
            <w:tcW w:w="4938" w:type="dxa"/>
            <w:vAlign w:val="center"/>
          </w:tcPr>
          <w:p w14:paraId="22DE59E7" w14:textId="77777777" w:rsidR="000B173B" w:rsidRDefault="000B173B" w:rsidP="00A15226">
            <w:pPr>
              <w:pStyle w:val="Tabletext"/>
            </w:pPr>
            <w:r>
              <w:t>There is no relevant TAP</w:t>
            </w:r>
          </w:p>
        </w:tc>
      </w:tr>
      <w:tr w:rsidR="000B173B" w14:paraId="5B17F234" w14:textId="77777777" w:rsidTr="00A15226">
        <w:tc>
          <w:tcPr>
            <w:tcW w:w="4684" w:type="dxa"/>
            <w:vAlign w:val="center"/>
          </w:tcPr>
          <w:p w14:paraId="70A10D9A" w14:textId="77777777" w:rsidR="000B173B" w:rsidRPr="00672E41" w:rsidRDefault="000B173B" w:rsidP="00A15226">
            <w:pPr>
              <w:pStyle w:val="Tabletext"/>
            </w:pPr>
            <w:r w:rsidRPr="00672E41">
              <w:t>Loss of climatic habitat caused by anthropogenic emissions of greenhouse gases</w:t>
            </w:r>
          </w:p>
        </w:tc>
        <w:tc>
          <w:tcPr>
            <w:tcW w:w="4938" w:type="dxa"/>
            <w:vAlign w:val="center"/>
          </w:tcPr>
          <w:p w14:paraId="6D93D324" w14:textId="77777777" w:rsidR="000B173B" w:rsidRDefault="000B173B" w:rsidP="00A15226">
            <w:pPr>
              <w:pStyle w:val="Tabletext"/>
            </w:pPr>
            <w:r>
              <w:t>There is no relevant TAP</w:t>
            </w:r>
          </w:p>
        </w:tc>
      </w:tr>
      <w:tr w:rsidR="000B173B" w14:paraId="591F1C55" w14:textId="77777777" w:rsidTr="00A15226">
        <w:tc>
          <w:tcPr>
            <w:tcW w:w="4684" w:type="dxa"/>
          </w:tcPr>
          <w:p w14:paraId="40B3A4E9" w14:textId="77777777" w:rsidR="000B173B" w:rsidRDefault="000B173B" w:rsidP="00A15226">
            <w:pPr>
              <w:pStyle w:val="Tabletext"/>
            </w:pPr>
            <w:r w:rsidRPr="003919C8">
              <w:t>Novel biota and their impact on biodiversity</w:t>
            </w:r>
          </w:p>
        </w:tc>
        <w:tc>
          <w:tcPr>
            <w:tcW w:w="4938" w:type="dxa"/>
          </w:tcPr>
          <w:p w14:paraId="46CA4753" w14:textId="77777777" w:rsidR="000B173B" w:rsidRDefault="000B173B" w:rsidP="00A15226">
            <w:pPr>
              <w:pStyle w:val="Tabletext"/>
            </w:pPr>
            <w:r>
              <w:t>There is no relevant TAP</w:t>
            </w:r>
          </w:p>
        </w:tc>
      </w:tr>
      <w:tr w:rsidR="000B173B" w14:paraId="54BFC86E" w14:textId="77777777" w:rsidTr="00A15226">
        <w:tc>
          <w:tcPr>
            <w:tcW w:w="4684" w:type="dxa"/>
            <w:vAlign w:val="center"/>
          </w:tcPr>
          <w:p w14:paraId="198ED946" w14:textId="77777777" w:rsidR="000B173B" w:rsidRPr="00672E41" w:rsidRDefault="000B173B" w:rsidP="00A15226">
            <w:pPr>
              <w:pStyle w:val="Tabletext"/>
            </w:pPr>
            <w:r>
              <w:t>Predation by feral cats</w:t>
            </w:r>
          </w:p>
        </w:tc>
        <w:tc>
          <w:tcPr>
            <w:tcW w:w="4938" w:type="dxa"/>
          </w:tcPr>
          <w:p w14:paraId="18321797" w14:textId="77777777" w:rsidR="000B173B" w:rsidRDefault="000B173B" w:rsidP="00A15226">
            <w:pPr>
              <w:pStyle w:val="Tabletext"/>
            </w:pPr>
            <w:r w:rsidRPr="001367FF">
              <w:rPr>
                <w:iCs/>
              </w:rPr>
              <w:t xml:space="preserve">Threat abatement plan for predation by feral cats </w:t>
            </w:r>
            <w:sdt>
              <w:sdtPr>
                <w:rPr>
                  <w:iCs/>
                  <w:color w:val="000000"/>
                </w:rPr>
                <w:tag w:val="MENDELEY_CITATION_v3_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"/>
                <w:id w:val="816608951"/>
                <w:placeholder>
                  <w:docPart w:val="7A87483195E49548AABB39FF484A13FE"/>
                </w:placeholder>
              </w:sdtPr>
              <w:sdtEndPr>
                <w:rPr>
                  <w:iCs w:val="0"/>
                </w:rPr>
              </w:sdtEndPr>
              <w:sdtContent>
                <w:r w:rsidRPr="00AB79D8">
                  <w:rPr>
                    <w:color w:val="000000"/>
                  </w:rPr>
                  <w:t>(DoE, 2015h)</w:t>
                </w:r>
              </w:sdtContent>
            </w:sdt>
          </w:p>
        </w:tc>
      </w:tr>
      <w:tr w:rsidR="000B173B" w14:paraId="0ED20431" w14:textId="77777777" w:rsidTr="00A15226">
        <w:tc>
          <w:tcPr>
            <w:tcW w:w="4684" w:type="dxa"/>
            <w:vAlign w:val="center"/>
          </w:tcPr>
          <w:p w14:paraId="5C79163A" w14:textId="77777777" w:rsidR="000B173B" w:rsidRPr="00672E41" w:rsidRDefault="000B173B" w:rsidP="00A15226">
            <w:pPr>
              <w:pStyle w:val="Tabletext"/>
            </w:pPr>
            <w:r>
              <w:t>Predation by the European red fox</w:t>
            </w:r>
          </w:p>
        </w:tc>
        <w:tc>
          <w:tcPr>
            <w:tcW w:w="4938" w:type="dxa"/>
          </w:tcPr>
          <w:p w14:paraId="2C5688FC" w14:textId="77777777" w:rsidR="000B173B" w:rsidRDefault="000B173B" w:rsidP="00A15226">
            <w:pPr>
              <w:pStyle w:val="Tabletext"/>
            </w:pPr>
            <w:r w:rsidRPr="001367FF">
              <w:rPr>
                <w:iCs/>
              </w:rPr>
              <w:t xml:space="preserve">Threat abatement plan for predation by the European red fox </w:t>
            </w:r>
            <w:sdt>
              <w:sdtPr>
                <w:rPr>
                  <w:iCs/>
                  <w:color w:val="000000"/>
                </w:rPr>
                <w:tag w:val="MENDELEY_CITATION_v3_eyJjaXRhdGlvbklEIjoiTUVOREVMRVlfQ0lUQVRJT05fZTU1ZmM2YmMtNDZhZC00MzYwLWIyZDgtNDQxYWZhZDQ5OTAwIiwicHJvcGVydGllcyI6eyJub3RlSW5kZXgiOjB9LCJpc0VkaXRlZCI6ZmFsc2UsIm1hbnVhbE92ZXJyaWRlIjp7ImNpdGVwcm9jVGV4dCI6IihERVdIQSwgMjAwOGY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
                <w:id w:val="-1849558413"/>
                <w:placeholder>
                  <w:docPart w:val="7A87483195E49548AABB39FF484A13FE"/>
                </w:placeholder>
              </w:sdtPr>
              <w:sdtEndPr>
                <w:rPr>
                  <w:iCs w:val="0"/>
                </w:rPr>
              </w:sdtEndPr>
              <w:sdtContent>
                <w:r w:rsidRPr="00AB79D8">
                  <w:rPr>
                    <w:color w:val="000000"/>
                  </w:rPr>
                  <w:t>(DEWHA, 2008f)</w:t>
                </w:r>
              </w:sdtContent>
            </w:sdt>
          </w:p>
        </w:tc>
      </w:tr>
      <w:tr w:rsidR="000B173B" w14:paraId="1450AB4B" w14:textId="77777777" w:rsidTr="00A15226">
        <w:tc>
          <w:tcPr>
            <w:tcW w:w="4684" w:type="dxa"/>
            <w:vAlign w:val="center"/>
          </w:tcPr>
          <w:p w14:paraId="29F77AB5" w14:textId="77777777" w:rsidR="000B173B" w:rsidRDefault="000B173B" w:rsidP="00A15226">
            <w:pPr>
              <w:pStyle w:val="Tabletext"/>
            </w:pPr>
            <w:r>
              <w:t>Psittacine Circoviral (beak and feather) Disease affecting endangered psittacine species</w:t>
            </w:r>
          </w:p>
        </w:tc>
        <w:tc>
          <w:tcPr>
            <w:tcW w:w="4938" w:type="dxa"/>
          </w:tcPr>
          <w:p w14:paraId="162B405B" w14:textId="77777777" w:rsidR="000B173B" w:rsidRPr="001367FF" w:rsidRDefault="000B173B" w:rsidP="00A15226">
            <w:pPr>
              <w:pStyle w:val="Tabletext"/>
              <w:rPr>
                <w:iCs/>
              </w:rPr>
            </w:pPr>
            <w:r>
              <w:t>There is no relevant TAP</w:t>
            </w:r>
          </w:p>
        </w:tc>
      </w:tr>
    </w:tbl>
    <w:p w14:paraId="75C8139D" w14:textId="77777777" w:rsidR="000B173B" w:rsidRPr="00C15BA8" w:rsidRDefault="000B173B" w:rsidP="000B173B">
      <w:pPr>
        <w:tabs>
          <w:tab w:val="clear" w:pos="4962"/>
        </w:tabs>
        <w:spacing w:before="0" w:after="0" w:line="240" w:lineRule="auto"/>
        <w:rPr>
          <w:b/>
          <w:bCs/>
          <w:caps/>
          <w:spacing w:val="18"/>
        </w:rPr>
      </w:pPr>
      <w:r>
        <w:rPr>
          <w:b/>
          <w:bCs/>
          <w:caps/>
          <w:spacing w:val="18"/>
        </w:rPr>
        <w:br w:type="page"/>
      </w:r>
    </w:p>
    <w:p w14:paraId="17A57728" w14:textId="77777777" w:rsidR="000B173B" w:rsidRPr="00297975" w:rsidRDefault="000B173B" w:rsidP="000B173B">
      <w:pPr>
        <w:pStyle w:val="Heading2"/>
        <w:numPr>
          <w:ilvl w:val="0"/>
          <w:numId w:val="0"/>
        </w:numPr>
        <w:ind w:left="576" w:hanging="576"/>
      </w:pPr>
      <w:bookmarkStart w:id="283" w:name="_Toc131154211"/>
      <w:bookmarkStart w:id="284" w:name="_Toc131154398"/>
      <w:r>
        <w:lastRenderedPageBreak/>
        <w:t>Red Knot (</w:t>
      </w:r>
      <w:r w:rsidRPr="006900FB">
        <w:rPr>
          <w:i/>
          <w:iCs/>
        </w:rPr>
        <w:t>Calidris canutus</w:t>
      </w:r>
      <w:r>
        <w:t>)</w:t>
      </w:r>
      <w:bookmarkEnd w:id="283"/>
      <w:bookmarkEnd w:id="284"/>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3C595CC2" w14:textId="77777777" w:rsidTr="00A15226">
        <w:trPr>
          <w:tblHeader/>
        </w:trPr>
        <w:tc>
          <w:tcPr>
            <w:tcW w:w="9747" w:type="dxa"/>
            <w:shd w:val="clear" w:color="auto" w:fill="D9D9D9" w:themeFill="background1" w:themeFillShade="D9"/>
            <w:vAlign w:val="center"/>
          </w:tcPr>
          <w:p w14:paraId="41D8FC71"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4B4852EC"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6B7C62CD" w14:textId="77777777" w:rsidTr="00A15226">
        <w:tc>
          <w:tcPr>
            <w:tcW w:w="1526" w:type="dxa"/>
            <w:vAlign w:val="center"/>
          </w:tcPr>
          <w:p w14:paraId="30A1F66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5076E958" w14:textId="77777777" w:rsidR="000B173B" w:rsidRPr="00E75A02" w:rsidRDefault="000B173B" w:rsidP="00A15226">
            <w:pPr>
              <w:pStyle w:val="Tabletext"/>
            </w:pPr>
            <w:r w:rsidRPr="00E75A02">
              <w:t>Endangered, Migratory</w:t>
            </w:r>
          </w:p>
          <w:p w14:paraId="7CE2AE94" w14:textId="77777777" w:rsidR="000B173B" w:rsidRPr="00E75A02" w:rsidRDefault="000B173B" w:rsidP="00A15226">
            <w:pPr>
              <w:pStyle w:val="Tabletext"/>
            </w:pPr>
            <w:r w:rsidRPr="00E75A02">
              <w:t xml:space="preserve">Note that </w:t>
            </w:r>
            <w:r>
              <w:t>the Red Knot</w:t>
            </w:r>
            <w:r w:rsidRPr="00E75A02">
              <w:t xml:space="preserve"> is currently on the Finalised Priority Assessment List (FPAL) and is proposed to have its listing downgraded to Vulnerable </w:t>
            </w:r>
            <w:sdt>
              <w:sdtPr>
                <w:rPr>
                  <w:color w:val="000000"/>
                </w:rPr>
                <w:tag w:val="MENDELEY_CITATION_v3_eyJjaXRhdGlvbklEIjoiTUVOREVMRVlfQ0lUQVRJT05fNDc2NTlkZTctNDk3MC00N2JkLWFjNjUtYWI3MzY5ODZiN2Q4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835996491"/>
                <w:placeholder>
                  <w:docPart w:val="7A87483195E49548AABB39FF484A13FE"/>
                </w:placeholder>
              </w:sdtPr>
              <w:sdtContent>
                <w:r w:rsidRPr="00AB79D8">
                  <w:rPr>
                    <w:color w:val="000000"/>
                  </w:rPr>
                  <w:t>(DAWE, 2021f)</w:t>
                </w:r>
              </w:sdtContent>
            </w:sdt>
          </w:p>
          <w:p w14:paraId="1F506D43" w14:textId="77777777" w:rsidR="000B173B" w:rsidRPr="00E75A02" w:rsidRDefault="000B173B" w:rsidP="00A15226">
            <w:pPr>
              <w:pStyle w:val="Tabletext"/>
            </w:pPr>
            <w:r w:rsidRPr="00E75A02">
              <w:t>A decision is due by 30 October 202</w:t>
            </w:r>
            <w:r>
              <w:t>3</w:t>
            </w:r>
            <w:r w:rsidRPr="00E75A02">
              <w:t xml:space="preserve"> </w:t>
            </w:r>
            <w:sdt>
              <w:sdtPr>
                <w:rPr>
                  <w:color w:val="000000"/>
                </w:rPr>
                <w:tag w:val="MENDELEY_CITATION_v3_eyJjaXRhdGlvbklEIjoiTUVOREVMRVlfQ0lUQVRJT05fZDk0ZjljZjctMDlmMS00YzBhLTg3NjEtMmVmOTBmMjIyNmJi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843847413"/>
                <w:placeholder>
                  <w:docPart w:val="7A87483195E49548AABB39FF484A13FE"/>
                </w:placeholder>
              </w:sdtPr>
              <w:sdtContent>
                <w:r w:rsidRPr="00AB79D8">
                  <w:rPr>
                    <w:color w:val="000000"/>
                  </w:rPr>
                  <w:t>(DAWE, 2021f)</w:t>
                </w:r>
              </w:sdtContent>
            </w:sdt>
          </w:p>
        </w:tc>
      </w:tr>
      <w:tr w:rsidR="000B173B" w:rsidRPr="000816D6" w14:paraId="7D63561F" w14:textId="77777777" w:rsidTr="00A15226">
        <w:tc>
          <w:tcPr>
            <w:tcW w:w="1526" w:type="dxa"/>
            <w:vAlign w:val="center"/>
          </w:tcPr>
          <w:p w14:paraId="1DE74CE8"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4D7E327A" w14:textId="77777777" w:rsidR="000B173B" w:rsidRPr="00E75A02" w:rsidRDefault="000B173B" w:rsidP="00A15226">
            <w:pPr>
              <w:pStyle w:val="Tabletext"/>
            </w:pPr>
            <w:r w:rsidRPr="00E75A02">
              <w:rPr>
                <w:i/>
                <w:iCs/>
              </w:rPr>
              <w:t>Calidris canutus</w:t>
            </w:r>
            <w:r w:rsidRPr="00E75A02">
              <w:t xml:space="preserve"> (Red Knot) is a small to medium migratory shorebird. It has a length of 23-25 cm, a wingspan of 45-54 cm, a short neck, a short straight bill, short legs, and wings that extend beyond its tail </w:t>
            </w:r>
            <w:sdt>
              <w:sdtPr>
                <w:rPr>
                  <w:color w:val="000000"/>
                </w:rPr>
                <w:tag w:val="MENDELEY_CITATION_v3_eyJjaXRhdGlvbklEIjoiTUVOREVMRVlfQ0lUQVRJT05fNzIwNTc2N2UtN2JjNy00MTUzLTkyMjctNzBmMmE4MDQ1YjI1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255468640"/>
                <w:placeholder>
                  <w:docPart w:val="7A87483195E49548AABB39FF484A13FE"/>
                </w:placeholder>
              </w:sdtPr>
              <w:sdtContent>
                <w:r w:rsidRPr="00AB79D8">
                  <w:rPr>
                    <w:color w:val="000000"/>
                  </w:rPr>
                  <w:t>(TSSC, 2016b)</w:t>
                </w:r>
              </w:sdtContent>
            </w:sdt>
            <w:r w:rsidRPr="00E75A02">
              <w:rPr>
                <w:iCs/>
              </w:rPr>
              <w:t>.</w:t>
            </w:r>
          </w:p>
        </w:tc>
      </w:tr>
      <w:tr w:rsidR="000B173B" w:rsidRPr="000816D6" w14:paraId="41790B21" w14:textId="77777777" w:rsidTr="00A15226">
        <w:tc>
          <w:tcPr>
            <w:tcW w:w="1526" w:type="dxa"/>
            <w:vAlign w:val="center"/>
          </w:tcPr>
          <w:p w14:paraId="66EBE15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0231A19A" w14:textId="77777777" w:rsidR="000B173B" w:rsidRPr="00E75A02" w:rsidRDefault="000B173B" w:rsidP="00A15226">
            <w:pPr>
              <w:pStyle w:val="Tabletext"/>
              <w:rPr>
                <w:szCs w:val="18"/>
              </w:rPr>
            </w:pPr>
            <w:r w:rsidRPr="00E75A02">
              <w:rPr>
                <w:szCs w:val="18"/>
              </w:rPr>
              <w:t>There are six recognised subspecies of the Red Knot, of which three have been recorded in Australia:</w:t>
            </w:r>
          </w:p>
          <w:p w14:paraId="45114B3D" w14:textId="77777777" w:rsidR="000B173B" w:rsidRPr="00E75A02" w:rsidRDefault="000B173B" w:rsidP="00A15226">
            <w:pPr>
              <w:pStyle w:val="Bullet1"/>
            </w:pPr>
            <w:r w:rsidRPr="00E75A02">
              <w:rPr>
                <w:i/>
                <w:iCs/>
              </w:rPr>
              <w:t xml:space="preserve">Calidris canutus piersmai </w:t>
            </w:r>
            <w:r w:rsidRPr="00E75A02">
              <w:t>regularly occurs in Australia, almost exclusively in the north</w:t>
            </w:r>
            <w:r>
              <w:t>-</w:t>
            </w:r>
            <w:r w:rsidRPr="00E75A02">
              <w:t>west</w:t>
            </w:r>
          </w:p>
          <w:p w14:paraId="43804924" w14:textId="77777777" w:rsidR="000B173B" w:rsidRPr="00E75A02" w:rsidRDefault="000B173B" w:rsidP="00A15226">
            <w:pPr>
              <w:pStyle w:val="Bullet1"/>
            </w:pPr>
            <w:r w:rsidRPr="00E75A02">
              <w:rPr>
                <w:i/>
                <w:iCs/>
              </w:rPr>
              <w:t>C. c. rogersi</w:t>
            </w:r>
            <w:r w:rsidRPr="00E75A02">
              <w:t xml:space="preserve"> regularly occurs in Australia, mostly in the east</w:t>
            </w:r>
          </w:p>
          <w:p w14:paraId="2B82BCBA" w14:textId="77777777" w:rsidR="000B173B" w:rsidRPr="00E75A02" w:rsidRDefault="000B173B" w:rsidP="00A15226">
            <w:pPr>
              <w:pStyle w:val="Bullet1"/>
            </w:pPr>
            <w:r w:rsidRPr="00E75A02">
              <w:rPr>
                <w:i/>
                <w:iCs/>
              </w:rPr>
              <w:t>C. c. canutus</w:t>
            </w:r>
            <w:r w:rsidRPr="00E75A02">
              <w:t xml:space="preserve"> occurs as a vagrant</w:t>
            </w:r>
          </w:p>
          <w:p w14:paraId="518EEC75" w14:textId="77777777" w:rsidR="000B173B" w:rsidRDefault="000B173B" w:rsidP="00A15226">
            <w:pPr>
              <w:pStyle w:val="Tabletext"/>
              <w:rPr>
                <w:szCs w:val="18"/>
              </w:rPr>
            </w:pPr>
            <w:r w:rsidRPr="00E75A02">
              <w:rPr>
                <w:szCs w:val="18"/>
              </w:rPr>
              <w:t>The species breeds at a range of locations around the Arctic. It is thought that the vast majority of the population migrates to Australia in the non-breeding season. Individuals typically arrive in Australia from late August. The species returns to the northern hemisphere between February and May.</w:t>
            </w:r>
          </w:p>
          <w:p w14:paraId="731229E1" w14:textId="77777777" w:rsidR="000B173B" w:rsidRPr="00E75A02" w:rsidRDefault="000B173B" w:rsidP="00A15226">
            <w:pPr>
              <w:pStyle w:val="Tabletext"/>
              <w:rPr>
                <w:szCs w:val="18"/>
              </w:rPr>
            </w:pPr>
            <w:r>
              <w:rPr>
                <w:szCs w:val="18"/>
              </w:rPr>
              <w:t>In Australia, the species feeds primarily on shellfish. It forages by probing mud in mudflats in large, dense flocks, often mixed with other bird species. Feeding is regulated by tidal activity, with the birds closely following the tide edge when foraging.</w:t>
            </w:r>
          </w:p>
          <w:sdt>
            <w:sdtPr>
              <w:rPr>
                <w:color w:val="000000"/>
              </w:rPr>
              <w:tag w:val="MENDELEY_CITATION_v3_eyJjaXRhdGlvbklEIjoiTUVOREVMRVlfQ0lUQVRJT05fODdlMjMxY2QtODU4Ny00OTRhLTgxNzctOGNmYzhlYjg0M2Y4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605336400"/>
              <w:placeholder>
                <w:docPart w:val="7A87483195E49548AABB39FF484A13FE"/>
              </w:placeholder>
            </w:sdtPr>
            <w:sdtContent>
              <w:p w14:paraId="1ADD93BA" w14:textId="77777777" w:rsidR="000B173B" w:rsidRPr="00E75A02" w:rsidRDefault="000B173B" w:rsidP="00A15226">
                <w:pPr>
                  <w:pStyle w:val="Tabletext"/>
                </w:pPr>
                <w:r w:rsidRPr="00AB79D8">
                  <w:rPr>
                    <w:color w:val="000000"/>
                  </w:rPr>
                  <w:t>(TSSC, 2016b)</w:t>
                </w:r>
              </w:p>
            </w:sdtContent>
          </w:sdt>
        </w:tc>
      </w:tr>
      <w:tr w:rsidR="000B173B" w:rsidRPr="000816D6" w14:paraId="4302CFE0" w14:textId="77777777" w:rsidTr="00A15226">
        <w:tc>
          <w:tcPr>
            <w:tcW w:w="1526" w:type="dxa"/>
            <w:vAlign w:val="center"/>
          </w:tcPr>
          <w:p w14:paraId="5BACD28B"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10160B5F" w14:textId="77777777" w:rsidR="000B173B" w:rsidRDefault="000B173B" w:rsidP="00A15226">
            <w:pPr>
              <w:pStyle w:val="Tabletext"/>
              <w:rPr>
                <w:szCs w:val="18"/>
              </w:rPr>
            </w:pPr>
            <w:r>
              <w:rPr>
                <w:szCs w:val="18"/>
              </w:rPr>
              <w:t>The species occurs around the entire coastline of Australia. However, it is less numerous in south-western Australia and very large numbers occur in north-west Australia.</w:t>
            </w:r>
          </w:p>
          <w:p w14:paraId="38BEEC11" w14:textId="77777777" w:rsidR="000B173B" w:rsidRPr="00E75A02" w:rsidRDefault="000B173B" w:rsidP="00A15226">
            <w:pPr>
              <w:pStyle w:val="Tabletext"/>
              <w:rPr>
                <w:szCs w:val="18"/>
              </w:rPr>
            </w:pPr>
            <w:r>
              <w:rPr>
                <w:szCs w:val="18"/>
              </w:rPr>
              <w:t>T</w:t>
            </w:r>
            <w:r w:rsidRPr="00E75A02">
              <w:rPr>
                <w:szCs w:val="18"/>
              </w:rPr>
              <w:t>he species mainly inhabits coastal environments and saline wetlands near the coast</w:t>
            </w:r>
            <w:r>
              <w:rPr>
                <w:szCs w:val="18"/>
              </w:rPr>
              <w:t xml:space="preserve"> where it is common in all the main suitable habitats. </w:t>
            </w:r>
            <w:r w:rsidRPr="00E75A02">
              <w:rPr>
                <w:szCs w:val="18"/>
              </w:rPr>
              <w:t>The Red Knot is rarely observed in or around freshwater swamps or inland aquatic habitats.</w:t>
            </w:r>
          </w:p>
          <w:p w14:paraId="0F7316A1" w14:textId="77777777" w:rsidR="000B173B" w:rsidRPr="00E75A02" w:rsidRDefault="000B173B" w:rsidP="00A15226">
            <w:pPr>
              <w:pStyle w:val="Tabletext"/>
              <w:rPr>
                <w:szCs w:val="18"/>
              </w:rPr>
            </w:pPr>
            <w:r w:rsidRPr="00E75A02">
              <w:rPr>
                <w:szCs w:val="18"/>
              </w:rPr>
              <w:t>The species:</w:t>
            </w:r>
          </w:p>
          <w:p w14:paraId="4D37D8C8" w14:textId="77777777" w:rsidR="000B173B" w:rsidRPr="00E75A02" w:rsidRDefault="000B173B" w:rsidP="00A15226">
            <w:pPr>
              <w:pStyle w:val="Bullet1"/>
            </w:pPr>
            <w:r>
              <w:t>Usually f</w:t>
            </w:r>
            <w:r w:rsidRPr="00E75A02">
              <w:t>orages in soft substrate near the edge of intertidal mudflats or sandflats exposed by low ti</w:t>
            </w:r>
            <w:r>
              <w:t>d</w:t>
            </w:r>
            <w:r w:rsidRPr="00E75A02">
              <w:t>e, or</w:t>
            </w:r>
            <w:r>
              <w:t xml:space="preserve"> during high tide, they may forage</w:t>
            </w:r>
            <w:r w:rsidRPr="00E75A02">
              <w:t xml:space="preserve"> in nearby lakes, sewage ponds and floodwaters</w:t>
            </w:r>
          </w:p>
          <w:p w14:paraId="728456A2" w14:textId="77777777" w:rsidR="000B173B" w:rsidRPr="00E75A02" w:rsidRDefault="000B173B" w:rsidP="00A15226">
            <w:pPr>
              <w:pStyle w:val="Bullet1"/>
            </w:pPr>
            <w:r w:rsidRPr="00E75A02">
              <w:t>Roosts on sandy beaches, spits, and islets; mudflats; or shallow saline ponds. The species prefers roosting habitat in open areas away from potential cover for predators</w:t>
            </w:r>
            <w:r>
              <w:t>, but close to foraging areas</w:t>
            </w:r>
          </w:p>
          <w:sdt>
            <w:sdtPr>
              <w:rPr>
                <w:color w:val="000000"/>
              </w:rPr>
              <w:tag w:val="MENDELEY_CITATION_v3_eyJjaXRhdGlvbklEIjoiTUVOREVMRVlfQ0lUQVRJT05fZDQ0MmYyN2QtMDlkZC00OTU4LWE3MWQtMzkzZGIyZDBlNjBj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648806395"/>
              <w:placeholder>
                <w:docPart w:val="7A87483195E49548AABB39FF484A13FE"/>
              </w:placeholder>
            </w:sdtPr>
            <w:sdtContent>
              <w:p w14:paraId="59FC66DB" w14:textId="77777777" w:rsidR="000B173B" w:rsidRPr="00E75A02" w:rsidRDefault="000B173B" w:rsidP="00A15226">
                <w:pPr>
                  <w:pStyle w:val="Tabletext"/>
                </w:pPr>
                <w:r w:rsidRPr="00AB79D8">
                  <w:rPr>
                    <w:color w:val="000000"/>
                  </w:rPr>
                  <w:t>(TSSC, 2016b)</w:t>
                </w:r>
              </w:p>
            </w:sdtContent>
          </w:sdt>
        </w:tc>
      </w:tr>
      <w:tr w:rsidR="000B173B" w:rsidRPr="000816D6" w14:paraId="3A92876C" w14:textId="77777777" w:rsidTr="00A15226">
        <w:tc>
          <w:tcPr>
            <w:tcW w:w="1526" w:type="dxa"/>
            <w:vAlign w:val="center"/>
          </w:tcPr>
          <w:p w14:paraId="5DEDA8E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0176832A" w14:textId="77777777" w:rsidR="000B173B" w:rsidRPr="00E75A02" w:rsidRDefault="000B173B" w:rsidP="00A15226">
            <w:pPr>
              <w:pStyle w:val="Tabletext"/>
            </w:pPr>
            <w:r>
              <w:t xml:space="preserve">The global population of the Red Knot was estimated at 1,090,000 in 2008. It is estimated that 68,000 individuals occur in Australia </w:t>
            </w:r>
            <w:sdt>
              <w:sdtPr>
                <w:rPr>
                  <w:color w:val="000000"/>
                </w:rPr>
                <w:tag w:val="MENDELEY_CITATION_v3_eyJjaXRhdGlvbklEIjoiTUVOREVMRVlfQ0lUQVRJT05fM2I4N2JmZDItZDcyZi00NDk0LTgwYjctNzAyMjFhOTY0YWFk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901745118"/>
                <w:placeholder>
                  <w:docPart w:val="7A87483195E49548AABB39FF484A13FE"/>
                </w:placeholder>
              </w:sdtPr>
              <w:sdtContent>
                <w:r w:rsidRPr="00AB79D8">
                  <w:rPr>
                    <w:color w:val="000000"/>
                  </w:rPr>
                  <w:t>(TSSC, 2016b)</w:t>
                </w:r>
              </w:sdtContent>
            </w:sdt>
            <w:r>
              <w:t>.</w:t>
            </w:r>
          </w:p>
        </w:tc>
      </w:tr>
      <w:tr w:rsidR="000B173B" w:rsidRPr="002F23FB" w14:paraId="757A4559" w14:textId="77777777" w:rsidTr="00A15226">
        <w:tc>
          <w:tcPr>
            <w:tcW w:w="1526" w:type="dxa"/>
            <w:vAlign w:val="center"/>
          </w:tcPr>
          <w:p w14:paraId="226217AC"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2832F3D5" w14:textId="77777777" w:rsidR="000B173B" w:rsidRDefault="000B173B" w:rsidP="00A15226">
            <w:pPr>
              <w:pStyle w:val="Tabletext"/>
            </w:pPr>
            <w:r>
              <w:t xml:space="preserve">The species Conservation Advice has identified the following threats </w:t>
            </w:r>
            <w:sdt>
              <w:sdtPr>
                <w:rPr>
                  <w:color w:val="000000"/>
                </w:rPr>
                <w:tag w:val="MENDELEY_CITATION_v3_eyJjaXRhdGlvbklEIjoiTUVOREVMRVlfQ0lUQVRJT05fZDFlM2VhYmYtYjZlNy00NGVkLTljNmUtNTg2OTIzMDYxYmFh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51929705"/>
                <w:placeholder>
                  <w:docPart w:val="7A87483195E49548AABB39FF484A13FE"/>
                </w:placeholder>
              </w:sdtPr>
              <w:sdtContent>
                <w:r w:rsidRPr="00AB79D8">
                  <w:rPr>
                    <w:color w:val="000000"/>
                  </w:rPr>
                  <w:t>(TSSC, 2016b)</w:t>
                </w:r>
              </w:sdtContent>
            </w:sdt>
            <w:r>
              <w:t>:</w:t>
            </w:r>
          </w:p>
          <w:p w14:paraId="45C0FDC2" w14:textId="77777777" w:rsidR="000B173B" w:rsidRDefault="000B173B" w:rsidP="00A15226">
            <w:pPr>
              <w:pStyle w:val="Bullet1"/>
            </w:pPr>
            <w:r>
              <w:t>Habitat loss and habitat degradation through:</w:t>
            </w:r>
          </w:p>
          <w:p w14:paraId="17D3CAFA" w14:textId="77777777" w:rsidR="000B173B" w:rsidRDefault="000B173B" w:rsidP="00A15226">
            <w:pPr>
              <w:pStyle w:val="Bullet2"/>
            </w:pPr>
            <w:r>
              <w:t>Land clearing, inundation, infilling or draining</w:t>
            </w:r>
          </w:p>
          <w:p w14:paraId="331EA7F2" w14:textId="77777777" w:rsidR="000B173B" w:rsidRDefault="000B173B" w:rsidP="00A15226">
            <w:pPr>
              <w:pStyle w:val="Bullet2"/>
            </w:pPr>
            <w:r>
              <w:t>Industrial and urban expansion</w:t>
            </w:r>
          </w:p>
          <w:p w14:paraId="3A1DC190" w14:textId="77777777" w:rsidR="000B173B" w:rsidRDefault="000B173B" w:rsidP="00A15226">
            <w:pPr>
              <w:pStyle w:val="Bullet2"/>
            </w:pPr>
            <w:r>
              <w:t>Water pollution and changes to hydrological regimes</w:t>
            </w:r>
          </w:p>
          <w:p w14:paraId="22977234" w14:textId="77777777" w:rsidR="000B173B" w:rsidRDefault="000B173B" w:rsidP="00A15226">
            <w:pPr>
              <w:pStyle w:val="Bullet2"/>
            </w:pPr>
            <w:r>
              <w:t>Exposure of acid sulphate soil</w:t>
            </w:r>
          </w:p>
          <w:p w14:paraId="2704F3E8" w14:textId="77777777" w:rsidR="000B173B" w:rsidRDefault="000B173B" w:rsidP="00A15226">
            <w:pPr>
              <w:pStyle w:val="Bullet2"/>
            </w:pPr>
            <w:r>
              <w:t>Invasive plants</w:t>
            </w:r>
          </w:p>
          <w:p w14:paraId="040DDBE8" w14:textId="77777777" w:rsidR="000B173B" w:rsidRDefault="000B173B" w:rsidP="00A15226">
            <w:pPr>
              <w:pStyle w:val="Bullet1"/>
            </w:pPr>
            <w:r>
              <w:t>Climate change</w:t>
            </w:r>
          </w:p>
          <w:p w14:paraId="22BA17D8" w14:textId="77777777" w:rsidR="000B173B" w:rsidRDefault="000B173B" w:rsidP="00A15226">
            <w:pPr>
              <w:pStyle w:val="Bullet1"/>
            </w:pPr>
            <w:r>
              <w:lastRenderedPageBreak/>
              <w:t>Pollution and contamination</w:t>
            </w:r>
          </w:p>
          <w:p w14:paraId="583174A9" w14:textId="77777777" w:rsidR="000B173B" w:rsidRDefault="000B173B" w:rsidP="00A15226">
            <w:pPr>
              <w:pStyle w:val="Bullet1"/>
            </w:pPr>
            <w:r>
              <w:t>Human disturbance</w:t>
            </w:r>
          </w:p>
          <w:p w14:paraId="7C556443" w14:textId="77777777" w:rsidR="000B173B" w:rsidRDefault="000B173B" w:rsidP="00A15226">
            <w:pPr>
              <w:pStyle w:val="Bullet1"/>
            </w:pPr>
            <w:r>
              <w:t>Diseases (avian influenza virus)</w:t>
            </w:r>
          </w:p>
          <w:p w14:paraId="72F45B9E" w14:textId="77777777" w:rsidR="000B173B" w:rsidRDefault="000B173B" w:rsidP="00A15226">
            <w:pPr>
              <w:pStyle w:val="Bullet1"/>
            </w:pPr>
            <w:r>
              <w:t>Direct mortality from wind farms, bird strike with aircraft or vehicles, hunting, chemical spills and oil spills</w:t>
            </w:r>
          </w:p>
          <w:p w14:paraId="236BB137" w14:textId="77777777" w:rsidR="000B173B" w:rsidRPr="003E1ADD" w:rsidRDefault="000B173B" w:rsidP="00A15226">
            <w:pPr>
              <w:pStyle w:val="Bullet1"/>
            </w:pPr>
            <w:r>
              <w:t>Overexploitation of shellfish</w:t>
            </w:r>
          </w:p>
        </w:tc>
      </w:tr>
      <w:tr w:rsidR="000B173B" w:rsidRPr="002F23FB" w14:paraId="4837AE9D" w14:textId="77777777" w:rsidTr="00A15226">
        <w:tc>
          <w:tcPr>
            <w:tcW w:w="1526" w:type="dxa"/>
            <w:vAlign w:val="center"/>
          </w:tcPr>
          <w:p w14:paraId="6EC3544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RELEVANT PLANS AND POLICIES</w:t>
            </w:r>
          </w:p>
        </w:tc>
        <w:tc>
          <w:tcPr>
            <w:tcW w:w="8113" w:type="dxa"/>
            <w:vAlign w:val="center"/>
          </w:tcPr>
          <w:p w14:paraId="568505AD" w14:textId="77777777" w:rsidR="000B173B" w:rsidRPr="003E1ADD" w:rsidRDefault="000B173B" w:rsidP="00A15226">
            <w:pPr>
              <w:pStyle w:val="Tabletext"/>
              <w:rPr>
                <w:iCs/>
              </w:rPr>
            </w:pPr>
            <w:r w:rsidRPr="00991604">
              <w:rPr>
                <w:iCs/>
              </w:rPr>
              <w:t xml:space="preserve">Conservation Advice </w:t>
            </w:r>
            <w:r w:rsidRPr="00991604">
              <w:rPr>
                <w:i/>
              </w:rPr>
              <w:t>Calidris canutus</w:t>
            </w:r>
            <w:r w:rsidRPr="00991604">
              <w:rPr>
                <w:iCs/>
              </w:rPr>
              <w:t xml:space="preserve"> Red </w:t>
            </w:r>
            <w:r>
              <w:rPr>
                <w:iCs/>
              </w:rPr>
              <w:t>K</w:t>
            </w:r>
            <w:r w:rsidRPr="00991604">
              <w:rPr>
                <w:iCs/>
              </w:rPr>
              <w:t>not</w:t>
            </w:r>
            <w:r>
              <w:rPr>
                <w:iCs/>
              </w:rPr>
              <w:t xml:space="preserve"> </w:t>
            </w:r>
            <w:sdt>
              <w:sdtPr>
                <w:rPr>
                  <w:iCs/>
                  <w:color w:val="000000"/>
                </w:rPr>
                <w:tag w:val="MENDELEY_CITATION_v3_eyJjaXRhdGlvbklEIjoiTUVOREVMRVlfQ0lUQVRJT05fNzg0YjQ2MTctYjg3Yy00MGRkLTg2ZWYtZjMyN2Q0MTc5ODYy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651042126"/>
                <w:placeholder>
                  <w:docPart w:val="7A87483195E49548AABB39FF484A13FE"/>
                </w:placeholder>
              </w:sdtPr>
              <w:sdtEndPr>
                <w:rPr>
                  <w:iCs w:val="0"/>
                </w:rPr>
              </w:sdtEndPr>
              <w:sdtContent>
                <w:r w:rsidRPr="00AB79D8">
                  <w:rPr>
                    <w:color w:val="000000"/>
                  </w:rPr>
                  <w:t>(TSSC, 2016b)</w:t>
                </w:r>
              </w:sdtContent>
            </w:sdt>
          </w:p>
        </w:tc>
      </w:tr>
      <w:tr w:rsidR="000B173B" w:rsidRPr="000816D6" w14:paraId="2E00644D" w14:textId="77777777" w:rsidTr="00A15226">
        <w:tc>
          <w:tcPr>
            <w:tcW w:w="1526" w:type="dxa"/>
            <w:vAlign w:val="center"/>
          </w:tcPr>
          <w:p w14:paraId="1B32A50A"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00F2289C" w14:textId="77777777" w:rsidR="000B173B" w:rsidRDefault="000B173B" w:rsidP="00A15226">
            <w:pPr>
              <w:pStyle w:val="Tabletext"/>
            </w:pPr>
            <w:r w:rsidRPr="00D32954">
              <w:t>Wildlife Conservation Plan for Migratory Shorebirds</w:t>
            </w:r>
            <w:r>
              <w:t xml:space="preserve"> </w:t>
            </w:r>
            <w:sdt>
              <w:sdtPr>
                <w:rPr>
                  <w:color w:val="000000"/>
                </w:rPr>
                <w:tag w:val="MENDELEY_CITATION_v3_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"/>
                <w:id w:val="1874888045"/>
                <w:placeholder>
                  <w:docPart w:val="7A87483195E49548AABB39FF484A13FE"/>
                </w:placeholder>
              </w:sdtPr>
              <w:sdtContent>
                <w:r w:rsidRPr="00AB79D8">
                  <w:rPr>
                    <w:color w:val="000000"/>
                  </w:rPr>
                  <w:t>(Commonwealth of Australia, 2015)</w:t>
                </w:r>
              </w:sdtContent>
            </w:sdt>
          </w:p>
          <w:p w14:paraId="650C9015" w14:textId="77777777" w:rsidR="000B173B" w:rsidRPr="00980D4D" w:rsidRDefault="000B173B" w:rsidP="00A15226">
            <w:pPr>
              <w:pStyle w:val="Tabletext"/>
            </w:pPr>
            <w:r>
              <w:t>E</w:t>
            </w:r>
            <w:r w:rsidRPr="00A31A72">
              <w:t>PBC Act Policy Statement 3.21 - Industry Guidelines for avoiding, assessing and mitigating impacts on EBBC Act listed migratory shorebird species</w:t>
            </w:r>
            <w:r>
              <w:t xml:space="preserve"> </w:t>
            </w:r>
            <w:sdt>
              <w:sdtPr>
                <w:rPr>
                  <w:color w:val="000000"/>
                </w:rPr>
                <w:tag w:val="MENDELEY_CITATION_v3_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"/>
                <w:id w:val="-2051986799"/>
                <w:placeholder>
                  <w:docPart w:val="7A87483195E49548AABB39FF484A13FE"/>
                </w:placeholder>
              </w:sdtPr>
              <w:sdtContent>
                <w:r w:rsidRPr="00AB79D8">
                  <w:rPr>
                    <w:color w:val="000000"/>
                  </w:rPr>
                  <w:t>(DoE, 2017)</w:t>
                </w:r>
              </w:sdtContent>
            </w:sdt>
          </w:p>
        </w:tc>
      </w:tr>
      <w:tr w:rsidR="000B173B" w:rsidRPr="000816D6" w14:paraId="1720EA96" w14:textId="77777777" w:rsidTr="00A15226">
        <w:tc>
          <w:tcPr>
            <w:tcW w:w="1526" w:type="dxa"/>
            <w:vAlign w:val="center"/>
          </w:tcPr>
          <w:p w14:paraId="6014A7C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137553EA" w14:textId="77777777" w:rsidR="000B173B" w:rsidRPr="003E1ADD" w:rsidRDefault="000B173B" w:rsidP="00A15226">
            <w:pPr>
              <w:pStyle w:val="Tabletext"/>
            </w:pPr>
            <w:hyperlink r:id="rId147" w:history="1">
              <w:r w:rsidRPr="007473F6">
                <w:rPr>
                  <w:rStyle w:val="Hyperlink"/>
                </w:rPr>
                <w:t>http://www.environment.gov.au/cgi-bin/sprat/public/publicspecies.pl?taxon_id=855</w:t>
              </w:r>
            </w:hyperlink>
            <w:r>
              <w:t xml:space="preserve"> </w:t>
            </w:r>
          </w:p>
        </w:tc>
      </w:tr>
    </w:tbl>
    <w:p w14:paraId="64D44745"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416AF297" w14:textId="77777777" w:rsidTr="00A15226">
        <w:tc>
          <w:tcPr>
            <w:tcW w:w="9622" w:type="dxa"/>
            <w:shd w:val="clear" w:color="auto" w:fill="C9C9C9" w:themeFill="accent3" w:themeFillTint="99"/>
          </w:tcPr>
          <w:p w14:paraId="3EBF068C" w14:textId="77777777" w:rsidR="000B173B" w:rsidRPr="008F55BC" w:rsidRDefault="000B173B" w:rsidP="00A15226">
            <w:pPr>
              <w:pStyle w:val="Tabletext"/>
              <w:rPr>
                <w:b/>
                <w:bCs/>
              </w:rPr>
            </w:pPr>
            <w:r>
              <w:rPr>
                <w:rFonts w:ascii="Helvetica" w:hAnsi="Helvetica"/>
                <w:b/>
                <w:sz w:val="16"/>
                <w:szCs w:val="16"/>
              </w:rPr>
              <w:t>APPROACH TO BASELINE DATA</w:t>
            </w:r>
          </w:p>
        </w:tc>
      </w:tr>
    </w:tbl>
    <w:p w14:paraId="3EE95A81"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1941E3ED"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0FD1C581"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7D92A77F" w14:textId="77777777" w:rsidR="000B173B" w:rsidRPr="00296917" w:rsidRDefault="000B173B" w:rsidP="000B173B">
      <w:pPr>
        <w:rPr>
          <w:i/>
          <w:color w:val="4472C4" w:themeColor="accent1"/>
        </w:rPr>
      </w:pPr>
      <w:r w:rsidRPr="000816D6">
        <w:rPr>
          <w:i/>
          <w:color w:val="4472C4" w:themeColor="accent1"/>
        </w:rPr>
        <w:t xml:space="preserve">Please refer to </w:t>
      </w:r>
      <w:r w:rsidRPr="006900FB">
        <w:rPr>
          <w:i/>
          <w:color w:val="4472C4" w:themeColor="accent1"/>
        </w:rPr>
        <w:t>Chapter 13</w:t>
      </w:r>
      <w:r w:rsidRPr="002E0C89">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37E54892" w14:textId="77777777" w:rsidTr="00A15226">
        <w:tc>
          <w:tcPr>
            <w:tcW w:w="1526" w:type="dxa"/>
            <w:vMerge w:val="restart"/>
            <w:vAlign w:val="center"/>
          </w:tcPr>
          <w:p w14:paraId="7E30B7D5"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2E095A98"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722CB694" w14:textId="77777777" w:rsidTr="00A15226">
        <w:tc>
          <w:tcPr>
            <w:tcW w:w="1526" w:type="dxa"/>
            <w:vMerge/>
            <w:vAlign w:val="center"/>
          </w:tcPr>
          <w:p w14:paraId="721DCA39" w14:textId="77777777" w:rsidR="000B173B" w:rsidRDefault="000B173B" w:rsidP="00A15226">
            <w:pPr>
              <w:pStyle w:val="Tabletext"/>
              <w:rPr>
                <w:rFonts w:ascii="Helvetica" w:hAnsi="Helvetica"/>
                <w:b/>
                <w:bCs/>
                <w:sz w:val="14"/>
              </w:rPr>
            </w:pPr>
          </w:p>
        </w:tc>
        <w:tc>
          <w:tcPr>
            <w:tcW w:w="8113" w:type="dxa"/>
            <w:vAlign w:val="center"/>
          </w:tcPr>
          <w:p w14:paraId="7BE3EDF4"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31BBD90D" w14:textId="77777777" w:rsidTr="00A15226">
        <w:tc>
          <w:tcPr>
            <w:tcW w:w="1526" w:type="dxa"/>
            <w:vMerge/>
            <w:vAlign w:val="center"/>
          </w:tcPr>
          <w:p w14:paraId="38653F3B"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1F3790D4"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0435D2E0" w14:textId="77777777" w:rsidTr="00A15226">
        <w:tc>
          <w:tcPr>
            <w:tcW w:w="1526" w:type="dxa"/>
            <w:vMerge/>
            <w:vAlign w:val="center"/>
          </w:tcPr>
          <w:p w14:paraId="0E829EDE" w14:textId="77777777" w:rsidR="000B173B" w:rsidRDefault="000B173B" w:rsidP="00A15226">
            <w:pPr>
              <w:pStyle w:val="Tabletext"/>
              <w:rPr>
                <w:rFonts w:ascii="Helvetica" w:hAnsi="Helvetica"/>
                <w:b/>
                <w:bCs/>
                <w:sz w:val="14"/>
              </w:rPr>
            </w:pPr>
          </w:p>
        </w:tc>
        <w:tc>
          <w:tcPr>
            <w:tcW w:w="8113" w:type="dxa"/>
            <w:vAlign w:val="center"/>
          </w:tcPr>
          <w:p w14:paraId="441567A4"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6C6FDEAF" w14:textId="77777777" w:rsidTr="00A15226">
        <w:tc>
          <w:tcPr>
            <w:tcW w:w="1526" w:type="dxa"/>
            <w:vMerge/>
            <w:vAlign w:val="center"/>
          </w:tcPr>
          <w:p w14:paraId="1FE79C1E"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135CDBFB"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646260C3" w14:textId="77777777" w:rsidTr="00A15226">
        <w:tc>
          <w:tcPr>
            <w:tcW w:w="1526" w:type="dxa"/>
            <w:vMerge/>
            <w:vAlign w:val="center"/>
          </w:tcPr>
          <w:p w14:paraId="1ABEC9C0" w14:textId="77777777" w:rsidR="000B173B" w:rsidRPr="000816D6" w:rsidRDefault="000B173B" w:rsidP="00A15226">
            <w:pPr>
              <w:pStyle w:val="Tabletext"/>
              <w:rPr>
                <w:rFonts w:ascii="Helvetica" w:hAnsi="Helvetica"/>
                <w:b/>
                <w:bCs/>
                <w:sz w:val="14"/>
              </w:rPr>
            </w:pPr>
          </w:p>
        </w:tc>
        <w:tc>
          <w:tcPr>
            <w:tcW w:w="8113" w:type="dxa"/>
            <w:vAlign w:val="center"/>
          </w:tcPr>
          <w:p w14:paraId="244E8D10"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74866F22" w14:textId="77777777" w:rsidR="000B173B" w:rsidRPr="00980D4D" w:rsidRDefault="000B173B" w:rsidP="00A15226">
            <w:pPr>
              <w:pStyle w:val="Tabletext"/>
            </w:pPr>
            <w:r w:rsidRPr="00B03721">
              <w:t>Refer to</w:t>
            </w:r>
            <w:r>
              <w:t xml:space="preserve"> </w:t>
            </w:r>
            <w:r w:rsidRPr="006900FB">
              <w:t>Chapter 13 of Part 3</w:t>
            </w:r>
            <w:r w:rsidRPr="002E0C89">
              <w:t xml:space="preserve"> for</w:t>
            </w:r>
            <w:r>
              <w:t xml:space="preserve"> a detailed description of the baseline mapping, landholder surveys, and HIMs.</w:t>
            </w:r>
          </w:p>
        </w:tc>
      </w:tr>
      <w:tr w:rsidR="000B173B" w:rsidRPr="003E1ADD" w14:paraId="11839212" w14:textId="77777777" w:rsidTr="00A15226">
        <w:tc>
          <w:tcPr>
            <w:tcW w:w="1526" w:type="dxa"/>
            <w:vMerge w:val="restart"/>
            <w:vAlign w:val="center"/>
          </w:tcPr>
          <w:p w14:paraId="2D270AF5"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4DDC24FB"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065315DB" w14:textId="77777777" w:rsidTr="00A15226">
        <w:tc>
          <w:tcPr>
            <w:tcW w:w="1526" w:type="dxa"/>
            <w:vMerge/>
            <w:vAlign w:val="center"/>
          </w:tcPr>
          <w:p w14:paraId="7F876AB1" w14:textId="77777777" w:rsidR="000B173B" w:rsidRDefault="000B173B" w:rsidP="00A15226">
            <w:pPr>
              <w:pStyle w:val="Tabletext"/>
              <w:rPr>
                <w:rFonts w:ascii="Helvetica" w:hAnsi="Helvetica"/>
                <w:b/>
                <w:bCs/>
                <w:sz w:val="14"/>
              </w:rPr>
            </w:pPr>
          </w:p>
        </w:tc>
        <w:tc>
          <w:tcPr>
            <w:tcW w:w="8113" w:type="dxa"/>
            <w:vAlign w:val="center"/>
          </w:tcPr>
          <w:p w14:paraId="09150450"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79A95A8D" w14:textId="77777777" w:rsidTr="00A15226">
        <w:tc>
          <w:tcPr>
            <w:tcW w:w="1526" w:type="dxa"/>
            <w:vMerge/>
            <w:vAlign w:val="center"/>
          </w:tcPr>
          <w:p w14:paraId="3C7A2D27"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36230CA8"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0F737B66" w14:textId="77777777" w:rsidTr="00A15226">
        <w:tc>
          <w:tcPr>
            <w:tcW w:w="1526" w:type="dxa"/>
            <w:vMerge/>
            <w:vAlign w:val="center"/>
          </w:tcPr>
          <w:p w14:paraId="7103C509" w14:textId="77777777" w:rsidR="000B173B" w:rsidRDefault="000B173B" w:rsidP="00A15226">
            <w:pPr>
              <w:pStyle w:val="Tabletext"/>
              <w:rPr>
                <w:rFonts w:ascii="Helvetica" w:hAnsi="Helvetica"/>
                <w:b/>
                <w:bCs/>
                <w:sz w:val="14"/>
              </w:rPr>
            </w:pPr>
          </w:p>
        </w:tc>
        <w:tc>
          <w:tcPr>
            <w:tcW w:w="8113" w:type="dxa"/>
            <w:vAlign w:val="center"/>
          </w:tcPr>
          <w:p w14:paraId="38AAE72D" w14:textId="77777777" w:rsidR="000B173B" w:rsidRPr="00BB022D" w:rsidRDefault="000B173B" w:rsidP="00A15226">
            <w:pPr>
              <w:pStyle w:val="Bullet1"/>
              <w:numPr>
                <w:ilvl w:val="0"/>
                <w:numId w:val="0"/>
              </w:numPr>
              <w:ind w:left="360" w:hanging="360"/>
            </w:pPr>
            <w:r w:rsidRPr="00C62332">
              <w:t xml:space="preserve">VBA records for the </w:t>
            </w:r>
            <w:r>
              <w:t>Red Knot</w:t>
            </w:r>
            <w:r w:rsidRPr="00C62332">
              <w:t xml:space="preserve"> used in this assessment were downloaded in June 2022.</w:t>
            </w:r>
          </w:p>
        </w:tc>
      </w:tr>
      <w:tr w:rsidR="000B173B" w:rsidRPr="003E1ADD" w14:paraId="6B7BB673" w14:textId="77777777" w:rsidTr="00A15226">
        <w:tc>
          <w:tcPr>
            <w:tcW w:w="1526" w:type="dxa"/>
            <w:vMerge/>
            <w:vAlign w:val="center"/>
          </w:tcPr>
          <w:p w14:paraId="5C51A78F"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4395F8EF"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7036A7BD" w14:textId="77777777" w:rsidTr="00A15226">
        <w:tc>
          <w:tcPr>
            <w:tcW w:w="1526" w:type="dxa"/>
            <w:vMerge/>
            <w:vAlign w:val="center"/>
          </w:tcPr>
          <w:p w14:paraId="04133A84" w14:textId="77777777" w:rsidR="000B173B" w:rsidRDefault="000B173B" w:rsidP="00A15226">
            <w:pPr>
              <w:pStyle w:val="Tabletext"/>
              <w:rPr>
                <w:rFonts w:ascii="Helvetica" w:hAnsi="Helvetica"/>
                <w:b/>
                <w:bCs/>
                <w:sz w:val="14"/>
              </w:rPr>
            </w:pPr>
          </w:p>
        </w:tc>
        <w:tc>
          <w:tcPr>
            <w:tcW w:w="8113" w:type="dxa"/>
            <w:vAlign w:val="center"/>
          </w:tcPr>
          <w:p w14:paraId="70B87A3F" w14:textId="77777777" w:rsidR="000B173B" w:rsidRPr="00BB022D" w:rsidRDefault="000B173B" w:rsidP="00A15226">
            <w:pPr>
              <w:pStyle w:val="Tabletext"/>
            </w:pPr>
            <w:r w:rsidRPr="00C62332">
              <w:t>Given the mobile nature</w:t>
            </w:r>
            <w:r>
              <w:t xml:space="preserve"> </w:t>
            </w:r>
            <w:r w:rsidRPr="00C62332">
              <w:t xml:space="preserve">of the species, all records within the Study Area </w:t>
            </w:r>
            <w:r>
              <w:t>are</w:t>
            </w:r>
            <w:r w:rsidRPr="00C62332">
              <w:t xml:space="preserve"> considered a single population.</w:t>
            </w:r>
          </w:p>
        </w:tc>
      </w:tr>
    </w:tbl>
    <w:p w14:paraId="7BCDEA3A"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7BD288FB" w14:textId="77777777" w:rsidTr="00A15226">
        <w:tc>
          <w:tcPr>
            <w:tcW w:w="9622" w:type="dxa"/>
            <w:shd w:val="clear" w:color="auto" w:fill="C9C9C9" w:themeFill="accent3" w:themeFillTint="99"/>
          </w:tcPr>
          <w:p w14:paraId="259FBAEB" w14:textId="77777777" w:rsidR="000B173B" w:rsidRPr="008F55BC" w:rsidRDefault="000B173B" w:rsidP="00A15226">
            <w:pPr>
              <w:pStyle w:val="Tabletext"/>
              <w:keepNext/>
              <w:keepLines/>
              <w:rPr>
                <w:b/>
                <w:bCs/>
              </w:rPr>
            </w:pPr>
            <w:r>
              <w:rPr>
                <w:rFonts w:ascii="Helvetica" w:hAnsi="Helvetica"/>
                <w:b/>
                <w:sz w:val="16"/>
                <w:szCs w:val="16"/>
              </w:rPr>
              <w:lastRenderedPageBreak/>
              <w:t>OC</w:t>
            </w:r>
            <w:r w:rsidRPr="008F55BC">
              <w:rPr>
                <w:rFonts w:ascii="Helvetica" w:hAnsi="Helvetica"/>
                <w:b/>
                <w:sz w:val="16"/>
                <w:szCs w:val="16"/>
              </w:rPr>
              <w:t>C</w:t>
            </w:r>
            <w:r>
              <w:rPr>
                <w:rFonts w:ascii="Helvetica" w:hAnsi="Helvetica"/>
                <w:b/>
                <w:sz w:val="16"/>
                <w:szCs w:val="16"/>
              </w:rPr>
              <w:t>URRENCE IN THE STUDY AREA</w:t>
            </w:r>
          </w:p>
        </w:tc>
      </w:tr>
    </w:tbl>
    <w:p w14:paraId="56DE0D8D"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the </w:t>
      </w:r>
      <w:r>
        <w:rPr>
          <w:i/>
          <w:iCs/>
          <w:color w:val="4472C4" w:themeColor="accent1"/>
        </w:rPr>
        <w:t xml:space="preserve">Study </w:t>
      </w:r>
      <w:r w:rsidRPr="00CA1943">
        <w:rPr>
          <w:i/>
          <w:iCs/>
          <w:color w:val="4472C4" w:themeColor="accent1"/>
        </w:rPr>
        <w:t>Area. It includes reference to a map of records and habitat which can be viewed as a separate file. The map provides critical context for the assessment and should be viewed in conjunction with the text presented in this assessment. This section also provides a qualitative description</w:t>
      </w:r>
      <w:r w:rsidRPr="00BB022D">
        <w:rPr>
          <w:i/>
          <w:iCs/>
          <w:color w:val="4472C4" w:themeColor="accent1"/>
        </w:rPr>
        <w:t xml:space="preserve"> of where records and habitat occur.</w:t>
      </w:r>
    </w:p>
    <w:p w14:paraId="1FBACA8B" w14:textId="77777777" w:rsidR="000B173B" w:rsidRDefault="000B173B" w:rsidP="000B173B">
      <w:pPr>
        <w:rPr>
          <w:b/>
          <w:bCs/>
          <w:highlight w:val="yellow"/>
        </w:rPr>
      </w:pPr>
      <w:r w:rsidRPr="002212F1">
        <w:t>S</w:t>
      </w:r>
      <w:r w:rsidRPr="002E0C89">
        <w:t xml:space="preserve">ee </w:t>
      </w:r>
      <w:hyperlink r:id="rId148" w:history="1">
        <w:r w:rsidRPr="00AC291E">
          <w:rPr>
            <w:rStyle w:val="Hyperlink"/>
          </w:rPr>
          <w:t>Map 19-19</w:t>
        </w:r>
      </w:hyperlink>
      <w:r w:rsidRPr="006900FB">
        <w:t xml:space="preserve"> </w:t>
      </w:r>
      <w:r w:rsidRPr="002E0C89">
        <w:t>for</w:t>
      </w:r>
      <w:r w:rsidRPr="002212F1">
        <w:t xml:space="preserve"> a map of records and habitat across the Strategic Assessment Area.</w:t>
      </w:r>
      <w:r w:rsidRPr="002212F1">
        <w:rPr>
          <w:b/>
          <w:bCs/>
        </w:rPr>
        <w:t xml:space="preserve"> </w:t>
      </w:r>
    </w:p>
    <w:p w14:paraId="5BF8F4AF" w14:textId="77777777" w:rsidR="000B173B" w:rsidRPr="000B2B13" w:rsidRDefault="000B173B" w:rsidP="000B173B">
      <w:r>
        <w:t xml:space="preserve">A </w:t>
      </w:r>
      <w:r w:rsidRPr="00E90B6C">
        <w:t>total o</w:t>
      </w:r>
      <w:r w:rsidRPr="00777928">
        <w:t xml:space="preserve">f </w:t>
      </w:r>
      <w:r w:rsidRPr="006900FB">
        <w:t>4,364.5 ha</w:t>
      </w:r>
      <w:r w:rsidRPr="00777928">
        <w:t xml:space="preserve"> of potential habitat has been mapped within the Study Area. Of this, </w:t>
      </w:r>
      <w:r w:rsidRPr="006900FB">
        <w:t>5.6 ha</w:t>
      </w:r>
      <w:r>
        <w:t xml:space="preserve"> occurs within the Strategic Assessment Area. No habitat has been mapped within the Growth Areas.</w:t>
      </w:r>
    </w:p>
    <w:p w14:paraId="78CFD4A2" w14:textId="77777777" w:rsidR="000B173B" w:rsidRPr="002212F1" w:rsidRDefault="000B173B" w:rsidP="000B173B">
      <w:r w:rsidRPr="002212F1">
        <w:t xml:space="preserve">There are </w:t>
      </w:r>
      <w:r w:rsidRPr="006900FB">
        <w:t>466 records</w:t>
      </w:r>
      <w:r w:rsidRPr="00777928">
        <w:t xml:space="preserve"> (</w:t>
      </w:r>
      <w:r w:rsidRPr="006900FB">
        <w:t>2,545 individuals</w:t>
      </w:r>
      <w:r w:rsidRPr="00777928">
        <w:t>) of the</w:t>
      </w:r>
      <w:r w:rsidRPr="002212F1">
        <w:t xml:space="preserve"> Red Knot within the Study Area, the most recent of which was recorded in 2019. The species has not been recorded within the Strategic Assessment Area.</w:t>
      </w:r>
    </w:p>
    <w:p w14:paraId="581D3CBE" w14:textId="77777777" w:rsidR="000B173B" w:rsidRDefault="000B173B" w:rsidP="000B173B">
      <w:r>
        <w:t>Mapped habitat and the majority of records (</w:t>
      </w:r>
      <w:r w:rsidRPr="006900FB">
        <w:t>444 records</w:t>
      </w:r>
      <w:r w:rsidRPr="00777928">
        <w:t xml:space="preserve">, constituting </w:t>
      </w:r>
      <w:r w:rsidRPr="006900FB">
        <w:t>2,416 individuals</w:t>
      </w:r>
      <w:r w:rsidRPr="00777928">
        <w:t>) for</w:t>
      </w:r>
      <w:r>
        <w:t xml:space="preserve"> the Red Knot occur along the northern shoreline of Port Phillip Bay, from Limeburners Bay in the west through to the Study Area boundary in the east.</w:t>
      </w:r>
    </w:p>
    <w:p w14:paraId="74B02275" w14:textId="77777777" w:rsidR="000B173B" w:rsidRDefault="000B173B" w:rsidP="000B173B">
      <w:r>
        <w:t xml:space="preserve">Mapped habitat and a smaller number </w:t>
      </w:r>
      <w:r w:rsidRPr="00777928">
        <w:t>of records (</w:t>
      </w:r>
      <w:r w:rsidRPr="006900FB">
        <w:t>8 records</w:t>
      </w:r>
      <w:r w:rsidRPr="00777928">
        <w:t xml:space="preserve">, constituting </w:t>
      </w:r>
      <w:r w:rsidRPr="006900FB">
        <w:t>31 individuals)</w:t>
      </w:r>
      <w:r w:rsidRPr="00777928">
        <w:t xml:space="preserve"> occur in</w:t>
      </w:r>
      <w:r>
        <w:t xml:space="preserve"> the Moolap locality.</w:t>
      </w:r>
    </w:p>
    <w:p w14:paraId="2426CFC0" w14:textId="77777777" w:rsidR="000B173B" w:rsidRDefault="000B173B" w:rsidP="000B173B">
      <w:r w:rsidRPr="006900FB">
        <w:t>14 records (98 individuals</w:t>
      </w:r>
      <w:r w:rsidRPr="00777928">
        <w:t>) and</w:t>
      </w:r>
      <w:r>
        <w:t xml:space="preserve"> mapped habitat also occur at the Lake Connewarre Complex.</w:t>
      </w:r>
    </w:p>
    <w:p w14:paraId="7FFCCC24" w14:textId="77777777" w:rsidR="000B173B" w:rsidRDefault="000B173B" w:rsidP="000B173B">
      <w:r>
        <w:t>Habitat not associated with records occurs in the estuarine environment of Thompson Creek in the south of the Study Area.</w:t>
      </w:r>
    </w:p>
    <w:p w14:paraId="203087A7" w14:textId="77777777" w:rsidR="000B173B"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65755F1C" w14:textId="77777777" w:rsidTr="00A15226">
        <w:trPr>
          <w:cantSplit/>
        </w:trPr>
        <w:tc>
          <w:tcPr>
            <w:tcW w:w="9632" w:type="dxa"/>
            <w:shd w:val="clear" w:color="auto" w:fill="D9D9D9" w:themeFill="background1" w:themeFillShade="D9"/>
            <w:vAlign w:val="center"/>
          </w:tcPr>
          <w:p w14:paraId="00D0CDD7" w14:textId="77777777" w:rsidR="000B173B" w:rsidRPr="000816D6" w:rsidRDefault="000B173B" w:rsidP="00A15226">
            <w:pPr>
              <w:pStyle w:val="TableHeadingLarge"/>
            </w:pPr>
            <w:r w:rsidRPr="000816D6">
              <w:rPr>
                <w:rFonts w:ascii="Helvetica" w:hAnsi="Helvetica"/>
              </w:rPr>
              <w:t>POTENTIAL INDIRECT IMPACTS AND MITIGATION</w:t>
            </w:r>
          </w:p>
        </w:tc>
      </w:tr>
    </w:tbl>
    <w:p w14:paraId="62CEA33E"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2C59604F"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7BD087EB"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09FB3EAE"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06A059E1" w14:textId="77777777" w:rsidR="000B173B" w:rsidRPr="007C1D70" w:rsidRDefault="000B173B" w:rsidP="000B173B">
      <w:pPr>
        <w:rPr>
          <w:i/>
          <w:color w:val="4472C4" w:themeColor="accent1"/>
        </w:rPr>
      </w:pPr>
      <w:r w:rsidRPr="007C1D70">
        <w:rPr>
          <w:i/>
          <w:color w:val="4472C4" w:themeColor="accent1"/>
        </w:rPr>
        <w:t xml:space="preserve">Please refer to </w:t>
      </w:r>
      <w:r w:rsidRPr="006900FB">
        <w:rPr>
          <w:i/>
          <w:color w:val="4472C4" w:themeColor="accent1"/>
        </w:rPr>
        <w:t>Chapter 19</w:t>
      </w:r>
      <w:r w:rsidRPr="00777928">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777928">
        <w:rPr>
          <w:i/>
          <w:color w:val="4472C4" w:themeColor="accent1"/>
        </w:rPr>
        <w:t xml:space="preserve"> for</w:t>
      </w:r>
      <w:r w:rsidRPr="007C1D70">
        <w:rPr>
          <w:i/>
          <w:color w:val="4472C4" w:themeColor="accent1"/>
        </w:rPr>
        <w:t xml:space="preserve"> a detailed discussion and analysis of indirect impacts and mitigation measures included in the Plan. </w:t>
      </w:r>
    </w:p>
    <w:p w14:paraId="50A4B6D9" w14:textId="77777777" w:rsidR="000B173B" w:rsidRDefault="000B173B" w:rsidP="000B173B">
      <w:pPr>
        <w:pStyle w:val="Heading3"/>
        <w:numPr>
          <w:ilvl w:val="0"/>
          <w:numId w:val="0"/>
        </w:numPr>
        <w:ind w:left="720" w:hanging="720"/>
      </w:pPr>
      <w:r w:rsidRPr="00FB680C">
        <w:t>R</w:t>
      </w:r>
      <w:r>
        <w:t>elevant potential indirect impacts</w:t>
      </w:r>
    </w:p>
    <w:p w14:paraId="5A077FD1" w14:textId="77777777" w:rsidR="000B173B" w:rsidRDefault="000B173B" w:rsidP="000B173B">
      <w:r w:rsidRPr="00A1440D">
        <w:t>The Conservation Advice for the</w:t>
      </w:r>
      <w:r>
        <w:t xml:space="preserve"> Red Knot</w:t>
      </w:r>
      <w:r w:rsidRPr="002B70F0">
        <w:t xml:space="preserve"> identifies a range of threats to the species</w:t>
      </w:r>
      <w:r>
        <w:t xml:space="preserve"> </w:t>
      </w:r>
      <w:sdt>
        <w:sdtPr>
          <w:rPr>
            <w:color w:val="000000"/>
          </w:rPr>
          <w:tag w:val="MENDELEY_CITATION_v3_eyJjaXRhdGlvbklEIjoiTUVOREVMRVlfQ0lUQVRJT05fODY0N2ViMjktZDdlMi00ZGZiLTlkMGUtOTAwMDdhNWExMzcz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860114888"/>
          <w:placeholder>
            <w:docPart w:val="7A87483195E49548AABB39FF484A13FE"/>
          </w:placeholder>
        </w:sdtPr>
        <w:sdtContent>
          <w:r w:rsidRPr="00AB79D8">
            <w:rPr>
              <w:color w:val="000000"/>
            </w:rPr>
            <w:t>(TSSC, 2016b)</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6CBF5EB9" w14:textId="77777777" w:rsidR="000B173B" w:rsidRDefault="000B173B" w:rsidP="000B173B">
      <w:r>
        <w:t>The following potential indirect impacts (identified as threats) are considered relevant to implementation of the Plan:</w:t>
      </w:r>
    </w:p>
    <w:p w14:paraId="04A1CB55" w14:textId="77777777" w:rsidR="000B173B" w:rsidRPr="00115FA1" w:rsidRDefault="000B173B" w:rsidP="000B173B">
      <w:pPr>
        <w:pStyle w:val="Bullet1"/>
      </w:pPr>
      <w:r w:rsidRPr="00115FA1">
        <w:t>Human disturbance</w:t>
      </w:r>
    </w:p>
    <w:p w14:paraId="4E02338D" w14:textId="77777777" w:rsidR="000B173B" w:rsidRPr="00115FA1" w:rsidRDefault="000B173B" w:rsidP="000B173B">
      <w:pPr>
        <w:pStyle w:val="Bullet1"/>
      </w:pPr>
      <w:r w:rsidRPr="00115FA1">
        <w:t>Water pollution and changes to hydrological regimes</w:t>
      </w:r>
    </w:p>
    <w:p w14:paraId="4580807D" w14:textId="77777777" w:rsidR="000B173B" w:rsidRDefault="000B173B" w:rsidP="000B173B">
      <w:r w:rsidRPr="003A2AF0">
        <w:t xml:space="preserve">There are a number of additional threats to the species identified in the Conservation Advice. However, potential indirect impacts associated with these threats are considered unlikely given the landscape context of the site and the ecology of the species. Refer </w:t>
      </w:r>
      <w:r w:rsidRPr="00777928">
        <w:t xml:space="preserve">to </w:t>
      </w:r>
      <w:r w:rsidRPr="006900FB">
        <w:t>Section 17.2 of Chapter 17</w:t>
      </w:r>
      <w:r w:rsidRPr="00777928">
        <w:t xml:space="preserve"> for</w:t>
      </w:r>
      <w:r>
        <w:t xml:space="preserve"> a detailed assessment of potential indirect impacts associated with the implementation of the Plan.</w:t>
      </w:r>
      <w:r w:rsidRPr="00CC2A00" w:rsidDel="00727335">
        <w:rPr>
          <w:highlight w:val="yellow"/>
        </w:rPr>
        <w:t xml:space="preserve"> </w:t>
      </w:r>
    </w:p>
    <w:p w14:paraId="6DCE1433" w14:textId="77777777" w:rsidR="000B173B" w:rsidRDefault="000B173B" w:rsidP="000B173B">
      <w:r>
        <w:t>Climate change is also identified as a threat to the species. The potential impacts of climate change and relevant mitigation measures under the Plan are outlined in Part 5.</w:t>
      </w:r>
    </w:p>
    <w:p w14:paraId="15E9CBBC" w14:textId="77777777" w:rsidR="000B173B" w:rsidRDefault="000B173B" w:rsidP="000B173B">
      <w:pPr>
        <w:pStyle w:val="Heading4"/>
      </w:pPr>
      <w:r>
        <w:lastRenderedPageBreak/>
        <w:t>Human disturbance</w:t>
      </w:r>
    </w:p>
    <w:p w14:paraId="4539B1A8" w14:textId="77777777" w:rsidR="000B173B" w:rsidRDefault="000B173B" w:rsidP="000B173B">
      <w:r>
        <w:t xml:space="preserve">Disturbance may result from recreational activities such as fishing, boating, dog walking, four-wheel driving, noise and lighting. While an individual source of disturbance may have a low impact, it is important to consider the cumulative impact of different types of human disturbance on the species </w:t>
      </w:r>
      <w:sdt>
        <w:sdtPr>
          <w:rPr>
            <w:color w:val="000000"/>
          </w:rPr>
          <w:tag w:val="MENDELEY_CITATION_v3_eyJjaXRhdGlvbklEIjoiTUVOREVMRVlfQ0lUQVRJT05fN2E2ZTMxZmQtOTUzOS00Y2E3LTgzMmYtMmZkOTEwZThmZjdm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1762490194"/>
          <w:placeholder>
            <w:docPart w:val="7A87483195E49548AABB39FF484A13FE"/>
          </w:placeholder>
        </w:sdtPr>
        <w:sdtContent>
          <w:r w:rsidRPr="00AB79D8">
            <w:rPr>
              <w:color w:val="000000"/>
            </w:rPr>
            <w:t>(TSSC, 2016b)</w:t>
          </w:r>
        </w:sdtContent>
      </w:sdt>
      <w:r>
        <w:t>.</w:t>
      </w:r>
    </w:p>
    <w:p w14:paraId="51614303" w14:textId="77777777" w:rsidR="000B173B" w:rsidRDefault="000B173B" w:rsidP="000B173B">
      <w:r>
        <w:t xml:space="preserve">As a migratory shorebird, the Red Knot requires suitable foraging opportunities to build up energy stores required for migration. Human disturbance can interrupt the species’ feeding or roosting behaviours and may cause the species not to feed or roost in a location that would otherwise provide suitable habitat. Disturbance can also reduce the time the species has available for foraging and resting and increase the time the species spends engaging in vigilance and anti-predator behaviour </w:t>
      </w:r>
      <w:sdt>
        <w:sdtPr>
          <w:rPr>
            <w:color w:val="000000"/>
          </w:rPr>
          <w:tag w:val="MENDELEY_CITATION_v3_eyJjaXRhdGlvbklEIjoiTUVOREVMRVlfQ0lUQVRJT05fZjk2OGU5N2MtMmNhNi00MjdkLTlhYzUtZWUwYzQ5Y2RjY2Ux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785774226"/>
          <w:placeholder>
            <w:docPart w:val="7A87483195E49548AABB39FF484A13FE"/>
          </w:placeholder>
        </w:sdtPr>
        <w:sdtContent>
          <w:r w:rsidRPr="00AB79D8">
            <w:rPr>
              <w:color w:val="000000"/>
            </w:rPr>
            <w:t>(TSSC, 2016b)</w:t>
          </w:r>
        </w:sdtContent>
      </w:sdt>
      <w:r>
        <w:t>.</w:t>
      </w:r>
    </w:p>
    <w:p w14:paraId="1B54A0C9" w14:textId="77777777" w:rsidR="000B173B" w:rsidRPr="0066115E" w:rsidRDefault="000B173B" w:rsidP="000B173B">
      <w:pPr>
        <w:pStyle w:val="Heading4"/>
      </w:pPr>
      <w:r>
        <w:t>Water pollution and changes to hydrological regimes</w:t>
      </w:r>
    </w:p>
    <w:p w14:paraId="18A8F891" w14:textId="77777777" w:rsidR="000B173B" w:rsidRDefault="000B173B" w:rsidP="000B173B">
      <w:r>
        <w:t xml:space="preserve">The Red Knot has specialised feeding techniques and is susceptible to slight changes in prey sources and foraging environments. Changes to water regimes and water pollution can result in habitat degradation which can affect the suitability of habitat for the Red Knot. The species is particularly sensitive to impacts due to its high site fidelity, tendency to aggregate, high energy demands required for migration and requirement for a network of foraging and roosting habitats  </w:t>
      </w:r>
      <w:sdt>
        <w:sdtPr>
          <w:rPr>
            <w:color w:val="000000"/>
          </w:rPr>
          <w:tag w:val="MENDELEY_CITATION_v3_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"/>
          <w:id w:val="-827135450"/>
          <w:placeholder>
            <w:docPart w:val="7A87483195E49548AABB39FF484A13FE"/>
          </w:placeholder>
        </w:sdtPr>
        <w:sdtContent>
          <w:r w:rsidRPr="00AB79D8">
            <w:rPr>
              <w:color w:val="000000"/>
            </w:rPr>
            <w:t>(TSSC, 2016b)</w:t>
          </w:r>
        </w:sdtContent>
      </w:sdt>
      <w:r>
        <w:t>.</w:t>
      </w:r>
    </w:p>
    <w:p w14:paraId="25549956"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2CBF9082" w14:textId="77777777" w:rsidTr="00A15226">
        <w:tc>
          <w:tcPr>
            <w:tcW w:w="9622" w:type="dxa"/>
            <w:shd w:val="clear" w:color="auto" w:fill="C9C9C9" w:themeFill="accent3" w:themeFillTint="99"/>
          </w:tcPr>
          <w:p w14:paraId="398B36BC"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4C178645"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17.3</w:t>
      </w:r>
      <w:r w:rsidRPr="00777928">
        <w:rPr>
          <w:i/>
          <w:color w:val="4472C4" w:themeColor="accent1"/>
        </w:rPr>
        <w:t xml:space="preserve"> of </w:t>
      </w:r>
      <w:r w:rsidRPr="006900FB">
        <w:rPr>
          <w:i/>
          <w:color w:val="4472C4" w:themeColor="accent1"/>
        </w:rPr>
        <w:t>Chapter 17.</w:t>
      </w:r>
    </w:p>
    <w:p w14:paraId="3D86E400" w14:textId="77777777" w:rsidR="000B173B" w:rsidRPr="000816D6" w:rsidRDefault="000B173B" w:rsidP="000B173B">
      <w:pPr>
        <w:pStyle w:val="Heading3"/>
        <w:numPr>
          <w:ilvl w:val="0"/>
          <w:numId w:val="0"/>
        </w:numPr>
        <w:ind w:left="720" w:hanging="720"/>
      </w:pPr>
      <w:r w:rsidRPr="000816D6">
        <w:t>C</w:t>
      </w:r>
      <w:r>
        <w:t>onsistency with recovery plan</w:t>
      </w:r>
    </w:p>
    <w:p w14:paraId="7AE5B328" w14:textId="77777777" w:rsidR="000B173B" w:rsidRDefault="000B173B" w:rsidP="000B173B">
      <w:r>
        <w:t>There is no adopted or made Recovery Plan for this species.</w:t>
      </w:r>
    </w:p>
    <w:p w14:paraId="5916F998"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617223FE"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_Ref106867849 \h </w:instrText>
      </w:r>
      <w:r>
        <w:fldChar w:fldCharType="separate"/>
      </w:r>
      <w:r>
        <w:t xml:space="preserve">Table </w:t>
      </w:r>
      <w:r>
        <w:rPr>
          <w:noProof/>
        </w:rPr>
        <w:t>B</w:t>
      </w:r>
      <w:r>
        <w:noBreakHyphen/>
      </w:r>
      <w:r>
        <w:rPr>
          <w:noProof/>
        </w:rPr>
        <w:t>10</w:t>
      </w:r>
      <w:r>
        <w:fldChar w:fldCharType="end"/>
      </w:r>
      <w:r>
        <w:t xml:space="preserve"> where they relate to:</w:t>
      </w:r>
    </w:p>
    <w:p w14:paraId="72DBB710" w14:textId="77777777" w:rsidR="000B173B" w:rsidRDefault="000B173B" w:rsidP="000B173B">
      <w:pPr>
        <w:pStyle w:val="Bullet1"/>
      </w:pPr>
      <w:r>
        <w:t>The potential direct impacts of the Plan, or</w:t>
      </w:r>
    </w:p>
    <w:p w14:paraId="720AE150" w14:textId="77777777" w:rsidR="000B173B" w:rsidRDefault="000B173B" w:rsidP="000B173B">
      <w:pPr>
        <w:pStyle w:val="Bullet1"/>
      </w:pPr>
      <w:r>
        <w:t>The relevant indirect impacts</w:t>
      </w:r>
    </w:p>
    <w:p w14:paraId="2672A7AF" w14:textId="77777777" w:rsidR="000B173B" w:rsidRDefault="000B173B" w:rsidP="000B173B">
      <w:pPr>
        <w:pStyle w:val="Caption"/>
        <w:keepNext/>
      </w:pPr>
      <w:bookmarkStart w:id="285" w:name="_Ref106867849"/>
      <w:bookmarkStart w:id="286" w:name="_Toc134697927"/>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10</w:t>
      </w:r>
      <w:r>
        <w:fldChar w:fldCharType="end"/>
      </w:r>
      <w:bookmarkEnd w:id="285"/>
      <w:r>
        <w:t xml:space="preserve">: </w:t>
      </w:r>
      <w:r w:rsidRPr="005F676F">
        <w:t xml:space="preserve">Relevant Key Threatening Processes and associated Threat Abatement Plans for </w:t>
      </w:r>
      <w:r>
        <w:t>the Red Knot</w:t>
      </w:r>
      <w:bookmarkEnd w:id="286"/>
    </w:p>
    <w:tbl>
      <w:tblPr>
        <w:tblStyle w:val="TableGrid"/>
        <w:tblW w:w="0" w:type="auto"/>
        <w:tblLook w:val="04A0" w:firstRow="1" w:lastRow="0" w:firstColumn="1" w:lastColumn="0" w:noHBand="0" w:noVBand="1"/>
      </w:tblPr>
      <w:tblGrid>
        <w:gridCol w:w="4811"/>
        <w:gridCol w:w="4811"/>
      </w:tblGrid>
      <w:tr w:rsidR="000B173B" w14:paraId="2A54B689" w14:textId="77777777" w:rsidTr="00A15226">
        <w:trPr>
          <w:tblHeader/>
        </w:trPr>
        <w:tc>
          <w:tcPr>
            <w:tcW w:w="4811" w:type="dxa"/>
            <w:shd w:val="clear" w:color="auto" w:fill="DBDBDB" w:themeFill="accent3" w:themeFillTint="66"/>
          </w:tcPr>
          <w:p w14:paraId="1797B487"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31F54B40" w14:textId="77777777" w:rsidR="000B173B" w:rsidRPr="00FF1996" w:rsidRDefault="000B173B" w:rsidP="00A15226">
            <w:pPr>
              <w:pStyle w:val="Tabletext"/>
              <w:rPr>
                <w:b/>
                <w:bCs/>
              </w:rPr>
            </w:pPr>
            <w:r w:rsidRPr="00FF1996">
              <w:rPr>
                <w:b/>
                <w:bCs/>
              </w:rPr>
              <w:t>Threat abatement plan</w:t>
            </w:r>
          </w:p>
        </w:tc>
      </w:tr>
      <w:tr w:rsidR="000B173B" w14:paraId="25FE957D" w14:textId="77777777" w:rsidTr="00A15226">
        <w:tc>
          <w:tcPr>
            <w:tcW w:w="4811" w:type="dxa"/>
            <w:vAlign w:val="center"/>
          </w:tcPr>
          <w:p w14:paraId="0EEB68E9" w14:textId="77777777" w:rsidR="000B173B" w:rsidRDefault="000B173B" w:rsidP="00A15226">
            <w:pPr>
              <w:pStyle w:val="Tabletext"/>
            </w:pPr>
            <w:r>
              <w:t xml:space="preserve">Land clearance </w:t>
            </w:r>
          </w:p>
        </w:tc>
        <w:tc>
          <w:tcPr>
            <w:tcW w:w="4811" w:type="dxa"/>
          </w:tcPr>
          <w:p w14:paraId="78245C87" w14:textId="77777777" w:rsidR="000B173B" w:rsidRDefault="000B173B" w:rsidP="00A15226">
            <w:pPr>
              <w:pStyle w:val="Tabletext"/>
            </w:pPr>
            <w:r>
              <w:t>There is no relevant TAP</w:t>
            </w:r>
          </w:p>
        </w:tc>
      </w:tr>
      <w:tr w:rsidR="000B173B" w14:paraId="461677C6" w14:textId="77777777" w:rsidTr="00A15226">
        <w:tc>
          <w:tcPr>
            <w:tcW w:w="4811" w:type="dxa"/>
            <w:vAlign w:val="center"/>
          </w:tcPr>
          <w:p w14:paraId="32B9AC36" w14:textId="77777777" w:rsidR="000B173B" w:rsidRDefault="000B173B" w:rsidP="00A15226">
            <w:pPr>
              <w:pStyle w:val="Tabletext"/>
            </w:pPr>
            <w:r w:rsidRPr="00672E41">
              <w:t>Loss of climatic habitat caused by anthropogenic emissions of greenhouse gases</w:t>
            </w:r>
          </w:p>
        </w:tc>
        <w:tc>
          <w:tcPr>
            <w:tcW w:w="4811" w:type="dxa"/>
            <w:vAlign w:val="center"/>
          </w:tcPr>
          <w:p w14:paraId="18105841" w14:textId="77777777" w:rsidR="000B173B" w:rsidRDefault="000B173B" w:rsidP="00A15226">
            <w:pPr>
              <w:pStyle w:val="Tabletext"/>
            </w:pPr>
            <w:r>
              <w:t>There is no relevant TAP</w:t>
            </w:r>
          </w:p>
        </w:tc>
      </w:tr>
      <w:tr w:rsidR="000B173B" w14:paraId="6F19A8CA" w14:textId="77777777" w:rsidTr="00A15226">
        <w:tc>
          <w:tcPr>
            <w:tcW w:w="4811" w:type="dxa"/>
            <w:vAlign w:val="center"/>
          </w:tcPr>
          <w:p w14:paraId="66FDCFAD" w14:textId="77777777" w:rsidR="000B173B" w:rsidRPr="00672E41" w:rsidRDefault="000B173B" w:rsidP="00A15226">
            <w:pPr>
              <w:pStyle w:val="Tabletext"/>
            </w:pPr>
            <w:r>
              <w:t>Novel biota and their impact on biodiversity</w:t>
            </w:r>
          </w:p>
        </w:tc>
        <w:tc>
          <w:tcPr>
            <w:tcW w:w="4811" w:type="dxa"/>
            <w:vAlign w:val="center"/>
          </w:tcPr>
          <w:p w14:paraId="32151D81" w14:textId="77777777" w:rsidR="000B173B" w:rsidRDefault="000B173B" w:rsidP="00A15226">
            <w:pPr>
              <w:pStyle w:val="Tabletext"/>
            </w:pPr>
            <w:r>
              <w:t>There is no relevant TAP</w:t>
            </w:r>
          </w:p>
        </w:tc>
      </w:tr>
    </w:tbl>
    <w:p w14:paraId="466D3FCC" w14:textId="77777777" w:rsidR="000B173B" w:rsidRPr="00297975" w:rsidRDefault="000B173B" w:rsidP="000B173B">
      <w:pPr>
        <w:pStyle w:val="Heading2"/>
        <w:numPr>
          <w:ilvl w:val="0"/>
          <w:numId w:val="0"/>
        </w:numPr>
        <w:ind w:left="576" w:hanging="576"/>
      </w:pPr>
      <w:r>
        <w:br w:type="page"/>
      </w:r>
      <w:bookmarkStart w:id="287" w:name="_Toc131154212"/>
      <w:bookmarkStart w:id="288" w:name="_Toc131154399"/>
      <w:r>
        <w:lastRenderedPageBreak/>
        <w:t xml:space="preserve">Western Alaskan Bar-tailed Godwit </w:t>
      </w:r>
      <w:r>
        <w:rPr>
          <w:i/>
          <w:iCs/>
        </w:rPr>
        <w:t>(Limosa lapponica baueri)</w:t>
      </w:r>
      <w:bookmarkEnd w:id="287"/>
      <w:bookmarkEnd w:id="288"/>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623EF9A2" w14:textId="77777777" w:rsidTr="00A15226">
        <w:trPr>
          <w:tblHeader/>
        </w:trPr>
        <w:tc>
          <w:tcPr>
            <w:tcW w:w="9747" w:type="dxa"/>
            <w:shd w:val="clear" w:color="auto" w:fill="D9D9D9" w:themeFill="background1" w:themeFillShade="D9"/>
            <w:vAlign w:val="center"/>
          </w:tcPr>
          <w:p w14:paraId="68355D08"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24FBB41D"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5DAFA1E2" w14:textId="77777777" w:rsidTr="00A15226">
        <w:tc>
          <w:tcPr>
            <w:tcW w:w="1526" w:type="dxa"/>
            <w:vAlign w:val="center"/>
          </w:tcPr>
          <w:p w14:paraId="67398477"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249BB175" w14:textId="77777777" w:rsidR="000B173B" w:rsidRPr="002A5050" w:rsidRDefault="000B173B" w:rsidP="00A15226">
            <w:pPr>
              <w:pStyle w:val="Tabletext"/>
            </w:pPr>
            <w:r>
              <w:t xml:space="preserve">Vulnerable, Migratory (as </w:t>
            </w:r>
            <w:r>
              <w:rPr>
                <w:i/>
                <w:iCs/>
              </w:rPr>
              <w:t>Limosa lapponica</w:t>
            </w:r>
            <w:r>
              <w:t>)</w:t>
            </w:r>
          </w:p>
          <w:p w14:paraId="03F3A262" w14:textId="77777777" w:rsidR="000B173B" w:rsidRDefault="000B173B" w:rsidP="00A15226">
            <w:pPr>
              <w:pStyle w:val="Tabletext"/>
            </w:pPr>
            <w:r>
              <w:t xml:space="preserve">Note that the </w:t>
            </w:r>
            <w:r w:rsidRPr="001F3C7E">
              <w:t>Bar-tailed Godwit</w:t>
            </w:r>
            <w:r>
              <w:t xml:space="preserve"> </w:t>
            </w:r>
            <w:r w:rsidRPr="00C00E39">
              <w:t xml:space="preserve">is currently on the Finalised Priority Assessment List (FPAL) and is proposed to have its listing </w:t>
            </w:r>
            <w:r>
              <w:t xml:space="preserve">upgraded to Endangered </w:t>
            </w:r>
            <w:sdt>
              <w:sdtPr>
                <w:rPr>
                  <w:color w:val="000000"/>
                </w:rPr>
                <w:tag w:val="MENDELEY_CITATION_v3_eyJjaXRhdGlvbklEIjoiTUVOREVMRVlfQ0lUQVRJT05fNjI2MWI0MDctYmE2YS00ZWViLWFiN2QtODUwODJiNzMzMWU2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599782769"/>
                <w:placeholder>
                  <w:docPart w:val="7A87483195E49548AABB39FF484A13FE"/>
                </w:placeholder>
              </w:sdtPr>
              <w:sdtContent>
                <w:r w:rsidRPr="00AB79D8">
                  <w:rPr>
                    <w:color w:val="000000"/>
                  </w:rPr>
                  <w:t>(DAWE, 2021f)</w:t>
                </w:r>
              </w:sdtContent>
            </w:sdt>
          </w:p>
          <w:p w14:paraId="34A94B04" w14:textId="77777777" w:rsidR="000B173B" w:rsidRPr="003E1ADD" w:rsidRDefault="000B173B" w:rsidP="00A15226">
            <w:pPr>
              <w:pStyle w:val="Tabletext"/>
            </w:pPr>
            <w:r>
              <w:t xml:space="preserve">A decision is due by 30 October 2023 </w:t>
            </w:r>
            <w:sdt>
              <w:sdtPr>
                <w:rPr>
                  <w:color w:val="000000"/>
                </w:rPr>
                <w:tag w:val="MENDELEY_CITATION_v3_eyJjaXRhdGlvbklEIjoiTUVOREVMRVlfQ0lUQVRJT05fZTZmZmUwYjAtYzFjNi00OTZhLTk4YTktOGM0NzFmOTEwZGJm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387927767"/>
                <w:placeholder>
                  <w:docPart w:val="7A87483195E49548AABB39FF484A13FE"/>
                </w:placeholder>
              </w:sdtPr>
              <w:sdtContent>
                <w:r w:rsidRPr="00AB79D8">
                  <w:rPr>
                    <w:color w:val="000000"/>
                  </w:rPr>
                  <w:t>(DAWE, 2021f)</w:t>
                </w:r>
              </w:sdtContent>
            </w:sdt>
          </w:p>
        </w:tc>
      </w:tr>
      <w:tr w:rsidR="000B173B" w:rsidRPr="000816D6" w14:paraId="136EB2AA" w14:textId="77777777" w:rsidTr="00A15226">
        <w:tc>
          <w:tcPr>
            <w:tcW w:w="1526" w:type="dxa"/>
            <w:vAlign w:val="center"/>
          </w:tcPr>
          <w:p w14:paraId="35E2353E"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422152B5" w14:textId="77777777" w:rsidR="000B173B" w:rsidRPr="001F3C7E" w:rsidRDefault="000B173B" w:rsidP="00A15226">
            <w:pPr>
              <w:pStyle w:val="Tabletext"/>
            </w:pPr>
            <w:r w:rsidRPr="001F3C7E">
              <w:rPr>
                <w:i/>
                <w:iCs/>
              </w:rPr>
              <w:t>Limosa lapponica baueri</w:t>
            </w:r>
            <w:r w:rsidRPr="001F3C7E">
              <w:t xml:space="preserve"> (Bar-tailed Godwit) is a large migratory bird with a long neck and very long upturned bill. It has dark barring on the lower white rump, upper tail and lining of the underwing </w:t>
            </w:r>
            <w:sdt>
              <w:sdtPr>
                <w:rPr>
                  <w:color w:val="000000"/>
                </w:rPr>
                <w:tag w:val="MENDELEY_CITATION_v3_eyJjaXRhdGlvbklEIjoiTUVOREVMRVlfQ0lUQVRJT05fODRkNjAwMjgtNTk0ZC00YWE3LTg2ZmQtMzBlMzYwMGJiNmMw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2145000016"/>
                <w:placeholder>
                  <w:docPart w:val="7A87483195E49548AABB39FF484A13FE"/>
                </w:placeholder>
              </w:sdtPr>
              <w:sdtContent>
                <w:r w:rsidRPr="00AB79D8">
                  <w:rPr>
                    <w:color w:val="000000"/>
                  </w:rPr>
                  <w:t>(TSSC, 2016o)</w:t>
                </w:r>
              </w:sdtContent>
            </w:sdt>
            <w:r w:rsidRPr="001F3C7E">
              <w:t>.</w:t>
            </w:r>
          </w:p>
        </w:tc>
      </w:tr>
      <w:tr w:rsidR="000B173B" w:rsidRPr="000816D6" w14:paraId="019128B7" w14:textId="77777777" w:rsidTr="00A15226">
        <w:tc>
          <w:tcPr>
            <w:tcW w:w="1526" w:type="dxa"/>
            <w:vAlign w:val="center"/>
          </w:tcPr>
          <w:p w14:paraId="18C8CD1F"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6A71DBED" w14:textId="77777777" w:rsidR="000B173B" w:rsidRPr="001F3C7E" w:rsidRDefault="000B173B" w:rsidP="00A15226">
            <w:pPr>
              <w:pStyle w:val="Tabletext"/>
              <w:rPr>
                <w:szCs w:val="18"/>
              </w:rPr>
            </w:pPr>
            <w:r w:rsidRPr="001F3C7E">
              <w:rPr>
                <w:szCs w:val="18"/>
              </w:rPr>
              <w:t xml:space="preserve">Two subspecies of </w:t>
            </w:r>
            <w:r w:rsidRPr="001F3C7E">
              <w:rPr>
                <w:i/>
                <w:szCs w:val="18"/>
              </w:rPr>
              <w:t>L. lapponica</w:t>
            </w:r>
            <w:r w:rsidRPr="001F3C7E">
              <w:rPr>
                <w:szCs w:val="18"/>
              </w:rPr>
              <w:t xml:space="preserve"> regularly occur in Australia:</w:t>
            </w:r>
          </w:p>
          <w:p w14:paraId="2D0EFFBF" w14:textId="77777777" w:rsidR="000B173B" w:rsidRPr="001F3C7E" w:rsidRDefault="000B173B" w:rsidP="00A15226">
            <w:pPr>
              <w:pStyle w:val="Bullet1"/>
            </w:pPr>
            <w:r w:rsidRPr="001F3C7E">
              <w:t xml:space="preserve">In the non-breeding season, </w:t>
            </w:r>
            <w:r w:rsidRPr="001F3C7E">
              <w:rPr>
                <w:i/>
              </w:rPr>
              <w:t>L. l. baueri</w:t>
            </w:r>
            <w:r w:rsidRPr="001F3C7E">
              <w:t xml:space="preserve"> (listed as migratory and vulnerable) occurs along the north and east coasts of Australia </w:t>
            </w:r>
            <w:sdt>
              <w:sdtPr>
                <w:rPr>
                  <w:color w:val="000000"/>
                </w:rPr>
                <w:tag w:val="MENDELEY_CITATION_v3_eyJjaXRhdGlvbklEIjoiTUVOREVMRVlfQ0lUQVRJT05fNGRiZWE4ZjMtYzRlZi00ODY0LWFiZDYtNDY4YzJkNTE1ZjU5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767127862"/>
                <w:placeholder>
                  <w:docPart w:val="7A87483195E49548AABB39FF484A13FE"/>
                </w:placeholder>
              </w:sdtPr>
              <w:sdtContent>
                <w:r w:rsidRPr="00AB79D8">
                  <w:rPr>
                    <w:color w:val="000000"/>
                  </w:rPr>
                  <w:t>(TSSC, 2016o)</w:t>
                </w:r>
              </w:sdtContent>
            </w:sdt>
          </w:p>
          <w:p w14:paraId="33760466" w14:textId="77777777" w:rsidR="000B173B" w:rsidRPr="001F3C7E" w:rsidRDefault="000B173B" w:rsidP="00A15226">
            <w:pPr>
              <w:pStyle w:val="Bullet1"/>
            </w:pPr>
            <w:r w:rsidRPr="001F3C7E">
              <w:rPr>
                <w:i/>
              </w:rPr>
              <w:t>L. l. menzbieri</w:t>
            </w:r>
            <w:r w:rsidRPr="001F3C7E">
              <w:t xml:space="preserve"> (listed as migratory and critically endangered) occurs predominately in Western Australia </w:t>
            </w:r>
            <w:sdt>
              <w:sdtPr>
                <w:rPr>
                  <w:color w:val="000000"/>
                </w:rPr>
                <w:tag w:val="MENDELEY_CITATION_v3_eyJjaXRhdGlvbklEIjoiTUVOREVMRVlfQ0lUQVRJT05fYjllNDNiNTMtOWJiNS00NjJhLWIxNzUtZjEzZGIwYWFhYzMx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773126950"/>
                <w:placeholder>
                  <w:docPart w:val="7A87483195E49548AABB39FF484A13FE"/>
                </w:placeholder>
              </w:sdtPr>
              <w:sdtContent>
                <w:r w:rsidRPr="00AB79D8">
                  <w:rPr>
                    <w:color w:val="000000"/>
                  </w:rPr>
                  <w:t>(TSSC, 2016o)</w:t>
                </w:r>
              </w:sdtContent>
            </w:sdt>
            <w:r w:rsidRPr="001F3C7E">
              <w:t xml:space="preserve"> </w:t>
            </w:r>
          </w:p>
          <w:p w14:paraId="519397DE" w14:textId="77777777" w:rsidR="000B173B" w:rsidRPr="001F3C7E" w:rsidRDefault="000B173B" w:rsidP="00A15226">
            <w:pPr>
              <w:pStyle w:val="Tabletext"/>
            </w:pPr>
            <w:r w:rsidRPr="001F3C7E">
              <w:t xml:space="preserve">This assessment considers impacts to </w:t>
            </w:r>
            <w:r w:rsidRPr="001F3C7E">
              <w:rPr>
                <w:i/>
                <w:iCs/>
              </w:rPr>
              <w:t>L. lapponica baueri</w:t>
            </w:r>
            <w:r w:rsidRPr="001F3C7E">
              <w:t>.</w:t>
            </w:r>
          </w:p>
          <w:p w14:paraId="2635FF2F" w14:textId="77777777" w:rsidR="000B173B" w:rsidRPr="001F3C7E" w:rsidRDefault="000B173B" w:rsidP="00A15226">
            <w:pPr>
              <w:pStyle w:val="Tabletext"/>
            </w:pPr>
            <w:r w:rsidRPr="001F3C7E">
              <w:t>The subspecies breeds in northern Siberia and Alaska before migrating through the Yellow Sea to Australia and New Zealand. Immature birds often remain in Australia for one or two austral winters before returning to their breeding grounds in the Northern Hemisphere</w:t>
            </w:r>
            <w:r>
              <w:t xml:space="preserve"> </w:t>
            </w:r>
            <w:r w:rsidRPr="001F3C7E">
              <w:t xml:space="preserve"> </w:t>
            </w:r>
            <w:sdt>
              <w:sdtPr>
                <w:rPr>
                  <w:color w:val="000000"/>
                </w:rPr>
                <w:tag w:val="MENDELEY_CITATION_v3_eyJjaXRhdGlvbklEIjoiTUVOREVMRVlfQ0lUQVRJT05fY2QyODlmZWUtZTNjNC00Y2U2LTgxZWEtYjY5N2E3MmZmOTlh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698684003"/>
                <w:placeholder>
                  <w:docPart w:val="7A87483195E49548AABB39FF484A13FE"/>
                </w:placeholder>
              </w:sdtPr>
              <w:sdtContent>
                <w:r w:rsidRPr="00AB79D8">
                  <w:rPr>
                    <w:color w:val="000000"/>
                  </w:rPr>
                  <w:t>(TSSC, 2016o)</w:t>
                </w:r>
              </w:sdtContent>
            </w:sdt>
            <w:r>
              <w:rPr>
                <w:iCs/>
              </w:rPr>
              <w:t>.</w:t>
            </w:r>
          </w:p>
          <w:p w14:paraId="008B7842" w14:textId="77777777" w:rsidR="000B173B" w:rsidRPr="001F3C7E" w:rsidRDefault="000B173B" w:rsidP="00A15226">
            <w:pPr>
              <w:pStyle w:val="Tabletext"/>
            </w:pPr>
            <w:r w:rsidRPr="001F3C7E">
              <w:t>The Bar-tailed Godwit has one of the longest non-stop migratory routes recorded for any bird. This makes the species sensitive to changes in intertidal habitats used for feeding to create fuel stores prior to migration.</w:t>
            </w:r>
            <w:r>
              <w:t xml:space="preserve"> The species feeds on worms, molluscs, crustaceans, insects and some plant material</w:t>
            </w:r>
            <w:r w:rsidRPr="001F3C7E">
              <w:t xml:space="preserve"> </w:t>
            </w:r>
            <w:sdt>
              <w:sdtPr>
                <w:rPr>
                  <w:color w:val="000000"/>
                </w:rPr>
                <w:tag w:val="MENDELEY_CITATION_v3_eyJjaXRhdGlvbklEIjoiTUVOREVMRVlfQ0lUQVRJT05fNzkxMzk4MzktMWQ0My00ZjcyLWIyNWItZGRkODJiOWNmYjAx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938364981"/>
                <w:placeholder>
                  <w:docPart w:val="7A87483195E49548AABB39FF484A13FE"/>
                </w:placeholder>
              </w:sdtPr>
              <w:sdtContent>
                <w:r w:rsidRPr="00AB79D8">
                  <w:rPr>
                    <w:color w:val="000000"/>
                  </w:rPr>
                  <w:t>(TSSC, 2016o)</w:t>
                </w:r>
              </w:sdtContent>
            </w:sdt>
            <w:r>
              <w:rPr>
                <w:iCs/>
              </w:rPr>
              <w:t>.</w:t>
            </w:r>
          </w:p>
        </w:tc>
      </w:tr>
      <w:tr w:rsidR="000B173B" w:rsidRPr="000816D6" w14:paraId="2CBA5663" w14:textId="77777777" w:rsidTr="00A15226">
        <w:tc>
          <w:tcPr>
            <w:tcW w:w="1526" w:type="dxa"/>
            <w:vAlign w:val="center"/>
          </w:tcPr>
          <w:p w14:paraId="38D3927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27A6444B" w14:textId="77777777" w:rsidR="000B173B" w:rsidRPr="001F3C7E" w:rsidRDefault="000B173B" w:rsidP="00A15226">
            <w:pPr>
              <w:pStyle w:val="Tabletext"/>
              <w:rPr>
                <w:szCs w:val="18"/>
              </w:rPr>
            </w:pPr>
            <w:r w:rsidRPr="001F3C7E">
              <w:rPr>
                <w:szCs w:val="18"/>
              </w:rPr>
              <w:t>In Australia, the species:</w:t>
            </w:r>
          </w:p>
          <w:p w14:paraId="3096BBCD" w14:textId="77777777" w:rsidR="000B173B" w:rsidRPr="001F3C7E" w:rsidRDefault="000B173B" w:rsidP="00A15226">
            <w:pPr>
              <w:pStyle w:val="Bullet1"/>
            </w:pPr>
            <w:r w:rsidRPr="001F3C7E">
              <w:t>Mainly occurs along the north and east coasts</w:t>
            </w:r>
          </w:p>
          <w:p w14:paraId="21AF770C" w14:textId="77777777" w:rsidR="000B173B" w:rsidRPr="001F3C7E" w:rsidRDefault="000B173B" w:rsidP="00A15226">
            <w:pPr>
              <w:pStyle w:val="Bullet1"/>
            </w:pPr>
            <w:r w:rsidRPr="001F3C7E">
              <w:t>Typically forages in coastal habitats such as large intertidal sandflats, banks, mudflats, estuaries, inlets, harbours, coastal lagoons, and bays</w:t>
            </w:r>
          </w:p>
          <w:p w14:paraId="6376DD73" w14:textId="77777777" w:rsidR="000B173B" w:rsidRPr="001F3C7E" w:rsidRDefault="000B173B" w:rsidP="00A15226">
            <w:pPr>
              <w:pStyle w:val="Bullet1"/>
            </w:pPr>
            <w:r w:rsidRPr="001F3C7E">
              <w:t>Typically roosts on sandy beaches, sandbars, spits and in near-coastal saltmarsh</w:t>
            </w:r>
          </w:p>
          <w:p w14:paraId="621A79AA" w14:textId="77777777" w:rsidR="000B173B" w:rsidRPr="001F3C7E" w:rsidRDefault="000B173B" w:rsidP="00A15226">
            <w:pPr>
              <w:pStyle w:val="Tabletext"/>
            </w:pPr>
            <w:r w:rsidRPr="001F3C7E">
              <w:rPr>
                <w:szCs w:val="18"/>
              </w:rPr>
              <w:t>The Bar-tailed Godwit is thought to have high site fidelity in the non-breeding season</w:t>
            </w:r>
            <w:r w:rsidRPr="001F3C7E">
              <w:t xml:space="preserve"> </w:t>
            </w:r>
            <w:sdt>
              <w:sdtPr>
                <w:rPr>
                  <w:color w:val="000000"/>
                </w:rPr>
                <w:tag w:val="MENDELEY_CITATION_v3_eyJjaXRhdGlvbklEIjoiTUVOREVMRVlfQ0lUQVRJT05fNjQ3ZDQzMjctMmE3Ny00Y2ZjLThlNmQtMWM5MThkZGNjODdi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450464440"/>
                <w:placeholder>
                  <w:docPart w:val="7A87483195E49548AABB39FF484A13FE"/>
                </w:placeholder>
              </w:sdtPr>
              <w:sdtContent>
                <w:r w:rsidRPr="00AB79D8">
                  <w:rPr>
                    <w:color w:val="000000"/>
                  </w:rPr>
                  <w:t>(TSSC, 2016o)</w:t>
                </w:r>
              </w:sdtContent>
            </w:sdt>
            <w:r w:rsidRPr="001F3C7E">
              <w:rPr>
                <w:szCs w:val="18"/>
              </w:rPr>
              <w:t>.</w:t>
            </w:r>
          </w:p>
        </w:tc>
      </w:tr>
      <w:tr w:rsidR="000B173B" w:rsidRPr="000816D6" w14:paraId="12D9EE82" w14:textId="77777777" w:rsidTr="00A15226">
        <w:tc>
          <w:tcPr>
            <w:tcW w:w="1526" w:type="dxa"/>
            <w:vAlign w:val="center"/>
          </w:tcPr>
          <w:p w14:paraId="0390CF7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65739DE2" w14:textId="77777777" w:rsidR="000B173B" w:rsidRDefault="000B173B" w:rsidP="00A15226">
            <w:pPr>
              <w:pStyle w:val="Tabletext"/>
              <w:jc w:val="both"/>
            </w:pPr>
            <w:r w:rsidRPr="001F3C7E">
              <w:t>The global population</w:t>
            </w:r>
            <w:r>
              <w:t xml:space="preserve"> of </w:t>
            </w:r>
            <w:r>
              <w:rPr>
                <w:i/>
                <w:iCs/>
              </w:rPr>
              <w:t xml:space="preserve">Limosa lapponica </w:t>
            </w:r>
            <w:r>
              <w:t>(at a species level)</w:t>
            </w:r>
            <w:r w:rsidRPr="001F3C7E">
              <w:t xml:space="preserve"> has been estimated to be between 1,100,000 – 1,200,000 individuals, of which it is estimated that 325,000 occur within the East Asian-Australasian Flyway </w:t>
            </w:r>
            <w:sdt>
              <w:sdtPr>
                <w:rPr>
                  <w:color w:val="000000"/>
                </w:rPr>
                <w:tag w:val="MENDELEY_CITATION_v3_eyJjaXRhdGlvbklEIjoiTUVOREVMRVlfQ0lUQVRJT05fNzJjMWFjZTMtNTI0OS00Yjk0LTk5YzktNGM2MThhOTcxZWY4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812438772"/>
                <w:placeholder>
                  <w:docPart w:val="7A87483195E49548AABB39FF484A13FE"/>
                </w:placeholder>
              </w:sdtPr>
              <w:sdtContent>
                <w:r w:rsidRPr="00AB79D8">
                  <w:rPr>
                    <w:color w:val="000000"/>
                  </w:rPr>
                  <w:t>(TSSC, 2016o)</w:t>
                </w:r>
              </w:sdtContent>
            </w:sdt>
            <w:r w:rsidRPr="001F3C7E">
              <w:t>.</w:t>
            </w:r>
          </w:p>
          <w:p w14:paraId="1F7CD3E6" w14:textId="77777777" w:rsidR="000B173B" w:rsidRPr="00B5106D" w:rsidRDefault="000B173B" w:rsidP="00A15226">
            <w:pPr>
              <w:pStyle w:val="Tabletext"/>
              <w:jc w:val="both"/>
            </w:pPr>
            <w:r>
              <w:t xml:space="preserve">Based on the hypothesised distribution of different subspecies of </w:t>
            </w:r>
            <w:r>
              <w:rPr>
                <w:i/>
                <w:iCs/>
              </w:rPr>
              <w:t>Limosa lapponica</w:t>
            </w:r>
            <w:r>
              <w:t xml:space="preserve">, it is thought that the </w:t>
            </w:r>
            <w:r w:rsidRPr="001F3C7E">
              <w:t>East Asian-Australasian Flyway</w:t>
            </w:r>
            <w:r>
              <w:t xml:space="preserve"> population of </w:t>
            </w:r>
            <w:r>
              <w:rPr>
                <w:i/>
                <w:iCs/>
              </w:rPr>
              <w:t xml:space="preserve">L. lapponica baueri </w:t>
            </w:r>
            <w:r>
              <w:t xml:space="preserve">is 155,000 individuals (of which 61,000 individuals are thought to occur in Australia, while the remaining 94,000 individuals occur in New Zealand) </w:t>
            </w:r>
            <w:sdt>
              <w:sdtPr>
                <w:rPr>
                  <w:color w:val="000000"/>
                </w:rPr>
                <w:tag w:val="MENDELEY_CITATION_v3_eyJjaXRhdGlvbklEIjoiTUVOREVMRVlfQ0lUQVRJT05fZTI5MjkxMWMtYzViNi00MTI2LTg2MDItZmJkNjAxMDgyZWY4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1987593507"/>
                <w:placeholder>
                  <w:docPart w:val="7A87483195E49548AABB39FF484A13FE"/>
                </w:placeholder>
              </w:sdtPr>
              <w:sdtContent>
                <w:r w:rsidRPr="00AB79D8">
                  <w:rPr>
                    <w:color w:val="000000"/>
                  </w:rPr>
                  <w:t>(TSSC, 2016o)</w:t>
                </w:r>
              </w:sdtContent>
            </w:sdt>
            <w:r w:rsidRPr="001F3C7E">
              <w:t>.</w:t>
            </w:r>
          </w:p>
        </w:tc>
      </w:tr>
      <w:tr w:rsidR="000B173B" w:rsidRPr="002F23FB" w14:paraId="54E38ED7" w14:textId="77777777" w:rsidTr="00A15226">
        <w:tc>
          <w:tcPr>
            <w:tcW w:w="1526" w:type="dxa"/>
            <w:vAlign w:val="center"/>
          </w:tcPr>
          <w:p w14:paraId="4D9F9D6F"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7F678B9B" w14:textId="77777777" w:rsidR="000B173B" w:rsidRDefault="000B173B" w:rsidP="00A15226">
            <w:pPr>
              <w:pStyle w:val="Tabletext"/>
            </w:pPr>
            <w:r>
              <w:t xml:space="preserve">The species Conservation Advice has identified the following threats to the species within Australia </w:t>
            </w:r>
            <w:sdt>
              <w:sdtPr>
                <w:rPr>
                  <w:color w:val="000000"/>
                </w:rPr>
                <w:tag w:val="MENDELEY_CITATION_v3_eyJjaXRhdGlvbklEIjoiTUVOREVMRVlfQ0lUQVRJT05fZWIzNjg3MGMtMWRkYi00MWVkLWEwZTMtYzU1M2JiYzFlZjUw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372128768"/>
                <w:placeholder>
                  <w:docPart w:val="7A87483195E49548AABB39FF484A13FE"/>
                </w:placeholder>
              </w:sdtPr>
              <w:sdtContent>
                <w:r w:rsidRPr="00AB79D8">
                  <w:rPr>
                    <w:color w:val="000000"/>
                  </w:rPr>
                  <w:t>(TSSC, 2016o)</w:t>
                </w:r>
              </w:sdtContent>
            </w:sdt>
            <w:r>
              <w:t>:</w:t>
            </w:r>
          </w:p>
          <w:p w14:paraId="4263A2CF" w14:textId="77777777" w:rsidR="000B173B" w:rsidRDefault="000B173B" w:rsidP="00A15226">
            <w:pPr>
              <w:pStyle w:val="Bullet1"/>
            </w:pPr>
            <w:r>
              <w:t>Ongoing human disturbance</w:t>
            </w:r>
          </w:p>
          <w:p w14:paraId="0369AF74" w14:textId="77777777" w:rsidR="000B173B" w:rsidRDefault="000B173B" w:rsidP="00A15226">
            <w:pPr>
              <w:pStyle w:val="Bullet1"/>
            </w:pPr>
            <w:r>
              <w:t>Habitat loss and degradation from pollution</w:t>
            </w:r>
          </w:p>
          <w:p w14:paraId="087C96DD" w14:textId="77777777" w:rsidR="000B173B" w:rsidRDefault="000B173B" w:rsidP="00A15226">
            <w:pPr>
              <w:pStyle w:val="Bullet1"/>
            </w:pPr>
            <w:r>
              <w:t>Changes to the water regime</w:t>
            </w:r>
          </w:p>
          <w:p w14:paraId="2EB445B9" w14:textId="77777777" w:rsidR="000B173B" w:rsidRPr="003E1ADD" w:rsidRDefault="000B173B" w:rsidP="00A15226">
            <w:pPr>
              <w:pStyle w:val="Bullet1"/>
            </w:pPr>
            <w:r>
              <w:t>Invasive plants</w:t>
            </w:r>
          </w:p>
        </w:tc>
      </w:tr>
      <w:tr w:rsidR="000B173B" w:rsidRPr="002F23FB" w14:paraId="77502673" w14:textId="77777777" w:rsidTr="00A15226">
        <w:tc>
          <w:tcPr>
            <w:tcW w:w="1526" w:type="dxa"/>
            <w:vAlign w:val="center"/>
          </w:tcPr>
          <w:p w14:paraId="38EBB6A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45CA273D" w14:textId="77777777" w:rsidR="000B173B" w:rsidRPr="003E1ADD" w:rsidRDefault="000B173B" w:rsidP="00A15226">
            <w:pPr>
              <w:pStyle w:val="Tabletext"/>
              <w:rPr>
                <w:iCs/>
              </w:rPr>
            </w:pPr>
            <w:r w:rsidRPr="008311DB">
              <w:rPr>
                <w:iCs/>
              </w:rPr>
              <w:t xml:space="preserve">Conservation Advice </w:t>
            </w:r>
            <w:r w:rsidRPr="008311DB">
              <w:rPr>
                <w:i/>
              </w:rPr>
              <w:t>Limosa lapponica baueri</w:t>
            </w:r>
            <w:r w:rsidRPr="008311DB">
              <w:rPr>
                <w:iCs/>
              </w:rPr>
              <w:t xml:space="preserve"> Bar-tailed </w:t>
            </w:r>
            <w:r>
              <w:rPr>
                <w:iCs/>
              </w:rPr>
              <w:t>G</w:t>
            </w:r>
            <w:r w:rsidRPr="008311DB">
              <w:rPr>
                <w:iCs/>
              </w:rPr>
              <w:t>odwit (</w:t>
            </w:r>
            <w:r>
              <w:rPr>
                <w:iCs/>
              </w:rPr>
              <w:t>W</w:t>
            </w:r>
            <w:r w:rsidRPr="008311DB">
              <w:rPr>
                <w:iCs/>
              </w:rPr>
              <w:t>estern Alaskan)</w:t>
            </w:r>
            <w:r>
              <w:rPr>
                <w:iCs/>
              </w:rPr>
              <w:t xml:space="preserve"> </w:t>
            </w:r>
            <w:sdt>
              <w:sdtPr>
                <w:rPr>
                  <w:iCs/>
                  <w:color w:val="000000"/>
                </w:rPr>
                <w:tag w:val="MENDELEY_CITATION_v3_eyJjaXRhdGlvbklEIjoiTUVOREVMRVlfQ0lUQVRJT05fYTc5ZmE4NDUtYzliNy00YjZiLWE3NWYtN2UwMjdmNjRjYTdj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2038771901"/>
                <w:placeholder>
                  <w:docPart w:val="7A87483195E49548AABB39FF484A13FE"/>
                </w:placeholder>
              </w:sdtPr>
              <w:sdtEndPr>
                <w:rPr>
                  <w:iCs w:val="0"/>
                </w:rPr>
              </w:sdtEndPr>
              <w:sdtContent>
                <w:r w:rsidRPr="00AB79D8">
                  <w:rPr>
                    <w:color w:val="000000"/>
                  </w:rPr>
                  <w:t>(TSSC, 2016o)</w:t>
                </w:r>
              </w:sdtContent>
            </w:sdt>
          </w:p>
        </w:tc>
      </w:tr>
      <w:tr w:rsidR="000B173B" w:rsidRPr="000816D6" w14:paraId="25A361B5" w14:textId="77777777" w:rsidTr="00A15226">
        <w:tc>
          <w:tcPr>
            <w:tcW w:w="1526" w:type="dxa"/>
            <w:vAlign w:val="center"/>
          </w:tcPr>
          <w:p w14:paraId="58DFFB11"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SPECIES-SPECIFIC GUIDELINES</w:t>
            </w:r>
          </w:p>
        </w:tc>
        <w:tc>
          <w:tcPr>
            <w:tcW w:w="8113" w:type="dxa"/>
            <w:vAlign w:val="center"/>
          </w:tcPr>
          <w:p w14:paraId="23AFAD98" w14:textId="77777777" w:rsidR="000B173B" w:rsidRPr="00980D4D" w:rsidRDefault="000B173B" w:rsidP="00A15226">
            <w:pPr>
              <w:pStyle w:val="Tabletext"/>
            </w:pPr>
            <w:r>
              <w:t>There are no species-specific guidelines for this species.</w:t>
            </w:r>
          </w:p>
        </w:tc>
      </w:tr>
      <w:tr w:rsidR="000B173B" w:rsidRPr="000816D6" w14:paraId="683583FE" w14:textId="77777777" w:rsidTr="00A15226">
        <w:tc>
          <w:tcPr>
            <w:tcW w:w="1526" w:type="dxa"/>
            <w:vAlign w:val="center"/>
          </w:tcPr>
          <w:p w14:paraId="07E82D28"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7119072F" w14:textId="77777777" w:rsidR="000B173B" w:rsidRPr="003E1ADD" w:rsidRDefault="000B173B" w:rsidP="00A15226">
            <w:pPr>
              <w:pStyle w:val="Tabletext"/>
            </w:pPr>
            <w:hyperlink r:id="rId149" w:history="1">
              <w:r w:rsidRPr="007473F6">
                <w:rPr>
                  <w:rStyle w:val="Hyperlink"/>
                </w:rPr>
                <w:t>https://www.environment.gov.au/cgi-bin/sprat/public/publicspecies.pl?taxon_id=86380</w:t>
              </w:r>
            </w:hyperlink>
            <w:r>
              <w:t xml:space="preserve"> </w:t>
            </w:r>
          </w:p>
        </w:tc>
      </w:tr>
    </w:tbl>
    <w:p w14:paraId="68159318"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36AF9B67" w14:textId="77777777" w:rsidTr="00A15226">
        <w:tc>
          <w:tcPr>
            <w:tcW w:w="9622" w:type="dxa"/>
            <w:shd w:val="clear" w:color="auto" w:fill="C9C9C9" w:themeFill="accent3" w:themeFillTint="99"/>
          </w:tcPr>
          <w:p w14:paraId="1EB8E82C" w14:textId="77777777" w:rsidR="000B173B" w:rsidRPr="008F55BC" w:rsidRDefault="000B173B" w:rsidP="00A15226">
            <w:pPr>
              <w:pStyle w:val="Tabletext"/>
              <w:rPr>
                <w:b/>
                <w:bCs/>
              </w:rPr>
            </w:pPr>
            <w:r>
              <w:rPr>
                <w:rFonts w:ascii="Helvetica" w:hAnsi="Helvetica"/>
                <w:b/>
                <w:sz w:val="16"/>
                <w:szCs w:val="16"/>
              </w:rPr>
              <w:t>APPROACH TO BASELINE DATA</w:t>
            </w:r>
          </w:p>
        </w:tc>
      </w:tr>
    </w:tbl>
    <w:p w14:paraId="09E999D6"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61BF4AEE"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02AA8267"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62595925" w14:textId="77777777" w:rsidR="000B173B" w:rsidRPr="00296917" w:rsidRDefault="000B173B" w:rsidP="000B173B">
      <w:pPr>
        <w:rPr>
          <w:i/>
          <w:color w:val="4472C4" w:themeColor="accent1"/>
        </w:rPr>
      </w:pPr>
      <w:r w:rsidRPr="000816D6">
        <w:rPr>
          <w:i/>
          <w:color w:val="4472C4" w:themeColor="accent1"/>
        </w:rPr>
        <w:t xml:space="preserve">Please refer to </w:t>
      </w:r>
      <w:r w:rsidRPr="006900FB">
        <w:rPr>
          <w:i/>
          <w:color w:val="4472C4" w:themeColor="accent1"/>
        </w:rPr>
        <w:t>Chapter 13</w:t>
      </w:r>
      <w:r w:rsidRPr="008A0753">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3DC8C23B" w14:textId="77777777" w:rsidTr="00A15226">
        <w:tc>
          <w:tcPr>
            <w:tcW w:w="1526" w:type="dxa"/>
            <w:vMerge w:val="restart"/>
            <w:vAlign w:val="center"/>
          </w:tcPr>
          <w:p w14:paraId="18BDD556"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45ADF625"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09D4E92C" w14:textId="77777777" w:rsidTr="00A15226">
        <w:tc>
          <w:tcPr>
            <w:tcW w:w="1526" w:type="dxa"/>
            <w:vMerge/>
            <w:vAlign w:val="center"/>
          </w:tcPr>
          <w:p w14:paraId="59D034A3" w14:textId="77777777" w:rsidR="000B173B" w:rsidRDefault="000B173B" w:rsidP="00A15226">
            <w:pPr>
              <w:pStyle w:val="Tabletext"/>
              <w:rPr>
                <w:rFonts w:ascii="Helvetica" w:hAnsi="Helvetica"/>
                <w:b/>
                <w:bCs/>
                <w:sz w:val="14"/>
              </w:rPr>
            </w:pPr>
          </w:p>
        </w:tc>
        <w:tc>
          <w:tcPr>
            <w:tcW w:w="8113" w:type="dxa"/>
            <w:vAlign w:val="center"/>
          </w:tcPr>
          <w:p w14:paraId="23803DF0" w14:textId="77777777" w:rsidR="000B173B" w:rsidRDefault="000B173B" w:rsidP="00A15226">
            <w:pPr>
              <w:pStyle w:val="Tabletext"/>
            </w:pPr>
            <w:r>
              <w:rPr>
                <w:b/>
                <w:bCs/>
              </w:rPr>
              <w:t xml:space="preserve">N/A. </w:t>
            </w:r>
            <w:r>
              <w:t>Surveys conducted within the Growth Areas concluded that there is unlikely to be suitable habitat present for this species.</w:t>
            </w:r>
          </w:p>
        </w:tc>
      </w:tr>
      <w:tr w:rsidR="000B173B" w:rsidRPr="00980D4D" w14:paraId="6C5E181D" w14:textId="77777777" w:rsidTr="00A15226">
        <w:tc>
          <w:tcPr>
            <w:tcW w:w="1526" w:type="dxa"/>
            <w:vMerge/>
            <w:vAlign w:val="center"/>
          </w:tcPr>
          <w:p w14:paraId="4801ED50"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CF9F5F9" w14:textId="77777777" w:rsidR="000B173B" w:rsidRDefault="000B173B" w:rsidP="00A15226">
            <w:pPr>
              <w:pStyle w:val="Tabletext"/>
              <w:rPr>
                <w:b/>
                <w:bCs/>
              </w:rPr>
            </w:pPr>
            <w:r w:rsidRPr="001E34D1">
              <w:rPr>
                <w:rFonts w:ascii="Helvetica" w:hAnsi="Helvetica"/>
                <w:b/>
                <w:bCs/>
                <w:sz w:val="14"/>
              </w:rPr>
              <w:t>WITHIN THE UNSURVEYED AREAS OF THE GROWTH AREAS</w:t>
            </w:r>
          </w:p>
        </w:tc>
      </w:tr>
      <w:tr w:rsidR="000B173B" w:rsidRPr="00980D4D" w14:paraId="792B4040" w14:textId="77777777" w:rsidTr="00A15226">
        <w:tc>
          <w:tcPr>
            <w:tcW w:w="1526" w:type="dxa"/>
            <w:vMerge/>
            <w:vAlign w:val="center"/>
          </w:tcPr>
          <w:p w14:paraId="70CFF563" w14:textId="77777777" w:rsidR="000B173B" w:rsidRDefault="000B173B" w:rsidP="00A15226">
            <w:pPr>
              <w:pStyle w:val="Tabletext"/>
              <w:rPr>
                <w:rFonts w:ascii="Helvetica" w:hAnsi="Helvetica"/>
                <w:b/>
                <w:bCs/>
                <w:sz w:val="14"/>
              </w:rPr>
            </w:pPr>
          </w:p>
        </w:tc>
        <w:tc>
          <w:tcPr>
            <w:tcW w:w="8113" w:type="dxa"/>
            <w:vAlign w:val="center"/>
          </w:tcPr>
          <w:p w14:paraId="7505C388" w14:textId="77777777" w:rsidR="000B173B" w:rsidRDefault="000B173B" w:rsidP="00A15226">
            <w:pPr>
              <w:pStyle w:val="Tabletext"/>
              <w:rPr>
                <w:b/>
                <w:bCs/>
              </w:rPr>
            </w:pPr>
            <w:r>
              <w:rPr>
                <w:b/>
                <w:bCs/>
              </w:rPr>
              <w:t xml:space="preserve">N/A. </w:t>
            </w:r>
            <w:r>
              <w:t>There is unlikely to be suitable habitat present for this species.</w:t>
            </w:r>
          </w:p>
        </w:tc>
      </w:tr>
      <w:tr w:rsidR="000B173B" w:rsidRPr="00980D4D" w14:paraId="2F847518" w14:textId="77777777" w:rsidTr="00A15226">
        <w:tc>
          <w:tcPr>
            <w:tcW w:w="1526" w:type="dxa"/>
            <w:vMerge/>
            <w:vAlign w:val="center"/>
          </w:tcPr>
          <w:p w14:paraId="0B4CBD3B"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1A043C27" w14:textId="77777777" w:rsidR="000B173B" w:rsidRDefault="000B173B" w:rsidP="00A15226">
            <w:pPr>
              <w:pStyle w:val="Bullet1"/>
              <w:numPr>
                <w:ilvl w:val="0"/>
                <w:numId w:val="0"/>
              </w:numPr>
              <w:ind w:left="360" w:hanging="360"/>
            </w:pPr>
            <w:r w:rsidRPr="001B3830">
              <w:rPr>
                <w:rFonts w:ascii="Helvetica" w:hAnsi="Helvetica"/>
                <w:b/>
                <w:bCs/>
                <w:sz w:val="14"/>
              </w:rPr>
              <w:t>OUTSIDE THE GROWTH AREAS</w:t>
            </w:r>
          </w:p>
        </w:tc>
      </w:tr>
      <w:tr w:rsidR="000B173B" w:rsidRPr="00980D4D" w14:paraId="4E89A40F" w14:textId="77777777" w:rsidTr="00A15226">
        <w:tc>
          <w:tcPr>
            <w:tcW w:w="1526" w:type="dxa"/>
            <w:vMerge/>
            <w:vAlign w:val="center"/>
          </w:tcPr>
          <w:p w14:paraId="078CD3CB" w14:textId="77777777" w:rsidR="000B173B" w:rsidRPr="000816D6" w:rsidRDefault="000B173B" w:rsidP="00A15226">
            <w:pPr>
              <w:pStyle w:val="Tabletext"/>
              <w:rPr>
                <w:rFonts w:ascii="Helvetica" w:hAnsi="Helvetica"/>
                <w:b/>
                <w:bCs/>
                <w:sz w:val="14"/>
              </w:rPr>
            </w:pPr>
          </w:p>
        </w:tc>
        <w:tc>
          <w:tcPr>
            <w:tcW w:w="8113" w:type="dxa"/>
            <w:vAlign w:val="center"/>
          </w:tcPr>
          <w:p w14:paraId="40A5BD75" w14:textId="77777777" w:rsidR="000B173B" w:rsidRPr="006900FB" w:rsidRDefault="000B173B" w:rsidP="00A15226">
            <w:pPr>
              <w:pStyle w:val="Tabletext"/>
            </w:pPr>
            <w:r w:rsidRPr="006900FB">
              <w:t xml:space="preserve">There is no modelled habitat available for this species. As a proxy, the modelling for a wader with similar habitat use, the Curlew Sandpiper, has been used to indicate the potential habitat occurrence and distribution for the Western Alaskan Bar-tailed Godwit across the Study Area. </w:t>
            </w:r>
          </w:p>
          <w:p w14:paraId="3161F983" w14:textId="77777777" w:rsidR="000B173B" w:rsidRPr="006900FB" w:rsidRDefault="000B173B" w:rsidP="00A15226">
            <w:pPr>
              <w:pStyle w:val="Tabletext"/>
            </w:pPr>
            <w:r w:rsidRPr="006900FB">
              <w:t>The habitat mapping method for the Curlew Sandpiper is as follows:</w:t>
            </w:r>
          </w:p>
          <w:p w14:paraId="16ADDF6C"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2760FAFE" w14:textId="77777777" w:rsidR="000B173B" w:rsidRPr="00980D4D" w:rsidRDefault="000B173B" w:rsidP="00A15226">
            <w:pPr>
              <w:pStyle w:val="Tabletext"/>
            </w:pPr>
            <w:r w:rsidRPr="00B03721">
              <w:t>Refer to</w:t>
            </w:r>
            <w:r>
              <w:t xml:space="preserve"> </w:t>
            </w:r>
            <w:r w:rsidRPr="0085400C">
              <w:t>Chapter 13 of Part 3</w:t>
            </w:r>
            <w:r w:rsidRPr="009C78F5">
              <w:t xml:space="preserve"> for</w:t>
            </w:r>
            <w:r>
              <w:t xml:space="preserve"> a detailed description of the baseline mapping, landholder surveys, and HIMs.</w:t>
            </w:r>
          </w:p>
        </w:tc>
      </w:tr>
      <w:tr w:rsidR="000B173B" w:rsidRPr="003E1ADD" w14:paraId="3F0AFF14" w14:textId="77777777" w:rsidTr="00A15226">
        <w:tc>
          <w:tcPr>
            <w:tcW w:w="1526" w:type="dxa"/>
            <w:vMerge w:val="restart"/>
            <w:vAlign w:val="center"/>
          </w:tcPr>
          <w:p w14:paraId="1167BFB9"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5432E1BD"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422A057F" w14:textId="77777777" w:rsidTr="00A15226">
        <w:tc>
          <w:tcPr>
            <w:tcW w:w="1526" w:type="dxa"/>
            <w:vMerge/>
            <w:vAlign w:val="center"/>
          </w:tcPr>
          <w:p w14:paraId="23E87FEE" w14:textId="77777777" w:rsidR="000B173B" w:rsidRDefault="000B173B" w:rsidP="00A15226">
            <w:pPr>
              <w:pStyle w:val="Tabletext"/>
              <w:rPr>
                <w:rFonts w:ascii="Helvetica" w:hAnsi="Helvetica"/>
                <w:b/>
                <w:bCs/>
                <w:sz w:val="14"/>
              </w:rPr>
            </w:pPr>
          </w:p>
        </w:tc>
        <w:tc>
          <w:tcPr>
            <w:tcW w:w="8113" w:type="dxa"/>
            <w:vAlign w:val="center"/>
          </w:tcPr>
          <w:p w14:paraId="298082E3"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7874023A" w14:textId="77777777" w:rsidTr="00A15226">
        <w:tc>
          <w:tcPr>
            <w:tcW w:w="1526" w:type="dxa"/>
            <w:vMerge/>
            <w:vAlign w:val="center"/>
          </w:tcPr>
          <w:p w14:paraId="6121BA78"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65FB658F"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70DC6117" w14:textId="77777777" w:rsidTr="00A15226">
        <w:tc>
          <w:tcPr>
            <w:tcW w:w="1526" w:type="dxa"/>
            <w:vMerge/>
            <w:vAlign w:val="center"/>
          </w:tcPr>
          <w:p w14:paraId="15865EC3" w14:textId="77777777" w:rsidR="000B173B" w:rsidRDefault="000B173B" w:rsidP="00A15226">
            <w:pPr>
              <w:pStyle w:val="Tabletext"/>
              <w:rPr>
                <w:rFonts w:ascii="Helvetica" w:hAnsi="Helvetica"/>
                <w:b/>
                <w:bCs/>
                <w:sz w:val="14"/>
              </w:rPr>
            </w:pPr>
          </w:p>
        </w:tc>
        <w:tc>
          <w:tcPr>
            <w:tcW w:w="8113" w:type="dxa"/>
            <w:vAlign w:val="center"/>
          </w:tcPr>
          <w:p w14:paraId="5EEE23B3" w14:textId="77777777" w:rsidR="000B173B" w:rsidRPr="00BB022D" w:rsidRDefault="000B173B" w:rsidP="00A15226">
            <w:pPr>
              <w:pStyle w:val="Bullet1"/>
              <w:numPr>
                <w:ilvl w:val="0"/>
                <w:numId w:val="0"/>
              </w:numPr>
              <w:ind w:left="360" w:hanging="360"/>
            </w:pPr>
            <w:r w:rsidRPr="00C62332">
              <w:t xml:space="preserve">VBA records for the </w:t>
            </w:r>
            <w:r>
              <w:t>Bar-tailed Godwit</w:t>
            </w:r>
            <w:r w:rsidRPr="00C62332">
              <w:t xml:space="preserve"> used in this assessment were downloaded in June 2022.</w:t>
            </w:r>
          </w:p>
        </w:tc>
      </w:tr>
      <w:tr w:rsidR="000B173B" w:rsidRPr="003E1ADD" w14:paraId="7675E74D" w14:textId="77777777" w:rsidTr="00A15226">
        <w:tc>
          <w:tcPr>
            <w:tcW w:w="1526" w:type="dxa"/>
            <w:vMerge/>
            <w:vAlign w:val="center"/>
          </w:tcPr>
          <w:p w14:paraId="5185B21B"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110E8E4D"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49771A73" w14:textId="77777777" w:rsidTr="00A15226">
        <w:tc>
          <w:tcPr>
            <w:tcW w:w="1526" w:type="dxa"/>
            <w:vMerge/>
            <w:vAlign w:val="center"/>
          </w:tcPr>
          <w:p w14:paraId="2437722E" w14:textId="77777777" w:rsidR="000B173B" w:rsidRDefault="000B173B" w:rsidP="00A15226">
            <w:pPr>
              <w:pStyle w:val="Tabletext"/>
              <w:rPr>
                <w:rFonts w:ascii="Helvetica" w:hAnsi="Helvetica"/>
                <w:b/>
                <w:bCs/>
                <w:sz w:val="14"/>
              </w:rPr>
            </w:pPr>
          </w:p>
        </w:tc>
        <w:tc>
          <w:tcPr>
            <w:tcW w:w="8113" w:type="dxa"/>
            <w:vAlign w:val="center"/>
          </w:tcPr>
          <w:p w14:paraId="7E241644" w14:textId="77777777" w:rsidR="000B173B" w:rsidRPr="00BB022D" w:rsidRDefault="000B173B" w:rsidP="00A15226">
            <w:pPr>
              <w:pStyle w:val="Tabletext"/>
            </w:pPr>
            <w:r w:rsidRPr="00C62332">
              <w:t>Given the mobile nature</w:t>
            </w:r>
            <w:r>
              <w:t xml:space="preserve"> </w:t>
            </w:r>
            <w:r w:rsidRPr="00C62332">
              <w:t xml:space="preserve">of the species, all records within the Study Area </w:t>
            </w:r>
            <w:r>
              <w:t>are</w:t>
            </w:r>
            <w:r w:rsidRPr="00C62332">
              <w:t xml:space="preserve"> considered a single population.</w:t>
            </w:r>
          </w:p>
        </w:tc>
      </w:tr>
    </w:tbl>
    <w:p w14:paraId="793E8F42"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66FCDEC6" w14:textId="77777777" w:rsidTr="00A15226">
        <w:tc>
          <w:tcPr>
            <w:tcW w:w="9622" w:type="dxa"/>
            <w:shd w:val="clear" w:color="auto" w:fill="C9C9C9" w:themeFill="accent3" w:themeFillTint="99"/>
          </w:tcPr>
          <w:p w14:paraId="700ABCE0" w14:textId="77777777" w:rsidR="000B173B" w:rsidRPr="008F55BC" w:rsidRDefault="000B173B" w:rsidP="00A15226">
            <w:pPr>
              <w:pStyle w:val="Tabletext"/>
              <w:keepNext/>
              <w:keepLines/>
              <w:rPr>
                <w:b/>
                <w:bCs/>
              </w:rPr>
            </w:pPr>
            <w:r>
              <w:rPr>
                <w:rFonts w:ascii="Helvetica" w:hAnsi="Helvetica"/>
                <w:b/>
                <w:sz w:val="16"/>
                <w:szCs w:val="16"/>
              </w:rPr>
              <w:lastRenderedPageBreak/>
              <w:t>OC</w:t>
            </w:r>
            <w:r w:rsidRPr="008F55BC">
              <w:rPr>
                <w:rFonts w:ascii="Helvetica" w:hAnsi="Helvetica"/>
                <w:b/>
                <w:sz w:val="16"/>
                <w:szCs w:val="16"/>
              </w:rPr>
              <w:t>C</w:t>
            </w:r>
            <w:r>
              <w:rPr>
                <w:rFonts w:ascii="Helvetica" w:hAnsi="Helvetica"/>
                <w:b/>
                <w:sz w:val="16"/>
                <w:szCs w:val="16"/>
              </w:rPr>
              <w:t>URRENCE IN THE STUDY AREA</w:t>
            </w:r>
          </w:p>
        </w:tc>
      </w:tr>
    </w:tbl>
    <w:p w14:paraId="0DFB4672" w14:textId="77777777" w:rsidR="000B173B" w:rsidRPr="003B08F2" w:rsidRDefault="000B173B" w:rsidP="000B173B">
      <w:pPr>
        <w:keepNext/>
        <w:keepLines/>
        <w:rPr>
          <w:i/>
          <w:iCs/>
          <w:color w:val="4472C4" w:themeColor="accent1"/>
        </w:rPr>
      </w:pPr>
      <w:r w:rsidRPr="00BB022D">
        <w:rPr>
          <w:i/>
          <w:iCs/>
          <w:color w:val="4472C4" w:themeColor="accent1"/>
        </w:rPr>
        <w:t xml:space="preserve">This section describes the occurrence of the species in </w:t>
      </w:r>
      <w:r w:rsidRPr="00CA1943">
        <w:rPr>
          <w:i/>
          <w:iCs/>
          <w:color w:val="4472C4" w:themeColor="accent1"/>
        </w:rPr>
        <w:t>the Study Area. It includes reference to a map of records and habitat which can be viewed as a separate file. The map provides critical context</w:t>
      </w:r>
      <w:r w:rsidRPr="00BB022D">
        <w:rPr>
          <w:i/>
          <w:iCs/>
          <w:color w:val="4472C4" w:themeColor="accent1"/>
        </w:rPr>
        <w:t xml:space="preserve"> for the assessment and should be viewed in conjunction with the text presented in this assessment. This section also provides a qualitative description of where records and habitat occur.</w:t>
      </w:r>
    </w:p>
    <w:p w14:paraId="7BCA4832" w14:textId="77777777" w:rsidR="000B173B" w:rsidRPr="00BC5573" w:rsidRDefault="000B173B" w:rsidP="000B173B">
      <w:pPr>
        <w:keepNext/>
        <w:keepLines/>
      </w:pPr>
      <w:r w:rsidRPr="00777928">
        <w:t xml:space="preserve">See </w:t>
      </w:r>
      <w:hyperlink r:id="rId150" w:history="1">
        <w:r w:rsidRPr="00AC291E">
          <w:rPr>
            <w:rStyle w:val="Hyperlink"/>
          </w:rPr>
          <w:t>Map 19-20</w:t>
        </w:r>
      </w:hyperlink>
      <w:r w:rsidRPr="00777928">
        <w:t xml:space="preserve"> for a map</w:t>
      </w:r>
      <w:r w:rsidRPr="00BC5573">
        <w:t xml:space="preserve"> of records and habitat across the Strategic Assessment Area.</w:t>
      </w:r>
    </w:p>
    <w:p w14:paraId="1A409CA1" w14:textId="77777777" w:rsidR="000B173B" w:rsidRPr="00BC5573" w:rsidRDefault="000B173B" w:rsidP="000B173B">
      <w:pPr>
        <w:keepNext/>
        <w:keepLines/>
      </w:pPr>
      <w:r w:rsidRPr="00777928">
        <w:t xml:space="preserve">There are </w:t>
      </w:r>
      <w:r w:rsidRPr="006900FB">
        <w:t>91 records (979 individuals</w:t>
      </w:r>
      <w:r w:rsidRPr="00777928">
        <w:t>) of the Western Alaskan Bar-tailed Godwit within the Study Area, with the most record from 2016. The species has not been</w:t>
      </w:r>
      <w:r w:rsidRPr="00BC5573">
        <w:t xml:space="preserve"> recorded within the Strategic Assessment Area.</w:t>
      </w:r>
    </w:p>
    <w:p w14:paraId="3BC586B5" w14:textId="77777777" w:rsidR="000B173B" w:rsidRDefault="000B173B" w:rsidP="000B173B">
      <w:pPr>
        <w:keepNext/>
        <w:keepLines/>
      </w:pPr>
      <w:r>
        <w:t xml:space="preserve">A </w:t>
      </w:r>
      <w:r w:rsidRPr="009C78F5">
        <w:t xml:space="preserve">total of </w:t>
      </w:r>
      <w:r w:rsidRPr="0085400C">
        <w:t>5,929.7 ha</w:t>
      </w:r>
      <w:r w:rsidRPr="009C78F5">
        <w:t xml:space="preserve"> of potential habitat has been mapped within the Study Area. Of this, </w:t>
      </w:r>
      <w:r w:rsidRPr="0085400C">
        <w:t>12.4 ha</w:t>
      </w:r>
      <w:r w:rsidRPr="009C78F5">
        <w:t xml:space="preserve"> is mapped within the Strategic Assessment Area</w:t>
      </w:r>
      <w:r>
        <w:t>. No habitat is mapped within the Growth Areas.</w:t>
      </w:r>
    </w:p>
    <w:p w14:paraId="23CDACC4" w14:textId="77777777" w:rsidR="000B173B" w:rsidRDefault="000B173B" w:rsidP="000B173B">
      <w:pPr>
        <w:keepNext/>
        <w:keepLines/>
      </w:pPr>
      <w:r>
        <w:t xml:space="preserve">Mapped potential habitat and </w:t>
      </w:r>
      <w:r w:rsidRPr="006900FB">
        <w:t>66 records (628 individuals</w:t>
      </w:r>
      <w:r w:rsidRPr="00777928">
        <w:t>)</w:t>
      </w:r>
      <w:r>
        <w:t xml:space="preserve"> for the Western Alaskan Bar-tailed Godwit are located along the northern shoreline of Port Phillip Bay</w:t>
      </w:r>
      <w:r w:rsidRPr="00353BD8">
        <w:t xml:space="preserve">, from </w:t>
      </w:r>
      <w:r>
        <w:t>Limeburners Bay</w:t>
      </w:r>
      <w:r w:rsidRPr="00353BD8">
        <w:t xml:space="preserve"> in the west through to the Study Area boundary in the east</w:t>
      </w:r>
      <w:r>
        <w:t xml:space="preserve">. </w:t>
      </w:r>
    </w:p>
    <w:p w14:paraId="24699AF8" w14:textId="77777777" w:rsidR="000B173B" w:rsidRDefault="000B173B" w:rsidP="000B173B">
      <w:pPr>
        <w:keepNext/>
        <w:keepLines/>
      </w:pPr>
      <w:r>
        <w:t xml:space="preserve">Mapped potential habitat and records are also located at the Lake Connewarre </w:t>
      </w:r>
      <w:r w:rsidRPr="00777928">
        <w:t>Complex (</w:t>
      </w:r>
      <w:r w:rsidRPr="006900FB">
        <w:t>17 records, 234 individuals</w:t>
      </w:r>
      <w:r w:rsidRPr="00777928">
        <w:t>) and</w:t>
      </w:r>
      <w:r>
        <w:t xml:space="preserve"> at </w:t>
      </w:r>
      <w:r w:rsidRPr="00777928">
        <w:t>Moolap (</w:t>
      </w:r>
      <w:r w:rsidRPr="006900FB">
        <w:t>8 records, 117 individuals</w:t>
      </w:r>
      <w:r w:rsidRPr="00777928">
        <w:t>).</w:t>
      </w:r>
    </w:p>
    <w:p w14:paraId="026AE5AD" w14:textId="77777777" w:rsidR="000B173B" w:rsidRPr="006934FA" w:rsidRDefault="000B173B" w:rsidP="000B173B">
      <w:pPr>
        <w:keepNext/>
        <w:keepLines/>
      </w:pPr>
      <w:r>
        <w:t>A smaller area of potential habitat not associated with records occurs in the estuarine environment of Thompson Creek in the south of the Study Area.</w:t>
      </w:r>
    </w:p>
    <w:p w14:paraId="59F9DF8F" w14:textId="77777777" w:rsidR="000B173B" w:rsidRPr="00F1026D" w:rsidRDefault="000B173B" w:rsidP="000B173B">
      <w:pPr>
        <w:rPr>
          <w:color w:val="FF0000"/>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0EB3DC46" w14:textId="77777777" w:rsidTr="00A15226">
        <w:trPr>
          <w:cantSplit/>
        </w:trPr>
        <w:tc>
          <w:tcPr>
            <w:tcW w:w="9632" w:type="dxa"/>
            <w:shd w:val="clear" w:color="auto" w:fill="D9D9D9" w:themeFill="background1" w:themeFillShade="D9"/>
            <w:vAlign w:val="center"/>
          </w:tcPr>
          <w:p w14:paraId="62025641" w14:textId="77777777" w:rsidR="000B173B" w:rsidRPr="000816D6" w:rsidRDefault="000B173B" w:rsidP="00A15226">
            <w:pPr>
              <w:pStyle w:val="TableHeadingLarge"/>
            </w:pPr>
            <w:r w:rsidRPr="000816D6">
              <w:rPr>
                <w:rFonts w:ascii="Helvetica" w:hAnsi="Helvetica"/>
              </w:rPr>
              <w:t>POTENTIAL INDIRECT IMPACTS AND MITIGATION</w:t>
            </w:r>
          </w:p>
        </w:tc>
      </w:tr>
    </w:tbl>
    <w:p w14:paraId="2516290C"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5E316D00"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292F8952" w14:textId="77777777" w:rsidR="000B173B" w:rsidRPr="007C1D70" w:rsidRDefault="000B173B" w:rsidP="000B173B">
      <w:pPr>
        <w:pStyle w:val="Bullet1"/>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1FB3CCFB"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4FCB89E1" w14:textId="77777777" w:rsidR="000B173B" w:rsidRPr="007C1D70" w:rsidRDefault="000B173B" w:rsidP="000B173B">
      <w:pPr>
        <w:rPr>
          <w:i/>
          <w:color w:val="4472C4" w:themeColor="accent1"/>
        </w:rPr>
      </w:pPr>
      <w:r w:rsidRPr="007C1D70">
        <w:rPr>
          <w:i/>
          <w:color w:val="4472C4" w:themeColor="accent1"/>
        </w:rPr>
        <w:t xml:space="preserve">Please refer to </w:t>
      </w:r>
      <w:r w:rsidRPr="006900FB">
        <w:rPr>
          <w:i/>
          <w:color w:val="4472C4" w:themeColor="accent1"/>
        </w:rPr>
        <w:t>Chapter 19</w:t>
      </w:r>
      <w:r w:rsidRPr="00777928">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777928">
        <w:rPr>
          <w:i/>
          <w:color w:val="4472C4" w:themeColor="accent1"/>
        </w:rPr>
        <w:t xml:space="preserve"> for</w:t>
      </w:r>
      <w:r w:rsidRPr="007C1D70">
        <w:rPr>
          <w:i/>
          <w:color w:val="4472C4" w:themeColor="accent1"/>
        </w:rPr>
        <w:t xml:space="preserve"> a detailed discussion and analysis of indirect impacts and mitigation measures included in the Plan. </w:t>
      </w:r>
    </w:p>
    <w:p w14:paraId="4E756EA1" w14:textId="77777777" w:rsidR="000B173B" w:rsidRDefault="000B173B" w:rsidP="000B173B">
      <w:pPr>
        <w:pStyle w:val="Heading3"/>
        <w:numPr>
          <w:ilvl w:val="0"/>
          <w:numId w:val="0"/>
        </w:numPr>
        <w:ind w:left="720" w:hanging="720"/>
      </w:pPr>
      <w:r w:rsidRPr="00FB680C">
        <w:t>R</w:t>
      </w:r>
      <w:r>
        <w:t>elevant potential indirect impacts</w:t>
      </w:r>
    </w:p>
    <w:p w14:paraId="0A21F3ED" w14:textId="77777777" w:rsidR="000B173B" w:rsidRDefault="000B173B" w:rsidP="000B173B">
      <w:r w:rsidRPr="00C02E8B">
        <w:t xml:space="preserve">The Conservation Advice for the </w:t>
      </w:r>
      <w:r>
        <w:t>Bar-tailed Godwit</w:t>
      </w:r>
      <w:r w:rsidRPr="002B70F0">
        <w:t xml:space="preserve"> identifies a range of threats to the species</w:t>
      </w:r>
      <w:r>
        <w:t xml:space="preserve"> in Australia </w:t>
      </w:r>
      <w:sdt>
        <w:sdtPr>
          <w:rPr>
            <w:color w:val="000000"/>
          </w:rPr>
          <w:tag w:val="MENDELEY_CITATION_v3_eyJjaXRhdGlvbklEIjoiTUVOREVMRVlfQ0lUQVRJT05fMGZiYjU1OTctOWRmMS00ZDA2LWEwNTQtY2E3ZGFkMTNjOGY5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555465442"/>
          <w:placeholder>
            <w:docPart w:val="7A87483195E49548AABB39FF484A13FE"/>
          </w:placeholder>
        </w:sdtPr>
        <w:sdtContent>
          <w:r w:rsidRPr="00AB79D8">
            <w:rPr>
              <w:color w:val="000000"/>
            </w:rPr>
            <w:t>(TSSC, 2016o)</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539791FB" w14:textId="77777777" w:rsidR="000B173B" w:rsidRDefault="000B173B" w:rsidP="000B173B">
      <w:r>
        <w:t>The following potential indirect impacts (identified as threats) are considered relevant to implementation of the Plan:</w:t>
      </w:r>
    </w:p>
    <w:p w14:paraId="78C81D93" w14:textId="77777777" w:rsidR="000B173B" w:rsidRPr="00292D2C" w:rsidRDefault="000B173B" w:rsidP="000B173B">
      <w:pPr>
        <w:pStyle w:val="Bullet1"/>
      </w:pPr>
      <w:r w:rsidRPr="00292D2C">
        <w:t>Ongoing human disturbance</w:t>
      </w:r>
    </w:p>
    <w:p w14:paraId="302396FA" w14:textId="77777777" w:rsidR="000B173B" w:rsidRPr="00292D2C" w:rsidRDefault="000B173B" w:rsidP="000B173B">
      <w:pPr>
        <w:pStyle w:val="Bullet1"/>
      </w:pPr>
      <w:r w:rsidRPr="00292D2C">
        <w:t>Pollution and changes to the water regime</w:t>
      </w:r>
    </w:p>
    <w:p w14:paraId="6063B0FC" w14:textId="77777777" w:rsidR="000B173B" w:rsidRDefault="000B173B" w:rsidP="000B173B">
      <w:r>
        <w:t>Invasive weeds are also</w:t>
      </w:r>
      <w:r w:rsidRPr="003A2AF0">
        <w:t xml:space="preserve"> identified in the Conservation Advice</w:t>
      </w:r>
      <w:r>
        <w:t xml:space="preserve"> as a threat to the species</w:t>
      </w:r>
      <w:r w:rsidRPr="003A2AF0">
        <w:t xml:space="preserve">. However, potential indirect impacts associated with </w:t>
      </w:r>
      <w:r>
        <w:t>this threat</w:t>
      </w:r>
      <w:r w:rsidRPr="003A2AF0">
        <w:t xml:space="preserve"> </w:t>
      </w:r>
      <w:r>
        <w:t>are</w:t>
      </w:r>
      <w:r w:rsidRPr="003A2AF0">
        <w:t xml:space="preserve"> considered unlikely given the landscape context of the site and the ecology of the species. Refer </w:t>
      </w:r>
      <w:r w:rsidRPr="00777928">
        <w:t xml:space="preserve">to </w:t>
      </w:r>
      <w:r w:rsidRPr="006900FB">
        <w:t>Section 17.2 of Chapter 17</w:t>
      </w:r>
      <w:r>
        <w:t xml:space="preserve"> for a detailed assessment of potential indirect impacts associated with the implementation of the Plan.</w:t>
      </w:r>
      <w:r w:rsidRPr="00CC2A00" w:rsidDel="00727335">
        <w:rPr>
          <w:highlight w:val="yellow"/>
        </w:rPr>
        <w:t xml:space="preserve"> </w:t>
      </w:r>
    </w:p>
    <w:p w14:paraId="6B89AE47" w14:textId="77777777" w:rsidR="000B173B" w:rsidRPr="00292D2C" w:rsidRDefault="000B173B" w:rsidP="000B173B">
      <w:pPr>
        <w:pStyle w:val="Heading4"/>
      </w:pPr>
      <w:r w:rsidRPr="00292D2C">
        <w:lastRenderedPageBreak/>
        <w:t>Ongoing human disturbance</w:t>
      </w:r>
    </w:p>
    <w:p w14:paraId="1BEFC7DD" w14:textId="77777777" w:rsidR="000B173B" w:rsidRPr="00292D2C" w:rsidRDefault="000B173B" w:rsidP="000B173B">
      <w:r w:rsidRPr="00292D2C">
        <w:t>Disturbance may result from recreational activities such as fishing, boating, dog walking</w:t>
      </w:r>
      <w:r>
        <w:t xml:space="preserve"> (particularly unleashed dogs)</w:t>
      </w:r>
      <w:r w:rsidRPr="00292D2C">
        <w:t>, four-wheel driving,</w:t>
      </w:r>
      <w:r>
        <w:t xml:space="preserve"> </w:t>
      </w:r>
      <w:r w:rsidRPr="00292D2C">
        <w:t>noise</w:t>
      </w:r>
      <w:r>
        <w:t>,</w:t>
      </w:r>
      <w:r w:rsidRPr="00292D2C">
        <w:t xml:space="preserve"> and lighting. While an individual source of disturbance may have a low impact, it is important to consider the cumulative impact of different types of human disturbance on the species </w:t>
      </w:r>
      <w:sdt>
        <w:sdtPr>
          <w:rPr>
            <w:color w:val="000000"/>
          </w:rPr>
          <w:tag w:val="MENDELEY_CITATION_v3_eyJjaXRhdGlvbklEIjoiTUVOREVMRVlfQ0lUQVRJT05fMTNjMTMxMzMtYjYxNi00MmQ0LWI0ZDYtODA1NzMxYTQ1NmE1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2053755074"/>
          <w:placeholder>
            <w:docPart w:val="7A87483195E49548AABB39FF484A13FE"/>
          </w:placeholder>
        </w:sdtPr>
        <w:sdtContent>
          <w:r w:rsidRPr="00AB79D8">
            <w:rPr>
              <w:color w:val="000000"/>
            </w:rPr>
            <w:t>(TSSC, 2016o)</w:t>
          </w:r>
        </w:sdtContent>
      </w:sdt>
      <w:r>
        <w:t>.</w:t>
      </w:r>
    </w:p>
    <w:p w14:paraId="58D33CAE" w14:textId="77777777" w:rsidR="000B173B" w:rsidRPr="00292D2C" w:rsidRDefault="000B173B" w:rsidP="000B173B">
      <w:r w:rsidRPr="00292D2C">
        <w:t xml:space="preserve">As a migratory shorebird, the </w:t>
      </w:r>
      <w:r>
        <w:t>Bar-tailed Godwit</w:t>
      </w:r>
      <w:r w:rsidRPr="00292D2C">
        <w:t xml:space="preserve"> requires suitable foraging opportunities to build up energy stores required for migration. Human disturbance can interrupt the species’ feeding or roosting behaviours and may cause the species not to feed or roost in a location that would otherwise provide suitable habitat. Disturbance can also reduce the time the species has available for foraging and resting and increase the time the species spends engaging in vigilance and anti-predator behaviour</w:t>
      </w:r>
      <w:r>
        <w:t>. Bar-tailed Godwits have been recorded to take flight when humans approached within 10-70 m of them at Phillip Island, Victoria</w:t>
      </w:r>
      <w:r w:rsidRPr="00292D2C">
        <w:t xml:space="preserve"> </w:t>
      </w:r>
      <w:sdt>
        <w:sdtPr>
          <w:rPr>
            <w:color w:val="000000"/>
          </w:rPr>
          <w:tag w:val="MENDELEY_CITATION_v3_eyJjaXRhdGlvbklEIjoiTUVOREVMRVlfQ0lUQVRJT05fNmFiZTY2NzYtY2E3ZC00Nzg0LWJkZmQtN2ZmZWU4N2UxN2Nl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29924114"/>
          <w:placeholder>
            <w:docPart w:val="7A87483195E49548AABB39FF484A13FE"/>
          </w:placeholder>
        </w:sdtPr>
        <w:sdtContent>
          <w:r w:rsidRPr="00AB79D8">
            <w:rPr>
              <w:color w:val="000000"/>
            </w:rPr>
            <w:t>(TSSC, 2016o)</w:t>
          </w:r>
        </w:sdtContent>
      </w:sdt>
      <w:r>
        <w:t>.</w:t>
      </w:r>
    </w:p>
    <w:p w14:paraId="3ACBBF6B" w14:textId="77777777" w:rsidR="000B173B" w:rsidRPr="004A3438" w:rsidRDefault="000B173B" w:rsidP="000B173B">
      <w:pPr>
        <w:pStyle w:val="Heading4"/>
      </w:pPr>
      <w:r w:rsidRPr="004A3438">
        <w:t>Pollution and changes to the water regime</w:t>
      </w:r>
    </w:p>
    <w:p w14:paraId="357B4E67" w14:textId="77777777" w:rsidR="000B173B" w:rsidRDefault="000B173B" w:rsidP="000B173B">
      <w:r w:rsidRPr="004A3438">
        <w:t xml:space="preserve">Pollution and changes to the water regime in habitat used by the </w:t>
      </w:r>
      <w:r>
        <w:t>Bar-tailed Godwit</w:t>
      </w:r>
      <w:r w:rsidRPr="00292D2C">
        <w:t xml:space="preserve"> </w:t>
      </w:r>
      <w:r w:rsidRPr="004A3438">
        <w:t>for foraging and/or roosting can cause indirect loss of habitat for the species through habitat degradation.</w:t>
      </w:r>
      <w:r>
        <w:t xml:space="preserve"> For instance, anthropogenic nutrient enrichment of wetlands can cause cyanobacterium blooms which impact the prey species of Bar-tailed Godwits.</w:t>
      </w:r>
      <w:r w:rsidRPr="004A3438">
        <w:t xml:space="preserve"> The species is particularly sensitive to impacts due to its high site fidelity, tendency to aggregate, high energy demands required for migration and requirement for a network of foraging and roosting habitats. It is also noted that some sites remain important throughout the year for juveniles who may stay in Australia until maturity is reached </w:t>
      </w:r>
      <w:sdt>
        <w:sdtPr>
          <w:rPr>
            <w:color w:val="000000"/>
          </w:rPr>
          <w:tag w:val="MENDELEY_CITATION_v3_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"/>
          <w:id w:val="-47845332"/>
          <w:placeholder>
            <w:docPart w:val="7A87483195E49548AABB39FF484A13FE"/>
          </w:placeholder>
        </w:sdtPr>
        <w:sdtContent>
          <w:r w:rsidRPr="00AB79D8">
            <w:rPr>
              <w:color w:val="000000"/>
            </w:rPr>
            <w:t>(TSSC, 2016o)</w:t>
          </w:r>
        </w:sdtContent>
      </w:sdt>
      <w:r>
        <w:t>.</w:t>
      </w:r>
    </w:p>
    <w:p w14:paraId="567B99C9"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2BA21FAD" w14:textId="77777777" w:rsidTr="00A15226">
        <w:tc>
          <w:tcPr>
            <w:tcW w:w="9622" w:type="dxa"/>
            <w:shd w:val="clear" w:color="auto" w:fill="C9C9C9" w:themeFill="accent3" w:themeFillTint="99"/>
          </w:tcPr>
          <w:p w14:paraId="5EC7A216" w14:textId="77777777" w:rsidR="000B173B" w:rsidRPr="008F55BC" w:rsidRDefault="000B173B" w:rsidP="00A15226">
            <w:pPr>
              <w:pStyle w:val="Tabletext"/>
              <w:keepNext/>
              <w:keepLines/>
              <w:rPr>
                <w:b/>
                <w:bCs/>
              </w:rPr>
            </w:pPr>
            <w:r>
              <w:rPr>
                <w:rFonts w:ascii="Helvetica" w:hAnsi="Helvetica"/>
                <w:b/>
                <w:sz w:val="16"/>
                <w:szCs w:val="16"/>
              </w:rPr>
              <w:t xml:space="preserve">RECOVERY PLAN, KEY THREATENING PROCESSES AND THREAT ABATEMENT PLANS </w:t>
            </w:r>
          </w:p>
        </w:tc>
      </w:tr>
    </w:tbl>
    <w:p w14:paraId="05A60917" w14:textId="77777777" w:rsidR="000B173B" w:rsidRPr="00C6364C" w:rsidRDefault="000B173B" w:rsidP="000B173B">
      <w:pPr>
        <w:keepNext/>
        <w:keepLines/>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in </w:t>
      </w:r>
      <w:r w:rsidRPr="006900FB">
        <w:rPr>
          <w:i/>
          <w:color w:val="4472C4" w:themeColor="accent1"/>
        </w:rPr>
        <w:t>Section 17.</w:t>
      </w:r>
      <w:r w:rsidRPr="00777928">
        <w:rPr>
          <w:i/>
          <w:color w:val="4472C4" w:themeColor="accent1"/>
        </w:rPr>
        <w:t xml:space="preserve">3 of </w:t>
      </w:r>
      <w:r w:rsidRPr="006900FB">
        <w:rPr>
          <w:i/>
          <w:color w:val="4472C4" w:themeColor="accent1"/>
        </w:rPr>
        <w:t>Chapter 17.</w:t>
      </w:r>
    </w:p>
    <w:p w14:paraId="4DB777A5" w14:textId="77777777" w:rsidR="000B173B" w:rsidRPr="000816D6" w:rsidRDefault="000B173B" w:rsidP="000B173B">
      <w:pPr>
        <w:pStyle w:val="Heading3"/>
        <w:numPr>
          <w:ilvl w:val="0"/>
          <w:numId w:val="0"/>
        </w:numPr>
        <w:ind w:left="720" w:hanging="720"/>
      </w:pPr>
      <w:r w:rsidRPr="000816D6">
        <w:t>C</w:t>
      </w:r>
      <w:r>
        <w:t>onsistency with recovery plan</w:t>
      </w:r>
    </w:p>
    <w:p w14:paraId="1275C8F0" w14:textId="77777777" w:rsidR="000B173B" w:rsidRDefault="000B173B" w:rsidP="000B173B">
      <w:r>
        <w:t>There is no adopted or made Recovery Plan for this species.</w:t>
      </w:r>
    </w:p>
    <w:p w14:paraId="4BAA6A6A"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63C14C6E"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_Ref106869608 \h </w:instrText>
      </w:r>
      <w:r>
        <w:fldChar w:fldCharType="separate"/>
      </w:r>
      <w:r>
        <w:t xml:space="preserve">Table </w:t>
      </w:r>
      <w:r>
        <w:rPr>
          <w:noProof/>
        </w:rPr>
        <w:t>B</w:t>
      </w:r>
      <w:r>
        <w:noBreakHyphen/>
      </w:r>
      <w:r>
        <w:rPr>
          <w:noProof/>
        </w:rPr>
        <w:t>11</w:t>
      </w:r>
      <w:r>
        <w:fldChar w:fldCharType="end"/>
      </w:r>
      <w:r>
        <w:t xml:space="preserve"> where they relate to:</w:t>
      </w:r>
    </w:p>
    <w:p w14:paraId="099E15B2" w14:textId="77777777" w:rsidR="000B173B" w:rsidRDefault="000B173B" w:rsidP="000B173B">
      <w:pPr>
        <w:pStyle w:val="Bullet1"/>
      </w:pPr>
      <w:r>
        <w:t>The potential direct impacts of the Plan, or</w:t>
      </w:r>
    </w:p>
    <w:p w14:paraId="10B2F933" w14:textId="77777777" w:rsidR="000B173B" w:rsidRDefault="000B173B" w:rsidP="000B173B">
      <w:pPr>
        <w:pStyle w:val="Bullet1"/>
      </w:pPr>
      <w:r>
        <w:t>The relevant indirect impacts</w:t>
      </w:r>
    </w:p>
    <w:p w14:paraId="3D0EE176" w14:textId="77777777" w:rsidR="000B173B" w:rsidRDefault="000B173B" w:rsidP="000B173B">
      <w:pPr>
        <w:pStyle w:val="Caption"/>
        <w:keepNext/>
      </w:pPr>
      <w:bookmarkStart w:id="289" w:name="_Ref106869608"/>
      <w:bookmarkStart w:id="290" w:name="_Toc134697928"/>
      <w:r>
        <w:t xml:space="preserve">Table </w:t>
      </w:r>
      <w:r>
        <w:fldChar w:fldCharType="begin"/>
      </w:r>
      <w:r>
        <w:instrText xml:space="preserve"> STYLEREF 1 \s </w:instrText>
      </w:r>
      <w:r>
        <w:fldChar w:fldCharType="separate"/>
      </w:r>
      <w:r>
        <w:rPr>
          <w:noProof/>
        </w:rPr>
        <w:t>B</w:t>
      </w:r>
      <w:r>
        <w:fldChar w:fldCharType="end"/>
      </w:r>
      <w:r>
        <w:noBreakHyphen/>
      </w:r>
      <w:r>
        <w:fldChar w:fldCharType="begin"/>
      </w:r>
      <w:r>
        <w:instrText xml:space="preserve"> SEQ Table \* ARABIC \s 1 </w:instrText>
      </w:r>
      <w:r>
        <w:fldChar w:fldCharType="separate"/>
      </w:r>
      <w:r>
        <w:rPr>
          <w:noProof/>
        </w:rPr>
        <w:t>11</w:t>
      </w:r>
      <w:r>
        <w:fldChar w:fldCharType="end"/>
      </w:r>
      <w:bookmarkEnd w:id="289"/>
      <w:r>
        <w:t xml:space="preserve">: </w:t>
      </w:r>
      <w:r w:rsidRPr="005F676F">
        <w:t xml:space="preserve">Relevant Key Threatening Processes and associated Threat Abatement Plans for </w:t>
      </w:r>
      <w:r>
        <w:t>the Western Alaskan Bar-tailed Godwit</w:t>
      </w:r>
      <w:bookmarkEnd w:id="290"/>
    </w:p>
    <w:tbl>
      <w:tblPr>
        <w:tblStyle w:val="TableGrid"/>
        <w:tblW w:w="0" w:type="auto"/>
        <w:tblLook w:val="04A0" w:firstRow="1" w:lastRow="0" w:firstColumn="1" w:lastColumn="0" w:noHBand="0" w:noVBand="1"/>
      </w:tblPr>
      <w:tblGrid>
        <w:gridCol w:w="4811"/>
        <w:gridCol w:w="4811"/>
      </w:tblGrid>
      <w:tr w:rsidR="000B173B" w14:paraId="1FD48BFA" w14:textId="77777777" w:rsidTr="00A15226">
        <w:trPr>
          <w:tblHeader/>
        </w:trPr>
        <w:tc>
          <w:tcPr>
            <w:tcW w:w="4811" w:type="dxa"/>
            <w:shd w:val="clear" w:color="auto" w:fill="DBDBDB" w:themeFill="accent3" w:themeFillTint="66"/>
          </w:tcPr>
          <w:p w14:paraId="7EEC2DBA"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45A32BCF" w14:textId="77777777" w:rsidR="000B173B" w:rsidRPr="00FF1996" w:rsidRDefault="000B173B" w:rsidP="00A15226">
            <w:pPr>
              <w:pStyle w:val="Tabletext"/>
              <w:rPr>
                <w:b/>
                <w:bCs/>
              </w:rPr>
            </w:pPr>
            <w:r w:rsidRPr="00FF1996">
              <w:rPr>
                <w:b/>
                <w:bCs/>
              </w:rPr>
              <w:t>Threat abatement plan</w:t>
            </w:r>
          </w:p>
        </w:tc>
      </w:tr>
      <w:tr w:rsidR="000B173B" w14:paraId="377BC783" w14:textId="77777777" w:rsidTr="00A15226">
        <w:tc>
          <w:tcPr>
            <w:tcW w:w="4811" w:type="dxa"/>
            <w:vAlign w:val="center"/>
          </w:tcPr>
          <w:p w14:paraId="380ABF40" w14:textId="77777777" w:rsidR="000B173B" w:rsidRDefault="000B173B" w:rsidP="00A15226">
            <w:pPr>
              <w:pStyle w:val="Tabletext"/>
            </w:pPr>
            <w:r>
              <w:t xml:space="preserve">Land clearance </w:t>
            </w:r>
          </w:p>
        </w:tc>
        <w:tc>
          <w:tcPr>
            <w:tcW w:w="4811" w:type="dxa"/>
          </w:tcPr>
          <w:p w14:paraId="0F57D464" w14:textId="77777777" w:rsidR="000B173B" w:rsidRDefault="000B173B" w:rsidP="00A15226">
            <w:pPr>
              <w:pStyle w:val="Tabletext"/>
            </w:pPr>
            <w:r>
              <w:t>There is no relevant TAP</w:t>
            </w:r>
          </w:p>
        </w:tc>
      </w:tr>
      <w:tr w:rsidR="000B173B" w14:paraId="4E4113F3" w14:textId="77777777" w:rsidTr="00A15226">
        <w:tc>
          <w:tcPr>
            <w:tcW w:w="4811" w:type="dxa"/>
          </w:tcPr>
          <w:p w14:paraId="22A1B57F" w14:textId="77777777" w:rsidR="000B173B" w:rsidRDefault="000B173B" w:rsidP="00A15226">
            <w:pPr>
              <w:pStyle w:val="Tabletext"/>
            </w:pPr>
            <w:r w:rsidRPr="003919C8">
              <w:t>Loss and degradation of native plant and animal habitat by invasion of escaped garden plants</w:t>
            </w:r>
          </w:p>
        </w:tc>
        <w:tc>
          <w:tcPr>
            <w:tcW w:w="4811" w:type="dxa"/>
          </w:tcPr>
          <w:p w14:paraId="30BC98DD" w14:textId="77777777" w:rsidR="000B173B" w:rsidRDefault="000B173B" w:rsidP="00A15226">
            <w:pPr>
              <w:pStyle w:val="Tabletext"/>
            </w:pPr>
            <w:r>
              <w:t>There is no relevant TAP</w:t>
            </w:r>
          </w:p>
        </w:tc>
      </w:tr>
      <w:tr w:rsidR="000B173B" w14:paraId="1D565FFD" w14:textId="77777777" w:rsidTr="00A15226">
        <w:tc>
          <w:tcPr>
            <w:tcW w:w="4811" w:type="dxa"/>
          </w:tcPr>
          <w:p w14:paraId="31A73DED" w14:textId="77777777" w:rsidR="000B173B" w:rsidRPr="003919C8" w:rsidRDefault="000B173B" w:rsidP="00A15226">
            <w:pPr>
              <w:pStyle w:val="Tabletext"/>
            </w:pPr>
            <w:r w:rsidRPr="003919C8">
              <w:t>Novel biota and their impact on biodiversity</w:t>
            </w:r>
          </w:p>
        </w:tc>
        <w:tc>
          <w:tcPr>
            <w:tcW w:w="4811" w:type="dxa"/>
          </w:tcPr>
          <w:p w14:paraId="77FF6F1B" w14:textId="77777777" w:rsidR="000B173B" w:rsidRDefault="000B173B" w:rsidP="00A15226">
            <w:pPr>
              <w:pStyle w:val="Tabletext"/>
            </w:pPr>
            <w:r>
              <w:t>There is no relevant TAP</w:t>
            </w:r>
          </w:p>
        </w:tc>
      </w:tr>
    </w:tbl>
    <w:p w14:paraId="15AD2615" w14:textId="77777777" w:rsidR="000B173B" w:rsidRPr="000816D6" w:rsidRDefault="000B173B" w:rsidP="000B173B"/>
    <w:p w14:paraId="2E9ABDCF" w14:textId="77777777" w:rsidR="000B173B" w:rsidRDefault="000B173B" w:rsidP="000B173B"/>
    <w:p w14:paraId="0170814D" w14:textId="77777777" w:rsidR="000B173B" w:rsidRDefault="000B173B" w:rsidP="000B173B">
      <w:pPr>
        <w:tabs>
          <w:tab w:val="clear" w:pos="4962"/>
        </w:tabs>
        <w:spacing w:before="0" w:after="0" w:line="240" w:lineRule="auto"/>
      </w:pPr>
    </w:p>
    <w:p w14:paraId="541D04F1" w14:textId="77777777" w:rsidR="000B173B" w:rsidRPr="00B87BED" w:rsidRDefault="000B173B" w:rsidP="000B173B">
      <w:pPr>
        <w:sectPr w:rsidR="000B173B" w:rsidRPr="00B87BED" w:rsidSect="007F3C87">
          <w:headerReference w:type="even" r:id="rId151"/>
          <w:headerReference w:type="default" r:id="rId152"/>
          <w:footerReference w:type="default" r:id="rId153"/>
          <w:headerReference w:type="first" r:id="rId154"/>
          <w:pgSz w:w="11900" w:h="16840"/>
          <w:pgMar w:top="1247" w:right="1134" w:bottom="1247" w:left="1134" w:header="708" w:footer="708" w:gutter="0"/>
          <w:pgNumType w:start="1" w:chapStyle="1"/>
          <w:cols w:space="708"/>
          <w:docGrid w:linePitch="360"/>
        </w:sectPr>
      </w:pPr>
    </w:p>
    <w:p w14:paraId="78538490" w14:textId="77777777" w:rsidR="000B173B" w:rsidRDefault="000B173B" w:rsidP="000B173B">
      <w:pPr>
        <w:pStyle w:val="Heading1"/>
      </w:pPr>
      <w:bookmarkStart w:id="291" w:name="_Toc131154213"/>
      <w:bookmarkStart w:id="292" w:name="_Toc131154400"/>
      <w:r>
        <w:lastRenderedPageBreak/>
        <w:t>Background information for the combined fauna assessment: fish</w:t>
      </w:r>
      <w:bookmarkEnd w:id="291"/>
      <w:bookmarkEnd w:id="292"/>
    </w:p>
    <w:p w14:paraId="37118D03" w14:textId="77777777" w:rsidR="000B173B" w:rsidRDefault="000B173B" w:rsidP="000B173B">
      <w:r>
        <w:t xml:space="preserve">This attachment provides further information about the three fish species addressed in the combined fauna assessment in Section </w:t>
      </w:r>
      <w:r w:rsidRPr="006900FB">
        <w:t>19-4</w:t>
      </w:r>
      <w:r w:rsidRPr="00777928">
        <w:t xml:space="preserve"> of</w:t>
      </w:r>
      <w:r>
        <w:t xml:space="preserve"> Chapter 19. </w:t>
      </w:r>
    </w:p>
    <w:p w14:paraId="375B79F1" w14:textId="77777777" w:rsidR="000B173B" w:rsidRDefault="000B173B" w:rsidP="000B173B">
      <w:r>
        <w:t>The species are:</w:t>
      </w:r>
    </w:p>
    <w:p w14:paraId="4B61E1D3" w14:textId="77777777" w:rsidR="000B173B" w:rsidRDefault="000B173B" w:rsidP="000B173B">
      <w:pPr>
        <w:pStyle w:val="Bullet1"/>
      </w:pPr>
      <w:r>
        <w:t>Australian Grayling (</w:t>
      </w:r>
      <w:r w:rsidRPr="002277E1">
        <w:rPr>
          <w:i/>
          <w:iCs/>
        </w:rPr>
        <w:t>Prototroctes maraena</w:t>
      </w:r>
      <w:r>
        <w:t>)</w:t>
      </w:r>
    </w:p>
    <w:p w14:paraId="05213C3D" w14:textId="77777777" w:rsidR="000B173B" w:rsidRDefault="000B173B" w:rsidP="000B173B">
      <w:pPr>
        <w:pStyle w:val="Bullet1"/>
      </w:pPr>
      <w:r>
        <w:t>Eastern Dwarf Galaxias (</w:t>
      </w:r>
      <w:r w:rsidRPr="002277E1">
        <w:rPr>
          <w:i/>
          <w:iCs/>
        </w:rPr>
        <w:t>Galaxiella pusilla</w:t>
      </w:r>
      <w:r>
        <w:t>)</w:t>
      </w:r>
    </w:p>
    <w:p w14:paraId="6710A8CE" w14:textId="77777777" w:rsidR="000B173B" w:rsidRDefault="000B173B" w:rsidP="000B173B">
      <w:pPr>
        <w:pStyle w:val="Bullet1"/>
      </w:pPr>
      <w:r>
        <w:t>Yarra Pygmy Perch (</w:t>
      </w:r>
      <w:r w:rsidRPr="002277E1">
        <w:rPr>
          <w:i/>
          <w:iCs/>
        </w:rPr>
        <w:t>Nannoperca obscura</w:t>
      </w:r>
      <w:r>
        <w:t>)</w:t>
      </w:r>
    </w:p>
    <w:p w14:paraId="0528CCF8" w14:textId="77777777" w:rsidR="000B173B" w:rsidRDefault="000B173B" w:rsidP="000B173B">
      <w:r>
        <w:t>The following information is provided for each species:</w:t>
      </w:r>
    </w:p>
    <w:p w14:paraId="094BE950" w14:textId="77777777" w:rsidR="000B173B" w:rsidRDefault="000B173B" w:rsidP="000B173B">
      <w:pPr>
        <w:pStyle w:val="Bullet1"/>
      </w:pPr>
      <w:r>
        <w:t>Species background, including the species’ ecology, distribution, habitat, populations, and threats</w:t>
      </w:r>
    </w:p>
    <w:p w14:paraId="404263C6" w14:textId="77777777" w:rsidR="000B173B" w:rsidRDefault="000B173B" w:rsidP="000B173B">
      <w:pPr>
        <w:pStyle w:val="Bullet1"/>
      </w:pPr>
      <w:r>
        <w:t>A detailed description of the species’ occurrence in the Study Area</w:t>
      </w:r>
    </w:p>
    <w:p w14:paraId="4DFA883B" w14:textId="77777777" w:rsidR="000B173B" w:rsidRDefault="000B173B" w:rsidP="000B173B">
      <w:pPr>
        <w:pStyle w:val="Bullet1"/>
      </w:pPr>
      <w:r>
        <w:t>Identification and description of each of the relevant potential indirect impacts to each species due to development under the Plan</w:t>
      </w:r>
    </w:p>
    <w:p w14:paraId="1F492F74" w14:textId="77777777" w:rsidR="000B173B" w:rsidRDefault="000B173B" w:rsidP="000B173B">
      <w:pPr>
        <w:pStyle w:val="Bullet1"/>
      </w:pPr>
      <w:r>
        <w:t>An assessment of consistency of the Plan with the species’ Recovery Plan</w:t>
      </w:r>
    </w:p>
    <w:p w14:paraId="55AE3DD2" w14:textId="77777777" w:rsidR="000B173B" w:rsidRDefault="000B173B" w:rsidP="000B173B">
      <w:pPr>
        <w:pStyle w:val="Bullet1"/>
      </w:pPr>
      <w:r>
        <w:t>Identification of relevant Key Threatening Processes and Threat Abatement Plans for each species</w:t>
      </w:r>
    </w:p>
    <w:p w14:paraId="18868279" w14:textId="77777777" w:rsidR="000B173B" w:rsidRDefault="000B173B" w:rsidP="000B173B">
      <w:pPr>
        <w:tabs>
          <w:tab w:val="clear" w:pos="4962"/>
        </w:tabs>
        <w:spacing w:before="0" w:after="0" w:line="240" w:lineRule="auto"/>
      </w:pPr>
      <w:r>
        <w:br w:type="page"/>
      </w:r>
    </w:p>
    <w:p w14:paraId="7B4825FC" w14:textId="77777777" w:rsidR="000B173B" w:rsidRPr="00297975" w:rsidRDefault="000B173B" w:rsidP="000B173B">
      <w:pPr>
        <w:pStyle w:val="Heading2"/>
        <w:numPr>
          <w:ilvl w:val="0"/>
          <w:numId w:val="0"/>
        </w:numPr>
        <w:ind w:left="576" w:hanging="576"/>
      </w:pPr>
      <w:bookmarkStart w:id="293" w:name="_Toc131154214"/>
      <w:bookmarkStart w:id="294" w:name="_Toc131154401"/>
      <w:r>
        <w:lastRenderedPageBreak/>
        <w:t xml:space="preserve">Australian Grayling </w:t>
      </w:r>
      <w:r>
        <w:rPr>
          <w:i/>
          <w:iCs/>
        </w:rPr>
        <w:t>(Prototroctes maraena)</w:t>
      </w:r>
      <w:bookmarkEnd w:id="293"/>
      <w:bookmarkEnd w:id="294"/>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2C691F31" w14:textId="77777777" w:rsidTr="00A15226">
        <w:trPr>
          <w:tblHeader/>
        </w:trPr>
        <w:tc>
          <w:tcPr>
            <w:tcW w:w="9747" w:type="dxa"/>
            <w:shd w:val="clear" w:color="auto" w:fill="D9D9D9" w:themeFill="background1" w:themeFillShade="D9"/>
            <w:vAlign w:val="center"/>
          </w:tcPr>
          <w:p w14:paraId="19E62012"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57DE6DAC"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79187FF1" w14:textId="77777777" w:rsidTr="00A15226">
        <w:tc>
          <w:tcPr>
            <w:tcW w:w="1526" w:type="dxa"/>
            <w:vAlign w:val="center"/>
          </w:tcPr>
          <w:p w14:paraId="0B223548"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EPBC ACT LISTING</w:t>
            </w:r>
          </w:p>
        </w:tc>
        <w:tc>
          <w:tcPr>
            <w:tcW w:w="8113" w:type="dxa"/>
            <w:vAlign w:val="center"/>
          </w:tcPr>
          <w:p w14:paraId="3A62BDCF" w14:textId="77777777" w:rsidR="000B173B" w:rsidRPr="000C468C" w:rsidRDefault="000B173B" w:rsidP="00A15226">
            <w:pPr>
              <w:pStyle w:val="Tabletext"/>
            </w:pPr>
            <w:r w:rsidRPr="000C468C">
              <w:t>Vulnerable</w:t>
            </w:r>
          </w:p>
        </w:tc>
      </w:tr>
      <w:tr w:rsidR="000B173B" w:rsidRPr="000816D6" w14:paraId="11FBDDE6" w14:textId="77777777" w:rsidTr="00A15226">
        <w:tc>
          <w:tcPr>
            <w:tcW w:w="1526" w:type="dxa"/>
            <w:vAlign w:val="center"/>
          </w:tcPr>
          <w:p w14:paraId="3BF14746"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DESCRIPTION</w:t>
            </w:r>
          </w:p>
        </w:tc>
        <w:tc>
          <w:tcPr>
            <w:tcW w:w="8113" w:type="dxa"/>
            <w:vAlign w:val="center"/>
          </w:tcPr>
          <w:p w14:paraId="32481289" w14:textId="77777777" w:rsidR="000B173B" w:rsidRPr="000C468C" w:rsidRDefault="000B173B" w:rsidP="00A15226">
            <w:pPr>
              <w:pStyle w:val="Tabletext"/>
            </w:pPr>
            <w:r w:rsidRPr="000C468C">
              <w:rPr>
                <w:i/>
                <w:iCs/>
              </w:rPr>
              <w:t xml:space="preserve">Prototroctes maraena </w:t>
            </w:r>
            <w:r w:rsidRPr="000C468C">
              <w:t>(Australian Grayling) is a small to medium fish reaching a maximum length of 330 mm. It is gray-bronze to olive in colour with a silver belly and</w:t>
            </w:r>
            <w:r>
              <w:t xml:space="preserve"> has</w:t>
            </w:r>
            <w:r w:rsidRPr="000C468C">
              <w:t xml:space="preserve"> extremely thin and deciduous scales </w:t>
            </w:r>
            <w:sdt>
              <w:sdtPr>
                <w:rPr>
                  <w:color w:val="000000"/>
                </w:rPr>
                <w:tag w:val="MENDELEY_CITATION_v3_eyJjaXRhdGlvbklEIjoiTUVOREVMRVlfQ0lUQVRJT05fMThkMzg4MmUtNzlkZS00MmZjLTk1MTctMzMyY2ExYjFhZDlk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507442981"/>
                <w:placeholder>
                  <w:docPart w:val="8A75EFB8BE1D6C49BFCDB10710C88159"/>
                </w:placeholder>
              </w:sdtPr>
              <w:sdtContent>
                <w:r w:rsidRPr="00AB79D8">
                  <w:rPr>
                    <w:color w:val="000000"/>
                  </w:rPr>
                  <w:t>(TSSC, 2021)</w:t>
                </w:r>
              </w:sdtContent>
            </w:sdt>
            <w:r w:rsidRPr="000C468C">
              <w:rPr>
                <w:iCs/>
              </w:rPr>
              <w:t>.</w:t>
            </w:r>
          </w:p>
        </w:tc>
      </w:tr>
      <w:tr w:rsidR="000B173B" w:rsidRPr="000816D6" w14:paraId="4758D81B" w14:textId="77777777" w:rsidTr="00A15226">
        <w:tc>
          <w:tcPr>
            <w:tcW w:w="1526" w:type="dxa"/>
            <w:vAlign w:val="center"/>
          </w:tcPr>
          <w:p w14:paraId="067C8904"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ECOLOGY</w:t>
            </w:r>
          </w:p>
        </w:tc>
        <w:tc>
          <w:tcPr>
            <w:tcW w:w="8113" w:type="dxa"/>
            <w:vAlign w:val="center"/>
          </w:tcPr>
          <w:p w14:paraId="72A1045D" w14:textId="77777777" w:rsidR="000B173B" w:rsidRPr="000C468C" w:rsidRDefault="000B173B" w:rsidP="00A15226">
            <w:pPr>
              <w:pStyle w:val="Tabletext"/>
            </w:pPr>
            <w:r w:rsidRPr="000C468C">
              <w:t xml:space="preserve">The species has a maximum life expectancy of up to five years, though rarely lives past 3 years. Males reach sexual maturity at one year of age and females at two years of age. Spawning typically occurs after two years of age </w:t>
            </w:r>
            <w:sdt>
              <w:sdtPr>
                <w:rPr>
                  <w:color w:val="000000"/>
                </w:rPr>
                <w:tag w:val="MENDELEY_CITATION_v3_eyJjaXRhdGlvbklEIjoiTUVOREVMRVlfQ0lUQVRJT05fMWMzZjNkYTctNDk3Ni00YzcwLWEyNDctOTdlZjExNTc5NjEy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400283483"/>
                <w:placeholder>
                  <w:docPart w:val="8A75EFB8BE1D6C49BFCDB10710C88159"/>
                </w:placeholder>
              </w:sdtPr>
              <w:sdtContent>
                <w:r w:rsidRPr="00AB79D8">
                  <w:rPr>
                    <w:color w:val="000000"/>
                  </w:rPr>
                  <w:t>(TSSC, 2021)</w:t>
                </w:r>
              </w:sdtContent>
            </w:sdt>
            <w:r w:rsidRPr="000C468C">
              <w:t>.</w:t>
            </w:r>
          </w:p>
          <w:p w14:paraId="2631608B" w14:textId="77777777" w:rsidR="000B173B" w:rsidRDefault="000B173B" w:rsidP="00A15226">
            <w:pPr>
              <w:pStyle w:val="Tabletext"/>
            </w:pPr>
            <w:r w:rsidRPr="000C468C">
              <w:t xml:space="preserve">The Australian Grayling is a </w:t>
            </w:r>
            <w:r>
              <w:t>species that migrates between freshwater and salt water</w:t>
            </w:r>
            <w:r w:rsidRPr="000C468C">
              <w:t>. The larval stage is spent in marine water and the adult life is spent in freshwater. The species migrates downstream to the lower reaches of rivers to spawn</w:t>
            </w:r>
            <w:r>
              <w:t>. T</w:t>
            </w:r>
            <w:r w:rsidRPr="000C468C">
              <w:t xml:space="preserve">his movement is dependent on specific hydrological cues </w:t>
            </w:r>
            <w:r>
              <w:t>such as</w:t>
            </w:r>
            <w:r w:rsidRPr="000C468C">
              <w:t xml:space="preserve"> water velocity and temperature. Spawning occurs over a two-week period from late-summer to mid-winter, though the timing is dependent on location and environmental factors. Eggs hatch between 10 and 20 days after being laid</w:t>
            </w:r>
            <w:r>
              <w:t xml:space="preserve"> </w:t>
            </w:r>
            <w:sdt>
              <w:sdtPr>
                <w:rPr>
                  <w:color w:val="000000"/>
                </w:rPr>
                <w:tag w:val="MENDELEY_CITATION_v3_eyJjaXRhdGlvbklEIjoiTUVOREVMRVlfQ0lUQVRJT05fNjhhNTI4YTctYjY5ZS00NDNkLTg0YTYtMTUwMWI4ODZmZTQ3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520552752"/>
                <w:placeholder>
                  <w:docPart w:val="8A75EFB8BE1D6C49BFCDB10710C88159"/>
                </w:placeholder>
              </w:sdtPr>
              <w:sdtContent>
                <w:r w:rsidRPr="00AB79D8">
                  <w:rPr>
                    <w:color w:val="000000"/>
                  </w:rPr>
                  <w:t>(TSSC, 2021)</w:t>
                </w:r>
              </w:sdtContent>
            </w:sdt>
            <w:r w:rsidRPr="000C468C">
              <w:t xml:space="preserve">. </w:t>
            </w:r>
            <w:r>
              <w:t xml:space="preserve">Larvae spend approximately 6 months at sea, after which juveniles will return to the freshwater environment </w:t>
            </w:r>
            <w:sdt>
              <w:sdtPr>
                <w:rPr>
                  <w:color w:val="000000"/>
                </w:rPr>
                <w:tag w:val="MENDELEY_CITATION_v3_eyJjaXRhdGlvbklEIjoiTUVOREVMRVlfQ0lUQVRJT05fMzE0MWQ2ZTUtNTQyOS00MzY1LWJjMDAtYTgyYmVmYTg1NDhl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869075934"/>
                <w:placeholder>
                  <w:docPart w:val="8A75EFB8BE1D6C49BFCDB10710C88159"/>
                </w:placeholder>
              </w:sdtPr>
              <w:sdtContent>
                <w:r w:rsidRPr="00AB79D8">
                  <w:rPr>
                    <w:color w:val="000000"/>
                  </w:rPr>
                  <w:t>(DCCEEW, 2022)</w:t>
                </w:r>
              </w:sdtContent>
            </w:sdt>
            <w:r>
              <w:t>.</w:t>
            </w:r>
            <w:r w:rsidRPr="000C468C">
              <w:t xml:space="preserve"> </w:t>
            </w:r>
          </w:p>
          <w:p w14:paraId="4F51789B" w14:textId="77777777" w:rsidR="000B173B" w:rsidRPr="000C468C" w:rsidRDefault="000B173B" w:rsidP="00A15226">
            <w:pPr>
              <w:pStyle w:val="Tabletext"/>
            </w:pPr>
            <w:r>
              <w:t xml:space="preserve">Given a lack of genetic differentiation between Australian Grayling populations, it is likely that juveniles disperse widely. Extensive dispersal may also assist the species in recolonising freshwater habitat where they previously became locally extinct </w:t>
            </w:r>
            <w:sdt>
              <w:sdtPr>
                <w:rPr>
                  <w:color w:val="000000"/>
                </w:rPr>
                <w:tag w:val="MENDELEY_CITATION_v3_eyJjaXRhdGlvbklEIjoiTUVOREVMRVlfQ0lUQVRJT05fMWMxNjgzYzAtNjI1MC00YWNmLWI2NGYtYjkxODdhYmMzZTRk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2017347647"/>
                <w:placeholder>
                  <w:docPart w:val="8A75EFB8BE1D6C49BFCDB10710C88159"/>
                </w:placeholder>
              </w:sdtPr>
              <w:sdtContent>
                <w:r w:rsidRPr="00AB79D8">
                  <w:rPr>
                    <w:color w:val="000000"/>
                  </w:rPr>
                  <w:t>(DCCEEW, 2022)</w:t>
                </w:r>
              </w:sdtContent>
            </w:sdt>
            <w:r>
              <w:t>.</w:t>
            </w:r>
            <w:r w:rsidRPr="000C468C">
              <w:t xml:space="preserve"> The species </w:t>
            </w:r>
            <w:r>
              <w:t>lays large numbers of eggs</w:t>
            </w:r>
            <w:r w:rsidRPr="000C468C">
              <w:t xml:space="preserve">, demonstrating the ability to quickly repopulate following a period of poor environmental conditions </w:t>
            </w:r>
            <w:sdt>
              <w:sdtPr>
                <w:rPr>
                  <w:color w:val="000000"/>
                </w:rPr>
                <w:tag w:val="MENDELEY_CITATION_v3_eyJjaXRhdGlvbklEIjoiTUVOREVMRVlfQ0lUQVRJT05fMDU3YjhjOTktZGEwMC00NDE3LThhMTItZDRiMTcwYTFiYmJk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450086432"/>
                <w:placeholder>
                  <w:docPart w:val="8A75EFB8BE1D6C49BFCDB10710C88159"/>
                </w:placeholder>
              </w:sdtPr>
              <w:sdtContent>
                <w:r w:rsidRPr="00AB79D8">
                  <w:rPr>
                    <w:color w:val="000000"/>
                  </w:rPr>
                  <w:t>(TSSC, 2021)</w:t>
                </w:r>
              </w:sdtContent>
            </w:sdt>
            <w:r w:rsidRPr="000C468C">
              <w:t>.</w:t>
            </w:r>
          </w:p>
          <w:p w14:paraId="038CB06C" w14:textId="77777777" w:rsidR="000B173B" w:rsidRPr="000C468C" w:rsidRDefault="000B173B" w:rsidP="00A15226">
            <w:pPr>
              <w:pStyle w:val="Tabletext"/>
            </w:pPr>
            <w:r w:rsidRPr="000C468C">
              <w:t>The Australian Grayling is an omnivorous feeder, its diet consists of crustaceans, aquatic insects, their own larvae, aquatic plants and terrestrial insects</w:t>
            </w:r>
            <w:r>
              <w:t xml:space="preserve"> and insect larvae</w:t>
            </w:r>
            <w:r w:rsidRPr="000C468C">
              <w:t xml:space="preserve"> </w:t>
            </w:r>
            <w:sdt>
              <w:sdtPr>
                <w:rPr>
                  <w:color w:val="000000"/>
                </w:rPr>
                <w:tag w:val="MENDELEY_CITATION_v3_eyJjaXRhdGlvbklEIjoiTUVOREVMRVlfQ0lUQVRJT05fOGJjNWY0NmItZGViMC00YzQ2LWI3NmUtZWRjNWNjYzY4MTYz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337611594"/>
                <w:placeholder>
                  <w:docPart w:val="8A75EFB8BE1D6C49BFCDB10710C88159"/>
                </w:placeholder>
              </w:sdtPr>
              <w:sdtContent>
                <w:r w:rsidRPr="00AB79D8">
                  <w:rPr>
                    <w:color w:val="000000"/>
                  </w:rPr>
                  <w:t>(TSSC, 2021)</w:t>
                </w:r>
              </w:sdtContent>
            </w:sdt>
            <w:r w:rsidRPr="000C468C">
              <w:t xml:space="preserve">. </w:t>
            </w:r>
          </w:p>
        </w:tc>
      </w:tr>
      <w:tr w:rsidR="000B173B" w:rsidRPr="000816D6" w14:paraId="6D178723" w14:textId="77777777" w:rsidTr="00A15226">
        <w:tc>
          <w:tcPr>
            <w:tcW w:w="1526" w:type="dxa"/>
            <w:vAlign w:val="center"/>
          </w:tcPr>
          <w:p w14:paraId="3667587A"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DISTRIBUTION AND HABITAT</w:t>
            </w:r>
          </w:p>
        </w:tc>
        <w:tc>
          <w:tcPr>
            <w:tcW w:w="8113" w:type="dxa"/>
            <w:vAlign w:val="center"/>
          </w:tcPr>
          <w:p w14:paraId="35BA23E7" w14:textId="77777777" w:rsidR="000B173B" w:rsidRDefault="000B173B" w:rsidP="00A15226">
            <w:pPr>
              <w:pStyle w:val="Tabletext"/>
            </w:pPr>
            <w:r>
              <w:t xml:space="preserve">The Australian Grayling is endemic to south-eastern Australia </w:t>
            </w:r>
            <w:sdt>
              <w:sdtPr>
                <w:rPr>
                  <w:color w:val="000000"/>
                </w:rPr>
                <w:tag w:val="MENDELEY_CITATION_v3_eyJjaXRhdGlvbklEIjoiTUVOREVMRVlfQ0lUQVRJT05fMDE4OGIwMGItY2Q1OS00NDVjLWI4OWItNDQ3NDFhOGNlNjFh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842855801"/>
                <w:placeholder>
                  <w:docPart w:val="8A75EFB8BE1D6C49BFCDB10710C88159"/>
                </w:placeholder>
              </w:sdtPr>
              <w:sdtContent>
                <w:r w:rsidRPr="00AB79D8">
                  <w:rPr>
                    <w:color w:val="000000"/>
                  </w:rPr>
                  <w:t>(Backhouse, O’Conner and Jackson, 2008)</w:t>
                </w:r>
              </w:sdtContent>
            </w:sdt>
            <w:r>
              <w:t xml:space="preserve">. </w:t>
            </w:r>
            <w:r w:rsidRPr="000C468C">
              <w:t xml:space="preserve">Historically, </w:t>
            </w:r>
            <w:r>
              <w:t xml:space="preserve">it </w:t>
            </w:r>
            <w:r w:rsidRPr="000C468C">
              <w:t xml:space="preserve">was known to occur in freshwater, estuarine and marine reaches of coastal catchments greater than 200 m above sea level in NSW, Victoria, Tasmania and South Australia. </w:t>
            </w:r>
            <w:r>
              <w:t xml:space="preserve">Its current distribution has declined from its historical distribution </w:t>
            </w:r>
            <w:sdt>
              <w:sdtPr>
                <w:rPr>
                  <w:color w:val="000000"/>
                </w:rPr>
                <w:tag w:val="MENDELEY_CITATION_v3_eyJjaXRhdGlvbklEIjoiTUVOREVMRVlfQ0lUQVRJT05fODNiYWVmYmItMjE1ZS00OGNiLWI1ZDMtY2M3NWU1MjFjYzMx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616983270"/>
                <w:placeholder>
                  <w:docPart w:val="8A75EFB8BE1D6C49BFCDB10710C88159"/>
                </w:placeholder>
              </w:sdtPr>
              <w:sdtContent>
                <w:r w:rsidRPr="00AB79D8">
                  <w:rPr>
                    <w:color w:val="000000"/>
                  </w:rPr>
                  <w:t>(TSSC, 2021)</w:t>
                </w:r>
              </w:sdtContent>
            </w:sdt>
            <w:r w:rsidRPr="000C468C">
              <w:t>.</w:t>
            </w:r>
          </w:p>
          <w:p w14:paraId="410017C1" w14:textId="77777777" w:rsidR="000B173B" w:rsidRDefault="000B173B" w:rsidP="00A15226">
            <w:pPr>
              <w:pStyle w:val="Tabletext"/>
            </w:pPr>
            <w:r>
              <w:t>In Victoria, t</w:t>
            </w:r>
            <w:r w:rsidRPr="000C468C">
              <w:t xml:space="preserve">he species was incorrectly considered extinct up to 1970. Surveys post-1970 have identified Australian Grayling in almost all coastal rivers east of the Hopkins River. Historically, the strongest abundances of Australian Grayling occurred in the Tambo, Mitchell, Tarwin and Yarra catchments </w:t>
            </w:r>
            <w:sdt>
              <w:sdtPr>
                <w:rPr>
                  <w:color w:val="000000"/>
                </w:rPr>
                <w:tag w:val="MENDELEY_CITATION_v3_eyJjaXRhdGlvbklEIjoiTUVOREVMRVlfQ0lUQVRJT05fNmZlYTYxOTYtYzAwNC00MTdjLWEyMTQtNGY0OTU2Zjk2NTJk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847680868"/>
                <w:placeholder>
                  <w:docPart w:val="8A75EFB8BE1D6C49BFCDB10710C88159"/>
                </w:placeholder>
              </w:sdtPr>
              <w:sdtContent>
                <w:r w:rsidRPr="00AB79D8">
                  <w:rPr>
                    <w:color w:val="000000"/>
                  </w:rPr>
                  <w:t>(TSSC, 2021)</w:t>
                </w:r>
              </w:sdtContent>
            </w:sdt>
            <w:r w:rsidRPr="000C468C">
              <w:t>.</w:t>
            </w:r>
          </w:p>
          <w:p w14:paraId="3B9C21DA" w14:textId="77777777" w:rsidR="000B173B" w:rsidRDefault="000B173B" w:rsidP="00A15226">
            <w:pPr>
              <w:pStyle w:val="Tabletext"/>
            </w:pPr>
            <w:r>
              <w:t xml:space="preserve">The species migrates between rivers, their estuaries and coastal seas. It is reliant on free access to a range of freshwater, estuarine and marine habitats for its survival. The majority of the species life is spent in freshwaters, where it occurs in rivers and streams in cool, clear waters or turbid water </w:t>
            </w:r>
            <w:sdt>
              <w:sdtPr>
                <w:rPr>
                  <w:color w:val="000000"/>
                </w:rPr>
                <w:tag w:val="MENDELEY_CITATION_v3_eyJjaXRhdGlvbklEIjoiTUVOREVMRVlfQ0lUQVRJT05fZDM3ZjQ0MmUtYWFkYS00YmEyLWFjODktZGQ2YTVlNjg4NGZk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1901942999"/>
                <w:placeholder>
                  <w:docPart w:val="8A75EFB8BE1D6C49BFCDB10710C88159"/>
                </w:placeholder>
              </w:sdtPr>
              <w:sdtContent>
                <w:r w:rsidRPr="00AB79D8">
                  <w:rPr>
                    <w:color w:val="000000"/>
                  </w:rPr>
                  <w:t>(Backhouse, O’Conner and Jackson, 2008)</w:t>
                </w:r>
              </w:sdtContent>
            </w:sdt>
            <w:r>
              <w:t>. The Australian Grayling can occur inland and has been reported up to 100 km upstream from the sea. The species larvae and juveniles occur in estuaries and coastal seas, although their precise marine habitat requirements are not well known</w:t>
            </w:r>
            <w:r>
              <w:rPr>
                <w:i/>
              </w:rPr>
              <w:t xml:space="preserve"> </w:t>
            </w:r>
            <w:sdt>
              <w:sdtPr>
                <w:rPr>
                  <w:color w:val="000000"/>
                </w:rPr>
                <w:tag w:val="MENDELEY_CITATION_v3_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"/>
                <w:id w:val="919522759"/>
                <w:placeholder>
                  <w:docPart w:val="8A75EFB8BE1D6C49BFCDB10710C88159"/>
                </w:placeholder>
              </w:sdtPr>
              <w:sdtContent>
                <w:r w:rsidRPr="00AB79D8">
                  <w:rPr>
                    <w:color w:val="000000"/>
                  </w:rPr>
                  <w:t>(DELWP, 2015a)</w:t>
                </w:r>
              </w:sdtContent>
            </w:sdt>
            <w:r>
              <w:t>.</w:t>
            </w:r>
          </w:p>
          <w:p w14:paraId="6FCB80C2" w14:textId="77777777" w:rsidR="000B173B" w:rsidRPr="000C468C" w:rsidRDefault="000B173B" w:rsidP="00A15226">
            <w:pPr>
              <w:pStyle w:val="Tabletext"/>
            </w:pPr>
            <w:r>
              <w:t xml:space="preserve">Habitat critical to survival has not been specified, given the wide distribution and range of habitat used by the species throughout its life </w:t>
            </w:r>
            <w:sdt>
              <w:sdtPr>
                <w:rPr>
                  <w:color w:val="000000"/>
                </w:rPr>
                <w:tag w:val="MENDELEY_CITATION_v3_eyJjaXRhdGlvbklEIjoiTUVOREVMRVlfQ0lUQVRJT05fMzE4MTVjNmQtMDBhNS00YmE5LTgwNTctZTQ3M2I2NzU0MWI1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1019967490"/>
                <w:placeholder>
                  <w:docPart w:val="8A75EFB8BE1D6C49BFCDB10710C88159"/>
                </w:placeholder>
              </w:sdtPr>
              <w:sdtContent>
                <w:r w:rsidRPr="00AB79D8">
                  <w:rPr>
                    <w:color w:val="000000"/>
                  </w:rPr>
                  <w:t>(Backhouse, O’Conner and Jackson, 2008)</w:t>
                </w:r>
              </w:sdtContent>
            </w:sdt>
            <w:r>
              <w:t>.</w:t>
            </w:r>
          </w:p>
        </w:tc>
      </w:tr>
      <w:tr w:rsidR="000B173B" w:rsidRPr="000816D6" w14:paraId="08937013" w14:textId="77777777" w:rsidTr="00A15226">
        <w:tc>
          <w:tcPr>
            <w:tcW w:w="1526" w:type="dxa"/>
            <w:vAlign w:val="center"/>
          </w:tcPr>
          <w:p w14:paraId="3AA842E0"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 xml:space="preserve">POPULATIONS </w:t>
            </w:r>
          </w:p>
        </w:tc>
        <w:tc>
          <w:tcPr>
            <w:tcW w:w="8113" w:type="dxa"/>
            <w:vAlign w:val="center"/>
          </w:tcPr>
          <w:p w14:paraId="641A5A46" w14:textId="77777777" w:rsidR="000B173B" w:rsidRDefault="000B173B" w:rsidP="00A15226">
            <w:pPr>
              <w:pStyle w:val="Tabletext"/>
            </w:pPr>
            <w:r w:rsidRPr="000C468C">
              <w:t xml:space="preserve">The species is considered to occur as a single population in Victoria. A lack of genetic diversity has been observed in coastal rivers of Victoria, and larvae are most likely dispersed during the marine stage of their life cycle </w:t>
            </w:r>
            <w:sdt>
              <w:sdtPr>
                <w:rPr>
                  <w:color w:val="000000"/>
                </w:rPr>
                <w:tag w:val="MENDELEY_CITATION_v3_eyJjaXRhdGlvbklEIjoiTUVOREVMRVlfQ0lUQVRJT05fNTM5MzZmYjktZTcyMC00ZTk2LWFjNmQtM2FkZWY4MzU2NmMx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577243879"/>
                <w:placeholder>
                  <w:docPart w:val="8A75EFB8BE1D6C49BFCDB10710C88159"/>
                </w:placeholder>
              </w:sdtPr>
              <w:sdtContent>
                <w:r w:rsidRPr="00AB79D8">
                  <w:rPr>
                    <w:color w:val="000000"/>
                  </w:rPr>
                  <w:t>(TSSC, 2021)</w:t>
                </w:r>
              </w:sdtContent>
            </w:sdt>
            <w:r w:rsidRPr="000C468C">
              <w:t xml:space="preserve">. </w:t>
            </w:r>
          </w:p>
          <w:p w14:paraId="62061388" w14:textId="77777777" w:rsidR="000B173B" w:rsidRDefault="000B173B" w:rsidP="00A15226">
            <w:pPr>
              <w:pStyle w:val="Tabletext"/>
            </w:pPr>
            <w:r>
              <w:t xml:space="preserve">There are no reliable national population estimates for the species. Due to the species' capacity to lay large quantities of eggs, it has been suggested that the population can undergo large fluctuations and has potential to recover following declines in population size </w:t>
            </w:r>
            <w:sdt>
              <w:sdtPr>
                <w:rPr>
                  <w:color w:val="000000"/>
                </w:rPr>
                <w:tag w:val="MENDELEY_CITATION_v3_eyJjaXRhdGlvbklEIjoiTUVOREVMRVlfQ0lUQVRJT05fZmZiMzFjZmMtYzc2Ny00YzcwLTljNWItNmEwOTQ4OTdlNWRl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587738359"/>
                <w:placeholder>
                  <w:docPart w:val="8A75EFB8BE1D6C49BFCDB10710C88159"/>
                </w:placeholder>
              </w:sdtPr>
              <w:sdtContent>
                <w:r w:rsidRPr="00AB79D8">
                  <w:rPr>
                    <w:color w:val="000000"/>
                  </w:rPr>
                  <w:t>(TSSC, 2021)</w:t>
                </w:r>
              </w:sdtContent>
            </w:sdt>
            <w:r w:rsidRPr="000C468C">
              <w:t>.</w:t>
            </w:r>
            <w:r>
              <w:t xml:space="preserve"> However, the species is also especially vulnerable to disruptions to spawning or recruitment, given </w:t>
            </w:r>
            <w:r>
              <w:lastRenderedPageBreak/>
              <w:t xml:space="preserve">most individuals spawn only once during their lifetime </w:t>
            </w:r>
            <w:sdt>
              <w:sdtPr>
                <w:rPr>
                  <w:color w:val="000000"/>
                </w:rPr>
                <w:tag w:val="MENDELEY_CITATION_v3_eyJjaXRhdGlvbklEIjoiTUVOREVMRVlfQ0lUQVRJT05fMjM3NmE0OTAtNzEwYS00MzNiLWE4OGUtNzRlZWZjM2UzZjRh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1374231188"/>
                <w:placeholder>
                  <w:docPart w:val="8A75EFB8BE1D6C49BFCDB10710C88159"/>
                </w:placeholder>
              </w:sdtPr>
              <w:sdtContent>
                <w:r w:rsidRPr="00AB79D8">
                  <w:rPr>
                    <w:color w:val="000000"/>
                  </w:rPr>
                  <w:t>(Backhouse, O’Conner and Jackson, 2008)</w:t>
                </w:r>
              </w:sdtContent>
            </w:sdt>
            <w:r>
              <w:t>.</w:t>
            </w:r>
            <w:r w:rsidRPr="000C468C">
              <w:t xml:space="preserve"> The species undergoes large annual fluctuations in population numbers depending on prevailing conditions </w:t>
            </w:r>
            <w:sdt>
              <w:sdtPr>
                <w:rPr>
                  <w:color w:val="000000"/>
                </w:rPr>
                <w:tag w:val="MENDELEY_CITATION_v3_eyJjaXRhdGlvbklEIjoiTUVOREVMRVlfQ0lUQVRJT05fZmQ5MGU1ZWItZTkzZC00N2EzLTkwMmUtZDQ4Y2NkMzkzNzI0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711106566"/>
                <w:placeholder>
                  <w:docPart w:val="8A75EFB8BE1D6C49BFCDB10710C88159"/>
                </w:placeholder>
              </w:sdtPr>
              <w:sdtContent>
                <w:r w:rsidRPr="00AB79D8">
                  <w:rPr>
                    <w:color w:val="000000"/>
                  </w:rPr>
                  <w:t>(DCCEEW, 2022)</w:t>
                </w:r>
              </w:sdtContent>
            </w:sdt>
            <w:r w:rsidRPr="000C468C">
              <w:t>.</w:t>
            </w:r>
            <w:r>
              <w:t xml:space="preserve"> </w:t>
            </w:r>
          </w:p>
          <w:p w14:paraId="1E283C06" w14:textId="77777777" w:rsidR="000B173B" w:rsidRPr="000C468C" w:rsidRDefault="000B173B" w:rsidP="00A15226">
            <w:pPr>
              <w:pStyle w:val="Tabletext"/>
            </w:pPr>
            <w:r>
              <w:t xml:space="preserve">Important populations are those at the limits of the species range, and those known to contain large breeding populations or occur in areas with extensive spawning habitat. These are considered to be ‘source’ populations for the species </w:t>
            </w:r>
            <w:sdt>
              <w:sdtPr>
                <w:rPr>
                  <w:color w:val="000000"/>
                </w:rPr>
                <w:tag w:val="MENDELEY_CITATION_v3_eyJjaXRhdGlvbklEIjoiTUVOREVMRVlfQ0lUQVRJT05fOTMyNTVkM2UtYmM2Ni00MTc5LWEyOTEtZDk3NmFmYzc4Mzdi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1716466882"/>
                <w:placeholder>
                  <w:docPart w:val="8A75EFB8BE1D6C49BFCDB10710C88159"/>
                </w:placeholder>
              </w:sdtPr>
              <w:sdtContent>
                <w:r w:rsidRPr="00AB79D8">
                  <w:rPr>
                    <w:color w:val="000000"/>
                  </w:rPr>
                  <w:t>(Backhouse, O’Conner and Jackson, 2008)</w:t>
                </w:r>
              </w:sdtContent>
            </w:sdt>
            <w:r>
              <w:t>.</w:t>
            </w:r>
          </w:p>
        </w:tc>
      </w:tr>
      <w:tr w:rsidR="000B173B" w:rsidRPr="002F23FB" w14:paraId="0039F49C" w14:textId="77777777" w:rsidTr="00A15226">
        <w:tc>
          <w:tcPr>
            <w:tcW w:w="1526" w:type="dxa"/>
            <w:vAlign w:val="center"/>
          </w:tcPr>
          <w:p w14:paraId="1B3F3DBB" w14:textId="77777777" w:rsidR="000B173B" w:rsidRPr="000C468C" w:rsidRDefault="000B173B" w:rsidP="00A15226">
            <w:pPr>
              <w:pStyle w:val="Tabletext"/>
              <w:rPr>
                <w:rFonts w:ascii="Helvetica" w:hAnsi="Helvetica"/>
                <w:b/>
                <w:bCs/>
                <w:sz w:val="14"/>
              </w:rPr>
            </w:pPr>
            <w:r w:rsidRPr="000C468C">
              <w:rPr>
                <w:rFonts w:ascii="Helvetica" w:hAnsi="Helvetica"/>
                <w:b/>
                <w:bCs/>
                <w:sz w:val="14"/>
              </w:rPr>
              <w:lastRenderedPageBreak/>
              <w:t>THREATS</w:t>
            </w:r>
          </w:p>
        </w:tc>
        <w:tc>
          <w:tcPr>
            <w:tcW w:w="8113" w:type="dxa"/>
            <w:vAlign w:val="center"/>
          </w:tcPr>
          <w:p w14:paraId="642FE495" w14:textId="77777777" w:rsidR="000B173B" w:rsidRPr="000C468C" w:rsidRDefault="000B173B" w:rsidP="00A15226">
            <w:pPr>
              <w:pStyle w:val="Tabletext"/>
            </w:pPr>
            <w:r w:rsidRPr="000C468C">
              <w:t xml:space="preserve">The species Conservation Advice </w:t>
            </w:r>
            <w:r>
              <w:t xml:space="preserve">and Recovery Plan </w:t>
            </w:r>
            <w:r w:rsidRPr="000C468C">
              <w:t>has identified the following threats</w:t>
            </w:r>
            <w:r>
              <w:rPr>
                <w:iCs/>
              </w:rPr>
              <w:t xml:space="preserve"> </w:t>
            </w:r>
            <w:sdt>
              <w:sdtPr>
                <w:rPr>
                  <w:iCs/>
                  <w:color w:val="000000"/>
                </w:rPr>
                <w:tag w:val="MENDELEY_CITATION_v3_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"/>
                <w:id w:val="1072161412"/>
                <w:placeholder>
                  <w:docPart w:val="8A75EFB8BE1D6C49BFCDB10710C88159"/>
                </w:placeholder>
              </w:sdtPr>
              <w:sdtEndPr>
                <w:rPr>
                  <w:iCs w:val="0"/>
                </w:rPr>
              </w:sdtEndPr>
              <w:sdtContent>
                <w:r w:rsidRPr="00AB79D8">
                  <w:rPr>
                    <w:color w:val="000000"/>
                  </w:rPr>
                  <w:t>(Backhouse, O’Conner and Jackson, 2008; TSSC, 2021)</w:t>
                </w:r>
              </w:sdtContent>
            </w:sdt>
            <w:r w:rsidRPr="000C468C">
              <w:t>:</w:t>
            </w:r>
          </w:p>
          <w:p w14:paraId="1C610412" w14:textId="77777777" w:rsidR="000B173B" w:rsidRDefault="000B173B" w:rsidP="00A15226">
            <w:pPr>
              <w:pStyle w:val="Bullet1"/>
            </w:pPr>
            <w:r w:rsidRPr="000C468C">
              <w:t>Habitat loss and fragmentation, including</w:t>
            </w:r>
            <w:r>
              <w:t>:</w:t>
            </w:r>
          </w:p>
          <w:p w14:paraId="50E5D525" w14:textId="77777777" w:rsidR="000B173B" w:rsidRDefault="000B173B" w:rsidP="00A15226">
            <w:pPr>
              <w:pStyle w:val="Bullet2"/>
            </w:pPr>
            <w:r>
              <w:t>F</w:t>
            </w:r>
            <w:r w:rsidRPr="000C468C">
              <w:t>ish passage barriers</w:t>
            </w:r>
          </w:p>
          <w:p w14:paraId="1C2EC589" w14:textId="77777777" w:rsidR="000B173B" w:rsidRDefault="000B173B" w:rsidP="00A15226">
            <w:pPr>
              <w:pStyle w:val="Bullet2"/>
            </w:pPr>
            <w:r>
              <w:t>A</w:t>
            </w:r>
            <w:r w:rsidRPr="000C468C">
              <w:t>ltered hydrology</w:t>
            </w:r>
            <w:r>
              <w:t>, s</w:t>
            </w:r>
            <w:r w:rsidRPr="000C468C">
              <w:t>edimentation and poor water quality</w:t>
            </w:r>
          </w:p>
          <w:p w14:paraId="495CCB1F" w14:textId="77777777" w:rsidR="000B173B" w:rsidRPr="000C468C" w:rsidRDefault="000B173B" w:rsidP="00A15226">
            <w:pPr>
              <w:pStyle w:val="Bullet2"/>
            </w:pPr>
            <w:r>
              <w:t>C</w:t>
            </w:r>
            <w:r w:rsidRPr="000C468C">
              <w:t>hanges to coastal morphology</w:t>
            </w:r>
          </w:p>
          <w:p w14:paraId="07E94081" w14:textId="77777777" w:rsidR="000B173B" w:rsidRPr="000C468C" w:rsidRDefault="000B173B" w:rsidP="00A15226">
            <w:pPr>
              <w:pStyle w:val="Bullet1"/>
            </w:pPr>
            <w:r w:rsidRPr="000C468C">
              <w:t>Introduced fish species</w:t>
            </w:r>
          </w:p>
          <w:p w14:paraId="1A5C38FB" w14:textId="77777777" w:rsidR="000B173B" w:rsidRDefault="000B173B" w:rsidP="00A15226">
            <w:pPr>
              <w:pStyle w:val="Bullet1"/>
            </w:pPr>
            <w:r w:rsidRPr="000C468C">
              <w:t>Climate change, including</w:t>
            </w:r>
            <w:r>
              <w:t>:</w:t>
            </w:r>
          </w:p>
          <w:p w14:paraId="5F02BDCA" w14:textId="77777777" w:rsidR="000B173B" w:rsidRDefault="000B173B" w:rsidP="00A15226">
            <w:pPr>
              <w:pStyle w:val="Bullet2"/>
            </w:pPr>
            <w:r>
              <w:t>I</w:t>
            </w:r>
            <w:r w:rsidRPr="000C468C">
              <w:t>ncreased disconnection between habitats</w:t>
            </w:r>
          </w:p>
          <w:p w14:paraId="0737C89A" w14:textId="77777777" w:rsidR="000B173B" w:rsidRDefault="000B173B" w:rsidP="00A15226">
            <w:pPr>
              <w:pStyle w:val="Bullet2"/>
            </w:pPr>
            <w:r>
              <w:t>E</w:t>
            </w:r>
            <w:r w:rsidRPr="000C468C">
              <w:t>xtreme weather events</w:t>
            </w:r>
          </w:p>
          <w:p w14:paraId="021763BD" w14:textId="77777777" w:rsidR="000B173B" w:rsidRDefault="000B173B" w:rsidP="00A15226">
            <w:pPr>
              <w:pStyle w:val="Bullet2"/>
            </w:pPr>
            <w:r>
              <w:t>C</w:t>
            </w:r>
            <w:r w:rsidRPr="000C468C">
              <w:t>hanges in ocean physiology</w:t>
            </w:r>
          </w:p>
          <w:p w14:paraId="5659E814" w14:textId="77777777" w:rsidR="000B173B" w:rsidRPr="000C468C" w:rsidRDefault="000B173B" w:rsidP="00A15226">
            <w:pPr>
              <w:pStyle w:val="Bullet2"/>
            </w:pPr>
            <w:r>
              <w:t>I</w:t>
            </w:r>
            <w:r w:rsidRPr="000C468C">
              <w:t>ncreased intensity, and frequency of wildfires</w:t>
            </w:r>
          </w:p>
          <w:p w14:paraId="52293DBB" w14:textId="77777777" w:rsidR="000B173B" w:rsidRPr="000C468C" w:rsidRDefault="000B173B" w:rsidP="00A15226">
            <w:pPr>
              <w:pStyle w:val="Bullet1"/>
            </w:pPr>
            <w:r w:rsidRPr="000C468C">
              <w:t>Disease</w:t>
            </w:r>
          </w:p>
          <w:p w14:paraId="13320016" w14:textId="77777777" w:rsidR="000B173B" w:rsidRPr="000C468C" w:rsidRDefault="000B173B" w:rsidP="00A15226">
            <w:pPr>
              <w:pStyle w:val="Bullet1"/>
            </w:pPr>
            <w:r w:rsidRPr="000C468C">
              <w:t>Recreational and commercial fishing</w:t>
            </w:r>
          </w:p>
        </w:tc>
      </w:tr>
      <w:tr w:rsidR="000B173B" w:rsidRPr="002F23FB" w14:paraId="51851255" w14:textId="77777777" w:rsidTr="00A15226">
        <w:tc>
          <w:tcPr>
            <w:tcW w:w="1526" w:type="dxa"/>
            <w:vAlign w:val="center"/>
          </w:tcPr>
          <w:p w14:paraId="4A69A304"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RELEVANT PLANS AND POLICIES</w:t>
            </w:r>
          </w:p>
        </w:tc>
        <w:tc>
          <w:tcPr>
            <w:tcW w:w="8113" w:type="dxa"/>
            <w:vAlign w:val="center"/>
          </w:tcPr>
          <w:p w14:paraId="519FBFF2" w14:textId="77777777" w:rsidR="000B173B" w:rsidRPr="000C468C" w:rsidRDefault="000B173B" w:rsidP="00A15226">
            <w:pPr>
              <w:pStyle w:val="Tabletext"/>
              <w:rPr>
                <w:i/>
              </w:rPr>
            </w:pPr>
            <w:r w:rsidRPr="000C468C">
              <w:rPr>
                <w:iCs/>
              </w:rPr>
              <w:t xml:space="preserve">National Recovery Plan for Australian Grayling </w:t>
            </w:r>
            <w:r w:rsidRPr="000C468C">
              <w:rPr>
                <w:i/>
              </w:rPr>
              <w:t xml:space="preserve">Prototroctes maraena </w:t>
            </w:r>
            <w:sdt>
              <w:sdtPr>
                <w:rPr>
                  <w:color w:val="000000"/>
                </w:rPr>
                <w:tag w:val="MENDELEY_CITATION_v3_eyJjaXRhdGlvbklEIjoiTUVOREVMRVlfQ0lUQVRJT05fZGFiYWViZmYtZGQxYi00Yjg2LTg1Y2EtNGZmOTk5NjVlYTc1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613867600"/>
                <w:placeholder>
                  <w:docPart w:val="8A75EFB8BE1D6C49BFCDB10710C88159"/>
                </w:placeholder>
              </w:sdtPr>
              <w:sdtContent>
                <w:r w:rsidRPr="00AB79D8">
                  <w:rPr>
                    <w:color w:val="000000"/>
                  </w:rPr>
                  <w:t>(Backhouse, O’Conner and Jackson, 2008)</w:t>
                </w:r>
              </w:sdtContent>
            </w:sdt>
          </w:p>
          <w:p w14:paraId="789399ED" w14:textId="77777777" w:rsidR="000B173B" w:rsidRPr="000C468C" w:rsidRDefault="000B173B" w:rsidP="00A15226">
            <w:pPr>
              <w:pStyle w:val="Tabletext"/>
              <w:rPr>
                <w:iCs/>
              </w:rPr>
            </w:pPr>
            <w:r w:rsidRPr="000C468C">
              <w:rPr>
                <w:iCs/>
              </w:rPr>
              <w:t xml:space="preserve">Conservation Advice </w:t>
            </w:r>
            <w:r w:rsidRPr="000C468C">
              <w:rPr>
                <w:i/>
              </w:rPr>
              <w:t>Prototroctes maraena</w:t>
            </w:r>
            <w:r w:rsidRPr="000C468C">
              <w:rPr>
                <w:iCs/>
              </w:rPr>
              <w:t xml:space="preserve"> Australian Grayling </w:t>
            </w:r>
            <w:sdt>
              <w:sdtPr>
                <w:rPr>
                  <w:iCs/>
                  <w:color w:val="000000"/>
                </w:rPr>
                <w:tag w:val="MENDELEY_CITATION_v3_eyJjaXRhdGlvbklEIjoiTUVOREVMRVlfQ0lUQVRJT05fYzY1Y2JhMzgtMGZjMS00ZWE4LWJjNzQtZGY4ZTVmOGUzNDQx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379385202"/>
                <w:placeholder>
                  <w:docPart w:val="8A75EFB8BE1D6C49BFCDB10710C88159"/>
                </w:placeholder>
              </w:sdtPr>
              <w:sdtEndPr>
                <w:rPr>
                  <w:iCs w:val="0"/>
                </w:rPr>
              </w:sdtEndPr>
              <w:sdtContent>
                <w:r w:rsidRPr="00AB79D8">
                  <w:rPr>
                    <w:color w:val="000000"/>
                  </w:rPr>
                  <w:t>(TSSC, 2021)</w:t>
                </w:r>
              </w:sdtContent>
            </w:sdt>
          </w:p>
        </w:tc>
      </w:tr>
      <w:tr w:rsidR="000B173B" w:rsidRPr="000816D6" w14:paraId="2D48BF40" w14:textId="77777777" w:rsidTr="00A15226">
        <w:tc>
          <w:tcPr>
            <w:tcW w:w="1526" w:type="dxa"/>
            <w:vAlign w:val="center"/>
          </w:tcPr>
          <w:p w14:paraId="791D1CAB"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SPECIES-SPECIFIC GUIDELINES</w:t>
            </w:r>
          </w:p>
        </w:tc>
        <w:tc>
          <w:tcPr>
            <w:tcW w:w="8113" w:type="dxa"/>
            <w:vAlign w:val="center"/>
          </w:tcPr>
          <w:p w14:paraId="6CE1CB7F" w14:textId="77777777" w:rsidR="000B173B" w:rsidRPr="000C468C" w:rsidRDefault="000B173B" w:rsidP="00A15226">
            <w:pPr>
              <w:pStyle w:val="Tabletext"/>
            </w:pPr>
            <w:r w:rsidRPr="000C468C">
              <w:t xml:space="preserve">Survey guidelines for Australia's threatened fish. EPBC Act survey guidelines 6.4 </w:t>
            </w:r>
            <w:sdt>
              <w:sdtPr>
                <w:rPr>
                  <w:color w:val="000000"/>
                </w:rPr>
                <w:tag w:val="MENDELEY_CITATION_v3_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"/>
                <w:id w:val="-1213111401"/>
                <w:placeholder>
                  <w:docPart w:val="8A75EFB8BE1D6C49BFCDB10710C88159"/>
                </w:placeholder>
              </w:sdtPr>
              <w:sdtContent>
                <w:r w:rsidRPr="00AB79D8">
                  <w:rPr>
                    <w:color w:val="000000"/>
                  </w:rPr>
                  <w:t>(DSEWPaC, 2011)</w:t>
                </w:r>
              </w:sdtContent>
            </w:sdt>
          </w:p>
        </w:tc>
      </w:tr>
      <w:tr w:rsidR="000B173B" w:rsidRPr="000816D6" w14:paraId="7F1EAC4A" w14:textId="77777777" w:rsidTr="00A15226">
        <w:tc>
          <w:tcPr>
            <w:tcW w:w="1526" w:type="dxa"/>
            <w:vAlign w:val="center"/>
          </w:tcPr>
          <w:p w14:paraId="5ADDB451" w14:textId="77777777" w:rsidR="000B173B" w:rsidRPr="000C468C" w:rsidRDefault="000B173B" w:rsidP="00A15226">
            <w:pPr>
              <w:pStyle w:val="Tabletext"/>
              <w:rPr>
                <w:rFonts w:ascii="Helvetica" w:hAnsi="Helvetica"/>
                <w:b/>
                <w:bCs/>
                <w:sz w:val="14"/>
              </w:rPr>
            </w:pPr>
            <w:r w:rsidRPr="000C468C">
              <w:rPr>
                <w:rFonts w:ascii="Helvetica" w:hAnsi="Helvetica"/>
                <w:b/>
                <w:bCs/>
                <w:sz w:val="14"/>
              </w:rPr>
              <w:t>SPRAT LINK</w:t>
            </w:r>
          </w:p>
        </w:tc>
        <w:tc>
          <w:tcPr>
            <w:tcW w:w="8113" w:type="dxa"/>
            <w:vAlign w:val="center"/>
          </w:tcPr>
          <w:p w14:paraId="065B7EDE" w14:textId="77777777" w:rsidR="000B173B" w:rsidRPr="000C468C" w:rsidRDefault="000B173B" w:rsidP="00A15226">
            <w:pPr>
              <w:pStyle w:val="Tabletext"/>
            </w:pPr>
            <w:hyperlink r:id="rId155" w:history="1">
              <w:r w:rsidRPr="007473F6">
                <w:rPr>
                  <w:rStyle w:val="Hyperlink"/>
                </w:rPr>
                <w:t>https://www.environment.gov.au/cgi-bin/sprat/public/publicspecies.pl?taxon_id=26179</w:t>
              </w:r>
            </w:hyperlink>
            <w:r>
              <w:t xml:space="preserve"> </w:t>
            </w:r>
          </w:p>
        </w:tc>
      </w:tr>
    </w:tbl>
    <w:p w14:paraId="56C48213"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79BD61F7" w14:textId="77777777" w:rsidTr="00A15226">
        <w:tc>
          <w:tcPr>
            <w:tcW w:w="9622" w:type="dxa"/>
            <w:shd w:val="clear" w:color="auto" w:fill="C9C9C9" w:themeFill="accent3" w:themeFillTint="99"/>
          </w:tcPr>
          <w:p w14:paraId="4BBF0205" w14:textId="77777777" w:rsidR="000B173B" w:rsidRPr="008F55BC" w:rsidRDefault="000B173B" w:rsidP="00A15226">
            <w:pPr>
              <w:pStyle w:val="Tabletext"/>
              <w:rPr>
                <w:b/>
                <w:bCs/>
              </w:rPr>
            </w:pPr>
            <w:r>
              <w:rPr>
                <w:rFonts w:ascii="Helvetica" w:hAnsi="Helvetica"/>
                <w:b/>
                <w:sz w:val="16"/>
                <w:szCs w:val="16"/>
              </w:rPr>
              <w:t>APPROACH TO BASELINE DATA</w:t>
            </w:r>
          </w:p>
        </w:tc>
      </w:tr>
    </w:tbl>
    <w:p w14:paraId="71642D00"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2B1F44F9"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69A5D48E"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19D82C19" w14:textId="77777777" w:rsidR="000B173B" w:rsidRPr="00296917" w:rsidRDefault="000B173B" w:rsidP="000B173B">
      <w:pPr>
        <w:rPr>
          <w:i/>
          <w:color w:val="4472C4" w:themeColor="accent1"/>
        </w:rPr>
      </w:pPr>
      <w:r w:rsidRPr="000816D6">
        <w:rPr>
          <w:i/>
          <w:color w:val="4472C4" w:themeColor="accent1"/>
        </w:rPr>
        <w:t xml:space="preserve">Please refer to </w:t>
      </w:r>
      <w:r w:rsidRPr="008A0753">
        <w:rPr>
          <w:i/>
          <w:color w:val="4472C4" w:themeColor="accent1"/>
        </w:rPr>
        <w:t>Chapter 1</w:t>
      </w:r>
      <w:r>
        <w:rPr>
          <w:i/>
          <w:color w:val="4472C4" w:themeColor="accent1"/>
        </w:rPr>
        <w:t>3</w:t>
      </w:r>
      <w:r w:rsidRPr="008A0753">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4F0200C6" w14:textId="77777777" w:rsidTr="00A15226">
        <w:tc>
          <w:tcPr>
            <w:tcW w:w="1526" w:type="dxa"/>
            <w:vMerge w:val="restart"/>
            <w:vAlign w:val="center"/>
          </w:tcPr>
          <w:p w14:paraId="15206CC3"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17F938BA"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682F0DA2" w14:textId="77777777" w:rsidTr="00A15226">
        <w:tc>
          <w:tcPr>
            <w:tcW w:w="1526" w:type="dxa"/>
            <w:vMerge/>
            <w:vAlign w:val="center"/>
          </w:tcPr>
          <w:p w14:paraId="1AE49788" w14:textId="77777777" w:rsidR="000B173B" w:rsidRDefault="000B173B" w:rsidP="00A15226">
            <w:pPr>
              <w:pStyle w:val="Tabletext"/>
              <w:rPr>
                <w:rFonts w:ascii="Helvetica" w:hAnsi="Helvetica"/>
                <w:b/>
                <w:bCs/>
                <w:sz w:val="14"/>
              </w:rPr>
            </w:pPr>
          </w:p>
        </w:tc>
        <w:tc>
          <w:tcPr>
            <w:tcW w:w="8113" w:type="dxa"/>
            <w:vAlign w:val="center"/>
          </w:tcPr>
          <w:p w14:paraId="4E95E996" w14:textId="77777777" w:rsidR="000B173B" w:rsidRPr="00C15BA8" w:rsidRDefault="000B173B" w:rsidP="00A15226">
            <w:pPr>
              <w:pStyle w:val="Tabletext"/>
              <w:rPr>
                <w:color w:val="000000" w:themeColor="text1"/>
              </w:rPr>
            </w:pPr>
            <w:r w:rsidRPr="00C15BA8">
              <w:rPr>
                <w:color w:val="000000" w:themeColor="text1"/>
              </w:rPr>
              <w:t>Potential habitat for the species has been mapped in the Moorabool River adjacent to the WGGA.</w:t>
            </w:r>
          </w:p>
        </w:tc>
      </w:tr>
      <w:tr w:rsidR="000B173B" w:rsidRPr="00980D4D" w14:paraId="0CBA6937" w14:textId="77777777" w:rsidTr="00A15226">
        <w:tc>
          <w:tcPr>
            <w:tcW w:w="1526" w:type="dxa"/>
            <w:vMerge/>
            <w:vAlign w:val="center"/>
          </w:tcPr>
          <w:p w14:paraId="702B0080"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3CBF29FB" w14:textId="77777777" w:rsidR="000B173B" w:rsidRPr="00C9514C" w:rsidRDefault="000B173B" w:rsidP="00A15226">
            <w:pPr>
              <w:pStyle w:val="Tabletext"/>
              <w:rPr>
                <w:highlight w:val="yellow"/>
              </w:rPr>
            </w:pPr>
            <w:r w:rsidRPr="001E34D1">
              <w:rPr>
                <w:rFonts w:ascii="Helvetica" w:hAnsi="Helvetica"/>
                <w:b/>
                <w:bCs/>
                <w:sz w:val="14"/>
              </w:rPr>
              <w:t>WITHIN THE UNSURVEYED AREAS OF THE GROWTH AREAS</w:t>
            </w:r>
          </w:p>
        </w:tc>
      </w:tr>
      <w:tr w:rsidR="000B173B" w:rsidRPr="00980D4D" w14:paraId="131EDB68" w14:textId="77777777" w:rsidTr="00A15226">
        <w:tc>
          <w:tcPr>
            <w:tcW w:w="1526" w:type="dxa"/>
            <w:vMerge/>
            <w:vAlign w:val="center"/>
          </w:tcPr>
          <w:p w14:paraId="66630D17" w14:textId="77777777" w:rsidR="000B173B" w:rsidRDefault="000B173B" w:rsidP="00A15226">
            <w:pPr>
              <w:pStyle w:val="Tabletext"/>
              <w:rPr>
                <w:rFonts w:ascii="Helvetica" w:hAnsi="Helvetica"/>
                <w:b/>
                <w:bCs/>
                <w:sz w:val="14"/>
              </w:rPr>
            </w:pPr>
          </w:p>
        </w:tc>
        <w:tc>
          <w:tcPr>
            <w:tcW w:w="8113" w:type="dxa"/>
            <w:vAlign w:val="center"/>
          </w:tcPr>
          <w:p w14:paraId="00FA0858" w14:textId="77777777" w:rsidR="000B173B" w:rsidRPr="00C9514C" w:rsidRDefault="000B173B" w:rsidP="00A15226">
            <w:pPr>
              <w:pStyle w:val="Tabletext"/>
              <w:rPr>
                <w:highlight w:val="yellow"/>
              </w:rPr>
            </w:pPr>
            <w:r>
              <w:rPr>
                <w:b/>
                <w:bCs/>
              </w:rPr>
              <w:t xml:space="preserve">N/A. </w:t>
            </w:r>
            <w:r>
              <w:t>There is unlikely to be suitable habitat present for this species.</w:t>
            </w:r>
          </w:p>
        </w:tc>
      </w:tr>
      <w:tr w:rsidR="000B173B" w:rsidRPr="00980D4D" w14:paraId="0BE63C2B" w14:textId="77777777" w:rsidTr="00A15226">
        <w:tc>
          <w:tcPr>
            <w:tcW w:w="1526" w:type="dxa"/>
            <w:vMerge/>
            <w:vAlign w:val="center"/>
          </w:tcPr>
          <w:p w14:paraId="21D3EA8B"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59D99998"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0641329F" w14:textId="77777777" w:rsidTr="00A15226">
        <w:tc>
          <w:tcPr>
            <w:tcW w:w="1526" w:type="dxa"/>
            <w:vMerge/>
            <w:vAlign w:val="center"/>
          </w:tcPr>
          <w:p w14:paraId="1A9EF49F" w14:textId="77777777" w:rsidR="000B173B" w:rsidRPr="000816D6" w:rsidRDefault="000B173B" w:rsidP="00A15226">
            <w:pPr>
              <w:pStyle w:val="Tabletext"/>
              <w:rPr>
                <w:rFonts w:ascii="Helvetica" w:hAnsi="Helvetica"/>
                <w:b/>
                <w:bCs/>
                <w:sz w:val="14"/>
              </w:rPr>
            </w:pPr>
          </w:p>
        </w:tc>
        <w:tc>
          <w:tcPr>
            <w:tcW w:w="8113" w:type="dxa"/>
            <w:vAlign w:val="center"/>
          </w:tcPr>
          <w:p w14:paraId="5F1B37AD" w14:textId="77777777" w:rsidR="000B173B" w:rsidRPr="00C9514C" w:rsidRDefault="000B173B" w:rsidP="00A15226">
            <w:pPr>
              <w:pStyle w:val="Tabletext"/>
            </w:pPr>
            <w:r w:rsidRPr="00C9514C">
              <w:rPr>
                <w:b/>
                <w:bCs/>
              </w:rPr>
              <w:t xml:space="preserve">Habitat important models (HIMs). </w:t>
            </w:r>
            <w:r w:rsidRPr="00C9514C">
              <w:t>Habitat mapping for the species across the broader Strategic Assessment Area and Study Area was prepared using DELWPs HIMs.</w:t>
            </w:r>
          </w:p>
          <w:p w14:paraId="3233BF5D" w14:textId="77777777" w:rsidR="000B173B" w:rsidRPr="00980D4D" w:rsidRDefault="000B173B" w:rsidP="00A15226">
            <w:pPr>
              <w:pStyle w:val="Tabletext"/>
            </w:pPr>
            <w:r w:rsidRPr="00C9514C">
              <w:t xml:space="preserve">Refer to </w:t>
            </w:r>
            <w:r w:rsidRPr="006900FB">
              <w:t>Chapter 13 of Part 3</w:t>
            </w:r>
            <w:r w:rsidRPr="00777928">
              <w:t xml:space="preserve"> for</w:t>
            </w:r>
            <w:r w:rsidRPr="00C9514C">
              <w:t xml:space="preserve"> a detailed description of the baseline mapping, landholder surveys, and HIMs.</w:t>
            </w:r>
          </w:p>
        </w:tc>
      </w:tr>
      <w:tr w:rsidR="000B173B" w:rsidRPr="003E1ADD" w14:paraId="30092AF3" w14:textId="77777777" w:rsidTr="00A15226">
        <w:tc>
          <w:tcPr>
            <w:tcW w:w="1526" w:type="dxa"/>
            <w:vMerge w:val="restart"/>
            <w:vAlign w:val="center"/>
          </w:tcPr>
          <w:p w14:paraId="0E3FBD74"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3E53CDC1"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620E703A" w14:textId="77777777" w:rsidTr="00A15226">
        <w:tc>
          <w:tcPr>
            <w:tcW w:w="1526" w:type="dxa"/>
            <w:vMerge/>
            <w:vAlign w:val="center"/>
          </w:tcPr>
          <w:p w14:paraId="6AC16AD7" w14:textId="77777777" w:rsidR="000B173B" w:rsidRDefault="000B173B" w:rsidP="00A15226">
            <w:pPr>
              <w:pStyle w:val="Tabletext"/>
              <w:rPr>
                <w:rFonts w:ascii="Helvetica" w:hAnsi="Helvetica"/>
                <w:b/>
                <w:bCs/>
                <w:sz w:val="14"/>
              </w:rPr>
            </w:pPr>
          </w:p>
        </w:tc>
        <w:tc>
          <w:tcPr>
            <w:tcW w:w="8113" w:type="dxa"/>
            <w:vAlign w:val="center"/>
          </w:tcPr>
          <w:p w14:paraId="192CADA6"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260004D6" w14:textId="77777777" w:rsidTr="00A15226">
        <w:tc>
          <w:tcPr>
            <w:tcW w:w="1526" w:type="dxa"/>
            <w:vMerge/>
            <w:vAlign w:val="center"/>
          </w:tcPr>
          <w:p w14:paraId="5EF44061"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5B56A4E0"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7940AEE1" w14:textId="77777777" w:rsidTr="00A15226">
        <w:tc>
          <w:tcPr>
            <w:tcW w:w="1526" w:type="dxa"/>
            <w:vMerge/>
            <w:vAlign w:val="center"/>
          </w:tcPr>
          <w:p w14:paraId="69C648F3" w14:textId="77777777" w:rsidR="000B173B" w:rsidRDefault="000B173B" w:rsidP="00A15226">
            <w:pPr>
              <w:pStyle w:val="Tabletext"/>
              <w:rPr>
                <w:rFonts w:ascii="Helvetica" w:hAnsi="Helvetica"/>
                <w:b/>
                <w:bCs/>
                <w:sz w:val="14"/>
              </w:rPr>
            </w:pPr>
          </w:p>
        </w:tc>
        <w:tc>
          <w:tcPr>
            <w:tcW w:w="8113" w:type="dxa"/>
            <w:vAlign w:val="center"/>
          </w:tcPr>
          <w:p w14:paraId="76E98FDB" w14:textId="77777777" w:rsidR="000B173B" w:rsidRPr="00BB022D" w:rsidRDefault="000B173B" w:rsidP="00A15226">
            <w:pPr>
              <w:pStyle w:val="Bullet1"/>
              <w:numPr>
                <w:ilvl w:val="0"/>
                <w:numId w:val="0"/>
              </w:numPr>
              <w:ind w:left="360" w:hanging="360"/>
            </w:pPr>
            <w:r w:rsidRPr="006A4149">
              <w:t xml:space="preserve">VBA records for the </w:t>
            </w:r>
            <w:r>
              <w:t>Australian Grayling</w:t>
            </w:r>
            <w:r w:rsidRPr="006A4149">
              <w:t xml:space="preserve"> used in this assessment were downloaded in June 2022.</w:t>
            </w:r>
          </w:p>
        </w:tc>
      </w:tr>
      <w:tr w:rsidR="000B173B" w:rsidRPr="003E1ADD" w14:paraId="4A2039F6" w14:textId="77777777" w:rsidTr="00A15226">
        <w:tc>
          <w:tcPr>
            <w:tcW w:w="1526" w:type="dxa"/>
            <w:vMerge/>
            <w:vAlign w:val="center"/>
          </w:tcPr>
          <w:p w14:paraId="4181E45A"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2F2218DA"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2BAF9C77" w14:textId="77777777" w:rsidTr="00A15226">
        <w:tc>
          <w:tcPr>
            <w:tcW w:w="1526" w:type="dxa"/>
            <w:vMerge/>
            <w:vAlign w:val="center"/>
          </w:tcPr>
          <w:p w14:paraId="515C793E" w14:textId="77777777" w:rsidR="000B173B" w:rsidRDefault="000B173B" w:rsidP="00A15226">
            <w:pPr>
              <w:pStyle w:val="Tabletext"/>
              <w:rPr>
                <w:rFonts w:ascii="Helvetica" w:hAnsi="Helvetica"/>
                <w:b/>
                <w:bCs/>
                <w:sz w:val="14"/>
              </w:rPr>
            </w:pPr>
          </w:p>
        </w:tc>
        <w:tc>
          <w:tcPr>
            <w:tcW w:w="8113" w:type="dxa"/>
            <w:vAlign w:val="center"/>
          </w:tcPr>
          <w:p w14:paraId="63A4286C" w14:textId="77777777" w:rsidR="000B173B" w:rsidRPr="00BB022D" w:rsidRDefault="000B173B" w:rsidP="00A15226">
            <w:pPr>
              <w:pStyle w:val="Tabletext"/>
            </w:pPr>
            <w:r>
              <w:t>All records within the Study Area were considered to be a single population. This is because t</w:t>
            </w:r>
            <w:r w:rsidRPr="000C468C">
              <w:t xml:space="preserve">he species </w:t>
            </w:r>
            <w:r>
              <w:t>occurs as</w:t>
            </w:r>
            <w:r w:rsidRPr="000C468C">
              <w:t xml:space="preserve"> a single population in Victori</w:t>
            </w:r>
            <w:r>
              <w:t>a</w:t>
            </w:r>
            <w:r w:rsidRPr="000C468C">
              <w:t xml:space="preserve"> </w:t>
            </w:r>
            <w:sdt>
              <w:sdtPr>
                <w:rPr>
                  <w:color w:val="000000"/>
                </w:rPr>
                <w:tag w:val="MENDELEY_CITATION_v3_eyJjaXRhdGlvbklEIjoiTUVOREVMRVlfQ0lUQVRJT05fMDU4M2ZhYzktMmQ0Mi00YjM4LWE0YWMtODUwM2QzMjcyMDJk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058162584"/>
                <w:placeholder>
                  <w:docPart w:val="8A75EFB8BE1D6C49BFCDB10710C88159"/>
                </w:placeholder>
              </w:sdtPr>
              <w:sdtContent>
                <w:r w:rsidRPr="00AB79D8">
                  <w:rPr>
                    <w:color w:val="000000"/>
                  </w:rPr>
                  <w:t>(TSSC, 2021)</w:t>
                </w:r>
              </w:sdtContent>
            </w:sdt>
            <w:r w:rsidRPr="000C468C">
              <w:t xml:space="preserve">. </w:t>
            </w:r>
          </w:p>
        </w:tc>
      </w:tr>
    </w:tbl>
    <w:p w14:paraId="0B1243EC"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45EA87CB" w14:textId="77777777" w:rsidTr="00A15226">
        <w:tc>
          <w:tcPr>
            <w:tcW w:w="9622" w:type="dxa"/>
            <w:shd w:val="clear" w:color="auto" w:fill="C9C9C9" w:themeFill="accent3" w:themeFillTint="99"/>
          </w:tcPr>
          <w:p w14:paraId="56C45B2C"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5168444C"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the </w:t>
      </w:r>
      <w:r w:rsidRPr="00CA1943">
        <w:rPr>
          <w:i/>
          <w:iCs/>
          <w:color w:val="4472C4" w:themeColor="accent1"/>
        </w:rPr>
        <w:t>Study Area. It includes reference to a map of records and habitat which can be viewed as a separate file. The map provides critical context for the assessment and should be viewed in conjunction with the text presented in this assessment. This section also provides a qualitative</w:t>
      </w:r>
      <w:r w:rsidRPr="00BB022D">
        <w:rPr>
          <w:i/>
          <w:iCs/>
          <w:color w:val="4472C4" w:themeColor="accent1"/>
        </w:rPr>
        <w:t xml:space="preserve"> description of where records and habitat occur.</w:t>
      </w:r>
    </w:p>
    <w:p w14:paraId="2810F160" w14:textId="77777777" w:rsidR="000B173B" w:rsidRDefault="000B173B" w:rsidP="000B173B">
      <w:r>
        <w:t xml:space="preserve">See </w:t>
      </w:r>
      <w:hyperlink r:id="rId156" w:history="1">
        <w:r w:rsidRPr="00AC291E">
          <w:rPr>
            <w:rStyle w:val="Hyperlink"/>
          </w:rPr>
          <w:t>Map 19-21</w:t>
        </w:r>
      </w:hyperlink>
      <w:r w:rsidRPr="00777928">
        <w:t xml:space="preserve"> for</w:t>
      </w:r>
      <w:r>
        <w:t xml:space="preserve"> a map of records and habitat across the Strategic Assessment Area.</w:t>
      </w:r>
    </w:p>
    <w:p w14:paraId="2D08BA94" w14:textId="77777777" w:rsidR="000B173B" w:rsidRDefault="000B173B" w:rsidP="000B173B">
      <w:r>
        <w:t xml:space="preserve">There are </w:t>
      </w:r>
      <w:r w:rsidRPr="006900FB">
        <w:t>11 records (35 individuals</w:t>
      </w:r>
      <w:r w:rsidRPr="00D07FF7">
        <w:t>) of</w:t>
      </w:r>
      <w:r>
        <w:t xml:space="preserve"> the Australian Grayling within the Study Area, all of which were recorded within 1997 or 1998. The species has not been recorded within the Strategic Assessment Area.</w:t>
      </w:r>
    </w:p>
    <w:p w14:paraId="42EA9D47" w14:textId="77777777" w:rsidR="000B173B" w:rsidRDefault="000B173B" w:rsidP="000B173B">
      <w:r>
        <w:t xml:space="preserve">There is a </w:t>
      </w:r>
      <w:r w:rsidRPr="00463E31">
        <w:t xml:space="preserve">total of </w:t>
      </w:r>
      <w:r w:rsidRPr="00E700AC">
        <w:t>1</w:t>
      </w:r>
      <w:r>
        <w:t>,</w:t>
      </w:r>
      <w:r w:rsidRPr="00E700AC">
        <w:t>169.1</w:t>
      </w:r>
      <w:r w:rsidRPr="006900FB">
        <w:t xml:space="preserve"> ha</w:t>
      </w:r>
      <w:r w:rsidRPr="00E700AC">
        <w:t xml:space="preserve"> of</w:t>
      </w:r>
      <w:r w:rsidRPr="00463E31">
        <w:t xml:space="preserve"> mapped</w:t>
      </w:r>
      <w:r>
        <w:t xml:space="preserve"> potential habitat for the Australian Grayling within the Study Area. Of this, </w:t>
      </w:r>
      <w:r w:rsidRPr="00E700AC">
        <w:t>12.8</w:t>
      </w:r>
      <w:r w:rsidRPr="006900FB">
        <w:t> ha</w:t>
      </w:r>
      <w:r>
        <w:t xml:space="preserve"> is located within the Strategic Assessment Area, and </w:t>
      </w:r>
      <w:r w:rsidRPr="00E700AC">
        <w:t xml:space="preserve">3.5 </w:t>
      </w:r>
      <w:r w:rsidRPr="006900FB">
        <w:t>ha</w:t>
      </w:r>
      <w:r w:rsidRPr="00E700AC">
        <w:t xml:space="preserve"> of</w:t>
      </w:r>
      <w:r>
        <w:t xml:space="preserve"> potential habitat is mapped within the Growth Areas.</w:t>
      </w:r>
    </w:p>
    <w:p w14:paraId="3DA07AA5" w14:textId="77777777" w:rsidR="000B173B" w:rsidRDefault="000B173B" w:rsidP="000B173B">
      <w:r w:rsidRPr="00B67611">
        <w:t>Specifically</w:t>
      </w:r>
      <w:r w:rsidRPr="00E700AC">
        <w:t xml:space="preserve">, </w:t>
      </w:r>
      <w:r w:rsidRPr="006900FB">
        <w:t xml:space="preserve">potential habitat for the Australian Grayling is mapped within the Moorabool River </w:t>
      </w:r>
      <w:r>
        <w:t xml:space="preserve">adjacent to the </w:t>
      </w:r>
      <w:r w:rsidRPr="006900FB">
        <w:t>WGGA.</w:t>
      </w:r>
      <w:r w:rsidRPr="00E700AC">
        <w:t xml:space="preserve"> Although</w:t>
      </w:r>
      <w:r>
        <w:t xml:space="preserve"> there are no records of the species in the WGGA, site surveys indicate the presence of suitable habitat for the Australian Grayling within the Moorabool River </w:t>
      </w:r>
      <w:sdt>
        <w:sdtPr>
          <w:rPr>
            <w:color w:val="000000"/>
          </w:rPr>
          <w:tag w:val="MENDELEY_CITATION_v3_eyJjaXRhdGlvbklEIjoiTUVOREVMRVlfQ0lUQVRJT05fZGNjZDg3ZWQtZTNkNy00MWM5LTllMTEtZWM0MzNiOTljMmN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520274029"/>
          <w:placeholder>
            <w:docPart w:val="8A75EFB8BE1D6C49BFCDB10710C88159"/>
          </w:placeholder>
        </w:sdtPr>
        <w:sdtContent>
          <w:r w:rsidRPr="00AB79D8">
            <w:rPr>
              <w:color w:val="000000"/>
            </w:rPr>
            <w:t>(EHP, 2021)</w:t>
          </w:r>
        </w:sdtContent>
      </w:sdt>
      <w:r>
        <w:t>.</w:t>
      </w:r>
    </w:p>
    <w:p w14:paraId="508DDB37" w14:textId="77777777" w:rsidR="000B173B" w:rsidRDefault="000B173B" w:rsidP="000B173B">
      <w:r>
        <w:t xml:space="preserve">Records and habitat of the Australian Grayling occur within the wider Moorabool River catchment. Specifically, </w:t>
      </w:r>
      <w:r w:rsidRPr="00D07FF7">
        <w:t xml:space="preserve">all </w:t>
      </w:r>
      <w:r w:rsidRPr="006900FB">
        <w:t>11 records</w:t>
      </w:r>
      <w:r w:rsidRPr="00D07FF7">
        <w:t xml:space="preserve"> for this species within the Study Area occur where the Moorabool River meets the Barwon River at Fyansfo</w:t>
      </w:r>
      <w:r>
        <w:t>rd.</w:t>
      </w:r>
      <w:r w:rsidRPr="00B67611">
        <w:t xml:space="preserve"> </w:t>
      </w:r>
      <w:r>
        <w:t>Habitat is mapped along the Moorabool River and the Barwon River. Some habitat is also mapped within the Lake Connewarre Complex.</w:t>
      </w:r>
    </w:p>
    <w:p w14:paraId="6D1FAD90" w14:textId="77777777" w:rsidR="000B173B" w:rsidRDefault="000B173B" w:rsidP="000B173B">
      <w:r w:rsidRPr="00D07E38">
        <w:t xml:space="preserve">It is understood that the Corangamite Catchment Management Authority are proposing to remove barriers along the Moorabool River which </w:t>
      </w:r>
      <w:r>
        <w:t xml:space="preserve">currently </w:t>
      </w:r>
      <w:r w:rsidRPr="00D07E38">
        <w:t xml:space="preserve">prevent fish from accessing habitat upstream to the WGGA within the next 2 to 3 years. With the removal of these barriers, future planning of the WGGA PSPs should assume the presence of the Australian Grayling </w:t>
      </w:r>
      <w:sdt>
        <w:sdtPr>
          <w:rPr>
            <w:color w:val="000000"/>
          </w:rPr>
          <w:tag w:val="MENDELEY_CITATION_v3_eyJjaXRhdGlvbklEIjoiTUVOREVMRVlfQ0lUQVRJT05fZmRhMmY4ZTMtNDA4Ny00NGM1LTlkY2EtYmVlZmUyMDZjNmYx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767464466"/>
          <w:placeholder>
            <w:docPart w:val="8A75EFB8BE1D6C49BFCDB10710C88159"/>
          </w:placeholder>
        </w:sdtPr>
        <w:sdtContent>
          <w:r w:rsidRPr="00AB79D8">
            <w:rPr>
              <w:color w:val="000000"/>
            </w:rPr>
            <w:t>(EHP, 2021)</w:t>
          </w:r>
        </w:sdtContent>
      </w:sdt>
      <w:r w:rsidRPr="00D07E38">
        <w:t>.</w:t>
      </w:r>
    </w:p>
    <w:p w14:paraId="73524C52" w14:textId="77777777" w:rsidR="000B173B" w:rsidRDefault="000B173B" w:rsidP="000B173B">
      <w:r w:rsidRPr="006900FB">
        <w:t xml:space="preserve">Cowies Creek may provide suitable habitat for the species, although habitat is considered to be poor and lacks “many of the key habitat characteristics associated with Australian Grayling” </w:t>
      </w:r>
      <w:sdt>
        <w:sdtPr>
          <w:rPr>
            <w:color w:val="000000"/>
          </w:rPr>
          <w:tag w:val="MENDELEY_CITATION_v3_eyJjaXRhdGlvbklEIjoiTUVOREVMRVlfQ0lUQVRJT05fMDY0MDc2N2YtODBhMC00NTM3LThlNWQtNjg4ZDI2OGUyNDY3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457220863"/>
          <w:placeholder>
            <w:docPart w:val="8A75EFB8BE1D6C49BFCDB10710C88159"/>
          </w:placeholder>
        </w:sdtPr>
        <w:sdtContent>
          <w:r w:rsidRPr="00AB79D8">
            <w:rPr>
              <w:color w:val="000000"/>
            </w:rPr>
            <w:t>(EHP, 2021)</w:t>
          </w:r>
        </w:sdtContent>
      </w:sdt>
      <w:r w:rsidRPr="00E700AC">
        <w:t>. Further, no records of the species occur at Cowies Creek.</w:t>
      </w:r>
    </w:p>
    <w:p w14:paraId="3746CBEB" w14:textId="77777777" w:rsidR="000B173B" w:rsidRDefault="000B173B" w:rsidP="000B173B">
      <w:r>
        <w:t>Habitat is also mapped at Hovells Creek, although no records occur at this location.</w:t>
      </w:r>
    </w:p>
    <w:p w14:paraId="3209C007" w14:textId="77777777" w:rsidR="000B173B" w:rsidRPr="006934FA"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39218CE4" w14:textId="77777777" w:rsidTr="00A15226">
        <w:trPr>
          <w:cantSplit/>
        </w:trPr>
        <w:tc>
          <w:tcPr>
            <w:tcW w:w="9632" w:type="dxa"/>
            <w:shd w:val="clear" w:color="auto" w:fill="D9D9D9" w:themeFill="background1" w:themeFillShade="D9"/>
            <w:vAlign w:val="center"/>
          </w:tcPr>
          <w:p w14:paraId="3B189539" w14:textId="77777777" w:rsidR="000B173B" w:rsidRPr="000816D6" w:rsidRDefault="000B173B" w:rsidP="00A15226">
            <w:pPr>
              <w:pStyle w:val="TableHeadingLarge"/>
              <w:keepLines/>
            </w:pPr>
            <w:r w:rsidRPr="000816D6">
              <w:rPr>
                <w:rFonts w:ascii="Helvetica" w:hAnsi="Helvetica"/>
              </w:rPr>
              <w:lastRenderedPageBreak/>
              <w:t>POTENTIAL INDIRECT IMPACTS AND MITIGATION</w:t>
            </w:r>
          </w:p>
        </w:tc>
      </w:tr>
    </w:tbl>
    <w:p w14:paraId="5726D0DB" w14:textId="77777777" w:rsidR="000B173B" w:rsidRPr="007C1D70" w:rsidRDefault="000B173B" w:rsidP="000B173B">
      <w:pPr>
        <w:keepNext/>
        <w:keepLines/>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07274D16" w14:textId="77777777" w:rsidR="000B173B" w:rsidRPr="007C1D70" w:rsidRDefault="000B173B" w:rsidP="000B173B">
      <w:pPr>
        <w:pStyle w:val="Bullet1"/>
        <w:keepNext/>
        <w:keepLines/>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09C4EB36" w14:textId="77777777" w:rsidR="000B173B" w:rsidRPr="007C1D70" w:rsidRDefault="000B173B" w:rsidP="000B173B">
      <w:pPr>
        <w:pStyle w:val="Bullet1"/>
        <w:keepNext/>
        <w:keepLines/>
        <w:rPr>
          <w:i/>
          <w:color w:val="4472C4" w:themeColor="accent1"/>
        </w:rPr>
      </w:pPr>
      <w:r w:rsidRPr="007C1D70">
        <w:rPr>
          <w:i/>
          <w:color w:val="4472C4" w:themeColor="accent1"/>
        </w:rPr>
        <w:t xml:space="preserve">The Plan has the potential to </w:t>
      </w:r>
      <w:r>
        <w:rPr>
          <w:i/>
          <w:color w:val="4472C4" w:themeColor="accent1"/>
        </w:rPr>
        <w:t xml:space="preserve">introduce or </w:t>
      </w:r>
      <w:r w:rsidRPr="007C1D70">
        <w:rPr>
          <w:i/>
          <w:color w:val="4472C4" w:themeColor="accent1"/>
        </w:rPr>
        <w:t>exacerbate the threat in areas which support records and/or mapped habitat for the species</w:t>
      </w:r>
    </w:p>
    <w:p w14:paraId="62801C28" w14:textId="77777777" w:rsidR="000B173B" w:rsidRPr="007C1D70" w:rsidRDefault="000B173B" w:rsidP="000B173B">
      <w:pPr>
        <w:keepNext/>
        <w:keepLines/>
        <w:rPr>
          <w:i/>
          <w:color w:val="4472C4" w:themeColor="accent1"/>
        </w:rPr>
      </w:pPr>
      <w:r w:rsidRPr="007C1D70">
        <w:rPr>
          <w:i/>
          <w:color w:val="4472C4" w:themeColor="accent1"/>
        </w:rPr>
        <w:t>It describes the mechanism by which each relevant potential indirect impact may affect the species.</w:t>
      </w:r>
    </w:p>
    <w:p w14:paraId="67C50471" w14:textId="77777777" w:rsidR="000B173B" w:rsidRPr="007C1D70" w:rsidRDefault="000B173B" w:rsidP="000B173B">
      <w:pPr>
        <w:keepNext/>
        <w:keepLines/>
        <w:rPr>
          <w:i/>
          <w:color w:val="4472C4" w:themeColor="accent1"/>
        </w:rPr>
      </w:pPr>
      <w:r w:rsidRPr="007C1D70">
        <w:rPr>
          <w:i/>
          <w:color w:val="4472C4" w:themeColor="accent1"/>
        </w:rPr>
        <w:t xml:space="preserve">Please refer </w:t>
      </w:r>
      <w:r w:rsidRPr="00D07FF7">
        <w:rPr>
          <w:i/>
          <w:color w:val="4472C4" w:themeColor="accent1"/>
        </w:rPr>
        <w:t xml:space="preserve">to </w:t>
      </w:r>
      <w:r w:rsidRPr="006900FB">
        <w:rPr>
          <w:i/>
          <w:color w:val="4472C4" w:themeColor="accent1"/>
        </w:rPr>
        <w:t>Chapter 19</w:t>
      </w:r>
      <w:r w:rsidRPr="00D07FF7">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D07FF7">
        <w:rPr>
          <w:i/>
          <w:color w:val="4472C4" w:themeColor="accent1"/>
        </w:rPr>
        <w:t xml:space="preserve"> for a detailed</w:t>
      </w:r>
      <w:r w:rsidRPr="007C1D70">
        <w:rPr>
          <w:i/>
          <w:color w:val="4472C4" w:themeColor="accent1"/>
        </w:rPr>
        <w:t xml:space="preserve"> discussion and analysis of indirect impacts and mitigation measures included in the Plan. </w:t>
      </w:r>
    </w:p>
    <w:p w14:paraId="0C48620F" w14:textId="77777777" w:rsidR="000B173B" w:rsidRDefault="000B173B" w:rsidP="000B173B">
      <w:pPr>
        <w:pStyle w:val="Heading3"/>
        <w:numPr>
          <w:ilvl w:val="0"/>
          <w:numId w:val="0"/>
        </w:numPr>
        <w:ind w:left="720" w:hanging="720"/>
      </w:pPr>
      <w:r w:rsidRPr="00FB680C">
        <w:t>R</w:t>
      </w:r>
      <w:r>
        <w:t>elevant potential indirect impacts</w:t>
      </w:r>
    </w:p>
    <w:p w14:paraId="4FE6885B" w14:textId="77777777" w:rsidR="000B173B" w:rsidRDefault="000B173B" w:rsidP="000B173B">
      <w:r w:rsidRPr="009D2CA7">
        <w:t>The Conservation Advice and Recovery Plan for the Australian</w:t>
      </w:r>
      <w:r>
        <w:t xml:space="preserve"> Grayling</w:t>
      </w:r>
      <w:r w:rsidRPr="002B70F0">
        <w:t xml:space="preserve"> identifies a range of threats to the species</w:t>
      </w:r>
      <w:r>
        <w:t xml:space="preserve"> </w:t>
      </w:r>
      <w:sdt>
        <w:sdtPr>
          <w:rPr>
            <w:color w:val="000000"/>
          </w:rPr>
          <w:tag w:val="MENDELEY_CITATION_v3_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"/>
          <w:id w:val="1717700396"/>
          <w:placeholder>
            <w:docPart w:val="8A75EFB8BE1D6C49BFCDB10710C88159"/>
          </w:placeholder>
        </w:sdtPr>
        <w:sdtContent>
          <w:r w:rsidRPr="00AB79D8">
            <w:rPr>
              <w:color w:val="000000"/>
            </w:rPr>
            <w:t>(Backhouse, O’Conner and Jackson, 2008; TSSC, 2021)</w:t>
          </w:r>
        </w:sdtContent>
      </w:sdt>
      <w:r>
        <w:t xml:space="preserve">. </w:t>
      </w:r>
      <w:r w:rsidRPr="002B70F0">
        <w:t xml:space="preserve">Where these threats </w:t>
      </w:r>
      <w:r>
        <w:t>have the potential to be introduced or exacerbated under the Plan</w:t>
      </w:r>
      <w:r w:rsidRPr="002B70F0">
        <w:t xml:space="preserve">, the Plan includes management strategies to mitigate their impacts. </w:t>
      </w:r>
    </w:p>
    <w:p w14:paraId="5A09D9A8" w14:textId="77777777" w:rsidR="000B173B" w:rsidRDefault="000B173B" w:rsidP="000B173B">
      <w:r>
        <w:t>The following threats to the Australian Grayling are potentially relevant to implementation of the Plan and are discussed further below:</w:t>
      </w:r>
    </w:p>
    <w:p w14:paraId="46EFF0A0" w14:textId="77777777" w:rsidR="000B173B" w:rsidRPr="00ED6C5C" w:rsidRDefault="000B173B" w:rsidP="000B173B">
      <w:pPr>
        <w:pStyle w:val="Bullet1"/>
      </w:pPr>
      <w:r w:rsidRPr="00ED6C5C">
        <w:t>Altered hydrology</w:t>
      </w:r>
      <w:r>
        <w:t>, s</w:t>
      </w:r>
      <w:r w:rsidRPr="00ED6C5C">
        <w:t>edimentation and poor water quality</w:t>
      </w:r>
    </w:p>
    <w:p w14:paraId="7DEF07DB" w14:textId="77777777" w:rsidR="000B173B" w:rsidRPr="00ED6C5C" w:rsidRDefault="000B173B" w:rsidP="000B173B">
      <w:pPr>
        <w:pStyle w:val="Bullet1"/>
      </w:pPr>
      <w:r w:rsidRPr="00ED6C5C">
        <w:t>Recreational fishing</w:t>
      </w:r>
    </w:p>
    <w:p w14:paraId="560D65AD" w14:textId="77777777" w:rsidR="000B173B" w:rsidRDefault="000B173B" w:rsidP="000B173B">
      <w:r w:rsidRPr="003A2AF0">
        <w:t>There are a number of additional threats to the species identified in the Conservation Advice</w:t>
      </w:r>
      <w:r>
        <w:t xml:space="preserve"> and Recovery Plan</w:t>
      </w:r>
      <w:r w:rsidRPr="003A2AF0">
        <w:t>. However, potential indirect impacts associated with these threats are considered unlikely given the landscape context of the site and the ecology of the species. Refer to</w:t>
      </w:r>
      <w:r>
        <w:t xml:space="preserve"> </w:t>
      </w:r>
      <w:r w:rsidRPr="006900FB">
        <w:t>Section 17.2 of Chapter 17</w:t>
      </w:r>
      <w:r w:rsidRPr="00D07FF7">
        <w:t xml:space="preserve"> for</w:t>
      </w:r>
      <w:r>
        <w:t xml:space="preserve"> a detailed assessment of potential indirect impacts associated with the implementation of the Plan.</w:t>
      </w:r>
      <w:r w:rsidRPr="00CC2A00" w:rsidDel="00727335">
        <w:rPr>
          <w:highlight w:val="yellow"/>
        </w:rPr>
        <w:t xml:space="preserve"> </w:t>
      </w:r>
    </w:p>
    <w:p w14:paraId="5B02871F" w14:textId="77777777" w:rsidR="000B173B" w:rsidRDefault="000B173B" w:rsidP="000B173B">
      <w:r>
        <w:t>Climate change is also identified as a threat to the species. The potential impacts of climate change and relevant mitigation measures under the Plan are outlined in Part 5.</w:t>
      </w:r>
    </w:p>
    <w:p w14:paraId="0B0691F9" w14:textId="77777777" w:rsidR="000B173B" w:rsidRDefault="000B173B" w:rsidP="000B173B">
      <w:pPr>
        <w:pStyle w:val="Heading4"/>
      </w:pPr>
      <w:r>
        <w:t>Altered hydrology, sedimentation and poor water quality</w:t>
      </w:r>
    </w:p>
    <w:p w14:paraId="161AAB8A" w14:textId="77777777" w:rsidR="000B173B" w:rsidRDefault="000B173B" w:rsidP="000B173B">
      <w:r>
        <w:t xml:space="preserve">The Australian Grayling depends on water flow triggers for spawning. It chooses its spawning location based on water velocity and temperature. If water velocities are not high enough during the spawning season, the species will not release eggs. Sufficient flows are required to carry larvae to coastal waters, and to signal for juveniles to swim towards freshwater </w:t>
      </w:r>
      <w:sdt>
        <w:sdtPr>
          <w:rPr>
            <w:color w:val="000000"/>
          </w:rPr>
          <w:tag w:val="MENDELEY_CITATION_v3_eyJjaXRhdGlvbklEIjoiTUVOREVMRVlfQ0lUQVRJT05fOWNjMTk0ZDUtNzEyMS00NGMyLWIwYzAtY2Y3YTg3MjU0N2Q2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247305628"/>
          <w:placeholder>
            <w:docPart w:val="8A75EFB8BE1D6C49BFCDB10710C88159"/>
          </w:placeholder>
        </w:sdtPr>
        <w:sdtContent>
          <w:r w:rsidRPr="00AB79D8">
            <w:rPr>
              <w:color w:val="000000"/>
            </w:rPr>
            <w:t>(TSSC, 2021)</w:t>
          </w:r>
        </w:sdtContent>
      </w:sdt>
      <w:r w:rsidRPr="000C468C">
        <w:t>.</w:t>
      </w:r>
      <w:r>
        <w:t xml:space="preserve"> Reducing and/or altering the seasonality of flows may impact the reproductive success of the species  </w:t>
      </w:r>
      <w:sdt>
        <w:sdtPr>
          <w:rPr>
            <w:color w:val="000000"/>
          </w:rPr>
          <w:tag w:val="MENDELEY_CITATION_v3_eyJjaXRhdGlvbklEIjoiTUVOREVMRVlfQ0lUQVRJT05fODNiNTFmNDQtMjFhMS00OWRkLWJlMDgtYTFmMWNkYWMyZTQ5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1287395307"/>
          <w:placeholder>
            <w:docPart w:val="8A75EFB8BE1D6C49BFCDB10710C88159"/>
          </w:placeholder>
        </w:sdtPr>
        <w:sdtContent>
          <w:r w:rsidRPr="00AB79D8">
            <w:rPr>
              <w:color w:val="000000"/>
            </w:rPr>
            <w:t>(Backhouse, O’Conner and Jackson, 2008)</w:t>
          </w:r>
        </w:sdtContent>
      </w:sdt>
      <w:r>
        <w:t>.</w:t>
      </w:r>
    </w:p>
    <w:p w14:paraId="18339BCF" w14:textId="77777777" w:rsidR="000B173B" w:rsidRDefault="000B173B" w:rsidP="000B173B">
      <w:r>
        <w:t xml:space="preserve">The species is also susceptible to negative impacts associated with poor water quality, including altered water temperatures, altered water chemistry, increased turbidity, and increased nutrient and toxin content. Causes of water quality decline include clearing of vegetation and earthworks, fires, nutrient and sediment runoff from urban and agricultural areas, water diversion, impoundment and droughts. The Australian Grayling may not recolonise areas of sustained poor water quality </w:t>
      </w:r>
      <w:sdt>
        <w:sdtPr>
          <w:rPr>
            <w:color w:val="000000"/>
          </w:rPr>
          <w:tag w:val="MENDELEY_CITATION_v3_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"/>
          <w:id w:val="-22015937"/>
          <w:placeholder>
            <w:docPart w:val="8A75EFB8BE1D6C49BFCDB10710C88159"/>
          </w:placeholder>
        </w:sdtPr>
        <w:sdtContent>
          <w:r w:rsidRPr="00AB79D8">
            <w:rPr>
              <w:color w:val="000000"/>
            </w:rPr>
            <w:t>(Backhouse, O’Conner and Jackson, 2008; TSSC, 2021)</w:t>
          </w:r>
        </w:sdtContent>
      </w:sdt>
      <w:r>
        <w:t>.</w:t>
      </w:r>
    </w:p>
    <w:p w14:paraId="0EED2367" w14:textId="77777777" w:rsidR="000B173B" w:rsidRDefault="000B173B" w:rsidP="000B173B">
      <w:r>
        <w:t xml:space="preserve">The Australian Grayling is likely to be highly susceptible to sedimentation, as gravel is required for spawning. Once a gravel bed is impacted by siltation, it may take time for subsequent flooding to flush out the finer sediments. Given the species has a short life cycle, several missed breeding seasons may have severe impacts on the species </w:t>
      </w:r>
      <w:sdt>
        <w:sdtPr>
          <w:rPr>
            <w:color w:val="000000"/>
          </w:rPr>
          <w:tag w:val="MENDELEY_CITATION_v3_eyJjaXRhdGlvbklEIjoiTUVOREVMRVlfQ0lUQVRJT05fOTBiMTQ4NTQtMzJlYi00MWM3LTk2OTktODIzY2NiZDMwZDZj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908575831"/>
          <w:placeholder>
            <w:docPart w:val="8A75EFB8BE1D6C49BFCDB10710C88159"/>
          </w:placeholder>
        </w:sdtPr>
        <w:sdtContent>
          <w:r w:rsidRPr="00AB79D8">
            <w:rPr>
              <w:color w:val="000000"/>
            </w:rPr>
            <w:t>(Backhouse, O’Conner and Jackson, 2008)</w:t>
          </w:r>
        </w:sdtContent>
      </w:sdt>
      <w:r>
        <w:t>.</w:t>
      </w:r>
    </w:p>
    <w:p w14:paraId="3A73D9AB" w14:textId="77777777" w:rsidR="000B173B" w:rsidRPr="00ED6C5C" w:rsidRDefault="000B173B" w:rsidP="000B173B">
      <w:pPr>
        <w:pStyle w:val="Heading4"/>
      </w:pPr>
      <w:r>
        <w:t>Recreational fishing</w:t>
      </w:r>
    </w:p>
    <w:p w14:paraId="09725841" w14:textId="77777777" w:rsidR="000B173B" w:rsidRDefault="000B173B" w:rsidP="000B173B">
      <w:pPr>
        <w:rPr>
          <w:iCs/>
        </w:rPr>
      </w:pPr>
      <w:r>
        <w:t xml:space="preserve">The Australian Grayling was once a popular angling species, yet now is protected from all targeted fishing in Victoria, NSW and Tasmania. However, the species is still caught incidentally by recreational fishers which are targeting salmonids using fly-fishing methods. As the Australian Grayling is a thin species with deciduous scales, it is very delicate and is extremely prone to handling stress </w:t>
      </w:r>
      <w:sdt>
        <w:sdtPr>
          <w:rPr>
            <w:color w:val="000000"/>
          </w:rPr>
          <w:tag w:val="MENDELEY_CITATION_v3_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"/>
          <w:id w:val="1324702113"/>
          <w:placeholder>
            <w:docPart w:val="8A75EFB8BE1D6C49BFCDB10710C88159"/>
          </w:placeholder>
        </w:sdtPr>
        <w:sdtContent>
          <w:r w:rsidRPr="00AB79D8">
            <w:rPr>
              <w:color w:val="000000"/>
            </w:rPr>
            <w:t>(TSSC, 2021)</w:t>
          </w:r>
        </w:sdtContent>
      </w:sdt>
      <w:r>
        <w:rPr>
          <w:iCs/>
        </w:rPr>
        <w:t>.</w:t>
      </w:r>
    </w:p>
    <w:p w14:paraId="02B07502"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08D1CF8E" w14:textId="77777777" w:rsidTr="00A15226">
        <w:tc>
          <w:tcPr>
            <w:tcW w:w="9622" w:type="dxa"/>
            <w:shd w:val="clear" w:color="auto" w:fill="C9C9C9" w:themeFill="accent3" w:themeFillTint="99"/>
          </w:tcPr>
          <w:p w14:paraId="46857477"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7414284A"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detail i</w:t>
      </w:r>
      <w:r w:rsidRPr="00D07FF7">
        <w:rPr>
          <w:i/>
          <w:color w:val="4472C4" w:themeColor="accent1"/>
        </w:rPr>
        <w:t xml:space="preserve">n </w:t>
      </w:r>
      <w:r w:rsidRPr="006900FB">
        <w:rPr>
          <w:i/>
          <w:color w:val="4472C4" w:themeColor="accent1"/>
        </w:rPr>
        <w:t>Section 17.3</w:t>
      </w:r>
      <w:r w:rsidRPr="00D07FF7">
        <w:rPr>
          <w:i/>
          <w:color w:val="4472C4" w:themeColor="accent1"/>
        </w:rPr>
        <w:t xml:space="preserve"> of </w:t>
      </w:r>
      <w:r w:rsidRPr="006900FB">
        <w:rPr>
          <w:i/>
          <w:color w:val="4472C4" w:themeColor="accent1"/>
        </w:rPr>
        <w:t>Chapter 17</w:t>
      </w:r>
      <w:r w:rsidRPr="00D07FF7">
        <w:rPr>
          <w:i/>
          <w:color w:val="4472C4" w:themeColor="accent1"/>
        </w:rPr>
        <w:t>.</w:t>
      </w:r>
    </w:p>
    <w:p w14:paraId="445A9771" w14:textId="77777777" w:rsidR="000B173B" w:rsidRPr="000816D6" w:rsidRDefault="000B173B" w:rsidP="000B173B">
      <w:pPr>
        <w:pStyle w:val="Heading3"/>
        <w:numPr>
          <w:ilvl w:val="0"/>
          <w:numId w:val="0"/>
        </w:numPr>
        <w:ind w:left="720" w:hanging="720"/>
      </w:pPr>
      <w:r w:rsidRPr="000816D6">
        <w:t>C</w:t>
      </w:r>
      <w:r>
        <w:t>onsistency with recovery plan</w:t>
      </w:r>
    </w:p>
    <w:p w14:paraId="6270ADEE" w14:textId="77777777" w:rsidR="000B173B" w:rsidRPr="00DB68B8" w:rsidRDefault="000B173B" w:rsidP="000B173B">
      <w:r w:rsidRPr="00DB68B8">
        <w:t>In accordance with Section 146K of the EPBC Act, this section considers whether the implementation of the Plan is not inconsistent with the species’ Recovery Plan. It considers two questions:</w:t>
      </w:r>
    </w:p>
    <w:p w14:paraId="17CD622C" w14:textId="77777777" w:rsidR="000B173B" w:rsidRPr="00DB68B8" w:rsidRDefault="000B173B" w:rsidP="000B173B">
      <w:pPr>
        <w:pStyle w:val="Bullet1"/>
      </w:pPr>
      <w:r w:rsidRPr="00DB68B8">
        <w:t xml:space="preserve">Does the Plan </w:t>
      </w:r>
      <w:r>
        <w:t>p</w:t>
      </w:r>
      <w:r w:rsidRPr="00DB68B8">
        <w:t>revent achievement of the objectives of the Recovery Plan?</w:t>
      </w:r>
    </w:p>
    <w:p w14:paraId="3D3BFC3D" w14:textId="77777777" w:rsidR="000B173B" w:rsidRPr="00DB68B8" w:rsidRDefault="000B173B" w:rsidP="000B173B">
      <w:pPr>
        <w:pStyle w:val="Bullet1"/>
      </w:pPr>
      <w:r w:rsidRPr="00DB68B8">
        <w:t>Does the Plan prevent implementation of the Recovery Plan actions?</w:t>
      </w:r>
    </w:p>
    <w:p w14:paraId="41488A39" w14:textId="77777777" w:rsidR="000B173B" w:rsidRDefault="000B173B" w:rsidP="000B173B">
      <w:r w:rsidRPr="00DB68B8">
        <w:t>These questions are discussed below.</w:t>
      </w:r>
    </w:p>
    <w:p w14:paraId="16EB9349" w14:textId="77777777" w:rsidR="000B173B" w:rsidRDefault="000B173B" w:rsidP="000B173B">
      <w:pPr>
        <w:pStyle w:val="Heading4"/>
      </w:pPr>
      <w:r w:rsidRPr="00F614B0">
        <w:t xml:space="preserve">Does the Plan </w:t>
      </w:r>
      <w:r>
        <w:t>p</w:t>
      </w:r>
      <w:r w:rsidRPr="00F614B0">
        <w:t>revent achievement of the objectives of the Recovery Plan?</w:t>
      </w:r>
    </w:p>
    <w:p w14:paraId="667E248B" w14:textId="77777777" w:rsidR="000B173B" w:rsidRDefault="000B173B" w:rsidP="000B173B">
      <w:r w:rsidRPr="00F614B0">
        <w:t xml:space="preserve">The </w:t>
      </w:r>
      <w:r>
        <w:t xml:space="preserve">overall objective of the Recovery Plan is to minimise the probability of extinction of the Australian Grayling in the wild, and to increase the probability of important populations becoming self-sustaining in the long term. </w:t>
      </w:r>
      <w:r w:rsidRPr="00F614B0">
        <w:t xml:space="preserve">This overall </w:t>
      </w:r>
      <w:r>
        <w:t xml:space="preserve">objective </w:t>
      </w:r>
      <w:r w:rsidRPr="00F614B0">
        <w:t xml:space="preserve">is associated with a series of specific objectives </w:t>
      </w:r>
      <w:sdt>
        <w:sdtPr>
          <w:rPr>
            <w:color w:val="000000"/>
          </w:rPr>
          <w:tag w:val="MENDELEY_CITATION_v3_eyJjaXRhdGlvbklEIjoiTUVOREVMRVlfQ0lUQVRJT05fN2ZjNzY0MDMtYjJlNC00MWIzLTg5NDItYTZkYzA5OTZmMzRl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2135741789"/>
          <w:placeholder>
            <w:docPart w:val="8A75EFB8BE1D6C49BFCDB10710C88159"/>
          </w:placeholder>
        </w:sdtPr>
        <w:sdtContent>
          <w:r w:rsidRPr="00AB79D8">
            <w:rPr>
              <w:color w:val="000000"/>
            </w:rPr>
            <w:t>(Backhouse, O’Conner and Jackson, 2008)</w:t>
          </w:r>
        </w:sdtContent>
      </w:sdt>
      <w:r>
        <w:t>:</w:t>
      </w:r>
    </w:p>
    <w:p w14:paraId="104CDE36" w14:textId="77777777" w:rsidR="000B173B" w:rsidRDefault="000B173B" w:rsidP="000B173B">
      <w:pPr>
        <w:pStyle w:val="Bullet1"/>
        <w:numPr>
          <w:ilvl w:val="0"/>
          <w:numId w:val="50"/>
        </w:numPr>
      </w:pPr>
      <w:r>
        <w:t>Identify important populations of Australian Grayling</w:t>
      </w:r>
    </w:p>
    <w:p w14:paraId="6FF57ECD" w14:textId="77777777" w:rsidR="000B173B" w:rsidRDefault="000B173B" w:rsidP="000B173B">
      <w:pPr>
        <w:pStyle w:val="Bullet1"/>
        <w:numPr>
          <w:ilvl w:val="0"/>
          <w:numId w:val="50"/>
        </w:numPr>
      </w:pPr>
      <w:r>
        <w:t>Protect and restore habitat for Australian Grayling</w:t>
      </w:r>
    </w:p>
    <w:p w14:paraId="380E7FBA" w14:textId="77777777" w:rsidR="000B173B" w:rsidRDefault="000B173B" w:rsidP="000B173B">
      <w:pPr>
        <w:pStyle w:val="Bullet1"/>
        <w:numPr>
          <w:ilvl w:val="0"/>
          <w:numId w:val="50"/>
        </w:numPr>
      </w:pPr>
      <w:r>
        <w:t>Investigate important life history attributes to acquire targeted information for management</w:t>
      </w:r>
    </w:p>
    <w:p w14:paraId="1F46C2C9" w14:textId="77777777" w:rsidR="000B173B" w:rsidRDefault="000B173B" w:rsidP="000B173B">
      <w:pPr>
        <w:pStyle w:val="Bullet1"/>
        <w:numPr>
          <w:ilvl w:val="0"/>
          <w:numId w:val="50"/>
        </w:numPr>
      </w:pPr>
      <w:r>
        <w:t>Investigate and manage threats to populations and habitats</w:t>
      </w:r>
    </w:p>
    <w:p w14:paraId="78AB660B" w14:textId="77777777" w:rsidR="000B173B" w:rsidRPr="007B3DD8" w:rsidRDefault="000B173B" w:rsidP="000B173B">
      <w:pPr>
        <w:pStyle w:val="Bullet1"/>
        <w:numPr>
          <w:ilvl w:val="0"/>
          <w:numId w:val="50"/>
        </w:numPr>
      </w:pPr>
      <w:r>
        <w:t>Increase awareness of Australian Grayling with resource managers and the public</w:t>
      </w:r>
    </w:p>
    <w:p w14:paraId="6276A9B5" w14:textId="77777777" w:rsidR="000B173B" w:rsidRPr="00F614B0" w:rsidRDefault="000B173B" w:rsidP="000B173B">
      <w:r w:rsidRPr="00F614B0">
        <w:t xml:space="preserve">The outcome under the Plan for </w:t>
      </w:r>
      <w:r>
        <w:t xml:space="preserve">the Australian Grayling </w:t>
      </w:r>
      <w:r w:rsidRPr="00F614B0">
        <w:t>will not prevent the achievement of any of the objectives of the Recovery Plan.</w:t>
      </w:r>
    </w:p>
    <w:p w14:paraId="7D596C60" w14:textId="77777777" w:rsidR="000B173B" w:rsidRPr="00F614B0" w:rsidRDefault="000B173B" w:rsidP="000B173B">
      <w:pPr>
        <w:pStyle w:val="Heading4"/>
      </w:pPr>
      <w:r w:rsidRPr="00F614B0">
        <w:t>Does the Plan prevent implementation of the Recovery Plan actions?</w:t>
      </w:r>
    </w:p>
    <w:p w14:paraId="6A9FA718" w14:textId="77777777" w:rsidR="000B173B" w:rsidRDefault="000B173B" w:rsidP="000B173B">
      <w:r w:rsidRPr="00F614B0">
        <w:t>The Recovery Plan identifies a set of actions in order to deliver on the objectives. Each action is associated with performance criteria</w:t>
      </w:r>
      <w:r>
        <w:rPr>
          <w:i/>
          <w:iCs/>
        </w:rPr>
        <w:t xml:space="preserve"> </w:t>
      </w:r>
      <w:sdt>
        <w:sdtPr>
          <w:rPr>
            <w:iCs/>
            <w:color w:val="000000"/>
          </w:rPr>
          <w:tag w:val="MENDELEY_CITATION_v3_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"/>
          <w:id w:val="1091669438"/>
          <w:placeholder>
            <w:docPart w:val="8A75EFB8BE1D6C49BFCDB10710C88159"/>
          </w:placeholder>
        </w:sdtPr>
        <w:sdtEndPr>
          <w:rPr>
            <w:iCs w:val="0"/>
          </w:rPr>
        </w:sdtEndPr>
        <w:sdtContent>
          <w:r w:rsidRPr="00AB79D8">
            <w:rPr>
              <w:color w:val="000000"/>
            </w:rPr>
            <w:t>(Backhouse, O’Conner and Jackson, 2008)</w:t>
          </w:r>
        </w:sdtContent>
      </w:sdt>
      <w:r>
        <w:t xml:space="preserve">. </w:t>
      </w:r>
      <w:r w:rsidRPr="00F614B0">
        <w:t>The Plan will not prevent the implementation of any of these actions, nor will it prevent the achievement of any of the performance criteria.</w:t>
      </w:r>
    </w:p>
    <w:p w14:paraId="09DA261A"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10F479E2"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_Ref106959542 \h </w:instrText>
      </w:r>
      <w:r>
        <w:fldChar w:fldCharType="separate"/>
      </w:r>
      <w:r>
        <w:t xml:space="preserve">Table </w:t>
      </w:r>
      <w:r>
        <w:rPr>
          <w:noProof/>
        </w:rPr>
        <w:t>C</w:t>
      </w:r>
      <w:r>
        <w:noBreakHyphen/>
      </w:r>
      <w:r>
        <w:rPr>
          <w:noProof/>
        </w:rPr>
        <w:t>1</w:t>
      </w:r>
      <w:r>
        <w:fldChar w:fldCharType="end"/>
      </w:r>
      <w:r>
        <w:t xml:space="preserve"> where they relate to:</w:t>
      </w:r>
    </w:p>
    <w:p w14:paraId="0DF47CB1" w14:textId="77777777" w:rsidR="000B173B" w:rsidRDefault="000B173B" w:rsidP="000B173B">
      <w:pPr>
        <w:pStyle w:val="Bullet1"/>
      </w:pPr>
      <w:r>
        <w:t>The potential direct impacts of the Plan, or</w:t>
      </w:r>
    </w:p>
    <w:p w14:paraId="77603E81" w14:textId="77777777" w:rsidR="000B173B" w:rsidRDefault="000B173B" w:rsidP="000B173B">
      <w:pPr>
        <w:pStyle w:val="Bullet1"/>
      </w:pPr>
      <w:r>
        <w:t>The relevant indirect impacts</w:t>
      </w:r>
    </w:p>
    <w:p w14:paraId="424AE182" w14:textId="77777777" w:rsidR="000B173B" w:rsidRDefault="000B173B" w:rsidP="000B173B">
      <w:pPr>
        <w:pStyle w:val="Caption"/>
        <w:keepNext/>
      </w:pPr>
      <w:bookmarkStart w:id="295" w:name="_Ref106959542"/>
      <w:bookmarkStart w:id="296" w:name="_Toc134697929"/>
      <w:r>
        <w:t xml:space="preserve">Table </w:t>
      </w:r>
      <w:r>
        <w:fldChar w:fldCharType="begin"/>
      </w:r>
      <w:r>
        <w:instrText xml:space="preserve"> STYLEREF 1 \s </w:instrText>
      </w:r>
      <w:r>
        <w:fldChar w:fldCharType="separate"/>
      </w:r>
      <w:r>
        <w:rPr>
          <w:noProof/>
        </w:rPr>
        <w:t>C</w:t>
      </w:r>
      <w:r>
        <w:fldChar w:fldCharType="end"/>
      </w:r>
      <w:r>
        <w:noBreakHyphen/>
      </w:r>
      <w:r>
        <w:fldChar w:fldCharType="begin"/>
      </w:r>
      <w:r>
        <w:instrText xml:space="preserve"> SEQ Table \* ARABIC \s 1 </w:instrText>
      </w:r>
      <w:r>
        <w:fldChar w:fldCharType="separate"/>
      </w:r>
      <w:r>
        <w:rPr>
          <w:noProof/>
        </w:rPr>
        <w:t>1</w:t>
      </w:r>
      <w:r>
        <w:fldChar w:fldCharType="end"/>
      </w:r>
      <w:bookmarkEnd w:id="295"/>
      <w:r>
        <w:t xml:space="preserve">: </w:t>
      </w:r>
      <w:r w:rsidRPr="005F676F">
        <w:t xml:space="preserve">Relevant Key Threatening Processes and associated Threat Abatement Plans for </w:t>
      </w:r>
      <w:r>
        <w:t>the Australian Grayling</w:t>
      </w:r>
      <w:bookmarkEnd w:id="296"/>
    </w:p>
    <w:tbl>
      <w:tblPr>
        <w:tblStyle w:val="TableGrid"/>
        <w:tblW w:w="0" w:type="auto"/>
        <w:tblLook w:val="04A0" w:firstRow="1" w:lastRow="0" w:firstColumn="1" w:lastColumn="0" w:noHBand="0" w:noVBand="1"/>
      </w:tblPr>
      <w:tblGrid>
        <w:gridCol w:w="4686"/>
        <w:gridCol w:w="4936"/>
      </w:tblGrid>
      <w:tr w:rsidR="000B173B" w14:paraId="01B52644" w14:textId="77777777" w:rsidTr="00A15226">
        <w:trPr>
          <w:tblHeader/>
        </w:trPr>
        <w:tc>
          <w:tcPr>
            <w:tcW w:w="4686" w:type="dxa"/>
            <w:shd w:val="clear" w:color="auto" w:fill="DBDBDB" w:themeFill="accent3" w:themeFillTint="66"/>
          </w:tcPr>
          <w:p w14:paraId="4DBA21CD" w14:textId="77777777" w:rsidR="000B173B" w:rsidRPr="00FF1996" w:rsidRDefault="000B173B" w:rsidP="00A15226">
            <w:pPr>
              <w:pStyle w:val="Tabletext"/>
              <w:rPr>
                <w:b/>
                <w:bCs/>
              </w:rPr>
            </w:pPr>
            <w:r w:rsidRPr="00FF1996">
              <w:rPr>
                <w:b/>
                <w:bCs/>
              </w:rPr>
              <w:t>Key threatening process</w:t>
            </w:r>
          </w:p>
        </w:tc>
        <w:tc>
          <w:tcPr>
            <w:tcW w:w="4936" w:type="dxa"/>
            <w:shd w:val="clear" w:color="auto" w:fill="DBDBDB" w:themeFill="accent3" w:themeFillTint="66"/>
          </w:tcPr>
          <w:p w14:paraId="78AF8CB0" w14:textId="77777777" w:rsidR="000B173B" w:rsidRPr="00FF1996" w:rsidRDefault="000B173B" w:rsidP="00A15226">
            <w:pPr>
              <w:pStyle w:val="Tabletext"/>
              <w:rPr>
                <w:b/>
                <w:bCs/>
              </w:rPr>
            </w:pPr>
            <w:r w:rsidRPr="00FF1996">
              <w:rPr>
                <w:b/>
                <w:bCs/>
              </w:rPr>
              <w:t>Threat abatement plan</w:t>
            </w:r>
          </w:p>
        </w:tc>
      </w:tr>
      <w:tr w:rsidR="000B173B" w14:paraId="629A8DFD" w14:textId="77777777" w:rsidTr="00A15226">
        <w:tc>
          <w:tcPr>
            <w:tcW w:w="4686" w:type="dxa"/>
          </w:tcPr>
          <w:p w14:paraId="1D89A897" w14:textId="77777777" w:rsidR="000B173B" w:rsidRPr="003919C8" w:rsidRDefault="000B173B" w:rsidP="00A15226">
            <w:pPr>
              <w:pStyle w:val="Tabletext"/>
            </w:pPr>
            <w:r>
              <w:t>Land clearance</w:t>
            </w:r>
          </w:p>
        </w:tc>
        <w:tc>
          <w:tcPr>
            <w:tcW w:w="4936" w:type="dxa"/>
          </w:tcPr>
          <w:p w14:paraId="451570F0" w14:textId="77777777" w:rsidR="000B173B" w:rsidRDefault="000B173B" w:rsidP="00A15226">
            <w:pPr>
              <w:pStyle w:val="Tabletext"/>
            </w:pPr>
            <w:r>
              <w:t>There is no relevant TAP</w:t>
            </w:r>
          </w:p>
        </w:tc>
      </w:tr>
      <w:tr w:rsidR="000B173B" w14:paraId="5F566BD0" w14:textId="77777777" w:rsidTr="00A15226">
        <w:tc>
          <w:tcPr>
            <w:tcW w:w="4686" w:type="dxa"/>
            <w:vAlign w:val="center"/>
          </w:tcPr>
          <w:p w14:paraId="5E4604D7" w14:textId="77777777" w:rsidR="000B173B" w:rsidRPr="003919C8" w:rsidRDefault="000B173B" w:rsidP="00A15226">
            <w:pPr>
              <w:pStyle w:val="Tabletext"/>
            </w:pPr>
            <w:r w:rsidRPr="00672E41">
              <w:t>Loss of climatic habitat caused by anthropogenic emissions of greenhouse gases</w:t>
            </w:r>
          </w:p>
        </w:tc>
        <w:tc>
          <w:tcPr>
            <w:tcW w:w="4936" w:type="dxa"/>
            <w:vAlign w:val="center"/>
          </w:tcPr>
          <w:p w14:paraId="3F349574" w14:textId="77777777" w:rsidR="000B173B" w:rsidRDefault="000B173B" w:rsidP="00A15226">
            <w:pPr>
              <w:pStyle w:val="Tabletext"/>
            </w:pPr>
            <w:r>
              <w:t>There is no relevant TAP</w:t>
            </w:r>
          </w:p>
        </w:tc>
      </w:tr>
      <w:tr w:rsidR="000B173B" w14:paraId="1F682CA7" w14:textId="77777777" w:rsidTr="00A15226">
        <w:tc>
          <w:tcPr>
            <w:tcW w:w="4686" w:type="dxa"/>
          </w:tcPr>
          <w:p w14:paraId="11730141" w14:textId="77777777" w:rsidR="000B173B" w:rsidRDefault="000B173B" w:rsidP="00A15226">
            <w:pPr>
              <w:pStyle w:val="Tabletext"/>
            </w:pPr>
            <w:r w:rsidRPr="003919C8">
              <w:t>Novel biota and their impact on biodiversity</w:t>
            </w:r>
          </w:p>
        </w:tc>
        <w:tc>
          <w:tcPr>
            <w:tcW w:w="4936" w:type="dxa"/>
          </w:tcPr>
          <w:p w14:paraId="0403C34E" w14:textId="77777777" w:rsidR="000B173B" w:rsidRDefault="000B173B" w:rsidP="00A15226">
            <w:pPr>
              <w:pStyle w:val="Tabletext"/>
            </w:pPr>
            <w:r>
              <w:t>There is no relevant TAP</w:t>
            </w:r>
          </w:p>
        </w:tc>
      </w:tr>
    </w:tbl>
    <w:p w14:paraId="7A85C7AC" w14:textId="77777777" w:rsidR="000B173B" w:rsidRDefault="000B173B" w:rsidP="000B173B">
      <w:pPr>
        <w:tabs>
          <w:tab w:val="clear" w:pos="4962"/>
        </w:tabs>
        <w:spacing w:before="0" w:after="0" w:line="240" w:lineRule="auto"/>
        <w:rPr>
          <w:i/>
          <w:iCs/>
        </w:rPr>
      </w:pPr>
    </w:p>
    <w:p w14:paraId="794A1CD9" w14:textId="77777777" w:rsidR="000B173B" w:rsidRDefault="000B173B" w:rsidP="000B173B">
      <w:pPr>
        <w:tabs>
          <w:tab w:val="clear" w:pos="4962"/>
        </w:tabs>
        <w:spacing w:before="0" w:after="0" w:line="240" w:lineRule="auto"/>
        <w:rPr>
          <w:i/>
          <w:iCs/>
        </w:rPr>
      </w:pPr>
      <w:r>
        <w:rPr>
          <w:i/>
          <w:iCs/>
        </w:rPr>
        <w:br w:type="page"/>
      </w:r>
    </w:p>
    <w:p w14:paraId="2B41AB57" w14:textId="77777777" w:rsidR="000B173B" w:rsidRPr="00297975" w:rsidRDefault="000B173B" w:rsidP="000B173B">
      <w:pPr>
        <w:pStyle w:val="Heading2"/>
        <w:numPr>
          <w:ilvl w:val="0"/>
          <w:numId w:val="0"/>
        </w:numPr>
        <w:ind w:left="576" w:hanging="576"/>
      </w:pPr>
      <w:bookmarkStart w:id="297" w:name="_Toc131154215"/>
      <w:bookmarkStart w:id="298" w:name="_Toc131154402"/>
      <w:r>
        <w:lastRenderedPageBreak/>
        <w:t xml:space="preserve">Eastern Dwarf Galaxias </w:t>
      </w:r>
      <w:r>
        <w:rPr>
          <w:i/>
          <w:iCs/>
        </w:rPr>
        <w:t>(Galaxiella pusilla)</w:t>
      </w:r>
      <w:bookmarkEnd w:id="297"/>
      <w:bookmarkEnd w:id="298"/>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51EEA21F" w14:textId="77777777" w:rsidTr="00A15226">
        <w:trPr>
          <w:tblHeader/>
        </w:trPr>
        <w:tc>
          <w:tcPr>
            <w:tcW w:w="9747" w:type="dxa"/>
            <w:shd w:val="clear" w:color="auto" w:fill="D9D9D9" w:themeFill="background1" w:themeFillShade="D9"/>
            <w:vAlign w:val="center"/>
          </w:tcPr>
          <w:p w14:paraId="115701D9"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4ACE5342"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p w14:paraId="685CD634" w14:textId="77777777" w:rsidR="000B173B" w:rsidRPr="005E2633" w:rsidRDefault="000B173B" w:rsidP="000B173B">
      <w:pPr>
        <w:rPr>
          <w:b/>
          <w:bCs/>
          <w:i/>
          <w:iCs/>
        </w:rPr>
      </w:pPr>
      <w:r w:rsidRPr="005E2633">
        <w:rPr>
          <w:b/>
          <w:bCs/>
        </w:rPr>
        <w:t>Note regarding taxonomi</w:t>
      </w:r>
      <w:r>
        <w:rPr>
          <w:b/>
          <w:bCs/>
        </w:rPr>
        <w:t>c</w:t>
      </w:r>
      <w:r w:rsidRPr="005E2633">
        <w:rPr>
          <w:b/>
          <w:bCs/>
        </w:rPr>
        <w:t xml:space="preserve"> revision of </w:t>
      </w:r>
      <w:r w:rsidRPr="005E2633">
        <w:rPr>
          <w:b/>
          <w:bCs/>
          <w:i/>
          <w:iCs/>
        </w:rPr>
        <w:t>Galaxiella pusilla</w:t>
      </w:r>
    </w:p>
    <w:p w14:paraId="4C9270D1" w14:textId="77777777" w:rsidR="000B173B" w:rsidRDefault="000B173B" w:rsidP="000B173B">
      <w:r>
        <w:t xml:space="preserve">This species is listed as </w:t>
      </w:r>
      <w:r>
        <w:rPr>
          <w:i/>
          <w:iCs/>
        </w:rPr>
        <w:t xml:space="preserve">Galaxiella pusilla </w:t>
      </w:r>
      <w:r>
        <w:t xml:space="preserve">under the EPBC Act. At the time of the species’ listing under the EPBC Act, </w:t>
      </w:r>
      <w:r>
        <w:rPr>
          <w:i/>
          <w:iCs/>
        </w:rPr>
        <w:t xml:space="preserve">G. pusilla </w:t>
      </w:r>
      <w:r>
        <w:t xml:space="preserve">was thought to occur from the Mitchell River Basin in Gippsland Victoria to Cortina Lakes in South Australia, including Tasmania </w:t>
      </w:r>
      <w:sdt>
        <w:sdtPr>
          <w:rPr>
            <w:color w:val="000000"/>
          </w:rPr>
          <w:tag w:val="MENDELEY_CITATION_v3_eyJjaXRhdGlvbklEIjoiTUVOREVMRVlfQ0lUQVRJT05fMmNiNjg4M2UtM2JmNi00YWRiLWI1ZTktZmQ0NWEyZjFlODhi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1361202278"/>
          <w:placeholder>
            <w:docPart w:val="8A75EFB8BE1D6C49BFCDB10710C88159"/>
          </w:placeholder>
        </w:sdtPr>
        <w:sdtContent>
          <w:r w:rsidRPr="00AB79D8">
            <w:rPr>
              <w:color w:val="000000"/>
            </w:rPr>
            <w:t>(Saddlier, Jackson and Hammer, 2010)</w:t>
          </w:r>
        </w:sdtContent>
      </w:sdt>
      <w:r>
        <w:t xml:space="preserve">. However, recent genetic analysis has split this original species into two species: </w:t>
      </w:r>
      <w:r>
        <w:rPr>
          <w:i/>
          <w:iCs/>
        </w:rPr>
        <w:t xml:space="preserve">G. pusilla, </w:t>
      </w:r>
      <w:r>
        <w:t xml:space="preserve">which occurs in eastern Victoria and in Tasmania, and </w:t>
      </w:r>
      <w:r>
        <w:rPr>
          <w:i/>
          <w:iCs/>
        </w:rPr>
        <w:t xml:space="preserve">G. toourtkoourt, </w:t>
      </w:r>
      <w:r>
        <w:t xml:space="preserve">which occurs in western Victoria and South Australia </w:t>
      </w:r>
      <w:sdt>
        <w:sdtPr>
          <w:rPr>
            <w:color w:val="000000"/>
          </w:rPr>
          <w:tag w:val="MENDELEY_CITATION_v3_eyJjaXRhdGlvbklEIjoiTUVOREVMRVlfQ0lUQVRJT05fZWI3ZGYzMTItMWM0Ni00NDljLWIxZWYtOGE1N2RlMWJiZWNkIiwicHJvcGVydGllcyI6eyJub3RlSW5kZXgiOjB9LCJpc0VkaXRlZCI6ZmFsc2UsIm1hbnVhbE92ZXJyaWRlIjp7ImNpdGVwcm9jVGV4dCI6IihDb2xlbWFuLCBIb2ZmbWFuIGFuZCBSYWFpaywgMjAxNSkiLCJpc01hbnVhbGx5T3ZlcnJpZGRlbiI6ZmFsc2UsIm1hbnVhbE92ZXJyaWRlVGV4dCI6IiJ9LCJjaXRhdGlvbkl0ZW1zIjpb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1469631119"/>
          <w:placeholder>
            <w:docPart w:val="8A75EFB8BE1D6C49BFCDB10710C88159"/>
          </w:placeholder>
        </w:sdtPr>
        <w:sdtContent>
          <w:r w:rsidRPr="00AB79D8">
            <w:rPr>
              <w:color w:val="000000"/>
            </w:rPr>
            <w:t>(Coleman, Hoffman and Raaik, 2015)</w:t>
          </w:r>
        </w:sdtContent>
      </w:sdt>
      <w:r>
        <w:t xml:space="preserve">. </w:t>
      </w:r>
    </w:p>
    <w:p w14:paraId="28FED94B" w14:textId="77777777" w:rsidR="000B173B" w:rsidRDefault="000B173B" w:rsidP="000B173B">
      <w:r>
        <w:t xml:space="preserve">Differences between </w:t>
      </w:r>
      <w:r>
        <w:rPr>
          <w:i/>
          <w:iCs/>
        </w:rPr>
        <w:t xml:space="preserve">G. pusilla </w:t>
      </w:r>
      <w:r>
        <w:t xml:space="preserve">and </w:t>
      </w:r>
      <w:r>
        <w:rPr>
          <w:i/>
          <w:iCs/>
        </w:rPr>
        <w:t xml:space="preserve">G. toourtkoourt </w:t>
      </w:r>
      <w:r>
        <w:t xml:space="preserve">include morphological and genetic differences. No substantial differences in habitat use or ecological characteristics have been identified between the two species </w:t>
      </w:r>
      <w:sdt>
        <w:sdtPr>
          <w:rPr>
            <w:color w:val="000000"/>
          </w:rPr>
          <w:tag w:val="MENDELEY_CITATION_v3_eyJjaXRhdGlvbklEIjoiTUVOREVMRVlfQ0lUQVRJT05fNTlhNjM4YjMtNWE1Mi00NmEzLWI0M2ItMjJlZDM0NWRkYzJiIiwicHJvcGVydGllcyI6eyJub3RlSW5kZXgiOjB9LCJpc0VkaXRlZCI6ZmFsc2UsIm1hbnVhbE92ZXJyaWRlIjp7ImNpdGVwcm9jVGV4dCI6IihDb2xlbWFuLCBIb2ZmbWFuIGFuZCBSYWFpaywgMjAxNSkiLCJpc01hbnVhbGx5T3ZlcnJpZGRlbiI6ZmFsc2UsIm1hbnVhbE92ZXJyaWRlVGV4dCI6IiJ9LCJjaXRhdGlvbkl0ZW1zIjpb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1612859079"/>
          <w:placeholder>
            <w:docPart w:val="8A75EFB8BE1D6C49BFCDB10710C88159"/>
          </w:placeholder>
        </w:sdtPr>
        <w:sdtContent>
          <w:r w:rsidRPr="00AB79D8">
            <w:rPr>
              <w:color w:val="000000"/>
            </w:rPr>
            <w:t>(Coleman, Hoffman and Raaik, 2015)</w:t>
          </w:r>
        </w:sdtContent>
      </w:sdt>
      <w:r>
        <w:t xml:space="preserve">. </w:t>
      </w:r>
    </w:p>
    <w:p w14:paraId="53E2E424" w14:textId="77777777" w:rsidR="000B173B" w:rsidRDefault="000B173B" w:rsidP="000B173B">
      <w:r>
        <w:t xml:space="preserve">For this reason, it is considered that descriptions of ecology and habitat use identified within the species’ Recovery Plan </w:t>
      </w:r>
      <w:sdt>
        <w:sdtPr>
          <w:rPr>
            <w:color w:val="000000"/>
          </w:rPr>
          <w:tag w:val="MENDELEY_CITATION_v3_eyJjaXRhdGlvbklEIjoiTUVOREVMRVlfQ0lUQVRJT05fZTNjYzQwMDUtYzYwYS00NTRjLWEwNjItMzFlMTNhMTdjZjVh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590150040"/>
          <w:placeholder>
            <w:docPart w:val="8A75EFB8BE1D6C49BFCDB10710C88159"/>
          </w:placeholder>
        </w:sdtPr>
        <w:sdtContent>
          <w:r w:rsidRPr="00AB79D8">
            <w:rPr>
              <w:color w:val="000000"/>
            </w:rPr>
            <w:t>(Saddlier, Jackson and Hammer, 2010)</w:t>
          </w:r>
        </w:sdtContent>
      </w:sdt>
      <w:r>
        <w:t xml:space="preserve"> remain adequate for understanding the species’ life cycle and habitat requirements.</w:t>
      </w:r>
    </w:p>
    <w:p w14:paraId="4257275F" w14:textId="77777777" w:rsidR="000B173B" w:rsidRPr="001D6591" w:rsidRDefault="000B173B" w:rsidP="000B173B">
      <w:r>
        <w:t xml:space="preserve">Note that the Study Area occurs along the eastern edge of the range of </w:t>
      </w:r>
      <w:r>
        <w:rPr>
          <w:i/>
          <w:iCs/>
        </w:rPr>
        <w:t>G. toourtkoourt.</w:t>
      </w:r>
      <w:r>
        <w:t xml:space="preserve"> For this reason, the species within the Study Area is </w:t>
      </w:r>
      <w:r>
        <w:rPr>
          <w:i/>
          <w:iCs/>
        </w:rPr>
        <w:t>G. toourtkoourt</w:t>
      </w:r>
      <w:r>
        <w: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75A47D06" w14:textId="77777777" w:rsidTr="00A15226">
        <w:tc>
          <w:tcPr>
            <w:tcW w:w="1526" w:type="dxa"/>
            <w:vAlign w:val="center"/>
          </w:tcPr>
          <w:p w14:paraId="248E4FB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0295D28A" w14:textId="77777777" w:rsidR="000B173B" w:rsidRDefault="000B173B" w:rsidP="00A15226">
            <w:pPr>
              <w:pStyle w:val="Tabletext"/>
            </w:pPr>
            <w:r>
              <w:t>Vulnerable</w:t>
            </w:r>
          </w:p>
          <w:p w14:paraId="48BAB98C" w14:textId="77777777" w:rsidR="000B173B" w:rsidRDefault="000B173B" w:rsidP="00A15226">
            <w:pPr>
              <w:pStyle w:val="Tabletext"/>
            </w:pPr>
            <w:r>
              <w:t xml:space="preserve">Note that the Eastern Dwarf Galaxias </w:t>
            </w:r>
            <w:r w:rsidRPr="00C00E39">
              <w:t xml:space="preserve">is currently on the Finalised Priority Assessment List (FPAL) and is proposed to have its listing </w:t>
            </w:r>
            <w:r>
              <w:t xml:space="preserve">upgraded to Endangered </w:t>
            </w:r>
            <w:sdt>
              <w:sdtPr>
                <w:rPr>
                  <w:color w:val="000000"/>
                </w:rPr>
                <w:tag w:val="MENDELEY_CITATION_v3_eyJjaXRhdGlvbklEIjoiTUVOREVMRVlfQ0lUQVRJT05fZjRmNDkzZGItZTA5MS00NjRlLWFkMGQtOTM2NTcxZDkwZTIx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348597786"/>
                <w:placeholder>
                  <w:docPart w:val="FD04FF79EF64374EA0DF2E95F5680540"/>
                </w:placeholder>
              </w:sdtPr>
              <w:sdtContent>
                <w:r w:rsidRPr="00AB79D8">
                  <w:rPr>
                    <w:color w:val="000000"/>
                  </w:rPr>
                  <w:t>(DAWE, 2021f)</w:t>
                </w:r>
              </w:sdtContent>
            </w:sdt>
          </w:p>
          <w:p w14:paraId="3E6CF94B" w14:textId="77777777" w:rsidR="000B173B" w:rsidRPr="003E1ADD" w:rsidRDefault="000B173B" w:rsidP="00A15226">
            <w:pPr>
              <w:pStyle w:val="Tabletext"/>
            </w:pPr>
            <w:r>
              <w:t xml:space="preserve">A decision is due by 30 October 2023 </w:t>
            </w:r>
            <w:sdt>
              <w:sdtPr>
                <w:rPr>
                  <w:color w:val="000000"/>
                </w:rPr>
                <w:tag w:val="MENDELEY_CITATION_v3_eyJjaXRhdGlvbklEIjoiTUVOREVMRVlfQ0lUQVRJT05fYTQxNTczMmUtYzBhOS00MDBmLTk0YzctZjZiYjllMGZlYWM0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943956178"/>
                <w:placeholder>
                  <w:docPart w:val="FD04FF79EF64374EA0DF2E95F5680540"/>
                </w:placeholder>
              </w:sdtPr>
              <w:sdtContent>
                <w:r w:rsidRPr="00AB79D8">
                  <w:rPr>
                    <w:color w:val="000000"/>
                  </w:rPr>
                  <w:t>(DAWE, 2021f)</w:t>
                </w:r>
              </w:sdtContent>
            </w:sdt>
          </w:p>
        </w:tc>
      </w:tr>
      <w:tr w:rsidR="000B173B" w:rsidRPr="000816D6" w14:paraId="170F0F26" w14:textId="77777777" w:rsidTr="00A15226">
        <w:tc>
          <w:tcPr>
            <w:tcW w:w="1526" w:type="dxa"/>
            <w:vAlign w:val="center"/>
          </w:tcPr>
          <w:p w14:paraId="425D33A9"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0C93A434" w14:textId="77777777" w:rsidR="000B173B" w:rsidRPr="00D803F9" w:rsidRDefault="000B173B" w:rsidP="00A15226">
            <w:pPr>
              <w:pStyle w:val="Tabletext"/>
            </w:pPr>
            <w:r>
              <w:t>The Eastern Dwarf Galaxias (</w:t>
            </w:r>
            <w:r>
              <w:rPr>
                <w:i/>
                <w:iCs/>
              </w:rPr>
              <w:t>G. toourtkoourt</w:t>
            </w:r>
            <w:r>
              <w:t>)</w:t>
            </w:r>
            <w:r>
              <w:rPr>
                <w:i/>
                <w:iCs/>
              </w:rPr>
              <w:t xml:space="preserve"> </w:t>
            </w:r>
            <w:r>
              <w:t>is a tiny freshwater fish. Females have been recorded by to 42 mm (more commonly 27-32 mm), and males up to 34 mm (more commonly 25-28 mm). The dorsal and upper sides are pale olive-brown, becoming darker towards the dorsal margin. Its sides and belly are silvery-white</w:t>
            </w:r>
            <w:sdt>
              <w:sdtPr>
                <w:rPr>
                  <w:color w:val="000000"/>
                </w:rPr>
                <w:tag w:val="MENDELEY_CITATION_v3_eyJjaXRhdGlvbklEIjoiTUVOREVMRVlfQ0lUQVRJT05fMjM3OGIzZjUtOGI5ZC00YmMwLWIzNGEtYWI2MGMzNmRlMTJkIiwicHJvcGVydGllcyI6eyJub3RlSW5kZXgiOjB9LCJpc0VkaXRlZCI6ZmFsc2UsIm1hbnVhbE92ZXJyaWRlIjp7ImlzTWFudWFsbHlPdmVycmlkZGVuIjpmYWxzZSwiY2l0ZXByb2NUZXh0IjoiKENvbGVtYW4sIEhvZmZtYW4gYW5kIFJhYWlrLCAyMDE1KSIsIm1hbnVhbE92ZXJyaWRlVGV4dCI6IiJ9LCJjaXRhdGlvbkl0ZW1zIjpb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630406058"/>
                <w:placeholder>
                  <w:docPart w:val="7A87483195E49548AABB39FF484A13FE"/>
                </w:placeholder>
              </w:sdtPr>
              <w:sdtContent>
                <w:r w:rsidRPr="00AB79D8">
                  <w:rPr>
                    <w:color w:val="000000"/>
                  </w:rPr>
                  <w:t>(Coleman, Hoffman and Raaik, 2015)</w:t>
                </w:r>
              </w:sdtContent>
            </w:sdt>
            <w:r>
              <w:t>.</w:t>
            </w:r>
          </w:p>
        </w:tc>
      </w:tr>
      <w:tr w:rsidR="000B173B" w:rsidRPr="000816D6" w14:paraId="7883C10C" w14:textId="77777777" w:rsidTr="00A15226">
        <w:tc>
          <w:tcPr>
            <w:tcW w:w="1526" w:type="dxa"/>
            <w:vAlign w:val="center"/>
          </w:tcPr>
          <w:p w14:paraId="37C4D76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15879562" w14:textId="77777777" w:rsidR="000B173B" w:rsidRDefault="000B173B" w:rsidP="00A15226">
            <w:pPr>
              <w:pStyle w:val="Tabletext"/>
            </w:pPr>
            <w:r>
              <w:t>The Eastern Dwarf Galaxias</w:t>
            </w:r>
            <w:r>
              <w:rPr>
                <w:i/>
                <w:iCs/>
              </w:rPr>
              <w:t xml:space="preserve"> </w:t>
            </w:r>
            <w:r>
              <w:t xml:space="preserve">spends its entire life cycle is spent in freshwater. It is a free-swimming species, meaning it is not attached to objects or substrates and is able to swim in open water. The species is likely an annual species, as only one year-class has been observed. Further, adults have been observed dying after spawning </w:t>
            </w:r>
            <w:sdt>
              <w:sdtPr>
                <w:rPr>
                  <w:color w:val="000000"/>
                </w:rPr>
                <w:tag w:val="MENDELEY_CITATION_v3_eyJjaXRhdGlvbklEIjoiTUVOREVMRVlfQ0lUQVRJT05fY2JlNTAxNzItOTdkZC00MzhlLTg3YzUtYjJjMTFiOTZlNjU5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1280381335"/>
                <w:placeholder>
                  <w:docPart w:val="8A75EFB8BE1D6C49BFCDB10710C88159"/>
                </w:placeholder>
              </w:sdtPr>
              <w:sdtContent>
                <w:r w:rsidRPr="00AB79D8">
                  <w:rPr>
                    <w:color w:val="000000"/>
                  </w:rPr>
                  <w:t>(Saddlier, Jackson and Hammer, 2010)</w:t>
                </w:r>
              </w:sdtContent>
            </w:sdt>
            <w:r>
              <w:t>.</w:t>
            </w:r>
          </w:p>
          <w:p w14:paraId="0D7A8EB8" w14:textId="77777777" w:rsidR="000B173B" w:rsidRDefault="000B173B" w:rsidP="00A15226">
            <w:pPr>
              <w:pStyle w:val="Tabletext"/>
            </w:pPr>
            <w:r>
              <w:t xml:space="preserve">The species’ diet consists of tiny aquatic invertebrates including chironomid larvae, copepods, cladocerans and ostracods </w:t>
            </w:r>
            <w:sdt>
              <w:sdtPr>
                <w:rPr>
                  <w:color w:val="000000"/>
                </w:rPr>
                <w:tag w:val="MENDELEY_CITATION_v3_eyJjaXRhdGlvbklEIjoiTUVOREVMRVlfQ0lUQVRJT05fNmEwOWY2YzItMDFlYS00YmE1LTgxMzMtNjk4NTllMDMwZDVm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976872129"/>
                <w:placeholder>
                  <w:docPart w:val="8A75EFB8BE1D6C49BFCDB10710C88159"/>
                </w:placeholder>
              </w:sdtPr>
              <w:sdtContent>
                <w:r w:rsidRPr="00AB79D8">
                  <w:rPr>
                    <w:color w:val="000000"/>
                  </w:rPr>
                  <w:t>(Saddlier, Jackson and Hammer, 2010)</w:t>
                </w:r>
              </w:sdtContent>
            </w:sdt>
            <w:r>
              <w:t>.</w:t>
            </w:r>
          </w:p>
          <w:p w14:paraId="31C1F293" w14:textId="77777777" w:rsidR="000B173B" w:rsidRPr="003E1ADD" w:rsidRDefault="000B173B" w:rsidP="00A15226">
            <w:pPr>
              <w:pStyle w:val="Tabletext"/>
            </w:pPr>
            <w:r>
              <w:t xml:space="preserve">Spawning occurs in late winter-spring. Females lay 65 - 250 eggs over a period of 7 – 14 days. Eggs are attached on the underside of aquatic vegetation or on hard surfaces such as timber or rock. Females are attended to by up to three males which fertilise eggs by passing over them. Larvae hatch after 2 – 3 weeks and are 4.5 mm in length </w:t>
            </w:r>
            <w:sdt>
              <w:sdtPr>
                <w:rPr>
                  <w:color w:val="000000"/>
                </w:rPr>
                <w:tag w:val="MENDELEY_CITATION_v3_eyJjaXRhdGlvbklEIjoiTUVOREVMRVlfQ0lUQVRJT05fZGZmMTdiMTEtZWYzZS00NTZjLThhMzEtNWY5YTZiZDNmZjZm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1982534900"/>
                <w:placeholder>
                  <w:docPart w:val="8A75EFB8BE1D6C49BFCDB10710C88159"/>
                </w:placeholder>
              </w:sdtPr>
              <w:sdtContent>
                <w:r w:rsidRPr="00AB79D8">
                  <w:rPr>
                    <w:color w:val="000000"/>
                  </w:rPr>
                  <w:t>(Saddlier, Jackson and Hammer, 2010)</w:t>
                </w:r>
              </w:sdtContent>
            </w:sdt>
            <w:r>
              <w:t xml:space="preserve">. </w:t>
            </w:r>
          </w:p>
        </w:tc>
      </w:tr>
      <w:tr w:rsidR="000B173B" w:rsidRPr="000816D6" w14:paraId="5C03A400" w14:textId="77777777" w:rsidTr="00A15226">
        <w:tc>
          <w:tcPr>
            <w:tcW w:w="1526" w:type="dxa"/>
            <w:vAlign w:val="center"/>
          </w:tcPr>
          <w:p w14:paraId="7191ECC8"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0635A56D" w14:textId="77777777" w:rsidR="000B173B" w:rsidRDefault="000B173B" w:rsidP="00A15226">
            <w:pPr>
              <w:pStyle w:val="Tabletext"/>
            </w:pPr>
            <w:r w:rsidRPr="00D67C2A">
              <w:rPr>
                <w:i/>
                <w:iCs/>
              </w:rPr>
              <w:t xml:space="preserve">G. toourtkoourt </w:t>
            </w:r>
            <w:r w:rsidRPr="00D67C2A">
              <w:t>is distributed from the upper Barwon River (near Barwon Downs) in Victoria west to Cortina Lakes in SA</w:t>
            </w:r>
            <w:r>
              <w:t xml:space="preserve"> </w:t>
            </w:r>
            <w:sdt>
              <w:sdtPr>
                <w:rPr>
                  <w:color w:val="000000"/>
                </w:rPr>
                <w:tag w:val="MENDELEY_CITATION_v3_eyJjaXRhdGlvbklEIjoiTUVOREVMRVlfQ0lUQVRJT05fNWEyOWQ3OGQtZjQzZC00ODJlLWExN2MtYTFlMzQ3MzM3NjJmIiwicHJvcGVydGllcyI6eyJub3RlSW5kZXgiOjB9LCJpc0VkaXRlZCI6ZmFsc2UsIm1hbnVhbE92ZXJyaWRlIjp7ImNpdGVwcm9jVGV4dCI6IihDb2xlbWFuLCBIb2ZmbWFuIGFuZCBSYWFpaywgMjAxNSkiLCJpc01hbnVhbGx5T3ZlcnJpZGRlbiI6ZmFsc2UsIm1hbnVhbE92ZXJyaWRlVGV4dCI6IiJ9LCJjaXRhdGlvbkl0ZW1zIjpb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1618750031"/>
                <w:placeholder>
                  <w:docPart w:val="8A75EFB8BE1D6C49BFCDB10710C88159"/>
                </w:placeholder>
              </w:sdtPr>
              <w:sdtContent>
                <w:r w:rsidRPr="00AB79D8">
                  <w:rPr>
                    <w:color w:val="000000"/>
                  </w:rPr>
                  <w:t>(Coleman, Hoffman and Raaik, 2015)</w:t>
                </w:r>
              </w:sdtContent>
            </w:sdt>
            <w:r w:rsidRPr="00D67C2A">
              <w:t>.</w:t>
            </w:r>
          </w:p>
          <w:p w14:paraId="5318084F" w14:textId="77777777" w:rsidR="000B173B" w:rsidRPr="0044352B" w:rsidRDefault="000B173B" w:rsidP="00A15226">
            <w:pPr>
              <w:pStyle w:val="Tabletext"/>
            </w:pPr>
            <w:r w:rsidRPr="00D67C2A">
              <w:t xml:space="preserve">The species is found in swamps, wetlands, shallow lakes, billabongs, small creeks and </w:t>
            </w:r>
            <w:r>
              <w:t xml:space="preserve">artificial </w:t>
            </w:r>
            <w:r w:rsidRPr="00D67C2A">
              <w:t>earthen drains</w:t>
            </w:r>
            <w:r>
              <w:t xml:space="preserve">. Habitats are partially shaded and densely vegetated, with shallow water that is still or flows slowly. The species may also occur in the backwaters of faster moving systems. The substrate tends to be mostly fine sediment (clay and silt), or occasionally coarser materials (sand and coarse organic matter deposits). The species can occur in a wide range of water temperatures, oxygen levels, pH levels, salinity and turbidity </w:t>
            </w:r>
            <w:sdt>
              <w:sdtPr>
                <w:rPr>
                  <w:color w:val="000000"/>
                </w:rPr>
                <w:tag w:val="MENDELEY_CITATION_v3_eyJjaXRhdGlvbklEIjoiTUVOREVMRVlfQ0lUQVRJT05fY2M3MjlkOGItMWIyNy00ZjhmLThiYzItMzFjZjk0MjhhOTM1IiwicHJvcGVydGllcyI6eyJub3RlSW5kZXgiOjB9LCJpc0VkaXRlZCI6ZmFsc2UsIm1hbnVhbE92ZXJyaWRlIjp7ImNpdGVwcm9jVGV4dCI6IihDb2xlbWFuLCBIb2ZmbWFuIGFuZCBSYWFpaywgMjAxNSkiLCJpc01hbnVhbGx5T3ZlcnJpZGRlbiI6ZmFsc2UsIm1hbnVhbE92ZXJyaWRlVGV4dCI6IiJ9LCJjaXRhdGlvbkl0ZW1zIjpb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1457563141"/>
                <w:placeholder>
                  <w:docPart w:val="8A75EFB8BE1D6C49BFCDB10710C88159"/>
                </w:placeholder>
              </w:sdtPr>
              <w:sdtContent>
                <w:r w:rsidRPr="00AB79D8">
                  <w:rPr>
                    <w:color w:val="000000"/>
                  </w:rPr>
                  <w:t>(Coleman, Hoffman and Raaik, 2015)</w:t>
                </w:r>
              </w:sdtContent>
            </w:sdt>
            <w:r w:rsidRPr="00D67C2A">
              <w:t>.</w:t>
            </w:r>
          </w:p>
        </w:tc>
      </w:tr>
      <w:tr w:rsidR="000B173B" w:rsidRPr="000816D6" w14:paraId="5B35E56D" w14:textId="77777777" w:rsidTr="00A15226">
        <w:tc>
          <w:tcPr>
            <w:tcW w:w="1526" w:type="dxa"/>
            <w:vAlign w:val="center"/>
          </w:tcPr>
          <w:p w14:paraId="12B78405" w14:textId="77777777" w:rsidR="000B173B" w:rsidRPr="000816D6" w:rsidRDefault="000B173B" w:rsidP="00A15226">
            <w:pPr>
              <w:pStyle w:val="Tabletext"/>
              <w:rPr>
                <w:rFonts w:ascii="Helvetica" w:hAnsi="Helvetica"/>
                <w:b/>
                <w:bCs/>
                <w:sz w:val="14"/>
              </w:rPr>
            </w:pPr>
            <w:r w:rsidRPr="000816D6">
              <w:rPr>
                <w:rFonts w:ascii="Helvetica" w:hAnsi="Helvetica"/>
                <w:b/>
                <w:bCs/>
                <w:sz w:val="14"/>
              </w:rPr>
              <w:lastRenderedPageBreak/>
              <w:t xml:space="preserve">POPULATIONS </w:t>
            </w:r>
          </w:p>
        </w:tc>
        <w:tc>
          <w:tcPr>
            <w:tcW w:w="8113" w:type="dxa"/>
            <w:vAlign w:val="center"/>
          </w:tcPr>
          <w:p w14:paraId="25507C80" w14:textId="77777777" w:rsidR="000B173B" w:rsidRDefault="000B173B" w:rsidP="00A15226">
            <w:pPr>
              <w:pStyle w:val="Tabletext"/>
            </w:pPr>
            <w:r>
              <w:t xml:space="preserve">Populations have been substantially fragmented and depleted historically by wetland modifications and drainage. Localised extinctions and severe declines have been noted in a number of systems </w:t>
            </w:r>
            <w:sdt>
              <w:sdtPr>
                <w:rPr>
                  <w:color w:val="000000"/>
                </w:rPr>
                <w:tag w:val="MENDELEY_CITATION_v3_eyJjaXRhdGlvbklEIjoiTUVOREVMRVlfQ0lUQVRJT05fODFjOTIyMWUtM2E4Ny00YzYyLWIwN2UtNjdiMTFiZmRkOWJh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2144650143"/>
                <w:placeholder>
                  <w:docPart w:val="8A75EFB8BE1D6C49BFCDB10710C88159"/>
                </w:placeholder>
              </w:sdtPr>
              <w:sdtContent>
                <w:r w:rsidRPr="00AB79D8">
                  <w:rPr>
                    <w:color w:val="000000"/>
                  </w:rPr>
                  <w:t>(DCCEEW, 2022)</w:t>
                </w:r>
              </w:sdtContent>
            </w:sdt>
            <w:r>
              <w:t>.</w:t>
            </w:r>
          </w:p>
          <w:p w14:paraId="1BC4F552" w14:textId="77777777" w:rsidR="000B173B" w:rsidRPr="00256B7E" w:rsidRDefault="000B173B" w:rsidP="00A15226">
            <w:pPr>
              <w:pStyle w:val="Tabletext"/>
            </w:pPr>
            <w:r>
              <w:t xml:space="preserve">At the time of the listing of the species under the EPBC Act, it was known from 110 populations – noting that this includes populations of both </w:t>
            </w:r>
            <w:r>
              <w:rPr>
                <w:i/>
                <w:iCs/>
              </w:rPr>
              <w:t xml:space="preserve">G. pusilla </w:t>
            </w:r>
            <w:r>
              <w:t xml:space="preserve">and </w:t>
            </w:r>
            <w:r>
              <w:rPr>
                <w:i/>
                <w:iCs/>
              </w:rPr>
              <w:t>G. toourtkoourt</w:t>
            </w:r>
            <w:r>
              <w:t>. Of the 110 populations, 28 occur in South Australia (</w:t>
            </w:r>
            <w:r>
              <w:rPr>
                <w:i/>
                <w:iCs/>
              </w:rPr>
              <w:t>G. toourtkoourt</w:t>
            </w:r>
            <w:r>
              <w:t>), 23 occur in Tasmania (</w:t>
            </w:r>
            <w:r>
              <w:rPr>
                <w:i/>
                <w:iCs/>
              </w:rPr>
              <w:t>G. pusilla</w:t>
            </w:r>
            <w:r>
              <w:t xml:space="preserve">), with the remainder occurring in Victoria (including populations of both </w:t>
            </w:r>
            <w:r>
              <w:rPr>
                <w:i/>
                <w:iCs/>
              </w:rPr>
              <w:t xml:space="preserve">G. toourtkoourt </w:t>
            </w:r>
            <w:r>
              <w:t xml:space="preserve">and </w:t>
            </w:r>
            <w:r>
              <w:rPr>
                <w:i/>
                <w:iCs/>
              </w:rPr>
              <w:t>G. pusilla</w:t>
            </w:r>
            <w:r>
              <w:t xml:space="preserve">) </w:t>
            </w:r>
            <w:sdt>
              <w:sdtPr>
                <w:rPr>
                  <w:color w:val="000000"/>
                </w:rPr>
                <w:tag w:val="MENDELEY_CITATION_v3_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"/>
                <w:id w:val="100379868"/>
                <w:placeholder>
                  <w:docPart w:val="8A75EFB8BE1D6C49BFCDB10710C88159"/>
                </w:placeholder>
              </w:sdtPr>
              <w:sdtContent>
                <w:r w:rsidRPr="00AB79D8">
                  <w:rPr>
                    <w:color w:val="000000"/>
                  </w:rPr>
                  <w:t>(Saddlier, Jackson and Hammer, 2010; Coleman, Hoffman and Raaik, 2015)</w:t>
                </w:r>
              </w:sdtContent>
            </w:sdt>
          </w:p>
          <w:p w14:paraId="6E0414D1" w14:textId="77777777" w:rsidR="000B173B" w:rsidRDefault="000B173B" w:rsidP="00A15226">
            <w:pPr>
              <w:pStyle w:val="Tabletext"/>
            </w:pPr>
            <w:r>
              <w:t xml:space="preserve">Populations may be tiny and occur in limited ephemeral habitat while others are large and extensive occurring in permanent waterways </w:t>
            </w:r>
            <w:sdt>
              <w:sdtPr>
                <w:rPr>
                  <w:color w:val="000000"/>
                </w:rPr>
                <w:tag w:val="MENDELEY_CITATION_v3_eyJjaXRhdGlvbklEIjoiTUVOREVMRVlfQ0lUQVRJT05fNTNiY2RiOTEtODZjNy00MjljLTk0NTEtNWU0ZGQwYTkwNGJj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852383707"/>
                <w:placeholder>
                  <w:docPart w:val="8A75EFB8BE1D6C49BFCDB10710C88159"/>
                </w:placeholder>
              </w:sdtPr>
              <w:sdtContent>
                <w:r w:rsidRPr="00AB79D8">
                  <w:rPr>
                    <w:color w:val="000000"/>
                  </w:rPr>
                  <w:t>(Saddlier, Jackson and Hammer, 2010)</w:t>
                </w:r>
              </w:sdtContent>
            </w:sdt>
            <w:r>
              <w:t>.</w:t>
            </w:r>
          </w:p>
          <w:p w14:paraId="2D9F8173" w14:textId="77777777" w:rsidR="000B173B" w:rsidRPr="003E1ADD" w:rsidRDefault="000B173B" w:rsidP="00A15226">
            <w:pPr>
              <w:pStyle w:val="Tabletext"/>
            </w:pPr>
            <w:r>
              <w:t xml:space="preserve">Populations experience annual cycles and are absent from known sites are certain times. The distribution and abundance of populations fluctuates, reflecting variability in habitat connectivity desiccation and connectivity, spawning and recruitment success, dispersal and colonisation/recolonisation </w:t>
            </w:r>
            <w:sdt>
              <w:sdtPr>
                <w:rPr>
                  <w:color w:val="000000"/>
                </w:rPr>
                <w:tag w:val="MENDELEY_CITATION_v3_eyJjaXRhdGlvbklEIjoiTUVOREVMRVlfQ0lUQVRJT05fYTNhYzk4YmUtZjA3MS00NmJkLWE2OTctNjZhNDU1NmM0ZDRh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353879435"/>
                <w:placeholder>
                  <w:docPart w:val="8A75EFB8BE1D6C49BFCDB10710C88159"/>
                </w:placeholder>
              </w:sdtPr>
              <w:sdtContent>
                <w:r w:rsidRPr="00AB79D8">
                  <w:rPr>
                    <w:color w:val="000000"/>
                  </w:rPr>
                  <w:t>(DCCEEW, 2022)</w:t>
                </w:r>
              </w:sdtContent>
            </w:sdt>
            <w:r>
              <w:t>.</w:t>
            </w:r>
          </w:p>
        </w:tc>
      </w:tr>
      <w:tr w:rsidR="000B173B" w:rsidRPr="002F23FB" w14:paraId="7AEC3BAD" w14:textId="77777777" w:rsidTr="00A15226">
        <w:tc>
          <w:tcPr>
            <w:tcW w:w="1526" w:type="dxa"/>
            <w:vAlign w:val="center"/>
          </w:tcPr>
          <w:p w14:paraId="3DAF7FD5" w14:textId="77777777" w:rsidR="000B173B" w:rsidRPr="000816D6" w:rsidRDefault="000B173B" w:rsidP="00A15226">
            <w:pPr>
              <w:pStyle w:val="Tabletext"/>
              <w:rPr>
                <w:rFonts w:ascii="Helvetica" w:hAnsi="Helvetica"/>
                <w:b/>
                <w:bCs/>
                <w:sz w:val="14"/>
              </w:rPr>
            </w:pPr>
            <w:r>
              <w:rPr>
                <w:rFonts w:ascii="Helvetica" w:hAnsi="Helvetica"/>
                <w:b/>
                <w:bCs/>
                <w:sz w:val="14"/>
              </w:rPr>
              <w:t>THREATS</w:t>
            </w:r>
          </w:p>
        </w:tc>
        <w:tc>
          <w:tcPr>
            <w:tcW w:w="8113" w:type="dxa"/>
            <w:vAlign w:val="center"/>
          </w:tcPr>
          <w:p w14:paraId="10C7E42D" w14:textId="77777777" w:rsidR="000B173B" w:rsidRDefault="000B173B" w:rsidP="00A15226">
            <w:pPr>
              <w:pStyle w:val="Tabletext"/>
            </w:pPr>
            <w:r>
              <w:t xml:space="preserve">The species Recovery Plan has identified the following threats </w:t>
            </w:r>
            <w:sdt>
              <w:sdtPr>
                <w:rPr>
                  <w:color w:val="000000"/>
                </w:rPr>
                <w:tag w:val="MENDELEY_CITATION_v3_eyJjaXRhdGlvbklEIjoiTUVOREVMRVlfQ0lUQVRJT05fNDYyNDkzODktNDBkNC00MjNjLWE4MTMtYTUzY2E2MGMyYjRj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718324517"/>
                <w:placeholder>
                  <w:docPart w:val="8A75EFB8BE1D6C49BFCDB10710C88159"/>
                </w:placeholder>
              </w:sdtPr>
              <w:sdtContent>
                <w:r w:rsidRPr="00AB79D8">
                  <w:rPr>
                    <w:color w:val="000000"/>
                  </w:rPr>
                  <w:t>(Saddlier, Jackson and Hammer, 2010)</w:t>
                </w:r>
              </w:sdtContent>
            </w:sdt>
            <w:r>
              <w:t>:</w:t>
            </w:r>
          </w:p>
          <w:p w14:paraId="5F8944FF" w14:textId="77777777" w:rsidR="000B173B" w:rsidRDefault="000B173B" w:rsidP="00A15226">
            <w:pPr>
              <w:pStyle w:val="Bullet1"/>
            </w:pPr>
            <w:r>
              <w:t>Degradation and loss of habitat, due to:</w:t>
            </w:r>
          </w:p>
          <w:p w14:paraId="3028E2C0" w14:textId="77777777" w:rsidR="000B173B" w:rsidRDefault="000B173B" w:rsidP="00A15226">
            <w:pPr>
              <w:pStyle w:val="Bullet2"/>
            </w:pPr>
            <w:r>
              <w:t>Draining of wetlands for development</w:t>
            </w:r>
          </w:p>
          <w:p w14:paraId="2B8F99BF" w14:textId="77777777" w:rsidR="000B173B" w:rsidRDefault="000B173B" w:rsidP="00A15226">
            <w:pPr>
              <w:pStyle w:val="Bullet2"/>
            </w:pPr>
            <w:r>
              <w:t>Damage from unrestricted stock access</w:t>
            </w:r>
          </w:p>
          <w:p w14:paraId="3F09FE7E" w14:textId="77777777" w:rsidR="000B173B" w:rsidRDefault="000B173B" w:rsidP="00A15226">
            <w:pPr>
              <w:pStyle w:val="Bullet2"/>
            </w:pPr>
            <w:r>
              <w:t>Decreased water quality from increased nutrient runoff, sedimentation and summer water temperatures</w:t>
            </w:r>
          </w:p>
          <w:p w14:paraId="7D74F3E6" w14:textId="77777777" w:rsidR="000B173B" w:rsidRDefault="000B173B" w:rsidP="00A15226">
            <w:pPr>
              <w:pStyle w:val="Bullet2"/>
            </w:pPr>
            <w:r>
              <w:t>Ploughing of wetlands when they are dry</w:t>
            </w:r>
          </w:p>
          <w:p w14:paraId="0ABDAD61" w14:textId="77777777" w:rsidR="000B173B" w:rsidRDefault="000B173B" w:rsidP="00A15226">
            <w:pPr>
              <w:pStyle w:val="Bullet2"/>
            </w:pPr>
            <w:r>
              <w:t xml:space="preserve">Damage to crayfish/crayfish burrows (important habitat features) from effects of agricultural pesticides and trampling by stock </w:t>
            </w:r>
          </w:p>
          <w:p w14:paraId="29B1083B" w14:textId="77777777" w:rsidR="000B173B" w:rsidRDefault="000B173B" w:rsidP="00A15226">
            <w:pPr>
              <w:pStyle w:val="Bullet1"/>
            </w:pPr>
            <w:r>
              <w:t>Alteration to flow regimes</w:t>
            </w:r>
          </w:p>
          <w:p w14:paraId="0795766F" w14:textId="77777777" w:rsidR="000B173B" w:rsidRDefault="000B173B" w:rsidP="00A15226">
            <w:pPr>
              <w:pStyle w:val="Bullet1"/>
            </w:pPr>
            <w:r>
              <w:t>Climate change, including decline in rainfall, increased temperature and increased evaporation</w:t>
            </w:r>
          </w:p>
          <w:p w14:paraId="0BED403E" w14:textId="77777777" w:rsidR="000B173B" w:rsidRDefault="000B173B" w:rsidP="00A15226">
            <w:pPr>
              <w:pStyle w:val="Bullet1"/>
            </w:pPr>
            <w:r>
              <w:t>Introduced aquatic species</w:t>
            </w:r>
          </w:p>
          <w:p w14:paraId="27C63BAE" w14:textId="77777777" w:rsidR="000B173B" w:rsidRPr="003E1ADD" w:rsidRDefault="000B173B" w:rsidP="00A15226">
            <w:pPr>
              <w:pStyle w:val="Bullet1"/>
            </w:pPr>
            <w:r>
              <w:t>Illegal collection</w:t>
            </w:r>
          </w:p>
        </w:tc>
      </w:tr>
      <w:tr w:rsidR="000B173B" w:rsidRPr="002F23FB" w14:paraId="4EA4D842" w14:textId="77777777" w:rsidTr="00A15226">
        <w:tc>
          <w:tcPr>
            <w:tcW w:w="1526" w:type="dxa"/>
            <w:vAlign w:val="center"/>
          </w:tcPr>
          <w:p w14:paraId="53BA6843"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313EBB51" w14:textId="77777777" w:rsidR="000B173B" w:rsidRPr="002D3B63" w:rsidRDefault="000B173B" w:rsidP="00A15226">
            <w:pPr>
              <w:pStyle w:val="Tabletext"/>
              <w:rPr>
                <w:iCs/>
              </w:rPr>
            </w:pPr>
            <w:r w:rsidRPr="00D803F9">
              <w:rPr>
                <w:iCs/>
              </w:rPr>
              <w:t>National Recovery Plan for the Dwarf Galaxias (</w:t>
            </w:r>
            <w:r w:rsidRPr="003772DC">
              <w:rPr>
                <w:i/>
              </w:rPr>
              <w:t>Galaxiella pusilla</w:t>
            </w:r>
            <w:r w:rsidRPr="00D803F9">
              <w:rPr>
                <w:iCs/>
              </w:rPr>
              <w:t>)</w:t>
            </w:r>
            <w:r>
              <w:rPr>
                <w:iCs/>
              </w:rPr>
              <w:t xml:space="preserve"> </w:t>
            </w:r>
            <w:sdt>
              <w:sdtPr>
                <w:rPr>
                  <w:iCs/>
                  <w:color w:val="000000"/>
                </w:rPr>
                <w:tag w:val="MENDELEY_CITATION_v3_eyJjaXRhdGlvbklEIjoiTUVOREVMRVlfQ0lUQVRJT05fYTBkMjA3ZTQtMTZiMC00NmNiLTg5NDYtYjg4ZjAyMzk3NWY3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2056110143"/>
                <w:placeholder>
                  <w:docPart w:val="8A75EFB8BE1D6C49BFCDB10710C88159"/>
                </w:placeholder>
              </w:sdtPr>
              <w:sdtEndPr>
                <w:rPr>
                  <w:iCs w:val="0"/>
                </w:rPr>
              </w:sdtEndPr>
              <w:sdtContent>
                <w:r w:rsidRPr="00AB79D8">
                  <w:rPr>
                    <w:color w:val="000000"/>
                  </w:rPr>
                  <w:t>(Saddlier, Jackson and Hammer, 2010)</w:t>
                </w:r>
              </w:sdtContent>
            </w:sdt>
          </w:p>
        </w:tc>
      </w:tr>
      <w:tr w:rsidR="000B173B" w:rsidRPr="000816D6" w14:paraId="336F52CA" w14:textId="77777777" w:rsidTr="00A15226">
        <w:tc>
          <w:tcPr>
            <w:tcW w:w="1526" w:type="dxa"/>
            <w:vAlign w:val="center"/>
          </w:tcPr>
          <w:p w14:paraId="250940E8"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6F0BD174" w14:textId="77777777" w:rsidR="000B173B" w:rsidRPr="00047780" w:rsidRDefault="000B173B" w:rsidP="00A15226">
            <w:pPr>
              <w:pStyle w:val="Tabletext"/>
            </w:pPr>
            <w:r w:rsidRPr="00D803F9">
              <w:t>Survey guidelines for Australia's threatened fish. EPBC Act survey guidelines 6.4</w:t>
            </w:r>
            <w:r>
              <w:t xml:space="preserve"> </w:t>
            </w:r>
            <w:sdt>
              <w:sdtPr>
                <w:rPr>
                  <w:color w:val="000000"/>
                </w:rPr>
                <w:tag w:val="MENDELEY_CITATION_v3_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"/>
                <w:id w:val="-297069137"/>
                <w:placeholder>
                  <w:docPart w:val="8A75EFB8BE1D6C49BFCDB10710C88159"/>
                </w:placeholder>
              </w:sdtPr>
              <w:sdtContent>
                <w:r w:rsidRPr="00AB79D8">
                  <w:rPr>
                    <w:color w:val="000000"/>
                  </w:rPr>
                  <w:t>(DSEWPaC, 2011)</w:t>
                </w:r>
              </w:sdtContent>
            </w:sdt>
          </w:p>
        </w:tc>
      </w:tr>
      <w:tr w:rsidR="000B173B" w:rsidRPr="000816D6" w14:paraId="58DB5B89" w14:textId="77777777" w:rsidTr="00A15226">
        <w:tc>
          <w:tcPr>
            <w:tcW w:w="1526" w:type="dxa"/>
            <w:vAlign w:val="center"/>
          </w:tcPr>
          <w:p w14:paraId="50C7EEC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211FB7D0" w14:textId="77777777" w:rsidR="000B173B" w:rsidRPr="003E1ADD" w:rsidRDefault="000B173B" w:rsidP="00A15226">
            <w:pPr>
              <w:pStyle w:val="Tabletext"/>
            </w:pPr>
            <w:hyperlink r:id="rId157" w:history="1">
              <w:r w:rsidRPr="007473F6">
                <w:rPr>
                  <w:rStyle w:val="Hyperlink"/>
                </w:rPr>
                <w:t>https://www.environment.gov.au/cgi-bin/sprat/public/publicspecies.pl?taxon_id=56790</w:t>
              </w:r>
            </w:hyperlink>
            <w:r>
              <w:t xml:space="preserve"> </w:t>
            </w:r>
          </w:p>
        </w:tc>
      </w:tr>
    </w:tbl>
    <w:p w14:paraId="725380B7"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610211ED" w14:textId="77777777" w:rsidTr="00A15226">
        <w:tc>
          <w:tcPr>
            <w:tcW w:w="9622" w:type="dxa"/>
            <w:shd w:val="clear" w:color="auto" w:fill="C9C9C9" w:themeFill="accent3" w:themeFillTint="99"/>
          </w:tcPr>
          <w:p w14:paraId="087DE68B" w14:textId="77777777" w:rsidR="000B173B" w:rsidRPr="008F55BC" w:rsidRDefault="000B173B" w:rsidP="00A15226">
            <w:pPr>
              <w:pStyle w:val="Tabletext"/>
              <w:rPr>
                <w:b/>
                <w:bCs/>
              </w:rPr>
            </w:pPr>
            <w:r>
              <w:rPr>
                <w:rFonts w:ascii="Helvetica" w:hAnsi="Helvetica"/>
                <w:b/>
                <w:sz w:val="16"/>
                <w:szCs w:val="16"/>
              </w:rPr>
              <w:t>APPROACH TO BASELINE DATA</w:t>
            </w:r>
          </w:p>
        </w:tc>
      </w:tr>
    </w:tbl>
    <w:p w14:paraId="27768A1D"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099D4C49"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72844683"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5792000E" w14:textId="77777777" w:rsidR="000B173B" w:rsidRPr="00296917" w:rsidRDefault="000B173B" w:rsidP="000B173B">
      <w:pPr>
        <w:rPr>
          <w:i/>
          <w:color w:val="4472C4" w:themeColor="accent1"/>
        </w:rPr>
      </w:pPr>
      <w:r w:rsidRPr="000816D6">
        <w:rPr>
          <w:i/>
          <w:color w:val="4472C4" w:themeColor="accent1"/>
        </w:rPr>
        <w:t xml:space="preserve">Please refer to </w:t>
      </w:r>
      <w:r w:rsidRPr="006900FB">
        <w:rPr>
          <w:i/>
          <w:color w:val="4472C4" w:themeColor="accent1"/>
        </w:rPr>
        <w:t>Chapter 13</w:t>
      </w:r>
      <w:r w:rsidRPr="00D07FF7">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6A5BC1DF" w14:textId="77777777" w:rsidTr="00A15226">
        <w:tc>
          <w:tcPr>
            <w:tcW w:w="1526" w:type="dxa"/>
            <w:vMerge w:val="restart"/>
            <w:vAlign w:val="center"/>
          </w:tcPr>
          <w:p w14:paraId="17190BA7"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36E0D518"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2FC3258B" w14:textId="77777777" w:rsidTr="00A15226">
        <w:tc>
          <w:tcPr>
            <w:tcW w:w="1526" w:type="dxa"/>
            <w:vMerge/>
            <w:vAlign w:val="center"/>
          </w:tcPr>
          <w:p w14:paraId="5D298524" w14:textId="77777777" w:rsidR="000B173B" w:rsidRDefault="000B173B" w:rsidP="00A15226">
            <w:pPr>
              <w:pStyle w:val="Tabletext"/>
              <w:rPr>
                <w:rFonts w:ascii="Helvetica" w:hAnsi="Helvetica"/>
                <w:b/>
                <w:bCs/>
                <w:sz w:val="14"/>
              </w:rPr>
            </w:pPr>
          </w:p>
        </w:tc>
        <w:tc>
          <w:tcPr>
            <w:tcW w:w="8113" w:type="dxa"/>
            <w:vAlign w:val="center"/>
          </w:tcPr>
          <w:p w14:paraId="1CE59CF5" w14:textId="77777777" w:rsidR="000B173B" w:rsidRPr="00C15BA8" w:rsidRDefault="000B173B" w:rsidP="00A15226">
            <w:pPr>
              <w:pStyle w:val="Tabletext"/>
              <w:rPr>
                <w:color w:val="000000" w:themeColor="text1"/>
              </w:rPr>
            </w:pPr>
            <w:r w:rsidRPr="00C15BA8">
              <w:rPr>
                <w:color w:val="000000" w:themeColor="text1"/>
              </w:rPr>
              <w:t>Potential habitat for the species has been mapped in the Moorabool River adjacent to the WGGA.</w:t>
            </w:r>
          </w:p>
        </w:tc>
      </w:tr>
      <w:tr w:rsidR="000B173B" w:rsidRPr="00980D4D" w14:paraId="10D8BCC3" w14:textId="77777777" w:rsidTr="00A15226">
        <w:tc>
          <w:tcPr>
            <w:tcW w:w="1526" w:type="dxa"/>
            <w:vMerge/>
            <w:vAlign w:val="center"/>
          </w:tcPr>
          <w:p w14:paraId="6C84045C"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1FA82679" w14:textId="77777777" w:rsidR="000B173B" w:rsidRPr="009A3F46" w:rsidRDefault="000B173B" w:rsidP="00A15226">
            <w:pPr>
              <w:pStyle w:val="Tabletext"/>
              <w:rPr>
                <w:b/>
                <w:bCs/>
                <w:highlight w:val="yellow"/>
              </w:rPr>
            </w:pPr>
            <w:r w:rsidRPr="001E34D1">
              <w:rPr>
                <w:rFonts w:ascii="Helvetica" w:hAnsi="Helvetica"/>
                <w:b/>
                <w:bCs/>
                <w:sz w:val="14"/>
              </w:rPr>
              <w:t>WITHIN THE UNSURVEYED AREAS OF THE GROWTH AREAS</w:t>
            </w:r>
          </w:p>
        </w:tc>
      </w:tr>
      <w:tr w:rsidR="000B173B" w:rsidRPr="00980D4D" w14:paraId="2D56094E" w14:textId="77777777" w:rsidTr="00A15226">
        <w:tc>
          <w:tcPr>
            <w:tcW w:w="1526" w:type="dxa"/>
            <w:vMerge/>
            <w:vAlign w:val="center"/>
          </w:tcPr>
          <w:p w14:paraId="65CE3F48" w14:textId="77777777" w:rsidR="000B173B" w:rsidRDefault="000B173B" w:rsidP="00A15226">
            <w:pPr>
              <w:pStyle w:val="Tabletext"/>
              <w:rPr>
                <w:rFonts w:ascii="Helvetica" w:hAnsi="Helvetica"/>
                <w:b/>
                <w:bCs/>
                <w:sz w:val="14"/>
              </w:rPr>
            </w:pPr>
          </w:p>
        </w:tc>
        <w:tc>
          <w:tcPr>
            <w:tcW w:w="8113" w:type="dxa"/>
            <w:vAlign w:val="center"/>
          </w:tcPr>
          <w:p w14:paraId="345EA112" w14:textId="77777777" w:rsidR="000B173B" w:rsidRPr="009A3F46" w:rsidRDefault="000B173B" w:rsidP="00A15226">
            <w:pPr>
              <w:pStyle w:val="Tabletext"/>
              <w:rPr>
                <w:b/>
                <w:bCs/>
                <w:highlight w:val="yellow"/>
              </w:rPr>
            </w:pPr>
            <w:r>
              <w:rPr>
                <w:b/>
                <w:bCs/>
              </w:rPr>
              <w:t xml:space="preserve">N/A. </w:t>
            </w:r>
            <w:r>
              <w:t>There is unlikely to be suitable habitat present for this species.</w:t>
            </w:r>
          </w:p>
        </w:tc>
      </w:tr>
      <w:tr w:rsidR="000B173B" w:rsidRPr="00980D4D" w14:paraId="33D5E24B" w14:textId="77777777" w:rsidTr="00A15226">
        <w:tc>
          <w:tcPr>
            <w:tcW w:w="1526" w:type="dxa"/>
            <w:vMerge/>
            <w:vAlign w:val="center"/>
          </w:tcPr>
          <w:p w14:paraId="58AFC00A"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69671D24"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0D543471" w14:textId="77777777" w:rsidTr="00A15226">
        <w:tc>
          <w:tcPr>
            <w:tcW w:w="1526" w:type="dxa"/>
            <w:vMerge/>
            <w:vAlign w:val="center"/>
          </w:tcPr>
          <w:p w14:paraId="2F572686" w14:textId="77777777" w:rsidR="000B173B" w:rsidRPr="000816D6" w:rsidRDefault="000B173B" w:rsidP="00A15226">
            <w:pPr>
              <w:pStyle w:val="Tabletext"/>
              <w:rPr>
                <w:rFonts w:ascii="Helvetica" w:hAnsi="Helvetica"/>
                <w:b/>
                <w:bCs/>
                <w:sz w:val="14"/>
              </w:rPr>
            </w:pPr>
          </w:p>
        </w:tc>
        <w:tc>
          <w:tcPr>
            <w:tcW w:w="8113" w:type="dxa"/>
            <w:vAlign w:val="center"/>
          </w:tcPr>
          <w:p w14:paraId="3D6D9CE6"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31290291" w14:textId="77777777" w:rsidR="000B173B" w:rsidRPr="00980D4D" w:rsidRDefault="000B173B" w:rsidP="00A15226">
            <w:pPr>
              <w:pStyle w:val="Tabletext"/>
            </w:pPr>
            <w:r w:rsidRPr="00B03721">
              <w:t>Refer to</w:t>
            </w:r>
            <w:r>
              <w:t xml:space="preserve"> </w:t>
            </w:r>
            <w:r w:rsidRPr="006900FB">
              <w:t>Chapter 13 of Part 3</w:t>
            </w:r>
            <w:r>
              <w:t xml:space="preserve"> for a detailed description of the baseline mapping, landholder surveys, and HIMs.</w:t>
            </w:r>
          </w:p>
        </w:tc>
      </w:tr>
      <w:tr w:rsidR="000B173B" w:rsidRPr="003E1ADD" w14:paraId="6138DDB0" w14:textId="77777777" w:rsidTr="00A15226">
        <w:tc>
          <w:tcPr>
            <w:tcW w:w="1526" w:type="dxa"/>
            <w:vMerge w:val="restart"/>
            <w:vAlign w:val="center"/>
          </w:tcPr>
          <w:p w14:paraId="726C9CA1"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4BC1B490"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26850D97" w14:textId="77777777" w:rsidTr="00A15226">
        <w:tc>
          <w:tcPr>
            <w:tcW w:w="1526" w:type="dxa"/>
            <w:vMerge/>
            <w:vAlign w:val="center"/>
          </w:tcPr>
          <w:p w14:paraId="5D9D9FEC" w14:textId="77777777" w:rsidR="000B173B" w:rsidRDefault="000B173B" w:rsidP="00A15226">
            <w:pPr>
              <w:pStyle w:val="Tabletext"/>
              <w:rPr>
                <w:rFonts w:ascii="Helvetica" w:hAnsi="Helvetica"/>
                <w:b/>
                <w:bCs/>
                <w:sz w:val="14"/>
              </w:rPr>
            </w:pPr>
          </w:p>
        </w:tc>
        <w:tc>
          <w:tcPr>
            <w:tcW w:w="8113" w:type="dxa"/>
            <w:vAlign w:val="center"/>
          </w:tcPr>
          <w:p w14:paraId="030D0BA9"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25504E24" w14:textId="77777777" w:rsidTr="00A15226">
        <w:tc>
          <w:tcPr>
            <w:tcW w:w="1526" w:type="dxa"/>
            <w:vMerge/>
            <w:vAlign w:val="center"/>
          </w:tcPr>
          <w:p w14:paraId="5967205D"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64517DB4"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3CAC6137" w14:textId="77777777" w:rsidTr="00A15226">
        <w:tc>
          <w:tcPr>
            <w:tcW w:w="1526" w:type="dxa"/>
            <w:vMerge/>
            <w:vAlign w:val="center"/>
          </w:tcPr>
          <w:p w14:paraId="14D27633" w14:textId="77777777" w:rsidR="000B173B" w:rsidRDefault="000B173B" w:rsidP="00A15226">
            <w:pPr>
              <w:pStyle w:val="Tabletext"/>
              <w:rPr>
                <w:rFonts w:ascii="Helvetica" w:hAnsi="Helvetica"/>
                <w:b/>
                <w:bCs/>
                <w:sz w:val="14"/>
              </w:rPr>
            </w:pPr>
          </w:p>
        </w:tc>
        <w:tc>
          <w:tcPr>
            <w:tcW w:w="8113" w:type="dxa"/>
            <w:vAlign w:val="center"/>
          </w:tcPr>
          <w:p w14:paraId="690D4210" w14:textId="77777777" w:rsidR="000B173B" w:rsidRPr="00BB022D" w:rsidRDefault="000B173B" w:rsidP="00A15226">
            <w:pPr>
              <w:pStyle w:val="Tabletext"/>
            </w:pPr>
            <w:r w:rsidRPr="006A4149">
              <w:t xml:space="preserve">VBA records for the </w:t>
            </w:r>
            <w:r>
              <w:t>Eastern Dwarf Galaxias</w:t>
            </w:r>
            <w:r w:rsidRPr="006A4149">
              <w:t xml:space="preserve"> used in this assessment were downloaded in June 2022.</w:t>
            </w:r>
          </w:p>
        </w:tc>
      </w:tr>
      <w:tr w:rsidR="000B173B" w:rsidRPr="003E1ADD" w14:paraId="389F3EEC" w14:textId="77777777" w:rsidTr="00A15226">
        <w:tc>
          <w:tcPr>
            <w:tcW w:w="1526" w:type="dxa"/>
            <w:vMerge/>
            <w:vAlign w:val="center"/>
          </w:tcPr>
          <w:p w14:paraId="3C1A490E"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57718244"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6A0BAB1B" w14:textId="77777777" w:rsidTr="00A15226">
        <w:tc>
          <w:tcPr>
            <w:tcW w:w="1526" w:type="dxa"/>
            <w:vMerge/>
            <w:vAlign w:val="center"/>
          </w:tcPr>
          <w:p w14:paraId="503DC3DE" w14:textId="77777777" w:rsidR="000B173B" w:rsidRDefault="000B173B" w:rsidP="00A15226">
            <w:pPr>
              <w:pStyle w:val="Tabletext"/>
              <w:rPr>
                <w:rFonts w:ascii="Helvetica" w:hAnsi="Helvetica"/>
                <w:b/>
                <w:bCs/>
                <w:sz w:val="14"/>
              </w:rPr>
            </w:pPr>
          </w:p>
        </w:tc>
        <w:tc>
          <w:tcPr>
            <w:tcW w:w="8113" w:type="dxa"/>
            <w:vAlign w:val="center"/>
          </w:tcPr>
          <w:p w14:paraId="6C8FF735" w14:textId="77777777" w:rsidR="000B173B" w:rsidRPr="00BB022D" w:rsidRDefault="000B173B" w:rsidP="00A15226">
            <w:pPr>
              <w:pStyle w:val="Bullet1"/>
              <w:numPr>
                <w:ilvl w:val="0"/>
                <w:numId w:val="0"/>
              </w:numPr>
              <w:ind w:left="360" w:hanging="360"/>
            </w:pPr>
            <w:r>
              <w:t>All records within a single catchment were considered to be a single population.</w:t>
            </w:r>
          </w:p>
        </w:tc>
      </w:tr>
    </w:tbl>
    <w:p w14:paraId="5CB01894"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5A7AC820" w14:textId="77777777" w:rsidTr="00A15226">
        <w:tc>
          <w:tcPr>
            <w:tcW w:w="9622" w:type="dxa"/>
            <w:shd w:val="clear" w:color="auto" w:fill="C9C9C9" w:themeFill="accent3" w:themeFillTint="99"/>
          </w:tcPr>
          <w:p w14:paraId="6AABC393" w14:textId="77777777" w:rsidR="000B173B" w:rsidRPr="008F55BC" w:rsidRDefault="000B173B" w:rsidP="00A15226">
            <w:pPr>
              <w:pStyle w:val="Tabletext"/>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335C58C7"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w:t>
      </w:r>
      <w:r w:rsidRPr="00CA1943">
        <w:rPr>
          <w:i/>
          <w:iCs/>
          <w:color w:val="4472C4" w:themeColor="accent1"/>
        </w:rPr>
        <w:t>in the Study Area. It includes reference to a map of records and habitat which can be viewed as a separate file. The map provides critical context</w:t>
      </w:r>
      <w:r w:rsidRPr="00BB022D">
        <w:rPr>
          <w:i/>
          <w:iCs/>
          <w:color w:val="4472C4" w:themeColor="accent1"/>
        </w:rPr>
        <w:t xml:space="preserve"> for the assessment and should be viewed in conjunction with the text presented in this assessment. This section also provides a qualitative description of where records and habitat occur.</w:t>
      </w:r>
    </w:p>
    <w:p w14:paraId="78C6AC5F" w14:textId="77777777" w:rsidR="000B173B" w:rsidRDefault="000B173B" w:rsidP="000B173B">
      <w:pPr>
        <w:rPr>
          <w:b/>
          <w:bCs/>
        </w:rPr>
      </w:pPr>
      <w:r w:rsidRPr="006D25BE">
        <w:t xml:space="preserve">See </w:t>
      </w:r>
      <w:hyperlink r:id="rId158" w:history="1">
        <w:r w:rsidRPr="00AC291E">
          <w:rPr>
            <w:rStyle w:val="Hyperlink"/>
          </w:rPr>
          <w:t>Map 19-22</w:t>
        </w:r>
      </w:hyperlink>
      <w:r w:rsidRPr="006900FB">
        <w:t xml:space="preserve"> </w:t>
      </w:r>
      <w:r w:rsidRPr="00D07FF7">
        <w:t>for</w:t>
      </w:r>
      <w:r w:rsidRPr="006D25BE">
        <w:t xml:space="preserve"> a map of records and habitat across the Strategic Assessment Area.</w:t>
      </w:r>
      <w:r w:rsidRPr="006D25BE">
        <w:rPr>
          <w:b/>
          <w:bCs/>
        </w:rPr>
        <w:t xml:space="preserve"> </w:t>
      </w:r>
    </w:p>
    <w:p w14:paraId="78CFAFCB" w14:textId="77777777" w:rsidR="000B173B" w:rsidRDefault="000B173B" w:rsidP="000B173B">
      <w:r>
        <w:t xml:space="preserve">There is a </w:t>
      </w:r>
      <w:r w:rsidRPr="00463E31">
        <w:t xml:space="preserve">total of </w:t>
      </w:r>
      <w:r w:rsidRPr="00E700AC">
        <w:t>1</w:t>
      </w:r>
      <w:r>
        <w:t>,</w:t>
      </w:r>
      <w:r w:rsidRPr="00E700AC">
        <w:t>169.1</w:t>
      </w:r>
      <w:r w:rsidRPr="0085400C">
        <w:t xml:space="preserve"> ha</w:t>
      </w:r>
      <w:r w:rsidRPr="00E700AC">
        <w:t xml:space="preserve"> of</w:t>
      </w:r>
      <w:r w:rsidRPr="00463E31">
        <w:t xml:space="preserve"> mapped</w:t>
      </w:r>
      <w:r>
        <w:t xml:space="preserve"> potential habitat for the Eastern Dwarf Galaxias within the Study Area. Of this, </w:t>
      </w:r>
      <w:r w:rsidRPr="00E700AC">
        <w:t>12.8</w:t>
      </w:r>
      <w:r w:rsidRPr="0085400C">
        <w:t> ha</w:t>
      </w:r>
      <w:r>
        <w:t xml:space="preserve"> is located within the Strategic Assessment Area, and </w:t>
      </w:r>
      <w:r w:rsidRPr="00E700AC">
        <w:t xml:space="preserve">3.5 </w:t>
      </w:r>
      <w:r w:rsidRPr="0085400C">
        <w:t>ha</w:t>
      </w:r>
      <w:r w:rsidRPr="00E700AC">
        <w:t xml:space="preserve"> of</w:t>
      </w:r>
      <w:r>
        <w:t xml:space="preserve"> potential habitat is mapped within the Growth Areas.</w:t>
      </w:r>
    </w:p>
    <w:p w14:paraId="5298058B" w14:textId="77777777" w:rsidR="000B173B" w:rsidRDefault="000B173B" w:rsidP="000B173B">
      <w:r w:rsidRPr="00B67611">
        <w:t>Specifically</w:t>
      </w:r>
      <w:r w:rsidRPr="00E700AC">
        <w:t xml:space="preserve">, </w:t>
      </w:r>
      <w:r w:rsidRPr="0085400C">
        <w:t xml:space="preserve">potential habitat for the </w:t>
      </w:r>
      <w:r>
        <w:t xml:space="preserve">Eastern Dwarf Galaxias </w:t>
      </w:r>
      <w:r w:rsidRPr="0085400C">
        <w:t xml:space="preserve">is mapped within the Moorabool River </w:t>
      </w:r>
      <w:r>
        <w:t xml:space="preserve">adjacent to the </w:t>
      </w:r>
      <w:r w:rsidRPr="0085400C">
        <w:t>WGGA.</w:t>
      </w:r>
      <w:r w:rsidRPr="00E700AC">
        <w:t xml:space="preserve"> Although</w:t>
      </w:r>
      <w:r>
        <w:t xml:space="preserve"> there are no records of the species in the WGGA, site surveys indicate the presence of suitable habitat for the species in the Moorabool River </w:t>
      </w:r>
      <w:sdt>
        <w:sdtPr>
          <w:rPr>
            <w:color w:val="000000"/>
          </w:rPr>
          <w:tag w:val="MENDELEY_CITATION_v3_eyJjaXRhdGlvbklEIjoiTUVOREVMRVlfQ0lUQVRJT05fZDRjMGQ2MmYtNzZiZi00NzBkLWE4NWQtNjQ3NTM3ODVhOTNh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683630680"/>
          <w:placeholder>
            <w:docPart w:val="8A75EFB8BE1D6C49BFCDB10710C88159"/>
          </w:placeholder>
        </w:sdtPr>
        <w:sdtContent>
          <w:r w:rsidRPr="00AB79D8">
            <w:rPr>
              <w:color w:val="000000"/>
            </w:rPr>
            <w:t>(EHP, 2021)</w:t>
          </w:r>
        </w:sdtContent>
      </w:sdt>
      <w:r>
        <w:t>.</w:t>
      </w:r>
    </w:p>
    <w:p w14:paraId="2D1976A5" w14:textId="77777777" w:rsidR="000B173B" w:rsidRDefault="000B173B" w:rsidP="000B173B">
      <w:r w:rsidRPr="0085400C">
        <w:t>Cowies Creek may provide suitable habitat for the species</w:t>
      </w:r>
      <w:r>
        <w:t xml:space="preserve"> although the species has not been recorded in this catchment and </w:t>
      </w:r>
      <w:r w:rsidRPr="0085400C">
        <w:t xml:space="preserve">habitat is considered to be poor </w:t>
      </w:r>
      <w:sdt>
        <w:sdtPr>
          <w:rPr>
            <w:color w:val="000000"/>
          </w:rPr>
          <w:tag w:val="MENDELEY_CITATION_v3_eyJjaXRhdGlvbklEIjoiTUVOREVMRVlfQ0lUQVRJT05fZjhlYjk5YzctMzU1OC00YzE0LThmMzItNmU5NDdjZDlkNDZi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061913018"/>
          <w:placeholder>
            <w:docPart w:val="8A75EFB8BE1D6C49BFCDB10710C88159"/>
          </w:placeholder>
        </w:sdtPr>
        <w:sdtContent>
          <w:r w:rsidRPr="00AB79D8">
            <w:rPr>
              <w:color w:val="000000"/>
            </w:rPr>
            <w:t>(EHP, 2021)</w:t>
          </w:r>
        </w:sdtContent>
      </w:sdt>
      <w:r>
        <w:t>.</w:t>
      </w:r>
    </w:p>
    <w:p w14:paraId="44E966EA" w14:textId="77777777" w:rsidR="000B173B" w:rsidRPr="006D25BE" w:rsidRDefault="000B173B" w:rsidP="000B173B">
      <w:r>
        <w:t xml:space="preserve">There are no VBA records of the Eastern Dwarf Galaxias within the Study Area. However, the species is known to occur within the upper Barwon River catchment near Barwon Downs, and in the Moorabool River near Batesford </w:t>
      </w:r>
      <w:sdt>
        <w:sdtPr>
          <w:rPr>
            <w:color w:val="000000"/>
          </w:rPr>
          <w:tag w:val="MENDELEY_CITATION_v3_eyJjaXRhdGlvbklEIjoiTUVOREVMRVlfQ0lUQVRJT05fODAzNjc5MTUtNmRlOC00ZmMyLTliYjQtMWE1NGU3ZWYzZjZj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636173889"/>
          <w:placeholder>
            <w:docPart w:val="8A75EFB8BE1D6C49BFCDB10710C88159"/>
          </w:placeholder>
        </w:sdtPr>
        <w:sdtContent>
          <w:r w:rsidRPr="00AB79D8">
            <w:rPr>
              <w:color w:val="000000"/>
            </w:rPr>
            <w:t>(EHP, 2021)</w:t>
          </w:r>
        </w:sdtContent>
      </w:sdt>
      <w:r>
        <w:t>. It is noted that Batesford is within the Study Area and is near the Strategic Assessment Area. It is possible that there are records of the species in this area which have not been entered into the VBA database.</w:t>
      </w:r>
    </w:p>
    <w:p w14:paraId="491E0A15" w14:textId="77777777" w:rsidR="000B173B" w:rsidRDefault="000B173B" w:rsidP="000B173B">
      <w:r>
        <w:t xml:space="preserve">The Corangamite CMA is proposing to remove in-stream barriers associated with Batesford quarry within the next few years which may allow the Eastern Dwarf </w:t>
      </w:r>
      <w:r w:rsidRPr="006D25BE">
        <w:t>Galaxias to access upstream habitat within the Moorabool River. With the removal of these barriers, future planning of the WGGA PSPs should assume the presence of the Eastern Dwarf Galaxias</w:t>
      </w:r>
      <w:r w:rsidRPr="006D25BE">
        <w:rPr>
          <w:i/>
          <w:iCs/>
        </w:rPr>
        <w:t xml:space="preserve"> </w:t>
      </w:r>
      <w:sdt>
        <w:sdtPr>
          <w:rPr>
            <w:iCs/>
            <w:color w:val="000000"/>
          </w:rPr>
          <w:tag w:val="MENDELEY_CITATION_v3_eyJjaXRhdGlvbklEIjoiTUVOREVMRVlfQ0lUQVRJT05fMGUwNGUxYjYtYWY3OC00NjEzLWFjOGMtZjg0MDcyNDY5NjQw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30687328"/>
          <w:placeholder>
            <w:docPart w:val="8A75EFB8BE1D6C49BFCDB10710C88159"/>
          </w:placeholder>
        </w:sdtPr>
        <w:sdtEndPr>
          <w:rPr>
            <w:iCs w:val="0"/>
          </w:rPr>
        </w:sdtEndPr>
        <w:sdtContent>
          <w:r w:rsidRPr="00AB79D8">
            <w:rPr>
              <w:color w:val="000000"/>
            </w:rPr>
            <w:t>(EHP, 2021)</w:t>
          </w:r>
        </w:sdtContent>
      </w:sdt>
      <w:r>
        <w:t>.</w:t>
      </w:r>
    </w:p>
    <w:p w14:paraId="207590C3" w14:textId="77777777" w:rsidR="000B173B" w:rsidRDefault="000B173B" w:rsidP="000B173B">
      <w:r>
        <w:t>Outside of the Growth Areas, habitat is mapped along the Moorabool River, the Barwon River and at Hovells Creek. Some habitat is also mapped within the Lake Connewarre Complex.</w:t>
      </w:r>
    </w:p>
    <w:p w14:paraId="593F471B" w14:textId="77777777" w:rsidR="000B173B" w:rsidRPr="006934FA"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350D45BA" w14:textId="77777777" w:rsidTr="00A15226">
        <w:trPr>
          <w:cantSplit/>
        </w:trPr>
        <w:tc>
          <w:tcPr>
            <w:tcW w:w="9632" w:type="dxa"/>
            <w:shd w:val="clear" w:color="auto" w:fill="D9D9D9" w:themeFill="background1" w:themeFillShade="D9"/>
            <w:vAlign w:val="center"/>
          </w:tcPr>
          <w:p w14:paraId="6B97AE79" w14:textId="77777777" w:rsidR="000B173B" w:rsidRPr="000816D6" w:rsidRDefault="000B173B" w:rsidP="00A15226">
            <w:pPr>
              <w:pStyle w:val="TableHeadingLarge"/>
            </w:pPr>
            <w:r w:rsidRPr="000816D6">
              <w:rPr>
                <w:rFonts w:ascii="Helvetica" w:hAnsi="Helvetica"/>
              </w:rPr>
              <w:t>POTENTIAL INDIRECT IMPACTS AND MITIGATION</w:t>
            </w:r>
          </w:p>
        </w:tc>
      </w:tr>
    </w:tbl>
    <w:p w14:paraId="5938CE74"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735528D4"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250C546A" w14:textId="77777777" w:rsidR="000B173B" w:rsidRPr="007C1D70" w:rsidRDefault="000B173B" w:rsidP="000B173B">
      <w:pPr>
        <w:pStyle w:val="Bullet1"/>
        <w:rPr>
          <w:i/>
          <w:color w:val="4472C4" w:themeColor="accent1"/>
        </w:rPr>
      </w:pPr>
      <w:r w:rsidRPr="007C1D70">
        <w:rPr>
          <w:i/>
          <w:color w:val="4472C4" w:themeColor="accent1"/>
        </w:rPr>
        <w:lastRenderedPageBreak/>
        <w:t>The Plan has the potential to</w:t>
      </w:r>
      <w:r>
        <w:rPr>
          <w:i/>
          <w:color w:val="4472C4" w:themeColor="accent1"/>
        </w:rPr>
        <w:t xml:space="preserve"> introduce or</w:t>
      </w:r>
      <w:r w:rsidRPr="007C1D70">
        <w:rPr>
          <w:i/>
          <w:color w:val="4472C4" w:themeColor="accent1"/>
        </w:rPr>
        <w:t xml:space="preserve"> exacerbate the threat in areas which support records and/or mapped habitat for the species</w:t>
      </w:r>
    </w:p>
    <w:p w14:paraId="650F22AC"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10B21B38" w14:textId="77777777" w:rsidR="000B173B" w:rsidRPr="007C1D70" w:rsidRDefault="000B173B" w:rsidP="000B173B">
      <w:pPr>
        <w:rPr>
          <w:i/>
          <w:color w:val="4472C4" w:themeColor="accent1"/>
        </w:rPr>
      </w:pPr>
      <w:r w:rsidRPr="007C1D70">
        <w:rPr>
          <w:i/>
          <w:color w:val="4472C4" w:themeColor="accent1"/>
        </w:rPr>
        <w:t xml:space="preserve">Please </w:t>
      </w:r>
      <w:r w:rsidRPr="00D07FF7">
        <w:rPr>
          <w:i/>
          <w:color w:val="4472C4" w:themeColor="accent1"/>
        </w:rPr>
        <w:t xml:space="preserve">refer to </w:t>
      </w:r>
      <w:r w:rsidRPr="006900FB">
        <w:rPr>
          <w:i/>
          <w:color w:val="4472C4" w:themeColor="accent1"/>
        </w:rPr>
        <w:t>Chapter 19</w:t>
      </w:r>
      <w:r w:rsidRPr="00D07FF7">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D07FF7">
        <w:rPr>
          <w:i/>
          <w:color w:val="4472C4" w:themeColor="accent1"/>
        </w:rPr>
        <w:t xml:space="preserve"> for a</w:t>
      </w:r>
      <w:r w:rsidRPr="007C1D70">
        <w:rPr>
          <w:i/>
          <w:color w:val="4472C4" w:themeColor="accent1"/>
        </w:rPr>
        <w:t xml:space="preserve"> detailed discussion and analysis of indirect impacts and mitigation measures included in the Plan. </w:t>
      </w:r>
    </w:p>
    <w:p w14:paraId="1BCAFB0D" w14:textId="77777777" w:rsidR="000B173B" w:rsidRDefault="000B173B" w:rsidP="000B173B">
      <w:pPr>
        <w:pStyle w:val="Heading3"/>
        <w:numPr>
          <w:ilvl w:val="0"/>
          <w:numId w:val="0"/>
        </w:numPr>
        <w:ind w:left="720" w:hanging="720"/>
      </w:pPr>
      <w:r w:rsidRPr="00FB680C">
        <w:t>R</w:t>
      </w:r>
      <w:r>
        <w:t>elevant potential indirect impacts</w:t>
      </w:r>
    </w:p>
    <w:p w14:paraId="550DF50B" w14:textId="77777777" w:rsidR="000B173B" w:rsidRDefault="000B173B" w:rsidP="000B173B">
      <w:r w:rsidRPr="00804F26">
        <w:t>The Recovery Plan for</w:t>
      </w:r>
      <w:r>
        <w:t xml:space="preserve"> the Eastern Dwarf Galaxias</w:t>
      </w:r>
      <w:r>
        <w:rPr>
          <w:i/>
          <w:iCs/>
        </w:rPr>
        <w:t xml:space="preserve"> </w:t>
      </w:r>
      <w:r w:rsidRPr="002B70F0">
        <w:t>identifies a range of threats to the species</w:t>
      </w:r>
      <w:r>
        <w:t xml:space="preserve"> </w:t>
      </w:r>
      <w:sdt>
        <w:sdtPr>
          <w:rPr>
            <w:color w:val="000000"/>
          </w:rPr>
          <w:tag w:val="MENDELEY_CITATION_v3_eyJjaXRhdGlvbklEIjoiTUVOREVMRVlfQ0lUQVRJT05fNDBhMjZjOTMtNDQwNy00MDdkLWFlZjQtNGQzMTBhYTgyMmY0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1912454627"/>
          <w:placeholder>
            <w:docPart w:val="8A75EFB8BE1D6C49BFCDB10710C88159"/>
          </w:placeholder>
        </w:sdtPr>
        <w:sdtContent>
          <w:r w:rsidRPr="00AB79D8">
            <w:rPr>
              <w:color w:val="000000"/>
            </w:rPr>
            <w:t>(Saddlier, Jackson and Hammer, 2010)</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137E803D" w14:textId="77777777" w:rsidR="000B173B" w:rsidRDefault="000B173B" w:rsidP="000B173B">
      <w:r>
        <w:t>The following potential indirect impacts (identified as threats) are considered relevant to implementation of the Plan:</w:t>
      </w:r>
    </w:p>
    <w:p w14:paraId="770A6472" w14:textId="77777777" w:rsidR="000B173B" w:rsidRPr="00804F26" w:rsidRDefault="000B173B" w:rsidP="000B173B">
      <w:pPr>
        <w:pStyle w:val="Bullet1"/>
      </w:pPr>
      <w:r w:rsidRPr="00804F26">
        <w:t xml:space="preserve">Decreased water quality </w:t>
      </w:r>
      <w:r>
        <w:t>and a</w:t>
      </w:r>
      <w:r w:rsidRPr="00804F26">
        <w:t>lteration to flow regimes</w:t>
      </w:r>
    </w:p>
    <w:p w14:paraId="64BC63C5" w14:textId="77777777" w:rsidR="000B173B" w:rsidRPr="00804F26" w:rsidRDefault="000B173B" w:rsidP="000B173B">
      <w:pPr>
        <w:pStyle w:val="Bullet1"/>
      </w:pPr>
      <w:r w:rsidRPr="00804F26">
        <w:t>Illegal collection</w:t>
      </w:r>
    </w:p>
    <w:p w14:paraId="2A4C6E3C" w14:textId="77777777" w:rsidR="000B173B" w:rsidRDefault="000B173B" w:rsidP="000B173B">
      <w:r w:rsidRPr="003A2AF0">
        <w:t xml:space="preserve">There are a number of additional threats to the species identified in the </w:t>
      </w:r>
      <w:r>
        <w:t>Recovery Plan</w:t>
      </w:r>
      <w:r w:rsidRPr="003A2AF0">
        <w:t>. However, potential indirect impacts associated with these threats are considered unlikely given the landscape context of the site and the ecology of the species. Refer to</w:t>
      </w:r>
      <w:r>
        <w:t xml:space="preserve"> </w:t>
      </w:r>
      <w:r w:rsidRPr="006900FB">
        <w:t>Section 17.2 of Chapter 17</w:t>
      </w:r>
      <w:r w:rsidRPr="00D07FF7">
        <w:t xml:space="preserve"> for</w:t>
      </w:r>
      <w:r>
        <w:t xml:space="preserve"> a detailed assessment of potential indirect impacts associated with the implementation of the Plan.</w:t>
      </w:r>
      <w:r w:rsidRPr="00CC2A00" w:rsidDel="00727335">
        <w:rPr>
          <w:highlight w:val="yellow"/>
        </w:rPr>
        <w:t xml:space="preserve"> </w:t>
      </w:r>
    </w:p>
    <w:p w14:paraId="512DBC54" w14:textId="77777777" w:rsidR="000B173B" w:rsidRDefault="000B173B" w:rsidP="000B173B">
      <w:r>
        <w:t xml:space="preserve">Climate change is also identified as a threat to the species. The potential impacts of climate change and relevant mitigation measures under the Plan are outlined in </w:t>
      </w:r>
      <w:r w:rsidRPr="006900FB">
        <w:t>Section 29.5 of Chapter 29.</w:t>
      </w:r>
    </w:p>
    <w:p w14:paraId="629EB5C2" w14:textId="77777777" w:rsidR="000B173B" w:rsidRDefault="000B173B" w:rsidP="000B173B">
      <w:pPr>
        <w:pStyle w:val="Heading4"/>
      </w:pPr>
      <w:r>
        <w:t>Decreased water quality and alteration to flow regimes</w:t>
      </w:r>
    </w:p>
    <w:p w14:paraId="7DAFCC1C" w14:textId="77777777" w:rsidR="000B173B" w:rsidRDefault="000B173B" w:rsidP="000B173B">
      <w:r>
        <w:t xml:space="preserve">Reduced riparian vegetation quality often results in water quality declines with regards to increased nutrient runoff, sedimentation and increased summer water temperatures </w:t>
      </w:r>
      <w:sdt>
        <w:sdtPr>
          <w:rPr>
            <w:color w:val="000000"/>
          </w:rPr>
          <w:tag w:val="MENDELEY_CITATION_v3_eyJjaXRhdGlvbklEIjoiTUVOREVMRVlfQ0lUQVRJT05fYzUwMmIzYjUtODNiNi00MzY1LTg2NzktZTY5YWNhNTJhMTI3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1696263324"/>
          <w:placeholder>
            <w:docPart w:val="8A75EFB8BE1D6C49BFCDB10710C88159"/>
          </w:placeholder>
        </w:sdtPr>
        <w:sdtContent>
          <w:r w:rsidRPr="00AB79D8">
            <w:rPr>
              <w:color w:val="000000"/>
            </w:rPr>
            <w:t>(Saddlier, Jackson and Hammer, 2010)</w:t>
          </w:r>
        </w:sdtContent>
      </w:sdt>
      <w:r>
        <w:t>.</w:t>
      </w:r>
    </w:p>
    <w:p w14:paraId="5C3638F1" w14:textId="77777777" w:rsidR="000B173B" w:rsidRDefault="000B173B" w:rsidP="000B173B">
      <w:r>
        <w:t xml:space="preserve">The species depends on shallow freshwater habitat, including connectivity between wetlands and more permanent waterbodies such as rivers or creeks. Changes to natural flooding and drying cycles, particularly in shallow creeks and swamps, pose a threat to the species, through altering natural seasonal water levels and affecting habitat connectivity and the species’ capacity to seek refuge during dry periods. Modes of development which may negatively impact upon water regimes for the species include catchment clearing (which alters hydrological regimes), water abstraction, and planting of trees such as eucalypts and pines which lower groundwater levels and decrease runoff </w:t>
      </w:r>
      <w:sdt>
        <w:sdtPr>
          <w:rPr>
            <w:color w:val="000000"/>
          </w:rPr>
          <w:tag w:val="MENDELEY_CITATION_v3_eyJjaXRhdGlvbklEIjoiTUVOREVMRVlfQ0lUQVRJT05fZTZiMjhiODgtZDlkYy00OGU3LWFhMzItOTdjMDk2MmQ3NGU3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1811318994"/>
          <w:placeholder>
            <w:docPart w:val="8A75EFB8BE1D6C49BFCDB10710C88159"/>
          </w:placeholder>
        </w:sdtPr>
        <w:sdtContent>
          <w:r w:rsidRPr="00AB79D8">
            <w:rPr>
              <w:color w:val="000000"/>
            </w:rPr>
            <w:t>(Saddlier, Jackson and Hammer, 2010)</w:t>
          </w:r>
        </w:sdtContent>
      </w:sdt>
      <w:r>
        <w:t>.</w:t>
      </w:r>
    </w:p>
    <w:p w14:paraId="27336F9C" w14:textId="77777777" w:rsidR="000B173B" w:rsidRPr="00804F26" w:rsidRDefault="000B173B" w:rsidP="000B173B">
      <w:pPr>
        <w:pStyle w:val="Heading4"/>
      </w:pPr>
      <w:r>
        <w:t>Illegal collection</w:t>
      </w:r>
    </w:p>
    <w:p w14:paraId="7B4D8963" w14:textId="77777777" w:rsidR="000B173B" w:rsidRPr="00F30F63" w:rsidRDefault="000B173B" w:rsidP="000B173B">
      <w:r>
        <w:t>There is anecdotal evidence to indicate</w:t>
      </w:r>
      <w:r>
        <w:rPr>
          <w:i/>
          <w:iCs/>
        </w:rPr>
        <w:t xml:space="preserve"> </w:t>
      </w:r>
      <w:r>
        <w:t xml:space="preserve">the Eastern Dwarf Galaxias is currently being collected throughout Victoria by enthusiastic aquarists. This has the potential to decrease population sizes and undermine the genetic integrity of wild populations if specimens are released into the wild into different populations </w:t>
      </w:r>
      <w:sdt>
        <w:sdtPr>
          <w:rPr>
            <w:color w:val="000000"/>
          </w:rPr>
          <w:tag w:val="MENDELEY_CITATION_v3_eyJjaXRhdGlvbklEIjoiTUVOREVMRVlfQ0lUQVRJT05fYjM5MDJiZWEtNGNiNi00MzM2LTg0MmUtNWY1N2UyOTU2OWQx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681740464"/>
          <w:placeholder>
            <w:docPart w:val="8A75EFB8BE1D6C49BFCDB10710C88159"/>
          </w:placeholder>
        </w:sdtPr>
        <w:sdtContent>
          <w:r w:rsidRPr="00AB79D8">
            <w:rPr>
              <w:color w:val="000000"/>
            </w:rPr>
            <w:t>(Saddlier, Jackson and Hammer, 2010)</w:t>
          </w:r>
        </w:sdtContent>
      </w:sdt>
      <w:r>
        <w:t>.</w:t>
      </w:r>
    </w:p>
    <w:p w14:paraId="689C935F"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66D5FBE0" w14:textId="77777777" w:rsidTr="00A15226">
        <w:tc>
          <w:tcPr>
            <w:tcW w:w="9622" w:type="dxa"/>
            <w:shd w:val="clear" w:color="auto" w:fill="C9C9C9" w:themeFill="accent3" w:themeFillTint="99"/>
          </w:tcPr>
          <w:p w14:paraId="59CE9FD1"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3A2CB03E"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 xml:space="preserve">detail </w:t>
      </w:r>
      <w:r w:rsidRPr="00D07FF7">
        <w:rPr>
          <w:i/>
          <w:color w:val="4472C4" w:themeColor="accent1"/>
        </w:rPr>
        <w:t xml:space="preserve">in </w:t>
      </w:r>
      <w:r w:rsidRPr="006900FB">
        <w:rPr>
          <w:i/>
          <w:color w:val="4472C4" w:themeColor="accent1"/>
        </w:rPr>
        <w:t>Section 17.3</w:t>
      </w:r>
      <w:r w:rsidRPr="00D07FF7">
        <w:rPr>
          <w:i/>
          <w:color w:val="4472C4" w:themeColor="accent1"/>
        </w:rPr>
        <w:t xml:space="preserve"> of </w:t>
      </w:r>
      <w:r w:rsidRPr="006900FB">
        <w:rPr>
          <w:i/>
          <w:color w:val="4472C4" w:themeColor="accent1"/>
        </w:rPr>
        <w:t>Chapter 17</w:t>
      </w:r>
      <w:r w:rsidRPr="00D07FF7">
        <w:rPr>
          <w:i/>
          <w:color w:val="4472C4" w:themeColor="accent1"/>
        </w:rPr>
        <w:t>.</w:t>
      </w:r>
    </w:p>
    <w:p w14:paraId="5F721BA1" w14:textId="77777777" w:rsidR="000B173B" w:rsidRPr="000816D6" w:rsidRDefault="000B173B" w:rsidP="000B173B">
      <w:pPr>
        <w:pStyle w:val="Heading3"/>
        <w:numPr>
          <w:ilvl w:val="0"/>
          <w:numId w:val="0"/>
        </w:numPr>
        <w:ind w:left="720" w:hanging="720"/>
      </w:pPr>
      <w:r w:rsidRPr="000816D6">
        <w:t>C</w:t>
      </w:r>
      <w:r>
        <w:t>onsistency with recovery plan</w:t>
      </w:r>
    </w:p>
    <w:p w14:paraId="379AD8EA" w14:textId="77777777" w:rsidR="000B173B" w:rsidRPr="00DB68B8" w:rsidRDefault="000B173B" w:rsidP="000B173B">
      <w:r w:rsidRPr="00DB68B8">
        <w:t>In accordance with Section 146K of the EPBC Act, this section considers whether the implementation of the Plan is not inconsistent with the species’ Recovery Plan. It considers two questions:</w:t>
      </w:r>
    </w:p>
    <w:p w14:paraId="4A80524A" w14:textId="77777777" w:rsidR="000B173B" w:rsidRPr="00DB68B8" w:rsidRDefault="000B173B" w:rsidP="000B173B">
      <w:pPr>
        <w:pStyle w:val="Bullet1"/>
      </w:pPr>
      <w:r w:rsidRPr="00DB68B8">
        <w:t xml:space="preserve">Does the Plan </w:t>
      </w:r>
      <w:r>
        <w:t>p</w:t>
      </w:r>
      <w:r w:rsidRPr="00DB68B8">
        <w:t>revent achievement of the objectives of the Recovery Plan?</w:t>
      </w:r>
    </w:p>
    <w:p w14:paraId="37E1AD16" w14:textId="77777777" w:rsidR="000B173B" w:rsidRPr="00DB68B8" w:rsidRDefault="000B173B" w:rsidP="000B173B">
      <w:pPr>
        <w:pStyle w:val="Bullet1"/>
      </w:pPr>
      <w:r w:rsidRPr="00DB68B8">
        <w:t>Does the Plan prevent implementation of the Recovery Plan actions?</w:t>
      </w:r>
    </w:p>
    <w:p w14:paraId="67B9F46A" w14:textId="77777777" w:rsidR="000B173B" w:rsidRDefault="000B173B" w:rsidP="000B173B">
      <w:r w:rsidRPr="00DB68B8">
        <w:t>These questions are discussed below.</w:t>
      </w:r>
    </w:p>
    <w:p w14:paraId="63E27506" w14:textId="77777777" w:rsidR="000B173B" w:rsidRDefault="000B173B" w:rsidP="000B173B">
      <w:pPr>
        <w:pStyle w:val="Heading4"/>
      </w:pPr>
      <w:r w:rsidRPr="00F614B0">
        <w:lastRenderedPageBreak/>
        <w:t xml:space="preserve">Does the Plan </w:t>
      </w:r>
      <w:r>
        <w:t>p</w:t>
      </w:r>
      <w:r w:rsidRPr="00F614B0">
        <w:t>revent achievement of the objectives of the Recovery Plan?</w:t>
      </w:r>
    </w:p>
    <w:p w14:paraId="01B06450" w14:textId="77777777" w:rsidR="000B173B" w:rsidRDefault="000B173B" w:rsidP="000B173B">
      <w:r w:rsidRPr="00F614B0">
        <w:t xml:space="preserve">The </w:t>
      </w:r>
      <w:r>
        <w:t>overall long-term objective of the Recovery Plan is to minimise the probability of extinction and ensure long-term survival of Dwarf Galaxias in the wild and to increase the probability of important populations becoming self-sustaining in the long term</w:t>
      </w:r>
      <w:r w:rsidRPr="000F091A">
        <w:t>.</w:t>
      </w:r>
      <w:r>
        <w:t xml:space="preserve"> </w:t>
      </w:r>
      <w:r w:rsidRPr="00F614B0">
        <w:t xml:space="preserve">This overall </w:t>
      </w:r>
      <w:r>
        <w:t xml:space="preserve">objective </w:t>
      </w:r>
      <w:r w:rsidRPr="00F614B0">
        <w:t xml:space="preserve">is associated with a series of specific objectives </w:t>
      </w:r>
      <w:sdt>
        <w:sdtPr>
          <w:rPr>
            <w:color w:val="000000"/>
          </w:rPr>
          <w:tag w:val="MENDELEY_CITATION_v3_eyJjaXRhdGlvbklEIjoiTUVOREVMRVlfQ0lUQVRJT05fYjM4OTIyMTMtYjc1OC00MDkxLWE2YjAtYTRlNTA1OTc5NTc2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384412738"/>
          <w:placeholder>
            <w:docPart w:val="8A75EFB8BE1D6C49BFCDB10710C88159"/>
          </w:placeholder>
        </w:sdtPr>
        <w:sdtContent>
          <w:r w:rsidRPr="00AB79D8">
            <w:rPr>
              <w:color w:val="000000"/>
            </w:rPr>
            <w:t>(Saddlier, Jackson and Hammer, 2010)</w:t>
          </w:r>
        </w:sdtContent>
      </w:sdt>
      <w:r>
        <w:t>:</w:t>
      </w:r>
    </w:p>
    <w:p w14:paraId="67051193" w14:textId="77777777" w:rsidR="000B173B" w:rsidRDefault="000B173B" w:rsidP="000B173B">
      <w:pPr>
        <w:pStyle w:val="Bullet1"/>
      </w:pPr>
      <w:r>
        <w:t>Determine the distribution and abundance of the Dwarf Galaxias</w:t>
      </w:r>
    </w:p>
    <w:p w14:paraId="48801D4E" w14:textId="77777777" w:rsidR="000B173B" w:rsidRDefault="000B173B" w:rsidP="000B173B">
      <w:pPr>
        <w:pStyle w:val="Bullet1"/>
      </w:pPr>
      <w:r>
        <w:t>Determine the genetic and taxonomic status of Dwarf Galaxias populations</w:t>
      </w:r>
    </w:p>
    <w:p w14:paraId="75F10F33" w14:textId="77777777" w:rsidR="000B173B" w:rsidRDefault="000B173B" w:rsidP="000B173B">
      <w:pPr>
        <w:pStyle w:val="Bullet1"/>
      </w:pPr>
      <w:r>
        <w:t>Determine Dwarf Galaxias habitat characteristics and requirements</w:t>
      </w:r>
    </w:p>
    <w:p w14:paraId="3BE11DE0" w14:textId="77777777" w:rsidR="000B173B" w:rsidRDefault="000B173B" w:rsidP="000B173B">
      <w:pPr>
        <w:pStyle w:val="Bullet1"/>
      </w:pPr>
      <w:r>
        <w:t>Identify and manage potentially threatening processes impacting on Dwarf Galaxias conservation</w:t>
      </w:r>
    </w:p>
    <w:p w14:paraId="4643E813" w14:textId="77777777" w:rsidR="000B173B" w:rsidRDefault="000B173B" w:rsidP="000B173B">
      <w:pPr>
        <w:pStyle w:val="Bullet1"/>
      </w:pPr>
      <w:r>
        <w:t>Protect key populations across the range of the Dwarf Galaxias</w:t>
      </w:r>
    </w:p>
    <w:p w14:paraId="362B089B" w14:textId="77777777" w:rsidR="000B173B" w:rsidRDefault="000B173B" w:rsidP="000B173B">
      <w:pPr>
        <w:pStyle w:val="Bullet1"/>
      </w:pPr>
      <w:r>
        <w:t>Determine population trends at key sites</w:t>
      </w:r>
    </w:p>
    <w:p w14:paraId="2BF5E4C6" w14:textId="77777777" w:rsidR="000B173B" w:rsidRDefault="000B173B" w:rsidP="000B173B">
      <w:pPr>
        <w:pStyle w:val="Bullet1"/>
      </w:pPr>
      <w:r>
        <w:t>Investigate key aspects of biology and ecology of the Dwarf Galaxias</w:t>
      </w:r>
    </w:p>
    <w:p w14:paraId="135637D4" w14:textId="77777777" w:rsidR="000B173B" w:rsidRDefault="000B173B" w:rsidP="000B173B">
      <w:pPr>
        <w:pStyle w:val="Bullet1"/>
      </w:pPr>
      <w:r>
        <w:t>Establish a captive breeding population of Dwarf Galaxias</w:t>
      </w:r>
    </w:p>
    <w:p w14:paraId="6DA886D2" w14:textId="77777777" w:rsidR="000B173B" w:rsidRDefault="000B173B" w:rsidP="000B173B">
      <w:pPr>
        <w:pStyle w:val="Bullet1"/>
      </w:pPr>
      <w:r>
        <w:t>Undertake translocations to establish new populations of Dwarf Galaxias</w:t>
      </w:r>
    </w:p>
    <w:p w14:paraId="75491914" w14:textId="77777777" w:rsidR="000B173B" w:rsidRPr="0033650D" w:rsidRDefault="000B173B" w:rsidP="000B173B">
      <w:pPr>
        <w:pStyle w:val="Bullet1"/>
      </w:pPr>
      <w:r>
        <w:t>Undertake community education and communication to increase awareness and involvement</w:t>
      </w:r>
    </w:p>
    <w:p w14:paraId="1053F899" w14:textId="77777777" w:rsidR="000B173B" w:rsidRPr="00F614B0" w:rsidRDefault="000B173B" w:rsidP="000B173B">
      <w:r w:rsidRPr="00F614B0">
        <w:t xml:space="preserve">The outcome under the Plan for </w:t>
      </w:r>
      <w:r>
        <w:t>the Eastern Dwarf Galaxias</w:t>
      </w:r>
      <w:r>
        <w:rPr>
          <w:i/>
          <w:iCs/>
        </w:rPr>
        <w:t xml:space="preserve"> </w:t>
      </w:r>
      <w:r w:rsidRPr="00F614B0">
        <w:t>will not prevent the achievement of any of the objectives of the Recovery Plan.</w:t>
      </w:r>
    </w:p>
    <w:p w14:paraId="0074C174" w14:textId="77777777" w:rsidR="000B173B" w:rsidRPr="00F614B0" w:rsidRDefault="000B173B" w:rsidP="000B173B">
      <w:pPr>
        <w:pStyle w:val="Heading4"/>
      </w:pPr>
      <w:r w:rsidRPr="00F614B0">
        <w:t>Does the Plan prevent implementation of the Recovery Plan actions?</w:t>
      </w:r>
    </w:p>
    <w:p w14:paraId="1A2E37A4" w14:textId="77777777" w:rsidR="000B173B" w:rsidRPr="002B70F0" w:rsidRDefault="000B173B" w:rsidP="000B173B">
      <w:r w:rsidRPr="00F614B0">
        <w:t>The Recovery Plan identifies a set of actions in order to deliver on the objectives. Each action is associated with performance criteria</w:t>
      </w:r>
      <w:r>
        <w:rPr>
          <w:i/>
          <w:iCs/>
        </w:rPr>
        <w:t xml:space="preserve"> </w:t>
      </w:r>
      <w:sdt>
        <w:sdtPr>
          <w:rPr>
            <w:iCs/>
            <w:color w:val="000000"/>
          </w:rPr>
          <w:tag w:val="MENDELEY_CITATION_v3_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"/>
          <w:id w:val="-782503538"/>
          <w:placeholder>
            <w:docPart w:val="8A75EFB8BE1D6C49BFCDB10710C88159"/>
          </w:placeholder>
        </w:sdtPr>
        <w:sdtEndPr>
          <w:rPr>
            <w:iCs w:val="0"/>
          </w:rPr>
        </w:sdtEndPr>
        <w:sdtContent>
          <w:r w:rsidRPr="00AB79D8">
            <w:rPr>
              <w:color w:val="000000"/>
            </w:rPr>
            <w:t>(Saddlier, Jackson and Hammer, 2010)</w:t>
          </w:r>
        </w:sdtContent>
      </w:sdt>
      <w:r>
        <w:t xml:space="preserve">. </w:t>
      </w:r>
      <w:r w:rsidRPr="00F614B0">
        <w:t>The Plan will not prevent the implementation of any of these actions, nor will it prevent the achievement of any of the performance criteria.</w:t>
      </w:r>
    </w:p>
    <w:p w14:paraId="7A194067"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35C8B31B"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_Ref106869535 \h </w:instrText>
      </w:r>
      <w:r>
        <w:fldChar w:fldCharType="separate"/>
      </w:r>
      <w:r>
        <w:t xml:space="preserve">Table </w:t>
      </w:r>
      <w:r>
        <w:rPr>
          <w:noProof/>
        </w:rPr>
        <w:t>C</w:t>
      </w:r>
      <w:r>
        <w:noBreakHyphen/>
      </w:r>
      <w:r>
        <w:rPr>
          <w:noProof/>
        </w:rPr>
        <w:t>2</w:t>
      </w:r>
      <w:r>
        <w:fldChar w:fldCharType="end"/>
      </w:r>
      <w:r>
        <w:t xml:space="preserve"> where they relate to:</w:t>
      </w:r>
    </w:p>
    <w:p w14:paraId="6F8BE274" w14:textId="77777777" w:rsidR="000B173B" w:rsidRDefault="000B173B" w:rsidP="000B173B">
      <w:pPr>
        <w:pStyle w:val="Bullet1"/>
      </w:pPr>
      <w:r>
        <w:t>The potential direct impacts of the Plan, or</w:t>
      </w:r>
    </w:p>
    <w:p w14:paraId="647B7F90" w14:textId="77777777" w:rsidR="000B173B" w:rsidRDefault="000B173B" w:rsidP="000B173B">
      <w:pPr>
        <w:pStyle w:val="Bullet1"/>
      </w:pPr>
      <w:r>
        <w:t>The relevant indirect impacts</w:t>
      </w:r>
    </w:p>
    <w:p w14:paraId="70D9A814" w14:textId="77777777" w:rsidR="000B173B" w:rsidRDefault="000B173B" w:rsidP="000B173B">
      <w:pPr>
        <w:pStyle w:val="Caption"/>
        <w:keepNext/>
      </w:pPr>
      <w:bookmarkStart w:id="299" w:name="_Ref106869535"/>
      <w:bookmarkStart w:id="300" w:name="_Toc134697930"/>
      <w:r>
        <w:t xml:space="preserve">Table </w:t>
      </w:r>
      <w:r>
        <w:fldChar w:fldCharType="begin"/>
      </w:r>
      <w:r>
        <w:instrText xml:space="preserve"> STYLEREF 1 \s </w:instrText>
      </w:r>
      <w:r>
        <w:fldChar w:fldCharType="separate"/>
      </w:r>
      <w:r>
        <w:rPr>
          <w:noProof/>
        </w:rPr>
        <w:t>C</w:t>
      </w:r>
      <w:r>
        <w:fldChar w:fldCharType="end"/>
      </w:r>
      <w:r>
        <w:noBreakHyphen/>
      </w:r>
      <w:r>
        <w:fldChar w:fldCharType="begin"/>
      </w:r>
      <w:r>
        <w:instrText xml:space="preserve"> SEQ Table \* ARABIC \s 1 </w:instrText>
      </w:r>
      <w:r>
        <w:fldChar w:fldCharType="separate"/>
      </w:r>
      <w:r>
        <w:rPr>
          <w:noProof/>
        </w:rPr>
        <w:t>2</w:t>
      </w:r>
      <w:r>
        <w:fldChar w:fldCharType="end"/>
      </w:r>
      <w:bookmarkEnd w:id="299"/>
      <w:r>
        <w:t xml:space="preserve">: </w:t>
      </w:r>
      <w:r w:rsidRPr="005F676F">
        <w:t xml:space="preserve">Relevant Key Threatening Processes and associated Threat Abatement Plans for </w:t>
      </w:r>
      <w:r>
        <w:t>the Eastern Dwarf Galaxias</w:t>
      </w:r>
      <w:bookmarkEnd w:id="300"/>
    </w:p>
    <w:tbl>
      <w:tblPr>
        <w:tblStyle w:val="TableGrid"/>
        <w:tblW w:w="0" w:type="auto"/>
        <w:tblLook w:val="04A0" w:firstRow="1" w:lastRow="0" w:firstColumn="1" w:lastColumn="0" w:noHBand="0" w:noVBand="1"/>
      </w:tblPr>
      <w:tblGrid>
        <w:gridCol w:w="4811"/>
        <w:gridCol w:w="4811"/>
      </w:tblGrid>
      <w:tr w:rsidR="000B173B" w14:paraId="6C306768" w14:textId="77777777" w:rsidTr="00A15226">
        <w:trPr>
          <w:tblHeader/>
        </w:trPr>
        <w:tc>
          <w:tcPr>
            <w:tcW w:w="4811" w:type="dxa"/>
            <w:shd w:val="clear" w:color="auto" w:fill="DBDBDB" w:themeFill="accent3" w:themeFillTint="66"/>
          </w:tcPr>
          <w:p w14:paraId="6911EF44"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7014E209" w14:textId="77777777" w:rsidR="000B173B" w:rsidRPr="00FF1996" w:rsidRDefault="000B173B" w:rsidP="00A15226">
            <w:pPr>
              <w:pStyle w:val="Tabletext"/>
              <w:rPr>
                <w:b/>
                <w:bCs/>
              </w:rPr>
            </w:pPr>
            <w:r w:rsidRPr="00FF1996">
              <w:rPr>
                <w:b/>
                <w:bCs/>
              </w:rPr>
              <w:t>Threat abatement plan</w:t>
            </w:r>
          </w:p>
        </w:tc>
      </w:tr>
      <w:tr w:rsidR="000B173B" w14:paraId="13157431" w14:textId="77777777" w:rsidTr="00A15226">
        <w:tc>
          <w:tcPr>
            <w:tcW w:w="4811" w:type="dxa"/>
            <w:vAlign w:val="center"/>
          </w:tcPr>
          <w:p w14:paraId="17FBEF74" w14:textId="77777777" w:rsidR="000B173B" w:rsidRPr="00672E41" w:rsidRDefault="000B173B" w:rsidP="00A15226">
            <w:pPr>
              <w:pStyle w:val="Tabletext"/>
            </w:pPr>
            <w:r>
              <w:t>Land clearance</w:t>
            </w:r>
          </w:p>
        </w:tc>
        <w:tc>
          <w:tcPr>
            <w:tcW w:w="4811" w:type="dxa"/>
            <w:vAlign w:val="center"/>
          </w:tcPr>
          <w:p w14:paraId="371DF38F" w14:textId="77777777" w:rsidR="000B173B" w:rsidRDefault="000B173B" w:rsidP="00A15226">
            <w:pPr>
              <w:pStyle w:val="Tabletext"/>
            </w:pPr>
            <w:r>
              <w:t>There is no relevant TAP</w:t>
            </w:r>
          </w:p>
        </w:tc>
      </w:tr>
      <w:tr w:rsidR="000B173B" w14:paraId="22D19D91" w14:textId="77777777" w:rsidTr="00A15226">
        <w:tc>
          <w:tcPr>
            <w:tcW w:w="4811" w:type="dxa"/>
            <w:vAlign w:val="center"/>
          </w:tcPr>
          <w:p w14:paraId="39173AF7" w14:textId="77777777" w:rsidR="000B173B" w:rsidRDefault="000B173B" w:rsidP="00A15226">
            <w:pPr>
              <w:pStyle w:val="Tabletext"/>
            </w:pPr>
            <w:r w:rsidRPr="00672E41">
              <w:t>Loss of climatic habitat caused by anthropogenic emissions of greenhouse gases</w:t>
            </w:r>
          </w:p>
        </w:tc>
        <w:tc>
          <w:tcPr>
            <w:tcW w:w="4811" w:type="dxa"/>
            <w:vAlign w:val="center"/>
          </w:tcPr>
          <w:p w14:paraId="4B3DF44A" w14:textId="77777777" w:rsidR="000B173B" w:rsidRDefault="000B173B" w:rsidP="00A15226">
            <w:pPr>
              <w:pStyle w:val="Tabletext"/>
            </w:pPr>
            <w:r>
              <w:t>There is no relevant TAP</w:t>
            </w:r>
          </w:p>
        </w:tc>
      </w:tr>
      <w:tr w:rsidR="000B173B" w14:paraId="061DA325" w14:textId="77777777" w:rsidTr="00A15226">
        <w:tc>
          <w:tcPr>
            <w:tcW w:w="4811" w:type="dxa"/>
            <w:vAlign w:val="center"/>
          </w:tcPr>
          <w:p w14:paraId="5E967F9E" w14:textId="77777777" w:rsidR="000B173B" w:rsidRPr="00672E41" w:rsidRDefault="000B173B" w:rsidP="00A15226">
            <w:pPr>
              <w:pStyle w:val="Tabletext"/>
            </w:pPr>
            <w:r>
              <w:t>Novel biota and their impact on biodiversity</w:t>
            </w:r>
          </w:p>
        </w:tc>
        <w:tc>
          <w:tcPr>
            <w:tcW w:w="4811" w:type="dxa"/>
            <w:vAlign w:val="center"/>
          </w:tcPr>
          <w:p w14:paraId="4EAAB63A" w14:textId="77777777" w:rsidR="000B173B" w:rsidRDefault="000B173B" w:rsidP="00A15226">
            <w:pPr>
              <w:pStyle w:val="Tabletext"/>
            </w:pPr>
            <w:r>
              <w:t>There is no relevant TAP</w:t>
            </w:r>
          </w:p>
        </w:tc>
      </w:tr>
    </w:tbl>
    <w:p w14:paraId="3A086E46" w14:textId="77777777" w:rsidR="000B173B" w:rsidRDefault="000B173B" w:rsidP="000B173B">
      <w:pPr>
        <w:tabs>
          <w:tab w:val="clear" w:pos="4962"/>
        </w:tabs>
        <w:spacing w:before="0" w:after="0" w:line="240" w:lineRule="auto"/>
      </w:pPr>
      <w:r>
        <w:rPr>
          <w:i/>
          <w:iCs/>
        </w:rPr>
        <w:br w:type="page"/>
      </w:r>
    </w:p>
    <w:p w14:paraId="707B573B" w14:textId="77777777" w:rsidR="000B173B" w:rsidRPr="00297975" w:rsidRDefault="000B173B" w:rsidP="000B173B">
      <w:pPr>
        <w:pStyle w:val="Heading2"/>
        <w:numPr>
          <w:ilvl w:val="0"/>
          <w:numId w:val="0"/>
        </w:numPr>
        <w:ind w:left="576" w:hanging="576"/>
      </w:pPr>
      <w:bookmarkStart w:id="301" w:name="_Toc131154216"/>
      <w:bookmarkStart w:id="302" w:name="_Toc131154403"/>
      <w:r>
        <w:lastRenderedPageBreak/>
        <w:t xml:space="preserve">Yarra Pygmy Perch </w:t>
      </w:r>
      <w:r>
        <w:rPr>
          <w:i/>
          <w:iCs/>
        </w:rPr>
        <w:t>(</w:t>
      </w:r>
      <w:r w:rsidRPr="00886954">
        <w:rPr>
          <w:i/>
          <w:iCs/>
        </w:rPr>
        <w:t>Nannoperca obscura</w:t>
      </w:r>
      <w:r>
        <w:rPr>
          <w:i/>
          <w:iCs/>
        </w:rPr>
        <w:t>)</w:t>
      </w:r>
      <w:bookmarkEnd w:id="301"/>
      <w:bookmarkEnd w:id="302"/>
    </w:p>
    <w:tbl>
      <w:tblPr>
        <w:tblStyle w:val="TableGrid"/>
        <w:tblW w:w="974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47"/>
      </w:tblGrid>
      <w:tr w:rsidR="000B173B" w:rsidRPr="000816D6" w14:paraId="78C02C94" w14:textId="77777777" w:rsidTr="00A15226">
        <w:trPr>
          <w:tblHeader/>
        </w:trPr>
        <w:tc>
          <w:tcPr>
            <w:tcW w:w="9747" w:type="dxa"/>
            <w:shd w:val="clear" w:color="auto" w:fill="D9D9D9" w:themeFill="background1" w:themeFillShade="D9"/>
            <w:vAlign w:val="center"/>
          </w:tcPr>
          <w:p w14:paraId="46CE708A" w14:textId="77777777" w:rsidR="000B173B" w:rsidRPr="000816D6" w:rsidRDefault="000B173B" w:rsidP="00A15226">
            <w:pPr>
              <w:pStyle w:val="TableHeadingLarge"/>
              <w:rPr>
                <w:rFonts w:ascii="Helvetica" w:hAnsi="Helvetica"/>
              </w:rPr>
            </w:pPr>
            <w:r w:rsidRPr="000816D6">
              <w:rPr>
                <w:rFonts w:ascii="Helvetica" w:hAnsi="Helvetica"/>
              </w:rPr>
              <w:t>SPECIES BACKGROUND</w:t>
            </w:r>
          </w:p>
        </w:tc>
      </w:tr>
    </w:tbl>
    <w:p w14:paraId="7F7B30C8" w14:textId="77777777" w:rsidR="000B173B" w:rsidRPr="000816D6" w:rsidRDefault="000B173B" w:rsidP="000B173B">
      <w:pPr>
        <w:rPr>
          <w:i/>
          <w:color w:val="4472C4" w:themeColor="accent1"/>
        </w:rPr>
      </w:pPr>
      <w:r w:rsidRPr="000816D6">
        <w:rPr>
          <w:i/>
          <w:color w:val="4472C4" w:themeColor="accent1"/>
        </w:rPr>
        <w:t xml:space="preserve">This section sets out the basic information about the species. </w:t>
      </w:r>
      <w:r>
        <w:rPr>
          <w:i/>
          <w:color w:val="4472C4" w:themeColor="accent1"/>
        </w:rPr>
        <w:t>It</w:t>
      </w:r>
      <w:r w:rsidRPr="000816D6">
        <w:rPr>
          <w:i/>
          <w:color w:val="4472C4" w:themeColor="accent1"/>
        </w:rPr>
        <w:t xml:space="preserve"> provides an overview of the</w:t>
      </w:r>
      <w:r>
        <w:rPr>
          <w:i/>
          <w:color w:val="4472C4" w:themeColor="accent1"/>
        </w:rPr>
        <w:t xml:space="preserve"> species’</w:t>
      </w:r>
      <w:r w:rsidRPr="000816D6">
        <w:rPr>
          <w:i/>
          <w:color w:val="4472C4" w:themeColor="accent1"/>
        </w:rPr>
        <w:t xml:space="preserve"> ecology, distribution, habitat</w:t>
      </w:r>
      <w:r>
        <w:rPr>
          <w:i/>
          <w:color w:val="4472C4" w:themeColor="accent1"/>
        </w:rPr>
        <w:t xml:space="preserve">, </w:t>
      </w:r>
      <w:r w:rsidRPr="000816D6">
        <w:rPr>
          <w:i/>
          <w:color w:val="4472C4" w:themeColor="accent1"/>
        </w:rPr>
        <w:t>populations</w:t>
      </w:r>
      <w:r>
        <w:rPr>
          <w:i/>
          <w:color w:val="4472C4" w:themeColor="accent1"/>
        </w:rPr>
        <w:t xml:space="preserve"> and threats</w:t>
      </w:r>
      <w:r w:rsidRPr="000816D6">
        <w:rPr>
          <w:i/>
          <w:color w:val="4472C4" w:themeColor="accent1"/>
        </w:rPr>
        <w:t>. These provide context for the impact assessment. At the end of the section are links to key species</w:t>
      </w:r>
      <w:r>
        <w:rPr>
          <w:i/>
          <w:color w:val="4472C4" w:themeColor="accent1"/>
        </w:rPr>
        <w:t>’</w:t>
      </w:r>
      <w:r w:rsidRPr="000816D6">
        <w:rPr>
          <w:i/>
          <w:color w:val="4472C4" w:themeColor="accent1"/>
        </w:rPr>
        <w:t xml:space="preserve"> documents that provide additional background information.</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0816D6" w14:paraId="136A085D" w14:textId="77777777" w:rsidTr="00A15226">
        <w:tc>
          <w:tcPr>
            <w:tcW w:w="1526" w:type="dxa"/>
            <w:vAlign w:val="center"/>
          </w:tcPr>
          <w:p w14:paraId="340B74FF"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EPBC ACT LISTING</w:t>
            </w:r>
          </w:p>
        </w:tc>
        <w:tc>
          <w:tcPr>
            <w:tcW w:w="8113" w:type="dxa"/>
            <w:vAlign w:val="center"/>
          </w:tcPr>
          <w:p w14:paraId="36943CB8" w14:textId="77777777" w:rsidR="000B173B" w:rsidRDefault="000B173B" w:rsidP="00A15226">
            <w:pPr>
              <w:pStyle w:val="Tabletext"/>
            </w:pPr>
            <w:r>
              <w:t>Vulnerable</w:t>
            </w:r>
          </w:p>
          <w:p w14:paraId="6FEA2FC4" w14:textId="77777777" w:rsidR="000B173B" w:rsidRDefault="000B173B" w:rsidP="00A15226">
            <w:pPr>
              <w:pStyle w:val="Tabletext"/>
            </w:pPr>
            <w:r>
              <w:t xml:space="preserve">Note that the Yarra Pygmy Perch </w:t>
            </w:r>
            <w:r w:rsidRPr="00C00E39">
              <w:t xml:space="preserve">is currently on the Finalised Priority Assessment List (FPAL) and is proposed to have its listing </w:t>
            </w:r>
            <w:r>
              <w:t xml:space="preserve">upgraded to Endangered </w:t>
            </w:r>
            <w:sdt>
              <w:sdtPr>
                <w:rPr>
                  <w:color w:val="000000"/>
                </w:rPr>
                <w:tag w:val="MENDELEY_CITATION_v3_eyJjaXRhdGlvbklEIjoiTUVOREVMRVlfQ0lUQVRJT05fYjQ2NDUzZmItNzFjNy00NjAwLTg0MTMtNzEzNDJhMjJkNjU3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1765338806"/>
                <w:placeholder>
                  <w:docPart w:val="0C7C0E164979FF4192CC12BA6F475DAF"/>
                </w:placeholder>
              </w:sdtPr>
              <w:sdtContent>
                <w:r w:rsidRPr="00AB79D8">
                  <w:rPr>
                    <w:color w:val="000000"/>
                  </w:rPr>
                  <w:t>(DAWE, 2021f)</w:t>
                </w:r>
              </w:sdtContent>
            </w:sdt>
          </w:p>
          <w:p w14:paraId="063752A4" w14:textId="77777777" w:rsidR="000B173B" w:rsidRPr="003E1ADD" w:rsidRDefault="000B173B" w:rsidP="00A15226">
            <w:pPr>
              <w:pStyle w:val="Tabletext"/>
            </w:pPr>
            <w:r>
              <w:t xml:space="preserve">A decision is due by 30 October 2023 </w:t>
            </w:r>
            <w:sdt>
              <w:sdtPr>
                <w:rPr>
                  <w:color w:val="000000"/>
                </w:rPr>
                <w:tag w:val="MENDELEY_CITATION_v3_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"/>
                <w:id w:val="418145880"/>
                <w:placeholder>
                  <w:docPart w:val="0C7C0E164979FF4192CC12BA6F475DAF"/>
                </w:placeholder>
              </w:sdtPr>
              <w:sdtContent>
                <w:r w:rsidRPr="00AB79D8">
                  <w:rPr>
                    <w:color w:val="000000"/>
                  </w:rPr>
                  <w:t>(DAWE, 2021f)</w:t>
                </w:r>
              </w:sdtContent>
            </w:sdt>
          </w:p>
        </w:tc>
      </w:tr>
      <w:tr w:rsidR="000B173B" w:rsidRPr="000816D6" w14:paraId="4C88295A" w14:textId="77777777" w:rsidTr="00A15226">
        <w:tc>
          <w:tcPr>
            <w:tcW w:w="1526" w:type="dxa"/>
            <w:vAlign w:val="center"/>
          </w:tcPr>
          <w:p w14:paraId="65CFA6C2"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DESCRIPTION</w:t>
            </w:r>
          </w:p>
        </w:tc>
        <w:tc>
          <w:tcPr>
            <w:tcW w:w="8113" w:type="dxa"/>
            <w:vAlign w:val="center"/>
          </w:tcPr>
          <w:p w14:paraId="6A3D4B8C" w14:textId="77777777" w:rsidR="000B173B" w:rsidRPr="001A5A5B" w:rsidRDefault="000B173B" w:rsidP="00A15226">
            <w:pPr>
              <w:pStyle w:val="Tabletext"/>
            </w:pPr>
            <w:r>
              <w:rPr>
                <w:i/>
                <w:iCs/>
              </w:rPr>
              <w:t xml:space="preserve">Nannoperca obscura </w:t>
            </w:r>
            <w:r>
              <w:t xml:space="preserve">(Yarra Pygmy Perch) is a small perch-like fish, up to 75 mm in length. It is olive green above, greenish-brown laterally, and yellow-white underneath </w:t>
            </w:r>
            <w:sdt>
              <w:sdtPr>
                <w:rPr>
                  <w:color w:val="000000"/>
                </w:rPr>
                <w:tag w:val="MENDELEY_CITATION_v3_eyJjaXRhdGlvbklEIjoiTUVOREVMRVlfQ0lUQVRJT05fMjJhM2E1NGYtOWMzOS00YjQwLTljZjAtYjczNTZiYTQxODhi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555996504"/>
                <w:placeholder>
                  <w:docPart w:val="8A75EFB8BE1D6C49BFCDB10710C88159"/>
                </w:placeholder>
              </w:sdtPr>
              <w:sdtContent>
                <w:r w:rsidRPr="00AB79D8">
                  <w:rPr>
                    <w:color w:val="000000"/>
                  </w:rPr>
                  <w:t>(Saddlier and Hammer, 2010)</w:t>
                </w:r>
              </w:sdtContent>
            </w:sdt>
            <w:r>
              <w:t>.</w:t>
            </w:r>
          </w:p>
        </w:tc>
      </w:tr>
      <w:tr w:rsidR="000B173B" w:rsidRPr="000816D6" w14:paraId="37E92DAF" w14:textId="77777777" w:rsidTr="00A15226">
        <w:tc>
          <w:tcPr>
            <w:tcW w:w="1526" w:type="dxa"/>
            <w:vAlign w:val="center"/>
          </w:tcPr>
          <w:p w14:paraId="1EA74654"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ECOLOGY</w:t>
            </w:r>
          </w:p>
        </w:tc>
        <w:tc>
          <w:tcPr>
            <w:tcW w:w="8113" w:type="dxa"/>
            <w:vAlign w:val="center"/>
          </w:tcPr>
          <w:p w14:paraId="1241B5D2" w14:textId="77777777" w:rsidR="000B173B" w:rsidRDefault="000B173B" w:rsidP="00A15226">
            <w:pPr>
              <w:pStyle w:val="Tabletext"/>
            </w:pPr>
            <w:r>
              <w:t xml:space="preserve">The Yarra Pygmy Perch spends its entire life cycle in freshwater. It is a free-swimming species, meaning it is not attached to objects or substrates and is able to swim in open water </w:t>
            </w:r>
            <w:sdt>
              <w:sdtPr>
                <w:rPr>
                  <w:color w:val="000000"/>
                </w:rPr>
                <w:tag w:val="MENDELEY_CITATION_v3_eyJjaXRhdGlvbklEIjoiTUVOREVMRVlfQ0lUQVRJT05fODVlZTI5MmUtZDI4NS00YzQ5LWEyNzUtZjVhYjY5OTNhODJl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592853782"/>
                <w:placeholder>
                  <w:docPart w:val="8A75EFB8BE1D6C49BFCDB10710C88159"/>
                </w:placeholder>
              </w:sdtPr>
              <w:sdtContent>
                <w:r w:rsidRPr="00AB79D8">
                  <w:rPr>
                    <w:color w:val="000000"/>
                  </w:rPr>
                  <w:t>(Saddlier and Hammer, 2010)</w:t>
                </w:r>
              </w:sdtContent>
            </w:sdt>
            <w:r>
              <w:t xml:space="preserve">. The species is short lived (1 – 5 years), and likely has a low dispersal ability </w:t>
            </w:r>
            <w:sdt>
              <w:sdtPr>
                <w:rPr>
                  <w:color w:val="000000"/>
                </w:rPr>
                <w:tag w:val="MENDELEY_CITATION_v3_eyJjaXRhdGlvbklEIjoiTUVOREVMRVlfQ0lUQVRJT05fZWRiZjZiOTMtMDZjNi00NjYwLWIzNTQtMTQ0YmM0YWU4ZmJh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633485842"/>
                <w:placeholder>
                  <w:docPart w:val="8A75EFB8BE1D6C49BFCDB10710C88159"/>
                </w:placeholder>
              </w:sdtPr>
              <w:sdtContent>
                <w:r w:rsidRPr="00AB79D8">
                  <w:rPr>
                    <w:color w:val="000000"/>
                  </w:rPr>
                  <w:t>(DCCEEW, 2022)</w:t>
                </w:r>
              </w:sdtContent>
            </w:sdt>
            <w:r>
              <w:t xml:space="preserve">. The species diet is comprised of insects, insect larvae and planktonic crustaceans </w:t>
            </w:r>
            <w:sdt>
              <w:sdtPr>
                <w:rPr>
                  <w:color w:val="000000"/>
                </w:rPr>
                <w:tag w:val="MENDELEY_CITATION_v3_eyJjaXRhdGlvbklEIjoiTUVOREVMRVlfQ0lUQVRJT05fZWE3ZmE0YzctMmI3My00NWY4LTg3MjgtZmQ0Njc3OTQ5YTNj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684504589"/>
                <w:placeholder>
                  <w:docPart w:val="8A75EFB8BE1D6C49BFCDB10710C88159"/>
                </w:placeholder>
              </w:sdtPr>
              <w:sdtContent>
                <w:r w:rsidRPr="00AB79D8">
                  <w:rPr>
                    <w:color w:val="000000"/>
                  </w:rPr>
                  <w:t>(Saddlier and Hammer, 2010)</w:t>
                </w:r>
              </w:sdtContent>
            </w:sdt>
            <w:r>
              <w:t xml:space="preserve">. </w:t>
            </w:r>
          </w:p>
          <w:p w14:paraId="7DE900B1" w14:textId="77777777" w:rsidR="000B173B" w:rsidRDefault="000B173B" w:rsidP="00A15226">
            <w:pPr>
              <w:pStyle w:val="Tabletext"/>
            </w:pPr>
            <w:r>
              <w:t>The breeding ecology of the Yarra Pygmy Perch is not well known, though is assumed to be similar to the Southern Pygmy Perch, which lays non-adhesive eggs over aquatic vegetation and the substrate. Spawning occurs in spring, in water with a temperature of 16 – 24</w:t>
            </w:r>
            <w:r>
              <w:rPr>
                <w:vertAlign w:val="superscript"/>
              </w:rPr>
              <w:t>0</w:t>
            </w:r>
            <w:r>
              <w:t xml:space="preserve">C </w:t>
            </w:r>
            <w:sdt>
              <w:sdtPr>
                <w:rPr>
                  <w:color w:val="000000"/>
                </w:rPr>
                <w:tag w:val="MENDELEY_CITATION_v3_eyJjaXRhdGlvbklEIjoiTUVOREVMRVlfQ0lUQVRJT05fNWJlYWRlYmYtZWY1NS00MGNiLWI5MzAtODUyZTk4MDZlZWE4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071195080"/>
                <w:placeholder>
                  <w:docPart w:val="8A75EFB8BE1D6C49BFCDB10710C88159"/>
                </w:placeholder>
              </w:sdtPr>
              <w:sdtContent>
                <w:r w:rsidRPr="00AB79D8">
                  <w:rPr>
                    <w:color w:val="000000"/>
                  </w:rPr>
                  <w:t>(Saddlier and Hammer, 2010)</w:t>
                </w:r>
              </w:sdtContent>
            </w:sdt>
            <w:r>
              <w:t>.</w:t>
            </w:r>
          </w:p>
          <w:p w14:paraId="6ECC8A79" w14:textId="77777777" w:rsidR="000B173B" w:rsidRPr="001A5A5B" w:rsidRDefault="000B173B" w:rsidP="00A15226">
            <w:pPr>
              <w:pStyle w:val="Tabletext"/>
            </w:pPr>
            <w:r>
              <w:t xml:space="preserve">The species is found in small groups, often occurring with the Southern Pygmy Perch. The Yarra Pygmy Perch appears to prefer slightly stronger flows </w:t>
            </w:r>
            <w:sdt>
              <w:sdtPr>
                <w:rPr>
                  <w:color w:val="000000"/>
                </w:rPr>
                <w:tag w:val="MENDELEY_CITATION_v3_eyJjaXRhdGlvbklEIjoiTUVOREVMRVlfQ0lUQVRJT05fZWM5ZWQ4YTctZTc0MS00NWYyLTk2ZmUtNTQ0NDdmMWQ3YjYy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449323729"/>
                <w:placeholder>
                  <w:docPart w:val="8A75EFB8BE1D6C49BFCDB10710C88159"/>
                </w:placeholder>
              </w:sdtPr>
              <w:sdtContent>
                <w:r w:rsidRPr="00AB79D8">
                  <w:rPr>
                    <w:color w:val="000000"/>
                  </w:rPr>
                  <w:t>(Saddlier and Hammer, 2010)</w:t>
                </w:r>
              </w:sdtContent>
            </w:sdt>
            <w:r>
              <w:t xml:space="preserve">. </w:t>
            </w:r>
          </w:p>
        </w:tc>
      </w:tr>
      <w:tr w:rsidR="000B173B" w:rsidRPr="000816D6" w14:paraId="4A5E14D2" w14:textId="77777777" w:rsidTr="00A15226">
        <w:tc>
          <w:tcPr>
            <w:tcW w:w="1526" w:type="dxa"/>
            <w:vAlign w:val="center"/>
          </w:tcPr>
          <w:p w14:paraId="078A5171"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DISTRIBUTION AND HABITAT</w:t>
            </w:r>
          </w:p>
        </w:tc>
        <w:tc>
          <w:tcPr>
            <w:tcW w:w="8113" w:type="dxa"/>
            <w:vAlign w:val="center"/>
          </w:tcPr>
          <w:p w14:paraId="60631EBC" w14:textId="77777777" w:rsidR="000B173B" w:rsidRDefault="000B173B" w:rsidP="00A15226">
            <w:pPr>
              <w:pStyle w:val="Tabletext"/>
            </w:pPr>
            <w:r>
              <w:t xml:space="preserve">The species was once more widespread, though has experienced a decline in abundance and distribution since the European settlement of Australia </w:t>
            </w:r>
            <w:sdt>
              <w:sdtPr>
                <w:rPr>
                  <w:color w:val="000000"/>
                </w:rPr>
                <w:tag w:val="MENDELEY_CITATION_v3_eyJjaXRhdGlvbklEIjoiTUVOREVMRVlfQ0lUQVRJT05fMzE2NzZlYWYtOWRlMS00MzA5LTllMjQtYzNiYjlhODJkOWIw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920293665"/>
                <w:placeholder>
                  <w:docPart w:val="8A75EFB8BE1D6C49BFCDB10710C88159"/>
                </w:placeholder>
              </w:sdtPr>
              <w:sdtContent>
                <w:r w:rsidRPr="00AB79D8">
                  <w:rPr>
                    <w:color w:val="000000"/>
                  </w:rPr>
                  <w:t>(DCCEEW, 2022)</w:t>
                </w:r>
              </w:sdtContent>
            </w:sdt>
            <w:r>
              <w:t xml:space="preserve">. The Yarra Pygmy Perch is distributed from the Bunyip River basin in West Gippsland, through southern Victoria and south-east South Australia, and west near to the mouth of the Murray River. Within this range, the species has a patchy and highly fragmented distribution </w:t>
            </w:r>
            <w:sdt>
              <w:sdtPr>
                <w:rPr>
                  <w:color w:val="000000"/>
                </w:rPr>
                <w:tag w:val="MENDELEY_CITATION_v3_eyJjaXRhdGlvbklEIjoiTUVOREVMRVlfQ0lUQVRJT05fZmZlNmVlODctOGM2Mi00NWJjLWJhM2ItNWNiMDM5ZDNkYjg3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934436708"/>
                <w:placeholder>
                  <w:docPart w:val="8A75EFB8BE1D6C49BFCDB10710C88159"/>
                </w:placeholder>
              </w:sdtPr>
              <w:sdtContent>
                <w:r w:rsidRPr="00AB79D8">
                  <w:rPr>
                    <w:color w:val="000000"/>
                  </w:rPr>
                  <w:t>(Saddlier and Hammer, 2010)</w:t>
                </w:r>
              </w:sdtContent>
            </w:sdt>
            <w:r>
              <w:t xml:space="preserve">. In Victoria, it occurs in the following catchments: Corangamite, Glenelg Hopkins, Port Phillip &amp; Westernport, and Wimmera </w:t>
            </w:r>
            <w:sdt>
              <w:sdtPr>
                <w:rPr>
                  <w:color w:val="000000"/>
                </w:rPr>
                <w:tag w:val="MENDELEY_CITATION_v3_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"/>
                <w:id w:val="-327519682"/>
                <w:placeholder>
                  <w:docPart w:val="8A75EFB8BE1D6C49BFCDB10710C88159"/>
                </w:placeholder>
              </w:sdtPr>
              <w:sdtContent>
                <w:r w:rsidRPr="00AB79D8">
                  <w:rPr>
                    <w:color w:val="000000"/>
                  </w:rPr>
                  <w:t>(DELWP, 2015b)</w:t>
                </w:r>
              </w:sdtContent>
            </w:sdt>
            <w:r>
              <w:t>.</w:t>
            </w:r>
          </w:p>
          <w:p w14:paraId="559F0576" w14:textId="77777777" w:rsidR="000B173B" w:rsidRDefault="000B173B" w:rsidP="00A15226">
            <w:pPr>
              <w:pStyle w:val="Tabletext"/>
            </w:pPr>
            <w:r>
              <w:t xml:space="preserve">The range of the species coincides with Victoria’s volcanic region. Most streams are alkaline with a high mineral content </w:t>
            </w:r>
            <w:sdt>
              <w:sdtPr>
                <w:rPr>
                  <w:color w:val="000000"/>
                </w:rPr>
                <w:tag w:val="MENDELEY_CITATION_v3_eyJjaXRhdGlvbklEIjoiTUVOREVMRVlfQ0lUQVRJT05fMjcyNzdjYmUtYzUwYS00ZWM1LTg3NDUtNGIzNzA3YjE5NWE0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513337972"/>
                <w:placeholder>
                  <w:docPart w:val="8A75EFB8BE1D6C49BFCDB10710C88159"/>
                </w:placeholder>
              </w:sdtPr>
              <w:sdtContent>
                <w:r w:rsidRPr="00AB79D8">
                  <w:rPr>
                    <w:color w:val="000000"/>
                  </w:rPr>
                  <w:t>(DCCEEW, 2022)</w:t>
                </w:r>
              </w:sdtContent>
            </w:sdt>
            <w:r>
              <w:t>.</w:t>
            </w:r>
          </w:p>
          <w:p w14:paraId="50A160AD" w14:textId="77777777" w:rsidR="000B173B" w:rsidRDefault="000B173B" w:rsidP="00A15226">
            <w:pPr>
              <w:pStyle w:val="Tabletext"/>
            </w:pPr>
            <w:r>
              <w:t xml:space="preserve">The species occurs in slow-flowing or still water, which is characterised by large amounts of aquatic vegetation, including lakes, ponds and slow-flowing rivers </w:t>
            </w:r>
            <w:sdt>
              <w:sdtPr>
                <w:rPr>
                  <w:color w:val="000000"/>
                </w:rPr>
                <w:tag w:val="MENDELEY_CITATION_v3_eyJjaXRhdGlvbklEIjoiTUVOREVMRVlfQ0lUQVRJT05fODMxYzc2ZjgtNzg0Ny00ZDQ3LTg5ZTktMzUyMTM1ZDBmOGMz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631983334"/>
                <w:placeholder>
                  <w:docPart w:val="8A75EFB8BE1D6C49BFCDB10710C88159"/>
                </w:placeholder>
              </w:sdtPr>
              <w:sdtContent>
                <w:r w:rsidRPr="00AB79D8">
                  <w:rPr>
                    <w:color w:val="000000"/>
                  </w:rPr>
                  <w:t>(Saddlier and Hammer, 2010)</w:t>
                </w:r>
              </w:sdtContent>
            </w:sdt>
            <w:r>
              <w:t xml:space="preserve">. It prefers small-medium sized freshwater streams that are relatively shallow (1 – 2 m) and with a moderate to high flow </w:t>
            </w:r>
            <w:sdt>
              <w:sdtPr>
                <w:rPr>
                  <w:color w:val="000000"/>
                </w:rPr>
                <w:tag w:val="MENDELEY_CITATION_v3_eyJjaXRhdGlvbklEIjoiTUVOREVMRVlfQ0lUQVRJT05fNTE1NDlkYjAtMDAxMy00MGQzLTk4NTgtMTM4YTA2ZDgzMjZm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460100278"/>
                <w:placeholder>
                  <w:docPart w:val="8A75EFB8BE1D6C49BFCDB10710C88159"/>
                </w:placeholder>
              </w:sdtPr>
              <w:sdtContent>
                <w:r w:rsidRPr="00AB79D8">
                  <w:rPr>
                    <w:color w:val="000000"/>
                  </w:rPr>
                  <w:t>(DCCEEW, 2022)</w:t>
                </w:r>
              </w:sdtContent>
            </w:sdt>
            <w:r>
              <w:t>.</w:t>
            </w:r>
          </w:p>
          <w:p w14:paraId="5A069A66" w14:textId="77777777" w:rsidR="000B173B" w:rsidRPr="003E1ADD" w:rsidRDefault="000B173B" w:rsidP="00A15226">
            <w:pPr>
              <w:pStyle w:val="Tabletext"/>
            </w:pPr>
            <w:r>
              <w:t xml:space="preserve">The fragmented nature of remaining habitat, and habitat variability between seasons and years, makes the species vulnerable to local extinctions. Reduced flooding and loss of habitat linkages reduces the capacity of the species to recolonise habitats </w:t>
            </w:r>
            <w:sdt>
              <w:sdtPr>
                <w:rPr>
                  <w:color w:val="000000"/>
                </w:rPr>
                <w:tag w:val="MENDELEY_CITATION_v3_eyJjaXRhdGlvbklEIjoiTUVOREVMRVlfQ0lUQVRJT05fM2JjMTE5NzQtMjhkNC00YzFkLTgzMDctNTQwZjI3MjgwYTYx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2107919991"/>
                <w:placeholder>
                  <w:docPart w:val="8A75EFB8BE1D6C49BFCDB10710C88159"/>
                </w:placeholder>
              </w:sdtPr>
              <w:sdtContent>
                <w:r w:rsidRPr="00AB79D8">
                  <w:rPr>
                    <w:color w:val="000000"/>
                  </w:rPr>
                  <w:t>(Saddlier and Hammer, 2010)</w:t>
                </w:r>
              </w:sdtContent>
            </w:sdt>
            <w:r>
              <w:t>.</w:t>
            </w:r>
          </w:p>
        </w:tc>
      </w:tr>
      <w:tr w:rsidR="000B173B" w:rsidRPr="000816D6" w14:paraId="5E0D361A" w14:textId="77777777" w:rsidTr="00A15226">
        <w:tc>
          <w:tcPr>
            <w:tcW w:w="1526" w:type="dxa"/>
            <w:vAlign w:val="center"/>
          </w:tcPr>
          <w:p w14:paraId="165186FF"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 xml:space="preserve">POPULATIONS </w:t>
            </w:r>
          </w:p>
        </w:tc>
        <w:tc>
          <w:tcPr>
            <w:tcW w:w="8113" w:type="dxa"/>
            <w:vAlign w:val="center"/>
          </w:tcPr>
          <w:p w14:paraId="50B49BC9" w14:textId="77777777" w:rsidR="000B173B" w:rsidRDefault="000B173B" w:rsidP="00A15226">
            <w:pPr>
              <w:pStyle w:val="Tabletext"/>
            </w:pPr>
            <w:r>
              <w:t xml:space="preserve">Some populations of the Yarra Pygmy Perch are tiny and occur in limited ephemeral habitat, while others are large and extensive, occurring in permanent waterways </w:t>
            </w:r>
            <w:sdt>
              <w:sdtPr>
                <w:rPr>
                  <w:color w:val="000000"/>
                </w:rPr>
                <w:tag w:val="MENDELEY_CITATION_v3_eyJjaXRhdGlvbklEIjoiTUVOREVMRVlfQ0lUQVRJT05fODU0MDRiZjQtYTQzMC00OGY0LTg3NzktMjM2NmM5ZDYwODU3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285284137"/>
                <w:placeholder>
                  <w:docPart w:val="8A75EFB8BE1D6C49BFCDB10710C88159"/>
                </w:placeholder>
              </w:sdtPr>
              <w:sdtContent>
                <w:r w:rsidRPr="00AB79D8">
                  <w:rPr>
                    <w:color w:val="000000"/>
                  </w:rPr>
                  <w:t>(Saddlier and Hammer, 2010)</w:t>
                </w:r>
              </w:sdtContent>
            </w:sdt>
            <w:r>
              <w:rPr>
                <w:iCs/>
              </w:rPr>
              <w:t xml:space="preserve">. </w:t>
            </w:r>
            <w:r>
              <w:t xml:space="preserve">Remnant populations are substantially fragmented and depleted due to wetland drainage, modification and river regulation </w:t>
            </w:r>
            <w:sdt>
              <w:sdtPr>
                <w:rPr>
                  <w:color w:val="000000"/>
                </w:rPr>
                <w:tag w:val="MENDELEY_CITATION_v3_eyJjaXRhdGlvbklEIjoiTUVOREVMRVlfQ0lUQVRJT05fMmIwNWVkZDYtODYzMi00MjUyLTgyZjgtYmIzMTM0NDA1ZmVh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387689290"/>
                <w:placeholder>
                  <w:docPart w:val="8A75EFB8BE1D6C49BFCDB10710C88159"/>
                </w:placeholder>
              </w:sdtPr>
              <w:sdtContent>
                <w:r w:rsidRPr="00AB79D8">
                  <w:rPr>
                    <w:color w:val="000000"/>
                  </w:rPr>
                  <w:t>(DCCEEW, 2022)</w:t>
                </w:r>
              </w:sdtContent>
            </w:sdt>
            <w:r>
              <w:t>.</w:t>
            </w:r>
          </w:p>
          <w:p w14:paraId="3BC93BDF" w14:textId="77777777" w:rsidR="000B173B" w:rsidRDefault="000B173B" w:rsidP="00A15226">
            <w:pPr>
              <w:pStyle w:val="Tabletext"/>
            </w:pPr>
            <w:r>
              <w:t xml:space="preserve">As of 2010, the species had been recorded from 42 sites across Victoria and South Australia, of these, four were thought to be extinct </w:t>
            </w:r>
            <w:sdt>
              <w:sdtPr>
                <w:rPr>
                  <w:color w:val="000000"/>
                </w:rPr>
                <w:tag w:val="MENDELEY_CITATION_v3_eyJjaXRhdGlvbklEIjoiTUVOREVMRVlfQ0lUQVRJT05fZDUwYzBmZWMtYTgxMS00NzQ0LWI2ZTEtOWJkMmY1NjEwZTFi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776742733"/>
                <w:placeholder>
                  <w:docPart w:val="8A75EFB8BE1D6C49BFCDB10710C88159"/>
                </w:placeholder>
              </w:sdtPr>
              <w:sdtContent>
                <w:r w:rsidRPr="00AB79D8">
                  <w:rPr>
                    <w:color w:val="000000"/>
                  </w:rPr>
                  <w:t>(Saddlier and Hammer, 2010)</w:t>
                </w:r>
              </w:sdtContent>
            </w:sdt>
            <w:r>
              <w:t xml:space="preserve">. In 2002, major Victorian populations were thought to occur between the Barwon River and the South-Australia border </w:t>
            </w:r>
            <w:sdt>
              <w:sdtPr>
                <w:rPr>
                  <w:color w:val="000000"/>
                </w:rPr>
                <w:tag w:val="MENDELEY_CITATION_v3_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"/>
                <w:id w:val="1447042218"/>
                <w:placeholder>
                  <w:docPart w:val="8A75EFB8BE1D6C49BFCDB10710C88159"/>
                </w:placeholder>
              </w:sdtPr>
              <w:sdtContent>
                <w:r w:rsidRPr="00AB79D8">
                  <w:rPr>
                    <w:color w:val="000000"/>
                  </w:rPr>
                  <w:t>(DCCEEW, 2022)</w:t>
                </w:r>
              </w:sdtContent>
            </w:sdt>
            <w:r>
              <w:t xml:space="preserve">. However, as few surveys have been recently conducted in Victoria, current population status and trends are unknown </w:t>
            </w:r>
            <w:sdt>
              <w:sdtPr>
                <w:rPr>
                  <w:color w:val="000000"/>
                </w:rPr>
                <w:tag w:val="MENDELEY_CITATION_v3_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"/>
                <w:id w:val="672998007"/>
                <w:placeholder>
                  <w:docPart w:val="8A75EFB8BE1D6C49BFCDB10710C88159"/>
                </w:placeholder>
              </w:sdtPr>
              <w:sdtContent>
                <w:r w:rsidRPr="00AB79D8">
                  <w:rPr>
                    <w:color w:val="000000"/>
                  </w:rPr>
                  <w:t>(DELWP, 2015b)</w:t>
                </w:r>
              </w:sdtContent>
            </w:sdt>
            <w:r>
              <w:t>.</w:t>
            </w:r>
          </w:p>
          <w:p w14:paraId="320AA949" w14:textId="77777777" w:rsidR="000B173B" w:rsidRPr="003E1ADD" w:rsidRDefault="000B173B" w:rsidP="00A15226">
            <w:pPr>
              <w:pStyle w:val="Tabletext"/>
            </w:pPr>
            <w:r>
              <w:t xml:space="preserve">The species has moderate levels of genetic diversity between sites which implies poor dispersal ability. Four Evolutionary Significant Units have been identified based on genetic criteria: 1. Murray Darling Basin, 2. Glenelg River Basin, Millicent Coast and Mount Emu Creek, 3. Rivers </w:t>
            </w:r>
            <w:r>
              <w:lastRenderedPageBreak/>
              <w:t xml:space="preserve">including and immediately surrounding the Merri catchment, and 4. Eastern range populations </w:t>
            </w:r>
            <w:sdt>
              <w:sdtPr>
                <w:rPr>
                  <w:color w:val="000000"/>
                </w:rPr>
                <w:tag w:val="MENDELEY_CITATION_v3_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"/>
                <w:id w:val="649098721"/>
                <w:placeholder>
                  <w:docPart w:val="8A75EFB8BE1D6C49BFCDB10710C88159"/>
                </w:placeholder>
              </w:sdtPr>
              <w:sdtContent>
                <w:r w:rsidRPr="00AB79D8">
                  <w:rPr>
                    <w:color w:val="000000"/>
                  </w:rPr>
                  <w:t>(DELWP, 2015b)</w:t>
                </w:r>
              </w:sdtContent>
            </w:sdt>
            <w:r>
              <w:t>.</w:t>
            </w:r>
          </w:p>
        </w:tc>
      </w:tr>
      <w:tr w:rsidR="000B173B" w:rsidRPr="002F23FB" w14:paraId="10AF01B8" w14:textId="77777777" w:rsidTr="00A15226">
        <w:tc>
          <w:tcPr>
            <w:tcW w:w="1526" w:type="dxa"/>
            <w:vAlign w:val="center"/>
          </w:tcPr>
          <w:p w14:paraId="3BE16274" w14:textId="77777777" w:rsidR="000B173B" w:rsidRPr="000816D6" w:rsidRDefault="000B173B" w:rsidP="00A15226">
            <w:pPr>
              <w:pStyle w:val="Tabletext"/>
              <w:rPr>
                <w:rFonts w:ascii="Helvetica" w:hAnsi="Helvetica"/>
                <w:b/>
                <w:bCs/>
                <w:sz w:val="14"/>
              </w:rPr>
            </w:pPr>
            <w:r>
              <w:rPr>
                <w:rFonts w:ascii="Helvetica" w:hAnsi="Helvetica"/>
                <w:b/>
                <w:bCs/>
                <w:sz w:val="14"/>
              </w:rPr>
              <w:lastRenderedPageBreak/>
              <w:t>THREATS</w:t>
            </w:r>
          </w:p>
        </w:tc>
        <w:tc>
          <w:tcPr>
            <w:tcW w:w="8113" w:type="dxa"/>
            <w:vAlign w:val="center"/>
          </w:tcPr>
          <w:p w14:paraId="508AE244" w14:textId="77777777" w:rsidR="000B173B" w:rsidRDefault="000B173B" w:rsidP="00A15226">
            <w:pPr>
              <w:pStyle w:val="Tabletext"/>
              <w:keepNext/>
            </w:pPr>
            <w:r>
              <w:t xml:space="preserve">The species Recovery Plan has identified the following threats </w:t>
            </w:r>
            <w:sdt>
              <w:sdtPr>
                <w:rPr>
                  <w:color w:val="000000"/>
                </w:rPr>
                <w:tag w:val="MENDELEY_CITATION_v3_eyJjaXRhdGlvbklEIjoiTUVOREVMRVlfQ0lUQVRJT05fMzg5ZDgzNjQtNzExMS00NjQxLWI5ZDgtNjk4OWIzZjRjNjNl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636327907"/>
                <w:placeholder>
                  <w:docPart w:val="8A75EFB8BE1D6C49BFCDB10710C88159"/>
                </w:placeholder>
              </w:sdtPr>
              <w:sdtContent>
                <w:r w:rsidRPr="00AB79D8">
                  <w:rPr>
                    <w:color w:val="000000"/>
                  </w:rPr>
                  <w:t>(Saddlier and Hammer, 2010)</w:t>
                </w:r>
              </w:sdtContent>
            </w:sdt>
            <w:r>
              <w:t>:</w:t>
            </w:r>
          </w:p>
          <w:p w14:paraId="7B173AA5" w14:textId="77777777" w:rsidR="000B173B" w:rsidRDefault="000B173B" w:rsidP="00A15226">
            <w:pPr>
              <w:pStyle w:val="Bullet1"/>
            </w:pPr>
            <w:r>
              <w:t>Degradation and loss of habitat due to:</w:t>
            </w:r>
          </w:p>
          <w:p w14:paraId="4531B404" w14:textId="77777777" w:rsidR="000B173B" w:rsidRDefault="000B173B" w:rsidP="00A15226">
            <w:pPr>
              <w:pStyle w:val="Bullet2"/>
            </w:pPr>
            <w:r>
              <w:t>Drainage of wetlands</w:t>
            </w:r>
          </w:p>
          <w:p w14:paraId="1ED3E2D5" w14:textId="77777777" w:rsidR="000B173B" w:rsidRDefault="000B173B" w:rsidP="00A15226">
            <w:pPr>
              <w:pStyle w:val="Bullet2"/>
            </w:pPr>
            <w:r>
              <w:t>Unrestricted stock access</w:t>
            </w:r>
          </w:p>
          <w:p w14:paraId="41B1D601" w14:textId="77777777" w:rsidR="000B173B" w:rsidRDefault="000B173B" w:rsidP="00A15226">
            <w:pPr>
              <w:pStyle w:val="Bullet2"/>
            </w:pPr>
            <w:r>
              <w:t>Reduction in water quality due to increased nutrient runoff and sedimentation</w:t>
            </w:r>
          </w:p>
          <w:p w14:paraId="5E6BA8EC" w14:textId="77777777" w:rsidR="000B173B" w:rsidRDefault="000B173B" w:rsidP="00A15226">
            <w:pPr>
              <w:pStyle w:val="Bullet2"/>
            </w:pPr>
            <w:r>
              <w:t>Ploughing wetlands when they are dry</w:t>
            </w:r>
          </w:p>
          <w:p w14:paraId="633C474A" w14:textId="77777777" w:rsidR="000B173B" w:rsidRDefault="000B173B" w:rsidP="00A15226">
            <w:pPr>
              <w:pStyle w:val="Bullet1"/>
            </w:pPr>
            <w:r>
              <w:t>Alteration to flow regimes</w:t>
            </w:r>
          </w:p>
          <w:p w14:paraId="1A87CEC2" w14:textId="77777777" w:rsidR="000B173B" w:rsidRDefault="000B173B" w:rsidP="00A15226">
            <w:pPr>
              <w:pStyle w:val="Bullet1"/>
            </w:pPr>
            <w:r>
              <w:t>Climate change, including decline in rainfall, increasing temperatures and increasing evaporation</w:t>
            </w:r>
          </w:p>
          <w:p w14:paraId="67139907" w14:textId="77777777" w:rsidR="000B173B" w:rsidRDefault="000B173B" w:rsidP="00A15226">
            <w:pPr>
              <w:pStyle w:val="Bullet1"/>
            </w:pPr>
            <w:r>
              <w:t>Introducing aquatic species including the Redfin Perch, Brown Trout and Rainbow Trout</w:t>
            </w:r>
          </w:p>
          <w:p w14:paraId="75E2965A" w14:textId="77777777" w:rsidR="000B173B" w:rsidRPr="003E1ADD" w:rsidRDefault="000B173B" w:rsidP="00A15226">
            <w:pPr>
              <w:pStyle w:val="Bullet1"/>
            </w:pPr>
            <w:r>
              <w:t>Illegal collection</w:t>
            </w:r>
          </w:p>
        </w:tc>
      </w:tr>
      <w:tr w:rsidR="000B173B" w:rsidRPr="002F23FB" w14:paraId="1D4E548C" w14:textId="77777777" w:rsidTr="00A15226">
        <w:tc>
          <w:tcPr>
            <w:tcW w:w="1526" w:type="dxa"/>
            <w:vAlign w:val="center"/>
          </w:tcPr>
          <w:p w14:paraId="24E1AF76"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RELEVANT PLANS AND POLICIES</w:t>
            </w:r>
          </w:p>
        </w:tc>
        <w:tc>
          <w:tcPr>
            <w:tcW w:w="8113" w:type="dxa"/>
            <w:vAlign w:val="center"/>
          </w:tcPr>
          <w:p w14:paraId="0114FD84" w14:textId="77777777" w:rsidR="000B173B" w:rsidRPr="002D3B63" w:rsidRDefault="000B173B" w:rsidP="00A15226">
            <w:pPr>
              <w:pStyle w:val="Tabletext"/>
              <w:rPr>
                <w:iCs/>
              </w:rPr>
            </w:pPr>
            <w:r w:rsidRPr="0044352B">
              <w:rPr>
                <w:iCs/>
              </w:rPr>
              <w:t>National Recovery Plan for the Yarra Pygmy Perch (</w:t>
            </w:r>
            <w:r w:rsidRPr="003772DC">
              <w:rPr>
                <w:i/>
              </w:rPr>
              <w:t>Nannoperca obscura</w:t>
            </w:r>
            <w:r w:rsidRPr="0044352B">
              <w:rPr>
                <w:iCs/>
              </w:rPr>
              <w:t>)</w:t>
            </w:r>
            <w:r>
              <w:rPr>
                <w:iCs/>
              </w:rPr>
              <w:t xml:space="preserve"> </w:t>
            </w:r>
            <w:sdt>
              <w:sdtPr>
                <w:rPr>
                  <w:iCs/>
                  <w:color w:val="000000"/>
                </w:rPr>
                <w:tag w:val="MENDELEY_CITATION_v3_eyJjaXRhdGlvbklEIjoiTUVOREVMRVlfQ0lUQVRJT05fOWE4YmVlNzQtMTY4NC00ZTdkLTkxZjItOTQ1MTE0MTNlZThm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2110770734"/>
                <w:placeholder>
                  <w:docPart w:val="8A75EFB8BE1D6C49BFCDB10710C88159"/>
                </w:placeholder>
              </w:sdtPr>
              <w:sdtEndPr>
                <w:rPr>
                  <w:iCs w:val="0"/>
                </w:rPr>
              </w:sdtEndPr>
              <w:sdtContent>
                <w:r w:rsidRPr="00AB79D8">
                  <w:rPr>
                    <w:color w:val="000000"/>
                  </w:rPr>
                  <w:t>(Saddlier and Hammer, 2010)</w:t>
                </w:r>
              </w:sdtContent>
            </w:sdt>
          </w:p>
        </w:tc>
      </w:tr>
      <w:tr w:rsidR="000B173B" w:rsidRPr="000816D6" w14:paraId="5C5BF2F2" w14:textId="77777777" w:rsidTr="00A15226">
        <w:tc>
          <w:tcPr>
            <w:tcW w:w="1526" w:type="dxa"/>
            <w:vAlign w:val="center"/>
          </w:tcPr>
          <w:p w14:paraId="610E3D0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SPECIES-SPECIFIC GUIDELINES</w:t>
            </w:r>
          </w:p>
        </w:tc>
        <w:tc>
          <w:tcPr>
            <w:tcW w:w="8113" w:type="dxa"/>
            <w:vAlign w:val="center"/>
          </w:tcPr>
          <w:p w14:paraId="7A48F7EB" w14:textId="77777777" w:rsidR="000B173B" w:rsidRPr="00047780" w:rsidRDefault="000B173B" w:rsidP="00A15226">
            <w:pPr>
              <w:pStyle w:val="Tabletext"/>
            </w:pPr>
            <w:r w:rsidRPr="00D803F9">
              <w:t>Survey guidelines for Australia's threatened fish. EPBC Act survey guidelines 6.4</w:t>
            </w:r>
            <w:r>
              <w:t xml:space="preserve"> </w:t>
            </w:r>
            <w:sdt>
              <w:sdtPr>
                <w:rPr>
                  <w:color w:val="000000"/>
                </w:rPr>
                <w:tag w:val="MENDELEY_CITATION_v3_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"/>
                <w:id w:val="-1610415387"/>
                <w:placeholder>
                  <w:docPart w:val="8A75EFB8BE1D6C49BFCDB10710C88159"/>
                </w:placeholder>
              </w:sdtPr>
              <w:sdtContent>
                <w:r w:rsidRPr="00AB79D8">
                  <w:rPr>
                    <w:color w:val="000000"/>
                  </w:rPr>
                  <w:t>(DSEWPaC, 2011)</w:t>
                </w:r>
              </w:sdtContent>
            </w:sdt>
          </w:p>
        </w:tc>
      </w:tr>
      <w:tr w:rsidR="000B173B" w:rsidRPr="000816D6" w14:paraId="5D22617C" w14:textId="77777777" w:rsidTr="00A15226">
        <w:tc>
          <w:tcPr>
            <w:tcW w:w="1526" w:type="dxa"/>
            <w:vAlign w:val="center"/>
          </w:tcPr>
          <w:p w14:paraId="4E84226D" w14:textId="77777777" w:rsidR="000B173B" w:rsidRPr="000816D6" w:rsidRDefault="000B173B" w:rsidP="00A15226">
            <w:pPr>
              <w:pStyle w:val="Tabletext"/>
              <w:rPr>
                <w:rFonts w:ascii="Helvetica" w:hAnsi="Helvetica"/>
                <w:b/>
                <w:bCs/>
                <w:sz w:val="14"/>
              </w:rPr>
            </w:pPr>
            <w:r w:rsidRPr="000816D6">
              <w:rPr>
                <w:rFonts w:ascii="Helvetica" w:hAnsi="Helvetica"/>
                <w:b/>
                <w:bCs/>
                <w:sz w:val="14"/>
              </w:rPr>
              <w:t>SPRAT LINK</w:t>
            </w:r>
          </w:p>
        </w:tc>
        <w:tc>
          <w:tcPr>
            <w:tcW w:w="8113" w:type="dxa"/>
            <w:vAlign w:val="center"/>
          </w:tcPr>
          <w:p w14:paraId="3E299ABF" w14:textId="77777777" w:rsidR="000B173B" w:rsidRPr="003E1ADD" w:rsidRDefault="000B173B" w:rsidP="00A15226">
            <w:pPr>
              <w:pStyle w:val="Tabletext"/>
            </w:pPr>
            <w:hyperlink r:id="rId159" w:history="1">
              <w:r w:rsidRPr="007473F6">
                <w:rPr>
                  <w:rStyle w:val="Hyperlink"/>
                </w:rPr>
                <w:t>http://www.environment.gov.au/cgi-bin/sprat/public/publicspecies.pl?taxon_id=26177</w:t>
              </w:r>
            </w:hyperlink>
            <w:r>
              <w:t xml:space="preserve"> </w:t>
            </w:r>
          </w:p>
        </w:tc>
      </w:tr>
    </w:tbl>
    <w:p w14:paraId="0B02B28F"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77ABE95F" w14:textId="77777777" w:rsidTr="00A15226">
        <w:tc>
          <w:tcPr>
            <w:tcW w:w="9622" w:type="dxa"/>
            <w:shd w:val="clear" w:color="auto" w:fill="C9C9C9" w:themeFill="accent3" w:themeFillTint="99"/>
          </w:tcPr>
          <w:p w14:paraId="0188C9A1" w14:textId="77777777" w:rsidR="000B173B" w:rsidRPr="008F55BC" w:rsidRDefault="000B173B" w:rsidP="00A15226">
            <w:pPr>
              <w:pStyle w:val="Tabletext"/>
              <w:rPr>
                <w:b/>
                <w:bCs/>
              </w:rPr>
            </w:pPr>
            <w:r>
              <w:rPr>
                <w:rFonts w:ascii="Helvetica" w:hAnsi="Helvetica"/>
                <w:b/>
                <w:sz w:val="16"/>
                <w:szCs w:val="16"/>
              </w:rPr>
              <w:t>APPROACH TO BASELINE DATA</w:t>
            </w:r>
          </w:p>
        </w:tc>
      </w:tr>
    </w:tbl>
    <w:p w14:paraId="1924D115" w14:textId="77777777" w:rsidR="000B173B" w:rsidRPr="0007741A" w:rsidRDefault="000B173B" w:rsidP="000B173B">
      <w:pPr>
        <w:rPr>
          <w:i/>
          <w:iCs/>
          <w:color w:val="4472C4" w:themeColor="accent1"/>
        </w:rPr>
      </w:pPr>
      <w:r w:rsidRPr="0007741A">
        <w:rPr>
          <w:i/>
          <w:iCs/>
          <w:color w:val="4472C4" w:themeColor="accent1"/>
        </w:rPr>
        <w:t>This section provides a summary of the baseline information used in the assessment. It sets out:</w:t>
      </w:r>
    </w:p>
    <w:p w14:paraId="3475E354" w14:textId="77777777" w:rsidR="000B173B" w:rsidRPr="0007741A" w:rsidRDefault="000B173B" w:rsidP="000B173B">
      <w:pPr>
        <w:pStyle w:val="Bullet1"/>
        <w:rPr>
          <w:i/>
          <w:iCs/>
          <w:color w:val="4472C4" w:themeColor="accent1"/>
        </w:rPr>
      </w:pPr>
      <w:r w:rsidRPr="0007741A">
        <w:rPr>
          <w:i/>
          <w:iCs/>
          <w:color w:val="4472C4" w:themeColor="accent1"/>
        </w:rPr>
        <w:t xml:space="preserve">An overview of the habitat mapping for the species within and outside the </w:t>
      </w:r>
      <w:r>
        <w:rPr>
          <w:i/>
          <w:iCs/>
          <w:color w:val="4472C4" w:themeColor="accent1"/>
        </w:rPr>
        <w:t>Growth Areas</w:t>
      </w:r>
    </w:p>
    <w:p w14:paraId="299ED90C" w14:textId="77777777" w:rsidR="000B173B" w:rsidRDefault="000B173B" w:rsidP="000B173B">
      <w:pPr>
        <w:pStyle w:val="Bullet1"/>
        <w:rPr>
          <w:i/>
          <w:iCs/>
          <w:color w:val="4472C4" w:themeColor="accent1"/>
        </w:rPr>
      </w:pPr>
      <w:r w:rsidRPr="0007741A">
        <w:rPr>
          <w:i/>
          <w:iCs/>
          <w:color w:val="4472C4" w:themeColor="accent1"/>
        </w:rPr>
        <w:t>An overview of the population mapping for the species</w:t>
      </w:r>
    </w:p>
    <w:p w14:paraId="4DF9586E" w14:textId="77777777" w:rsidR="000B173B" w:rsidRPr="00296917" w:rsidRDefault="000B173B" w:rsidP="000B173B">
      <w:pPr>
        <w:rPr>
          <w:i/>
          <w:color w:val="4472C4" w:themeColor="accent1"/>
        </w:rPr>
      </w:pPr>
      <w:r w:rsidRPr="000816D6">
        <w:rPr>
          <w:i/>
          <w:color w:val="4472C4" w:themeColor="accent1"/>
        </w:rPr>
        <w:t xml:space="preserve">Please refer to </w:t>
      </w:r>
      <w:r w:rsidRPr="006900FB">
        <w:rPr>
          <w:i/>
          <w:color w:val="4472C4" w:themeColor="accent1"/>
        </w:rPr>
        <w:t>Chapter 13</w:t>
      </w:r>
      <w:r w:rsidRPr="008A0753">
        <w:rPr>
          <w:i/>
          <w:color w:val="4472C4" w:themeColor="accent1"/>
        </w:rPr>
        <w:t xml:space="preserve"> for</w:t>
      </w:r>
      <w:r w:rsidRPr="000816D6">
        <w:rPr>
          <w:i/>
          <w:color w:val="4472C4" w:themeColor="accent1"/>
        </w:rPr>
        <w:t xml:space="preserve"> further details about the </w:t>
      </w:r>
      <w:r>
        <w:rPr>
          <w:i/>
          <w:color w:val="4472C4" w:themeColor="accent1"/>
        </w:rPr>
        <w:t xml:space="preserve">approach to </w:t>
      </w:r>
      <w:r w:rsidRPr="000816D6">
        <w:rPr>
          <w:i/>
          <w:color w:val="4472C4" w:themeColor="accent1"/>
        </w:rPr>
        <w:t xml:space="preserve">threatened species baseline data, including </w:t>
      </w:r>
      <w:r>
        <w:rPr>
          <w:i/>
          <w:color w:val="4472C4" w:themeColor="accent1"/>
        </w:rPr>
        <w:t>a description of the different types and sources of data, as well as some discussion on the interpretation and suitability of the data for use in the impact assessment.</w:t>
      </w:r>
    </w:p>
    <w:tbl>
      <w:tblPr>
        <w:tblStyle w:val="TableGrid"/>
        <w:tblW w:w="963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26"/>
        <w:gridCol w:w="8113"/>
      </w:tblGrid>
      <w:tr w:rsidR="000B173B" w:rsidRPr="00980D4D" w14:paraId="39041D97" w14:textId="77777777" w:rsidTr="00A15226">
        <w:tc>
          <w:tcPr>
            <w:tcW w:w="1526" w:type="dxa"/>
            <w:vMerge w:val="restart"/>
            <w:vAlign w:val="center"/>
          </w:tcPr>
          <w:p w14:paraId="71C26134" w14:textId="77777777" w:rsidR="000B173B" w:rsidRDefault="000B173B" w:rsidP="00A15226">
            <w:pPr>
              <w:pStyle w:val="Tabletext"/>
              <w:rPr>
                <w:rFonts w:ascii="Helvetica" w:hAnsi="Helvetica"/>
                <w:b/>
                <w:bCs/>
                <w:sz w:val="14"/>
              </w:rPr>
            </w:pPr>
            <w:r>
              <w:rPr>
                <w:rFonts w:ascii="Helvetica" w:hAnsi="Helvetica"/>
                <w:b/>
                <w:bCs/>
                <w:sz w:val="14"/>
              </w:rPr>
              <w:t>HABITAT MAPPING</w:t>
            </w:r>
          </w:p>
        </w:tc>
        <w:tc>
          <w:tcPr>
            <w:tcW w:w="8113" w:type="dxa"/>
            <w:shd w:val="clear" w:color="auto" w:fill="B4C6E7" w:themeFill="accent1" w:themeFillTint="66"/>
            <w:vAlign w:val="center"/>
          </w:tcPr>
          <w:p w14:paraId="491801A6" w14:textId="77777777" w:rsidR="000B173B" w:rsidRDefault="000B173B" w:rsidP="00A15226">
            <w:pPr>
              <w:pStyle w:val="Bullet1"/>
              <w:numPr>
                <w:ilvl w:val="0"/>
                <w:numId w:val="0"/>
              </w:numPr>
              <w:ind w:left="360" w:hanging="360"/>
            </w:pPr>
            <w:r w:rsidRPr="000816D6">
              <w:rPr>
                <w:rFonts w:ascii="Helvetica" w:hAnsi="Helvetica"/>
                <w:b/>
                <w:bCs/>
                <w:sz w:val="14"/>
              </w:rPr>
              <w:t xml:space="preserve">WITHIN THE </w:t>
            </w:r>
            <w:r>
              <w:rPr>
                <w:rFonts w:ascii="Helvetica" w:hAnsi="Helvetica"/>
                <w:b/>
                <w:bCs/>
                <w:sz w:val="14"/>
              </w:rPr>
              <w:t>SURVEYED AREAS OF THE GROWTH AREAS</w:t>
            </w:r>
          </w:p>
        </w:tc>
      </w:tr>
      <w:tr w:rsidR="000B173B" w:rsidRPr="00980D4D" w14:paraId="107888D7" w14:textId="77777777" w:rsidTr="00A15226">
        <w:tc>
          <w:tcPr>
            <w:tcW w:w="1526" w:type="dxa"/>
            <w:vMerge/>
            <w:vAlign w:val="center"/>
          </w:tcPr>
          <w:p w14:paraId="6DEFECFD" w14:textId="77777777" w:rsidR="000B173B" w:rsidRDefault="000B173B" w:rsidP="00A15226">
            <w:pPr>
              <w:pStyle w:val="Tabletext"/>
              <w:rPr>
                <w:rFonts w:ascii="Helvetica" w:hAnsi="Helvetica"/>
                <w:b/>
                <w:bCs/>
                <w:sz w:val="14"/>
              </w:rPr>
            </w:pPr>
          </w:p>
        </w:tc>
        <w:tc>
          <w:tcPr>
            <w:tcW w:w="8113" w:type="dxa"/>
            <w:vAlign w:val="center"/>
          </w:tcPr>
          <w:p w14:paraId="28639C86" w14:textId="77777777" w:rsidR="000B173B" w:rsidRPr="00C15BA8" w:rsidRDefault="000B173B" w:rsidP="00A15226">
            <w:pPr>
              <w:pStyle w:val="Tabletext"/>
              <w:rPr>
                <w:color w:val="000000" w:themeColor="text1"/>
              </w:rPr>
            </w:pPr>
            <w:r w:rsidRPr="00C15BA8">
              <w:rPr>
                <w:color w:val="000000" w:themeColor="text1"/>
              </w:rPr>
              <w:t>Potential habitat for the species has been mapped in the Moorabool River adjacent to the WGGA.</w:t>
            </w:r>
          </w:p>
        </w:tc>
      </w:tr>
      <w:tr w:rsidR="000B173B" w:rsidRPr="00980D4D" w14:paraId="6E85386B" w14:textId="77777777" w:rsidTr="00A15226">
        <w:tc>
          <w:tcPr>
            <w:tcW w:w="1526" w:type="dxa"/>
            <w:vMerge/>
            <w:vAlign w:val="center"/>
          </w:tcPr>
          <w:p w14:paraId="7B265082"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07EB721B" w14:textId="77777777" w:rsidR="000B173B" w:rsidRPr="009A3F46" w:rsidRDefault="000B173B" w:rsidP="00A15226">
            <w:pPr>
              <w:pStyle w:val="Tabletext"/>
              <w:rPr>
                <w:b/>
                <w:bCs/>
                <w:highlight w:val="yellow"/>
              </w:rPr>
            </w:pPr>
            <w:r w:rsidRPr="001E34D1">
              <w:rPr>
                <w:rFonts w:ascii="Helvetica" w:hAnsi="Helvetica"/>
                <w:b/>
                <w:bCs/>
                <w:sz w:val="14"/>
              </w:rPr>
              <w:t>WITHIN THE UNSURVEYED AREAS OF THE GROWTH AREAS</w:t>
            </w:r>
          </w:p>
        </w:tc>
      </w:tr>
      <w:tr w:rsidR="000B173B" w:rsidRPr="00980D4D" w14:paraId="146A5AFD" w14:textId="77777777" w:rsidTr="00A15226">
        <w:tc>
          <w:tcPr>
            <w:tcW w:w="1526" w:type="dxa"/>
            <w:vMerge/>
            <w:vAlign w:val="center"/>
          </w:tcPr>
          <w:p w14:paraId="07D24D12" w14:textId="77777777" w:rsidR="000B173B" w:rsidRDefault="000B173B" w:rsidP="00A15226">
            <w:pPr>
              <w:pStyle w:val="Tabletext"/>
              <w:rPr>
                <w:rFonts w:ascii="Helvetica" w:hAnsi="Helvetica"/>
                <w:b/>
                <w:bCs/>
                <w:sz w:val="14"/>
              </w:rPr>
            </w:pPr>
          </w:p>
        </w:tc>
        <w:tc>
          <w:tcPr>
            <w:tcW w:w="8113" w:type="dxa"/>
            <w:vAlign w:val="center"/>
          </w:tcPr>
          <w:p w14:paraId="29E36A1B" w14:textId="77777777" w:rsidR="000B173B" w:rsidRPr="009A3F46" w:rsidRDefault="000B173B" w:rsidP="00A15226">
            <w:pPr>
              <w:pStyle w:val="Tabletext"/>
              <w:rPr>
                <w:b/>
                <w:bCs/>
                <w:highlight w:val="yellow"/>
              </w:rPr>
            </w:pPr>
            <w:r>
              <w:rPr>
                <w:b/>
                <w:bCs/>
              </w:rPr>
              <w:t xml:space="preserve">N/A. </w:t>
            </w:r>
            <w:r>
              <w:t>There is unlikely to be suitable habitat present for this species.</w:t>
            </w:r>
          </w:p>
        </w:tc>
      </w:tr>
      <w:tr w:rsidR="000B173B" w:rsidRPr="00980D4D" w14:paraId="65ABFF93" w14:textId="77777777" w:rsidTr="00A15226">
        <w:tc>
          <w:tcPr>
            <w:tcW w:w="1526" w:type="dxa"/>
            <w:vMerge/>
            <w:vAlign w:val="center"/>
          </w:tcPr>
          <w:p w14:paraId="4F3152D5"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324394B0" w14:textId="77777777" w:rsidR="000B173B" w:rsidRDefault="000B173B" w:rsidP="00A15226">
            <w:pPr>
              <w:pStyle w:val="Bullet1"/>
              <w:numPr>
                <w:ilvl w:val="0"/>
                <w:numId w:val="0"/>
              </w:numPr>
              <w:ind w:left="360" w:hanging="360"/>
            </w:pPr>
            <w:r w:rsidRPr="000816D6">
              <w:rPr>
                <w:rFonts w:ascii="Helvetica" w:hAnsi="Helvetica"/>
                <w:b/>
                <w:bCs/>
                <w:sz w:val="14"/>
              </w:rPr>
              <w:t xml:space="preserve">OUTSIDE THE </w:t>
            </w:r>
            <w:r>
              <w:rPr>
                <w:rFonts w:ascii="Helvetica" w:hAnsi="Helvetica"/>
                <w:b/>
                <w:bCs/>
                <w:sz w:val="14"/>
              </w:rPr>
              <w:t>GROWTH AREAS</w:t>
            </w:r>
          </w:p>
        </w:tc>
      </w:tr>
      <w:tr w:rsidR="000B173B" w:rsidRPr="00980D4D" w14:paraId="384DC005" w14:textId="77777777" w:rsidTr="00A15226">
        <w:tc>
          <w:tcPr>
            <w:tcW w:w="1526" w:type="dxa"/>
            <w:vMerge/>
            <w:vAlign w:val="center"/>
          </w:tcPr>
          <w:p w14:paraId="127889DD" w14:textId="77777777" w:rsidR="000B173B" w:rsidRPr="000816D6" w:rsidRDefault="000B173B" w:rsidP="00A15226">
            <w:pPr>
              <w:pStyle w:val="Tabletext"/>
              <w:rPr>
                <w:rFonts w:ascii="Helvetica" w:hAnsi="Helvetica"/>
                <w:b/>
                <w:bCs/>
                <w:sz w:val="14"/>
              </w:rPr>
            </w:pPr>
          </w:p>
        </w:tc>
        <w:tc>
          <w:tcPr>
            <w:tcW w:w="8113" w:type="dxa"/>
            <w:vAlign w:val="center"/>
          </w:tcPr>
          <w:p w14:paraId="354DA67F" w14:textId="77777777" w:rsidR="000B173B" w:rsidRDefault="000B173B" w:rsidP="00A15226">
            <w:pPr>
              <w:pStyle w:val="Tabletext"/>
            </w:pPr>
            <w:r w:rsidRPr="000D2E45">
              <w:rPr>
                <w:b/>
                <w:bCs/>
              </w:rPr>
              <w:t>Habitat important models (HIMs)</w:t>
            </w:r>
            <w:r>
              <w:rPr>
                <w:b/>
                <w:bCs/>
              </w:rPr>
              <w:t xml:space="preserve">. </w:t>
            </w:r>
            <w:r>
              <w:t>Habitat mapping for the species across the broader Strategic Assessment Area and Study Area was prepared using DELWPs HIMs.</w:t>
            </w:r>
          </w:p>
          <w:p w14:paraId="7EF92D5A" w14:textId="77777777" w:rsidR="000B173B" w:rsidRPr="00980D4D" w:rsidRDefault="000B173B" w:rsidP="00A15226">
            <w:pPr>
              <w:pStyle w:val="Tabletext"/>
            </w:pPr>
            <w:r w:rsidRPr="00B03721">
              <w:t>Refer to</w:t>
            </w:r>
            <w:r>
              <w:t xml:space="preserve"> </w:t>
            </w:r>
            <w:r w:rsidRPr="006900FB">
              <w:t>Chapter 13 of Part 3</w:t>
            </w:r>
            <w:r w:rsidRPr="00D07FF7">
              <w:t xml:space="preserve"> for</w:t>
            </w:r>
            <w:r>
              <w:t xml:space="preserve"> a detailed description of the baseline mapping, landholder surveys, and HIMs.</w:t>
            </w:r>
          </w:p>
        </w:tc>
      </w:tr>
      <w:tr w:rsidR="000B173B" w:rsidRPr="003E1ADD" w14:paraId="7E9B07C6" w14:textId="77777777" w:rsidTr="00A15226">
        <w:tc>
          <w:tcPr>
            <w:tcW w:w="1526" w:type="dxa"/>
            <w:vMerge w:val="restart"/>
            <w:vAlign w:val="center"/>
          </w:tcPr>
          <w:p w14:paraId="19CC5011" w14:textId="77777777" w:rsidR="000B173B" w:rsidRPr="000816D6" w:rsidRDefault="000B173B" w:rsidP="00A15226">
            <w:pPr>
              <w:pStyle w:val="Tabletext"/>
              <w:rPr>
                <w:rFonts w:ascii="Helvetica" w:hAnsi="Helvetica"/>
                <w:b/>
                <w:bCs/>
                <w:sz w:val="14"/>
              </w:rPr>
            </w:pPr>
            <w:r>
              <w:rPr>
                <w:rFonts w:ascii="Helvetica" w:hAnsi="Helvetica"/>
                <w:b/>
                <w:bCs/>
                <w:sz w:val="14"/>
              </w:rPr>
              <w:t>POPULATION MAPPING</w:t>
            </w:r>
          </w:p>
        </w:tc>
        <w:tc>
          <w:tcPr>
            <w:tcW w:w="8113" w:type="dxa"/>
            <w:shd w:val="clear" w:color="auto" w:fill="B4C6E7" w:themeFill="accent1" w:themeFillTint="66"/>
            <w:vAlign w:val="center"/>
          </w:tcPr>
          <w:p w14:paraId="4E286442" w14:textId="77777777" w:rsidR="000B173B" w:rsidRPr="00BB022D" w:rsidRDefault="000B173B" w:rsidP="00A15226">
            <w:pPr>
              <w:pStyle w:val="Bullet1"/>
              <w:numPr>
                <w:ilvl w:val="0"/>
                <w:numId w:val="0"/>
              </w:numPr>
              <w:ind w:left="360" w:hanging="360"/>
            </w:pPr>
            <w:r w:rsidRPr="000816D6">
              <w:rPr>
                <w:rFonts w:ascii="Helvetica" w:hAnsi="Helvetica"/>
                <w:b/>
                <w:bCs/>
                <w:sz w:val="14"/>
              </w:rPr>
              <w:t>RECORD SELECTION</w:t>
            </w:r>
          </w:p>
        </w:tc>
      </w:tr>
      <w:tr w:rsidR="000B173B" w:rsidRPr="003E1ADD" w14:paraId="3670E183" w14:textId="77777777" w:rsidTr="00A15226">
        <w:tc>
          <w:tcPr>
            <w:tcW w:w="1526" w:type="dxa"/>
            <w:vMerge/>
            <w:vAlign w:val="center"/>
          </w:tcPr>
          <w:p w14:paraId="1C8621EE" w14:textId="77777777" w:rsidR="000B173B" w:rsidRDefault="000B173B" w:rsidP="00A15226">
            <w:pPr>
              <w:pStyle w:val="Tabletext"/>
              <w:rPr>
                <w:rFonts w:ascii="Helvetica" w:hAnsi="Helvetica"/>
                <w:b/>
                <w:bCs/>
                <w:sz w:val="14"/>
              </w:rPr>
            </w:pPr>
          </w:p>
        </w:tc>
        <w:tc>
          <w:tcPr>
            <w:tcW w:w="8113" w:type="dxa"/>
            <w:vAlign w:val="center"/>
          </w:tcPr>
          <w:p w14:paraId="60D0699F" w14:textId="77777777" w:rsidR="000B173B" w:rsidRPr="00BB022D" w:rsidRDefault="000B173B" w:rsidP="00A15226">
            <w:pPr>
              <w:pStyle w:val="Tabletext"/>
            </w:pPr>
            <w:r w:rsidRPr="0011795C">
              <w:t>Species records were compiled from the VBA and surveys undertaken for the project. The VBA records were filtered to remove records from prior to 1990 for the purpose of the impact assessment.</w:t>
            </w:r>
          </w:p>
        </w:tc>
      </w:tr>
      <w:tr w:rsidR="000B173B" w:rsidRPr="003E1ADD" w14:paraId="682A00F5" w14:textId="77777777" w:rsidTr="00A15226">
        <w:tc>
          <w:tcPr>
            <w:tcW w:w="1526" w:type="dxa"/>
            <w:vMerge/>
            <w:vAlign w:val="center"/>
          </w:tcPr>
          <w:p w14:paraId="238835E2"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3B87EA08" w14:textId="77777777" w:rsidR="000B173B" w:rsidRPr="00BB022D" w:rsidRDefault="000B173B" w:rsidP="00A15226">
            <w:pPr>
              <w:pStyle w:val="Bullet1"/>
              <w:numPr>
                <w:ilvl w:val="0"/>
                <w:numId w:val="0"/>
              </w:numPr>
              <w:ind w:left="360" w:hanging="360"/>
            </w:pPr>
            <w:r>
              <w:rPr>
                <w:rFonts w:ascii="Helvetica" w:hAnsi="Helvetica"/>
                <w:b/>
                <w:bCs/>
                <w:sz w:val="14"/>
              </w:rPr>
              <w:t>RECORD DOWNLOAD DATE</w:t>
            </w:r>
          </w:p>
        </w:tc>
      </w:tr>
      <w:tr w:rsidR="000B173B" w:rsidRPr="003E1ADD" w14:paraId="77181805" w14:textId="77777777" w:rsidTr="00A15226">
        <w:tc>
          <w:tcPr>
            <w:tcW w:w="1526" w:type="dxa"/>
            <w:vMerge/>
            <w:vAlign w:val="center"/>
          </w:tcPr>
          <w:p w14:paraId="2E739EDB" w14:textId="77777777" w:rsidR="000B173B" w:rsidRDefault="000B173B" w:rsidP="00A15226">
            <w:pPr>
              <w:pStyle w:val="Tabletext"/>
              <w:rPr>
                <w:rFonts w:ascii="Helvetica" w:hAnsi="Helvetica"/>
                <w:b/>
                <w:bCs/>
                <w:sz w:val="14"/>
              </w:rPr>
            </w:pPr>
          </w:p>
        </w:tc>
        <w:tc>
          <w:tcPr>
            <w:tcW w:w="8113" w:type="dxa"/>
            <w:vAlign w:val="center"/>
          </w:tcPr>
          <w:p w14:paraId="24A207F5" w14:textId="77777777" w:rsidR="000B173B" w:rsidRPr="00BB022D" w:rsidRDefault="000B173B" w:rsidP="00A15226">
            <w:pPr>
              <w:pStyle w:val="Bullet1"/>
              <w:numPr>
                <w:ilvl w:val="0"/>
                <w:numId w:val="0"/>
              </w:numPr>
              <w:ind w:left="360" w:hanging="360"/>
            </w:pPr>
            <w:r w:rsidRPr="00C62332">
              <w:t xml:space="preserve">VBA records for the </w:t>
            </w:r>
            <w:r>
              <w:t>Yarra Pygmy Perch</w:t>
            </w:r>
            <w:r w:rsidRPr="00C62332">
              <w:t xml:space="preserve"> used in this assessment were downloaded in June 2022.</w:t>
            </w:r>
          </w:p>
        </w:tc>
      </w:tr>
      <w:tr w:rsidR="000B173B" w:rsidRPr="003E1ADD" w14:paraId="6A3D6C6C" w14:textId="77777777" w:rsidTr="00A15226">
        <w:tc>
          <w:tcPr>
            <w:tcW w:w="1526" w:type="dxa"/>
            <w:vMerge/>
            <w:vAlign w:val="center"/>
          </w:tcPr>
          <w:p w14:paraId="725E65BC" w14:textId="77777777" w:rsidR="000B173B" w:rsidRDefault="000B173B" w:rsidP="00A15226">
            <w:pPr>
              <w:pStyle w:val="Tabletext"/>
              <w:rPr>
                <w:rFonts w:ascii="Helvetica" w:hAnsi="Helvetica"/>
                <w:b/>
                <w:bCs/>
                <w:sz w:val="14"/>
              </w:rPr>
            </w:pPr>
          </w:p>
        </w:tc>
        <w:tc>
          <w:tcPr>
            <w:tcW w:w="8113" w:type="dxa"/>
            <w:shd w:val="clear" w:color="auto" w:fill="B4C6E7" w:themeFill="accent1" w:themeFillTint="66"/>
            <w:vAlign w:val="center"/>
          </w:tcPr>
          <w:p w14:paraId="2A71C91F" w14:textId="77777777" w:rsidR="000B173B" w:rsidRPr="00BB022D" w:rsidRDefault="000B173B" w:rsidP="00A15226">
            <w:pPr>
              <w:pStyle w:val="Bullet1"/>
              <w:numPr>
                <w:ilvl w:val="0"/>
                <w:numId w:val="0"/>
              </w:numPr>
              <w:ind w:left="360" w:hanging="360"/>
            </w:pPr>
            <w:r>
              <w:rPr>
                <w:rFonts w:ascii="Helvetica" w:hAnsi="Helvetica"/>
                <w:b/>
                <w:bCs/>
                <w:sz w:val="14"/>
              </w:rPr>
              <w:t>METHOD FOR IDENTIFYING POPULATIONS</w:t>
            </w:r>
          </w:p>
        </w:tc>
      </w:tr>
      <w:tr w:rsidR="000B173B" w:rsidRPr="003E1ADD" w14:paraId="7FD02008" w14:textId="77777777" w:rsidTr="00A15226">
        <w:tc>
          <w:tcPr>
            <w:tcW w:w="1526" w:type="dxa"/>
            <w:vMerge/>
            <w:vAlign w:val="center"/>
          </w:tcPr>
          <w:p w14:paraId="517553FC" w14:textId="77777777" w:rsidR="000B173B" w:rsidRDefault="000B173B" w:rsidP="00A15226">
            <w:pPr>
              <w:pStyle w:val="Tabletext"/>
              <w:rPr>
                <w:rFonts w:ascii="Helvetica" w:hAnsi="Helvetica"/>
                <w:b/>
                <w:bCs/>
                <w:sz w:val="14"/>
              </w:rPr>
            </w:pPr>
          </w:p>
        </w:tc>
        <w:tc>
          <w:tcPr>
            <w:tcW w:w="8113" w:type="dxa"/>
            <w:vAlign w:val="center"/>
          </w:tcPr>
          <w:p w14:paraId="1D23C1D7" w14:textId="77777777" w:rsidR="000B173B" w:rsidRPr="00BB022D" w:rsidRDefault="000B173B" w:rsidP="00A15226">
            <w:pPr>
              <w:pStyle w:val="Bullet1"/>
              <w:numPr>
                <w:ilvl w:val="0"/>
                <w:numId w:val="0"/>
              </w:numPr>
              <w:ind w:left="360" w:hanging="360"/>
            </w:pPr>
            <w:r>
              <w:t>All records within a single catchment were considered to be a single population.</w:t>
            </w:r>
          </w:p>
        </w:tc>
      </w:tr>
    </w:tbl>
    <w:p w14:paraId="6E69C552"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7311BDEB" w14:textId="77777777" w:rsidTr="00A15226">
        <w:tc>
          <w:tcPr>
            <w:tcW w:w="9622" w:type="dxa"/>
            <w:shd w:val="clear" w:color="auto" w:fill="C9C9C9" w:themeFill="accent3" w:themeFillTint="99"/>
          </w:tcPr>
          <w:p w14:paraId="6AC3C2B6" w14:textId="77777777" w:rsidR="000B173B" w:rsidRPr="008F55BC" w:rsidRDefault="000B173B" w:rsidP="00A15226">
            <w:pPr>
              <w:pStyle w:val="Tabletext"/>
              <w:keepNext/>
              <w:keepLines/>
              <w:rPr>
                <w:b/>
                <w:bCs/>
              </w:rPr>
            </w:pPr>
            <w:r>
              <w:rPr>
                <w:rFonts w:ascii="Helvetica" w:hAnsi="Helvetica"/>
                <w:b/>
                <w:sz w:val="16"/>
                <w:szCs w:val="16"/>
              </w:rPr>
              <w:t>OC</w:t>
            </w:r>
            <w:r w:rsidRPr="008F55BC">
              <w:rPr>
                <w:rFonts w:ascii="Helvetica" w:hAnsi="Helvetica"/>
                <w:b/>
                <w:sz w:val="16"/>
                <w:szCs w:val="16"/>
              </w:rPr>
              <w:t>C</w:t>
            </w:r>
            <w:r>
              <w:rPr>
                <w:rFonts w:ascii="Helvetica" w:hAnsi="Helvetica"/>
                <w:b/>
                <w:sz w:val="16"/>
                <w:szCs w:val="16"/>
              </w:rPr>
              <w:t>URRENCE IN THE STUDY AREA</w:t>
            </w:r>
          </w:p>
        </w:tc>
      </w:tr>
    </w:tbl>
    <w:p w14:paraId="0AAFDF9A" w14:textId="77777777" w:rsidR="000B173B" w:rsidRPr="003B08F2" w:rsidRDefault="000B173B" w:rsidP="000B173B">
      <w:pPr>
        <w:rPr>
          <w:i/>
          <w:iCs/>
          <w:color w:val="4472C4" w:themeColor="accent1"/>
        </w:rPr>
      </w:pPr>
      <w:r w:rsidRPr="00BB022D">
        <w:rPr>
          <w:i/>
          <w:iCs/>
          <w:color w:val="4472C4" w:themeColor="accent1"/>
        </w:rPr>
        <w:t xml:space="preserve">This section describes the occurrence of the species in the </w:t>
      </w:r>
      <w:r w:rsidRPr="00CA1943">
        <w:rPr>
          <w:i/>
          <w:iCs/>
          <w:color w:val="4472C4" w:themeColor="accent1"/>
        </w:rPr>
        <w:t>Study Area. It includes reference to a map of records and habitat which can be viewed as a separate file. The map provides critical context for the</w:t>
      </w:r>
      <w:r w:rsidRPr="00BB022D">
        <w:rPr>
          <w:i/>
          <w:iCs/>
          <w:color w:val="4472C4" w:themeColor="accent1"/>
        </w:rPr>
        <w:t xml:space="preserve"> assessment and should be viewed in conjunction with the text presented in this assessment. This section also provides a qualitative description of where records and habitat occur.</w:t>
      </w:r>
    </w:p>
    <w:p w14:paraId="1821DAC2" w14:textId="77777777" w:rsidR="000B173B" w:rsidRDefault="000B173B" w:rsidP="000B173B">
      <w:r w:rsidRPr="00F430C6">
        <w:t xml:space="preserve">See </w:t>
      </w:r>
      <w:hyperlink r:id="rId160" w:history="1">
        <w:r w:rsidRPr="00AC291E">
          <w:rPr>
            <w:rStyle w:val="Hyperlink"/>
          </w:rPr>
          <w:t>Map 19-23</w:t>
        </w:r>
      </w:hyperlink>
      <w:r w:rsidRPr="006900FB">
        <w:t xml:space="preserve"> </w:t>
      </w:r>
      <w:r w:rsidRPr="00D07FF7">
        <w:t>for</w:t>
      </w:r>
      <w:r w:rsidRPr="00F430C6">
        <w:t xml:space="preserve"> a map of records and habitat across the Strategic Assessment Area</w:t>
      </w:r>
    </w:p>
    <w:p w14:paraId="65D206B6" w14:textId="77777777" w:rsidR="000B173B" w:rsidRDefault="000B173B" w:rsidP="000B173B">
      <w:r>
        <w:t xml:space="preserve">There is a </w:t>
      </w:r>
      <w:r w:rsidRPr="00463E31">
        <w:t xml:space="preserve">total of </w:t>
      </w:r>
      <w:r w:rsidRPr="00D82B01">
        <w:t>3</w:t>
      </w:r>
      <w:r>
        <w:t>,</w:t>
      </w:r>
      <w:r w:rsidRPr="00D82B01">
        <w:t>532.7</w:t>
      </w:r>
      <w:r>
        <w:t xml:space="preserve"> </w:t>
      </w:r>
      <w:r w:rsidRPr="0085400C">
        <w:t>ha</w:t>
      </w:r>
      <w:r w:rsidRPr="00E700AC">
        <w:t xml:space="preserve"> of</w:t>
      </w:r>
      <w:r w:rsidRPr="00463E31">
        <w:t xml:space="preserve"> mapped</w:t>
      </w:r>
      <w:r>
        <w:t xml:space="preserve"> potential habitat for the Yarra Pygmy Perch within the Study Area. Of this, </w:t>
      </w:r>
      <w:r w:rsidRPr="00F42B24">
        <w:t>31.4</w:t>
      </w:r>
      <w:r w:rsidRPr="0085400C">
        <w:t> ha</w:t>
      </w:r>
      <w:r>
        <w:t xml:space="preserve"> is located within the Strategic Assessment Area, and </w:t>
      </w:r>
      <w:r w:rsidRPr="00E700AC">
        <w:t xml:space="preserve">3.5 </w:t>
      </w:r>
      <w:r w:rsidRPr="0085400C">
        <w:t>ha</w:t>
      </w:r>
      <w:r w:rsidRPr="00E700AC">
        <w:t xml:space="preserve"> of</w:t>
      </w:r>
      <w:r>
        <w:t xml:space="preserve"> potential habitat is mapped within the Moorabool River adjacent to the WGGA.</w:t>
      </w:r>
    </w:p>
    <w:p w14:paraId="455863D6" w14:textId="77777777" w:rsidR="000B173B" w:rsidRPr="00F741ED" w:rsidRDefault="000B173B" w:rsidP="000B173B">
      <w:r w:rsidRPr="00F741ED">
        <w:t xml:space="preserve">There </w:t>
      </w:r>
      <w:r w:rsidRPr="00D07FF7">
        <w:t xml:space="preserve">are </w:t>
      </w:r>
      <w:r w:rsidRPr="006900FB">
        <w:t>80 VBA records (725 individuals)</w:t>
      </w:r>
      <w:r w:rsidRPr="00D07FF7">
        <w:t xml:space="preserve"> of</w:t>
      </w:r>
      <w:r w:rsidRPr="00F741ED">
        <w:t xml:space="preserve"> the Yarra Pygmy Perch within the Study Area, the most recent of which was recorded in 2014. The species has not been recorded within the Strategic Assessment Area.</w:t>
      </w:r>
    </w:p>
    <w:p w14:paraId="6AFADBE9" w14:textId="77777777" w:rsidR="000B173B" w:rsidRDefault="000B173B" w:rsidP="000B173B">
      <w:pPr>
        <w:pStyle w:val="Tabletext"/>
      </w:pPr>
      <w:r>
        <w:t>VBA records for this species occur in multiple locations along the Moorabool River (upstream and downstream of the Strategic Assessment Area), along the Barwon River, within Waurn Ponds Creek, within the Lake Connewarre Complex, and along Thompson Creek.</w:t>
      </w:r>
    </w:p>
    <w:p w14:paraId="34D36B50" w14:textId="77777777" w:rsidR="000B173B" w:rsidRDefault="000B173B" w:rsidP="000B173B">
      <w:r>
        <w:t xml:space="preserve">It is reported that there are records of the species immediately adjacent to WGGA in the Moorabool River </w:t>
      </w:r>
      <w:sdt>
        <w:sdtPr>
          <w:rPr>
            <w:color w:val="000000"/>
          </w:rPr>
          <w:tag w:val="MENDELEY_CITATION_v3_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"/>
          <w:id w:val="1105542095"/>
          <w:placeholder>
            <w:docPart w:val="8A75EFB8BE1D6C49BFCDB10710C88159"/>
          </w:placeholder>
        </w:sdtPr>
        <w:sdtContent>
          <w:r w:rsidRPr="00AB79D8">
            <w:rPr>
              <w:color w:val="000000"/>
            </w:rPr>
            <w:t>(EHP, 2021)</w:t>
          </w:r>
        </w:sdtContent>
      </w:sdt>
      <w:r>
        <w:t>. However, there are no records in this locality on the VBA database. It is possible that there are records of the species in this area which have not been entered into the VBA database.</w:t>
      </w:r>
    </w:p>
    <w:p w14:paraId="2DC8A4AB" w14:textId="77777777" w:rsidR="000B173B" w:rsidRDefault="000B173B" w:rsidP="000B173B">
      <w:r>
        <w:t>Outside of the Growth Areas, habitat for the species is mapped along the Moorabool River, Barwon River, Waurn Ponds Creek, Armstrong Creek, and Thompson Creek. Some habitat is also mapped within the Lake Connewarre Complex.</w:t>
      </w:r>
    </w:p>
    <w:p w14:paraId="05620E57" w14:textId="77777777" w:rsidR="000B173B" w:rsidRPr="000816D6" w:rsidRDefault="000B173B" w:rsidP="000B173B">
      <w:pPr>
        <w:pStyle w:val="Tabletext"/>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2"/>
      </w:tblGrid>
      <w:tr w:rsidR="000B173B" w:rsidRPr="000816D6" w14:paraId="540A327A" w14:textId="77777777" w:rsidTr="00A15226">
        <w:trPr>
          <w:cantSplit/>
        </w:trPr>
        <w:tc>
          <w:tcPr>
            <w:tcW w:w="9632" w:type="dxa"/>
            <w:shd w:val="clear" w:color="auto" w:fill="D9D9D9" w:themeFill="background1" w:themeFillShade="D9"/>
            <w:vAlign w:val="center"/>
          </w:tcPr>
          <w:p w14:paraId="1DCCC765" w14:textId="77777777" w:rsidR="000B173B" w:rsidRPr="000816D6" w:rsidRDefault="000B173B" w:rsidP="00A15226">
            <w:pPr>
              <w:pStyle w:val="TableHeadingLarge"/>
            </w:pPr>
            <w:r w:rsidRPr="000816D6">
              <w:rPr>
                <w:rFonts w:ascii="Helvetica" w:hAnsi="Helvetica"/>
              </w:rPr>
              <w:t>POTENTIAL INDIRECT IMPACTS AND MITIGATION</w:t>
            </w:r>
          </w:p>
        </w:tc>
      </w:tr>
    </w:tbl>
    <w:p w14:paraId="263F426C" w14:textId="77777777" w:rsidR="000B173B" w:rsidRPr="007C1D70" w:rsidRDefault="000B173B" w:rsidP="000B173B">
      <w:pPr>
        <w:rPr>
          <w:i/>
          <w:color w:val="4472C4" w:themeColor="accent1"/>
        </w:rPr>
      </w:pPr>
      <w:r w:rsidRPr="007C1D70">
        <w:rPr>
          <w:i/>
          <w:color w:val="4472C4" w:themeColor="accent1"/>
        </w:rPr>
        <w:t>This section identifies the relevant potential indirect impacts to the species that may occur as a result of development under the Plan. Indirect impacts were identified as being relevant to the species if:</w:t>
      </w:r>
    </w:p>
    <w:p w14:paraId="63E3E360" w14:textId="77777777" w:rsidR="000B173B" w:rsidRPr="007C1D70" w:rsidRDefault="000B173B" w:rsidP="000B173B">
      <w:pPr>
        <w:pStyle w:val="Bullet1"/>
        <w:rPr>
          <w:i/>
          <w:color w:val="4472C4" w:themeColor="accent1"/>
        </w:rPr>
      </w:pPr>
      <w:r w:rsidRPr="007C1D70">
        <w:rPr>
          <w:i/>
          <w:color w:val="4472C4" w:themeColor="accent1"/>
        </w:rPr>
        <w:t xml:space="preserve">The indirect impact is identified as a threat in a relevant profile, Conservation Advice, or Recovery Plan, </w:t>
      </w:r>
      <w:r w:rsidRPr="007C1D70">
        <w:rPr>
          <w:i/>
          <w:iCs/>
          <w:color w:val="4472C4" w:themeColor="accent1"/>
        </w:rPr>
        <w:t>and</w:t>
      </w:r>
    </w:p>
    <w:p w14:paraId="3896D848" w14:textId="77777777" w:rsidR="000B173B" w:rsidRPr="007C1D70" w:rsidRDefault="000B173B" w:rsidP="000B173B">
      <w:pPr>
        <w:pStyle w:val="Bullet1"/>
        <w:rPr>
          <w:i/>
          <w:color w:val="4472C4" w:themeColor="accent1"/>
        </w:rPr>
      </w:pPr>
      <w:r w:rsidRPr="007C1D70">
        <w:rPr>
          <w:i/>
          <w:color w:val="4472C4" w:themeColor="accent1"/>
        </w:rPr>
        <w:t>The Plan has the potential to</w:t>
      </w:r>
      <w:r>
        <w:rPr>
          <w:i/>
          <w:color w:val="4472C4" w:themeColor="accent1"/>
        </w:rPr>
        <w:t xml:space="preserve"> introduce or</w:t>
      </w:r>
      <w:r w:rsidRPr="007C1D70">
        <w:rPr>
          <w:i/>
          <w:color w:val="4472C4" w:themeColor="accent1"/>
        </w:rPr>
        <w:t xml:space="preserve"> exacerbate the threat in areas which support records and/or mapped habitat for the species</w:t>
      </w:r>
    </w:p>
    <w:p w14:paraId="0DF4060B" w14:textId="77777777" w:rsidR="000B173B" w:rsidRPr="007C1D70" w:rsidRDefault="000B173B" w:rsidP="000B173B">
      <w:pPr>
        <w:rPr>
          <w:i/>
          <w:color w:val="4472C4" w:themeColor="accent1"/>
        </w:rPr>
      </w:pPr>
      <w:r w:rsidRPr="007C1D70">
        <w:rPr>
          <w:i/>
          <w:color w:val="4472C4" w:themeColor="accent1"/>
        </w:rPr>
        <w:t>It describes the mechanism by which each relevant potential indirect impact may affect the species.</w:t>
      </w:r>
    </w:p>
    <w:p w14:paraId="65989D33" w14:textId="77777777" w:rsidR="000B173B" w:rsidRPr="007C1D70" w:rsidRDefault="000B173B" w:rsidP="000B173B">
      <w:pPr>
        <w:rPr>
          <w:i/>
          <w:color w:val="4472C4" w:themeColor="accent1"/>
        </w:rPr>
      </w:pPr>
      <w:r w:rsidRPr="007C1D70">
        <w:rPr>
          <w:i/>
          <w:color w:val="4472C4" w:themeColor="accent1"/>
        </w:rPr>
        <w:t xml:space="preserve">Please refer </w:t>
      </w:r>
      <w:r w:rsidRPr="00D07FF7">
        <w:rPr>
          <w:i/>
          <w:color w:val="4472C4" w:themeColor="accent1"/>
        </w:rPr>
        <w:t xml:space="preserve">to </w:t>
      </w:r>
      <w:r w:rsidRPr="006900FB">
        <w:rPr>
          <w:i/>
          <w:color w:val="4472C4" w:themeColor="accent1"/>
        </w:rPr>
        <w:t>Chapter 19</w:t>
      </w:r>
      <w:r w:rsidRPr="00D07FF7">
        <w:rPr>
          <w:i/>
          <w:color w:val="4472C4" w:themeColor="accent1"/>
        </w:rPr>
        <w:t xml:space="preserve"> for an assessment of how the Plan addresses each indirect impact for this species. Further, please refer to </w:t>
      </w:r>
      <w:r w:rsidRPr="006900FB">
        <w:rPr>
          <w:i/>
          <w:color w:val="4472C4" w:themeColor="accent1"/>
        </w:rPr>
        <w:t>Chapter 17</w:t>
      </w:r>
      <w:r w:rsidRPr="00D07FF7">
        <w:rPr>
          <w:i/>
          <w:color w:val="4472C4" w:themeColor="accent1"/>
        </w:rPr>
        <w:t xml:space="preserve"> for a detailed</w:t>
      </w:r>
      <w:r w:rsidRPr="007C1D70">
        <w:rPr>
          <w:i/>
          <w:color w:val="4472C4" w:themeColor="accent1"/>
        </w:rPr>
        <w:t xml:space="preserve"> discussion and analysis of indirect impacts and mitigation measures included in the Plan. </w:t>
      </w:r>
    </w:p>
    <w:p w14:paraId="2AD39920" w14:textId="77777777" w:rsidR="000B173B" w:rsidRDefault="000B173B" w:rsidP="000B173B">
      <w:pPr>
        <w:pStyle w:val="Heading3"/>
        <w:numPr>
          <w:ilvl w:val="0"/>
          <w:numId w:val="0"/>
        </w:numPr>
        <w:ind w:left="720" w:hanging="720"/>
      </w:pPr>
      <w:r w:rsidRPr="00FB680C">
        <w:t>R</w:t>
      </w:r>
      <w:r>
        <w:t>elevant potential indirect impacts</w:t>
      </w:r>
    </w:p>
    <w:p w14:paraId="12A6342C" w14:textId="77777777" w:rsidR="000B173B" w:rsidRDefault="000B173B" w:rsidP="000B173B">
      <w:r w:rsidRPr="008821FE">
        <w:t>The Recovery Plan for the Yarra Pygmy</w:t>
      </w:r>
      <w:r>
        <w:t xml:space="preserve"> Perch</w:t>
      </w:r>
      <w:r w:rsidRPr="002B70F0">
        <w:t xml:space="preserve"> identifies a range of threats to the species</w:t>
      </w:r>
      <w:r>
        <w:t xml:space="preserve"> </w:t>
      </w:r>
      <w:sdt>
        <w:sdtPr>
          <w:rPr>
            <w:color w:val="000000"/>
          </w:rPr>
          <w:tag w:val="MENDELEY_CITATION_v3_eyJjaXRhdGlvbklEIjoiTUVOREVMRVlfQ0lUQVRJT05fMmEzZGIyMmMtYzcwYi00ZDBjLWJjY2UtMDU4NWYyZTMxZDQx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599180233"/>
          <w:placeholder>
            <w:docPart w:val="8A75EFB8BE1D6C49BFCDB10710C88159"/>
          </w:placeholder>
        </w:sdtPr>
        <w:sdtContent>
          <w:r w:rsidRPr="00AB79D8">
            <w:rPr>
              <w:color w:val="000000"/>
            </w:rPr>
            <w:t>(Saddlier and Hammer, 2010)</w:t>
          </w:r>
        </w:sdtContent>
      </w:sdt>
      <w:r>
        <w:t xml:space="preserve">. </w:t>
      </w:r>
      <w:r w:rsidRPr="002B70F0">
        <w:t xml:space="preserve">Where these threats </w:t>
      </w:r>
      <w:r>
        <w:t>have the potential to be introduced or exacerbated under the Plan</w:t>
      </w:r>
      <w:r w:rsidRPr="002B70F0">
        <w:t>, the Plan includes management strategies to mitigate their impacts.</w:t>
      </w:r>
    </w:p>
    <w:p w14:paraId="0D2C43C5" w14:textId="77777777" w:rsidR="000B173B" w:rsidRDefault="000B173B" w:rsidP="000B173B">
      <w:r>
        <w:t>The following potential indirect impacts (identified as threats) are considered relevant to implementation of the Plan:</w:t>
      </w:r>
    </w:p>
    <w:p w14:paraId="7630907D" w14:textId="77777777" w:rsidR="000B173B" w:rsidRPr="008821FE" w:rsidRDefault="000B173B" w:rsidP="000B173B">
      <w:pPr>
        <w:pStyle w:val="Bullet1"/>
      </w:pPr>
      <w:r w:rsidRPr="008821FE">
        <w:t xml:space="preserve">Reduction in water quality </w:t>
      </w:r>
      <w:r>
        <w:t>and a</w:t>
      </w:r>
      <w:r w:rsidRPr="008821FE">
        <w:t>lteration to flow regimes</w:t>
      </w:r>
    </w:p>
    <w:p w14:paraId="402406E4" w14:textId="77777777" w:rsidR="000B173B" w:rsidRPr="008821FE" w:rsidRDefault="000B173B" w:rsidP="000B173B">
      <w:pPr>
        <w:pStyle w:val="Bullet1"/>
      </w:pPr>
      <w:r w:rsidRPr="008821FE">
        <w:t>Illegal collection</w:t>
      </w:r>
    </w:p>
    <w:p w14:paraId="41293FDB" w14:textId="77777777" w:rsidR="000B173B" w:rsidRDefault="000B173B" w:rsidP="000B173B">
      <w:r w:rsidRPr="003A2AF0">
        <w:t>There are a number of additional threats to the species identified in the</w:t>
      </w:r>
      <w:r>
        <w:t xml:space="preserve"> Recovery Plan</w:t>
      </w:r>
      <w:r w:rsidRPr="003A2AF0">
        <w:t xml:space="preserve">. However, potential indirect impacts associated with these threats are considered unlikely given the landscape context of the site and the ecology of the species. </w:t>
      </w:r>
      <w:r w:rsidRPr="00D07FF7">
        <w:t xml:space="preserve">Refer to </w:t>
      </w:r>
      <w:r w:rsidRPr="006900FB">
        <w:t>Section 17.2 of Chapter 17</w:t>
      </w:r>
      <w:r w:rsidRPr="00D07FF7">
        <w:t xml:space="preserve"> for</w:t>
      </w:r>
      <w:r>
        <w:t xml:space="preserve"> a detailed assessment of potential indirect impacts associated with the implementation of the Plan.</w:t>
      </w:r>
      <w:r w:rsidRPr="00CC2A00" w:rsidDel="00727335">
        <w:rPr>
          <w:highlight w:val="yellow"/>
        </w:rPr>
        <w:t xml:space="preserve"> </w:t>
      </w:r>
    </w:p>
    <w:p w14:paraId="66838508" w14:textId="77777777" w:rsidR="000B173B" w:rsidRDefault="000B173B" w:rsidP="000B173B">
      <w:r>
        <w:t xml:space="preserve">Climate change is also identified as a threat to the species. The potential impacts of climate change and relevant mitigation measures under the Plan are outlined </w:t>
      </w:r>
      <w:r w:rsidRPr="00D07FF7">
        <w:t xml:space="preserve">in </w:t>
      </w:r>
      <w:r w:rsidRPr="006900FB">
        <w:t>Section 19.5 of Part 5.</w:t>
      </w:r>
    </w:p>
    <w:p w14:paraId="5E9360E4" w14:textId="77777777" w:rsidR="000B173B" w:rsidRDefault="000B173B" w:rsidP="000B173B">
      <w:pPr>
        <w:pStyle w:val="Heading4"/>
      </w:pPr>
      <w:r>
        <w:lastRenderedPageBreak/>
        <w:t>Decreased water quality and alteration to flow regimes</w:t>
      </w:r>
    </w:p>
    <w:p w14:paraId="56F8F4A0" w14:textId="77777777" w:rsidR="000B173B" w:rsidRDefault="000B173B" w:rsidP="000B173B">
      <w:r>
        <w:t xml:space="preserve">Reduced riparian vegetation quality can result in water quality declines through increased sedimentation, nutrient runoff and summer water temperatures </w:t>
      </w:r>
      <w:sdt>
        <w:sdtPr>
          <w:rPr>
            <w:color w:val="000000"/>
          </w:rPr>
          <w:tag w:val="MENDELEY_CITATION_v3_eyJjaXRhdGlvbklEIjoiTUVOREVMRVlfQ0lUQVRJT05fYzEwNGMxYzUtNGU3Mi00YTU3LWI5YzQtNTkzNmMzOWQ0MzFm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2116197295"/>
          <w:placeholder>
            <w:docPart w:val="8A75EFB8BE1D6C49BFCDB10710C88159"/>
          </w:placeholder>
        </w:sdtPr>
        <w:sdtContent>
          <w:r w:rsidRPr="00AB79D8">
            <w:rPr>
              <w:color w:val="000000"/>
            </w:rPr>
            <w:t>(Saddlier and Hammer, 2010)</w:t>
          </w:r>
        </w:sdtContent>
      </w:sdt>
      <w:r>
        <w:t>.</w:t>
      </w:r>
    </w:p>
    <w:p w14:paraId="27CD8A40" w14:textId="77777777" w:rsidR="000B173B" w:rsidRDefault="000B173B" w:rsidP="000B173B">
      <w:r w:rsidRPr="00F10098">
        <w:t>The species depends on shallow freshwater habitat, including connectivity between wetlands and more permanent waterbodies such as rivers or creeks. Changes to natural flooding and drying cycles, particularly in shallow creeks and swamps, pose a threat to the species, through altering natural seasonal water levels and affecting habitat connectivity and the species’ capacity to seek refuge during dry periods. Changes to local water tables can also impact the hydrology of smaller rivers and wetlands</w:t>
      </w:r>
      <w:r>
        <w:t xml:space="preserve">. </w:t>
      </w:r>
      <w:r w:rsidRPr="00F10098">
        <w:t xml:space="preserve">Modes of development which may negatively impact upon water regimes for the species include catchment clearing (which alters hydrological regimes), water abstraction, and planting of trees such as eucalypts and pines which lower groundwater levels and decrease runoff </w:t>
      </w:r>
      <w:sdt>
        <w:sdtPr>
          <w:rPr>
            <w:color w:val="000000"/>
          </w:rPr>
          <w:tag w:val="MENDELEY_CITATION_v3_eyJjaXRhdGlvbklEIjoiTUVOREVMRVlfQ0lUQVRJT05fYTAyM2FiYjQtYjM4Ni00NjgyLThhZmItNTU2NTlmMDU1ODg1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1719243916"/>
          <w:placeholder>
            <w:docPart w:val="8A75EFB8BE1D6C49BFCDB10710C88159"/>
          </w:placeholder>
        </w:sdtPr>
        <w:sdtContent>
          <w:r w:rsidRPr="00AB79D8">
            <w:rPr>
              <w:color w:val="000000"/>
            </w:rPr>
            <w:t>(Saddlier and Hammer, 2010)</w:t>
          </w:r>
        </w:sdtContent>
      </w:sdt>
      <w:r w:rsidRPr="00F10098">
        <w:t>.</w:t>
      </w:r>
    </w:p>
    <w:p w14:paraId="133D70DA" w14:textId="77777777" w:rsidR="000B173B" w:rsidRPr="00804F26" w:rsidRDefault="000B173B" w:rsidP="000B173B">
      <w:pPr>
        <w:pStyle w:val="Heading4"/>
      </w:pPr>
      <w:r>
        <w:t>Illegal collection</w:t>
      </w:r>
    </w:p>
    <w:p w14:paraId="371F0621" w14:textId="77777777" w:rsidR="000B173B" w:rsidRPr="00B56972" w:rsidRDefault="000B173B" w:rsidP="000B173B">
      <w:r w:rsidRPr="00B56972">
        <w:t>There is no direct evidence of unauthorised collection of the Yarra Pygmy Perch. However, collection of similar small threatened species by aquaculture enthusiasts has been identified as a potential problem</w:t>
      </w:r>
      <w:r>
        <w:t xml:space="preserve"> in Victoria</w:t>
      </w:r>
      <w:r w:rsidRPr="00B56972">
        <w:t>. There are web</w:t>
      </w:r>
      <w:r>
        <w:t>-</w:t>
      </w:r>
      <w:r w:rsidRPr="00B56972">
        <w:t xml:space="preserve">based publications which detail information relating to husbandry of this species, suggesting collecting may be occurring. Collection of individuals is likely to be damaging to this species which exists in small, restricted populations. Further, trading and potential future release of specimens back into the wild in locations other than from which they were collected could undermine the genetic integrity of wild populations </w:t>
      </w:r>
      <w:sdt>
        <w:sdtPr>
          <w:rPr>
            <w:color w:val="000000"/>
          </w:rPr>
          <w:tag w:val="MENDELEY_CITATION_v3_eyJjaXRhdGlvbklEIjoiTUVOREVMRVlfQ0lUQVRJT05fZjQwMTk2Y2QtMzU0Mi00OTE0LWFlNmMtYTVmYjdjMWNhNTA5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734553500"/>
          <w:placeholder>
            <w:docPart w:val="8A75EFB8BE1D6C49BFCDB10710C88159"/>
          </w:placeholder>
        </w:sdtPr>
        <w:sdtContent>
          <w:r w:rsidRPr="00AB79D8">
            <w:rPr>
              <w:color w:val="000000"/>
            </w:rPr>
            <w:t>(Saddlier and Hammer, 2010)</w:t>
          </w:r>
        </w:sdtContent>
      </w:sdt>
      <w:r w:rsidRPr="00B56972">
        <w:t>.</w:t>
      </w:r>
    </w:p>
    <w:p w14:paraId="3C3AFCE6" w14:textId="77777777" w:rsidR="000B173B" w:rsidRDefault="000B173B" w:rsidP="000B173B">
      <w:pPr>
        <w:pStyle w:val="Table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9C9C9" w:themeFill="accent3" w:themeFillTint="99"/>
        <w:tblLook w:val="04A0" w:firstRow="1" w:lastRow="0" w:firstColumn="1" w:lastColumn="0" w:noHBand="0" w:noVBand="1"/>
      </w:tblPr>
      <w:tblGrid>
        <w:gridCol w:w="9622"/>
      </w:tblGrid>
      <w:tr w:rsidR="000B173B" w14:paraId="5D072DD8" w14:textId="77777777" w:rsidTr="00A15226">
        <w:tc>
          <w:tcPr>
            <w:tcW w:w="9622" w:type="dxa"/>
            <w:shd w:val="clear" w:color="auto" w:fill="C9C9C9" w:themeFill="accent3" w:themeFillTint="99"/>
          </w:tcPr>
          <w:p w14:paraId="3E04E663" w14:textId="77777777" w:rsidR="000B173B" w:rsidRPr="008F55BC" w:rsidRDefault="000B173B" w:rsidP="00A15226">
            <w:pPr>
              <w:pStyle w:val="Tabletext"/>
              <w:rPr>
                <w:b/>
                <w:bCs/>
              </w:rPr>
            </w:pPr>
            <w:r>
              <w:rPr>
                <w:rFonts w:ascii="Helvetica" w:hAnsi="Helvetica"/>
                <w:b/>
                <w:sz w:val="16"/>
                <w:szCs w:val="16"/>
              </w:rPr>
              <w:t xml:space="preserve">RECOVERY PLAN, KEY THREATENING PROCESSES AND THREAT ABATEMENT PLANS </w:t>
            </w:r>
          </w:p>
        </w:tc>
      </w:tr>
    </w:tbl>
    <w:p w14:paraId="7776950D" w14:textId="77777777" w:rsidR="000B173B" w:rsidRPr="00C6364C" w:rsidRDefault="000B173B" w:rsidP="000B173B">
      <w:pPr>
        <w:rPr>
          <w:i/>
          <w:color w:val="4472C4" w:themeColor="accent1"/>
        </w:rPr>
      </w:pPr>
      <w:r w:rsidRPr="000816D6">
        <w:rPr>
          <w:i/>
          <w:color w:val="4472C4" w:themeColor="accent1"/>
        </w:rPr>
        <w:t xml:space="preserve">Where applicable, this section discusses the consistency of the Plan with any Recovery Plans and relevant Threat Abatement Plans. The general consistency of the Plan with Threat Abatement Plans is discussed in </w:t>
      </w:r>
      <w:r w:rsidRPr="006A162E">
        <w:rPr>
          <w:i/>
          <w:color w:val="4472C4" w:themeColor="accent1"/>
        </w:rPr>
        <w:t>deta</w:t>
      </w:r>
      <w:r w:rsidRPr="00D07FF7">
        <w:rPr>
          <w:i/>
          <w:color w:val="4472C4" w:themeColor="accent1"/>
        </w:rPr>
        <w:t xml:space="preserve">il in </w:t>
      </w:r>
      <w:r w:rsidRPr="006900FB">
        <w:rPr>
          <w:i/>
          <w:color w:val="4472C4" w:themeColor="accent1"/>
        </w:rPr>
        <w:t>Section 17.3</w:t>
      </w:r>
      <w:r w:rsidRPr="00D07FF7">
        <w:rPr>
          <w:i/>
          <w:color w:val="4472C4" w:themeColor="accent1"/>
        </w:rPr>
        <w:t xml:space="preserve"> of </w:t>
      </w:r>
      <w:r w:rsidRPr="006900FB">
        <w:rPr>
          <w:i/>
          <w:color w:val="4472C4" w:themeColor="accent1"/>
        </w:rPr>
        <w:t>Chapter 17</w:t>
      </w:r>
      <w:r w:rsidRPr="00D07FF7">
        <w:rPr>
          <w:i/>
          <w:color w:val="4472C4" w:themeColor="accent1"/>
        </w:rPr>
        <w:t>.</w:t>
      </w:r>
    </w:p>
    <w:p w14:paraId="1B410EE8" w14:textId="77777777" w:rsidR="000B173B" w:rsidRPr="000816D6" w:rsidRDefault="000B173B" w:rsidP="000B173B">
      <w:pPr>
        <w:pStyle w:val="Heading3"/>
        <w:numPr>
          <w:ilvl w:val="0"/>
          <w:numId w:val="0"/>
        </w:numPr>
        <w:ind w:left="720" w:hanging="720"/>
      </w:pPr>
      <w:r w:rsidRPr="000816D6">
        <w:t>C</w:t>
      </w:r>
      <w:r>
        <w:t>onsistency with recovery plan</w:t>
      </w:r>
    </w:p>
    <w:p w14:paraId="29E5A570" w14:textId="77777777" w:rsidR="000B173B" w:rsidRPr="00DB68B8" w:rsidRDefault="000B173B" w:rsidP="000B173B">
      <w:r w:rsidRPr="00DB68B8">
        <w:t>In accordance with Section 146K of the EPBC Act, this section considers whether the implementation of the Plan is not inconsistent with the species’ Recovery Plan. It considers two questions:</w:t>
      </w:r>
    </w:p>
    <w:p w14:paraId="6A087447" w14:textId="77777777" w:rsidR="000B173B" w:rsidRPr="00DB68B8" w:rsidRDefault="000B173B" w:rsidP="000B173B">
      <w:pPr>
        <w:pStyle w:val="Bullet1"/>
      </w:pPr>
      <w:r w:rsidRPr="00DB68B8">
        <w:t xml:space="preserve">Does the Plan </w:t>
      </w:r>
      <w:r>
        <w:t>p</w:t>
      </w:r>
      <w:r w:rsidRPr="00DB68B8">
        <w:t>revent achievement of the objectives of the Recovery Plan?</w:t>
      </w:r>
    </w:p>
    <w:p w14:paraId="6161C9A4" w14:textId="77777777" w:rsidR="000B173B" w:rsidRPr="00DB68B8" w:rsidRDefault="000B173B" w:rsidP="000B173B">
      <w:pPr>
        <w:pStyle w:val="Bullet1"/>
      </w:pPr>
      <w:r w:rsidRPr="00DB68B8">
        <w:t>Does the Plan prevent implementation of the Recovery Plan actions?</w:t>
      </w:r>
    </w:p>
    <w:p w14:paraId="7F819076" w14:textId="77777777" w:rsidR="000B173B" w:rsidRDefault="000B173B" w:rsidP="000B173B">
      <w:r w:rsidRPr="00DB68B8">
        <w:t>These questions are discussed below.</w:t>
      </w:r>
    </w:p>
    <w:p w14:paraId="288FF0AF" w14:textId="77777777" w:rsidR="000B173B" w:rsidRDefault="000B173B" w:rsidP="000B173B">
      <w:pPr>
        <w:pStyle w:val="Heading4"/>
      </w:pPr>
      <w:r w:rsidRPr="00F614B0">
        <w:t xml:space="preserve">Does the Plan </w:t>
      </w:r>
      <w:r>
        <w:t>p</w:t>
      </w:r>
      <w:r w:rsidRPr="00F614B0">
        <w:t>revent achievement of the objectives of the Recovery Plan?</w:t>
      </w:r>
    </w:p>
    <w:p w14:paraId="3511401E" w14:textId="77777777" w:rsidR="000B173B" w:rsidRDefault="000B173B" w:rsidP="000B173B">
      <w:r w:rsidRPr="00F614B0">
        <w:t xml:space="preserve">The </w:t>
      </w:r>
      <w:r>
        <w:t xml:space="preserve">overall long-term objective of the Recovery Plan is to minimise the probability of extinction and ensure long-term survival of Yarra Pygmy Perch in the wild and to increase the probability of important populations becoming self-sustaining in the long term. </w:t>
      </w:r>
      <w:r w:rsidRPr="00F614B0">
        <w:t xml:space="preserve">This overall </w:t>
      </w:r>
      <w:r>
        <w:t xml:space="preserve">objective </w:t>
      </w:r>
      <w:r w:rsidRPr="00F614B0">
        <w:t xml:space="preserve">is associated with a series of specific objectives </w:t>
      </w:r>
      <w:sdt>
        <w:sdtPr>
          <w:rPr>
            <w:color w:val="000000"/>
          </w:rPr>
          <w:tag w:val="MENDELEY_CITATION_v3_eyJjaXRhdGlvbklEIjoiTUVOREVMRVlfQ0lUQVRJT05fMjc1ZTY0ODMtY2RjOS00Y2E0LTg4N2MtMTI0ZDE4NGU0NDkw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649254152"/>
          <w:placeholder>
            <w:docPart w:val="8A75EFB8BE1D6C49BFCDB10710C88159"/>
          </w:placeholder>
        </w:sdtPr>
        <w:sdtContent>
          <w:r w:rsidRPr="00AB79D8">
            <w:rPr>
              <w:color w:val="000000"/>
            </w:rPr>
            <w:t>(Saddlier and Hammer, 2010)</w:t>
          </w:r>
        </w:sdtContent>
      </w:sdt>
      <w:r>
        <w:t>:</w:t>
      </w:r>
    </w:p>
    <w:p w14:paraId="71D590DE" w14:textId="77777777" w:rsidR="000B173B" w:rsidRDefault="000B173B" w:rsidP="000B173B">
      <w:pPr>
        <w:pStyle w:val="Bullet1"/>
      </w:pPr>
      <w:r>
        <w:t>Determine the distribution and abundance of the Yarra Pygmy Perch</w:t>
      </w:r>
    </w:p>
    <w:p w14:paraId="292389EA" w14:textId="77777777" w:rsidR="000B173B" w:rsidRDefault="000B173B" w:rsidP="000B173B">
      <w:pPr>
        <w:pStyle w:val="Bullet1"/>
      </w:pPr>
      <w:r>
        <w:t>Determine the genetic and taxonomic status of Yarra Pygmy Perch populations</w:t>
      </w:r>
    </w:p>
    <w:p w14:paraId="536E93D3" w14:textId="77777777" w:rsidR="000B173B" w:rsidRDefault="000B173B" w:rsidP="000B173B">
      <w:pPr>
        <w:pStyle w:val="Bullet1"/>
      </w:pPr>
      <w:r>
        <w:t>Determine Yarra Pygmy Perch habitat characteristics and requirements</w:t>
      </w:r>
    </w:p>
    <w:p w14:paraId="5429D9DF" w14:textId="77777777" w:rsidR="000B173B" w:rsidRDefault="000B173B" w:rsidP="000B173B">
      <w:pPr>
        <w:pStyle w:val="Bullet1"/>
      </w:pPr>
      <w:r>
        <w:t>Identify and manage potentially threatening processes impacting on Yarra Pygmy Perch conservation</w:t>
      </w:r>
    </w:p>
    <w:p w14:paraId="64982025" w14:textId="77777777" w:rsidR="000B173B" w:rsidRDefault="000B173B" w:rsidP="000B173B">
      <w:pPr>
        <w:pStyle w:val="Bullet1"/>
      </w:pPr>
      <w:r>
        <w:t>Protect key populations across the range of the Yarra Pygmy Perch</w:t>
      </w:r>
    </w:p>
    <w:p w14:paraId="3B160701" w14:textId="77777777" w:rsidR="000B173B" w:rsidRDefault="000B173B" w:rsidP="000B173B">
      <w:pPr>
        <w:pStyle w:val="Bullet1"/>
      </w:pPr>
      <w:r>
        <w:t>Determine population trends at key sites</w:t>
      </w:r>
    </w:p>
    <w:p w14:paraId="571789DA" w14:textId="77777777" w:rsidR="000B173B" w:rsidRDefault="000B173B" w:rsidP="000B173B">
      <w:pPr>
        <w:pStyle w:val="Bullet1"/>
      </w:pPr>
      <w:r>
        <w:t>Investigate key aspects of biology and ecology of the Yarra Pygmy Perch</w:t>
      </w:r>
    </w:p>
    <w:p w14:paraId="3D105DE4" w14:textId="77777777" w:rsidR="000B173B" w:rsidRDefault="000B173B" w:rsidP="000B173B">
      <w:pPr>
        <w:pStyle w:val="Bullet1"/>
      </w:pPr>
      <w:r>
        <w:t>Establish a captive breeding population of Yarra Pygmy Perch</w:t>
      </w:r>
    </w:p>
    <w:p w14:paraId="37EECAAC" w14:textId="77777777" w:rsidR="000B173B" w:rsidRDefault="000B173B" w:rsidP="000B173B">
      <w:pPr>
        <w:pStyle w:val="Bullet1"/>
      </w:pPr>
      <w:r>
        <w:t>Undertake translocations to establish new populations of Yarra Pygmy Perch</w:t>
      </w:r>
    </w:p>
    <w:p w14:paraId="5EE1EFF7" w14:textId="77777777" w:rsidR="000B173B" w:rsidRPr="007B3DD8" w:rsidRDefault="000B173B" w:rsidP="000B173B">
      <w:pPr>
        <w:pStyle w:val="Bullet1"/>
      </w:pPr>
      <w:r>
        <w:t>Undertake community education and communication to increase awareness and involvement</w:t>
      </w:r>
    </w:p>
    <w:p w14:paraId="1CBFBB83" w14:textId="77777777" w:rsidR="000B173B" w:rsidRPr="00F614B0" w:rsidRDefault="000B173B" w:rsidP="000B173B">
      <w:r w:rsidRPr="00F614B0">
        <w:t xml:space="preserve">The outcome under the Plan for </w:t>
      </w:r>
      <w:r>
        <w:t xml:space="preserve">the Yarra Pygmy Perch </w:t>
      </w:r>
      <w:r w:rsidRPr="00F614B0">
        <w:t>will not prevent the achievement of any of the objectives of the Recovery Plan.</w:t>
      </w:r>
    </w:p>
    <w:p w14:paraId="02894FD5" w14:textId="77777777" w:rsidR="000B173B" w:rsidRPr="00F614B0" w:rsidRDefault="000B173B" w:rsidP="000B173B">
      <w:pPr>
        <w:pStyle w:val="Heading4"/>
      </w:pPr>
      <w:r w:rsidRPr="00F614B0">
        <w:lastRenderedPageBreak/>
        <w:t>Does the Plan prevent implementation of the Recovery Plan actions?</w:t>
      </w:r>
    </w:p>
    <w:p w14:paraId="68C85D8B" w14:textId="77777777" w:rsidR="000B173B" w:rsidRPr="002B70F0" w:rsidRDefault="000B173B" w:rsidP="000B173B">
      <w:r w:rsidRPr="00F614B0">
        <w:t>The Recovery Plan identifies a set of actions in order to deliver on the objectives. Each action is associated with performance criteria</w:t>
      </w:r>
      <w:r>
        <w:rPr>
          <w:i/>
          <w:iCs/>
        </w:rPr>
        <w:t xml:space="preserve"> </w:t>
      </w:r>
      <w:sdt>
        <w:sdtPr>
          <w:rPr>
            <w:iCs/>
            <w:color w:val="000000"/>
          </w:rPr>
          <w:tag w:val="MENDELEY_CITATION_v3_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"/>
          <w:id w:val="-967817709"/>
          <w:placeholder>
            <w:docPart w:val="8A75EFB8BE1D6C49BFCDB10710C88159"/>
          </w:placeholder>
        </w:sdtPr>
        <w:sdtEndPr>
          <w:rPr>
            <w:iCs w:val="0"/>
          </w:rPr>
        </w:sdtEndPr>
        <w:sdtContent>
          <w:r w:rsidRPr="00AB79D8">
            <w:rPr>
              <w:color w:val="000000"/>
            </w:rPr>
            <w:t>(Saddlier and Hammer, 2010)</w:t>
          </w:r>
        </w:sdtContent>
      </w:sdt>
      <w:r w:rsidRPr="00B56972">
        <w:t>.</w:t>
      </w:r>
      <w:r>
        <w:t xml:space="preserve"> </w:t>
      </w:r>
      <w:r w:rsidRPr="00F614B0">
        <w:t>The Plan will not prevent the implementation of any of these actions, nor will it prevent the achievement of any of the performance criteria.</w:t>
      </w:r>
    </w:p>
    <w:p w14:paraId="69B97C0E" w14:textId="77777777" w:rsidR="000B173B" w:rsidRPr="000816D6" w:rsidRDefault="000B173B" w:rsidP="000B173B">
      <w:pPr>
        <w:pStyle w:val="Heading3"/>
        <w:numPr>
          <w:ilvl w:val="0"/>
          <w:numId w:val="0"/>
        </w:numPr>
        <w:ind w:left="720" w:hanging="720"/>
      </w:pPr>
      <w:r w:rsidRPr="000816D6">
        <w:t>K</w:t>
      </w:r>
      <w:r>
        <w:t>ey threatening processes and consistency with Threat Abatement Plans</w:t>
      </w:r>
    </w:p>
    <w:p w14:paraId="0BD91EC6" w14:textId="77777777" w:rsidR="000B173B" w:rsidRDefault="000B173B" w:rsidP="000B173B">
      <w:r>
        <w:t xml:space="preserve">Relevant Key Threatening Processes (KTPs) and any of their associated Threat Abatement Plans (TAPs) have been identified in </w:t>
      </w:r>
      <w:r>
        <w:fldChar w:fldCharType="begin"/>
      </w:r>
      <w:r>
        <w:instrText xml:space="preserve"> REF _Ref106870035 \h </w:instrText>
      </w:r>
      <w:r>
        <w:fldChar w:fldCharType="separate"/>
      </w:r>
      <w:r>
        <w:t xml:space="preserve">Table </w:t>
      </w:r>
      <w:r>
        <w:rPr>
          <w:noProof/>
        </w:rPr>
        <w:t>C</w:t>
      </w:r>
      <w:r>
        <w:noBreakHyphen/>
      </w:r>
      <w:r>
        <w:rPr>
          <w:noProof/>
        </w:rPr>
        <w:t>3</w:t>
      </w:r>
      <w:r>
        <w:fldChar w:fldCharType="end"/>
      </w:r>
      <w:r>
        <w:t xml:space="preserve"> where they relate to:</w:t>
      </w:r>
    </w:p>
    <w:p w14:paraId="237E44CF" w14:textId="77777777" w:rsidR="000B173B" w:rsidRDefault="000B173B" w:rsidP="000B173B">
      <w:pPr>
        <w:pStyle w:val="Bullet1"/>
      </w:pPr>
      <w:r>
        <w:t>The potential direct impacts of the Plan, or</w:t>
      </w:r>
    </w:p>
    <w:p w14:paraId="3E22797D" w14:textId="77777777" w:rsidR="000B173B" w:rsidRDefault="000B173B" w:rsidP="000B173B">
      <w:pPr>
        <w:pStyle w:val="Bullet1"/>
      </w:pPr>
      <w:r>
        <w:t>The relevant indirect impacts</w:t>
      </w:r>
    </w:p>
    <w:p w14:paraId="4B9B8468" w14:textId="77777777" w:rsidR="000B173B" w:rsidRDefault="000B173B" w:rsidP="000B173B">
      <w:pPr>
        <w:pStyle w:val="Caption"/>
        <w:keepNext/>
      </w:pPr>
      <w:bookmarkStart w:id="303" w:name="_Ref106870035"/>
      <w:bookmarkStart w:id="304" w:name="_Toc134697931"/>
      <w:r>
        <w:t xml:space="preserve">Table </w:t>
      </w:r>
      <w:r>
        <w:fldChar w:fldCharType="begin"/>
      </w:r>
      <w:r>
        <w:instrText xml:space="preserve"> STYLEREF 1 \s </w:instrText>
      </w:r>
      <w:r>
        <w:fldChar w:fldCharType="separate"/>
      </w:r>
      <w:r>
        <w:rPr>
          <w:noProof/>
        </w:rPr>
        <w:t>C</w:t>
      </w:r>
      <w:r>
        <w:fldChar w:fldCharType="end"/>
      </w:r>
      <w:r>
        <w:noBreakHyphen/>
      </w:r>
      <w:r>
        <w:fldChar w:fldCharType="begin"/>
      </w:r>
      <w:r>
        <w:instrText xml:space="preserve"> SEQ Table \* ARABIC \s 1 </w:instrText>
      </w:r>
      <w:r>
        <w:fldChar w:fldCharType="separate"/>
      </w:r>
      <w:r>
        <w:rPr>
          <w:noProof/>
        </w:rPr>
        <w:t>3</w:t>
      </w:r>
      <w:r>
        <w:fldChar w:fldCharType="end"/>
      </w:r>
      <w:bookmarkEnd w:id="303"/>
      <w:r>
        <w:t xml:space="preserve">: </w:t>
      </w:r>
      <w:r w:rsidRPr="005F676F">
        <w:t xml:space="preserve">Relevant Key Threatening Processes and associated Threat Abatement Plans for </w:t>
      </w:r>
      <w:r>
        <w:t>the Yarra Pygmy Perch</w:t>
      </w:r>
      <w:bookmarkEnd w:id="304"/>
    </w:p>
    <w:tbl>
      <w:tblPr>
        <w:tblStyle w:val="TableGrid"/>
        <w:tblW w:w="0" w:type="auto"/>
        <w:tblLook w:val="04A0" w:firstRow="1" w:lastRow="0" w:firstColumn="1" w:lastColumn="0" w:noHBand="0" w:noVBand="1"/>
      </w:tblPr>
      <w:tblGrid>
        <w:gridCol w:w="4811"/>
        <w:gridCol w:w="4811"/>
      </w:tblGrid>
      <w:tr w:rsidR="000B173B" w14:paraId="45B87F09" w14:textId="77777777" w:rsidTr="00A15226">
        <w:trPr>
          <w:tblHeader/>
        </w:trPr>
        <w:tc>
          <w:tcPr>
            <w:tcW w:w="4811" w:type="dxa"/>
            <w:shd w:val="clear" w:color="auto" w:fill="DBDBDB" w:themeFill="accent3" w:themeFillTint="66"/>
          </w:tcPr>
          <w:p w14:paraId="28335503" w14:textId="77777777" w:rsidR="000B173B" w:rsidRPr="00FF1996" w:rsidRDefault="000B173B" w:rsidP="00A15226">
            <w:pPr>
              <w:pStyle w:val="Tabletext"/>
              <w:rPr>
                <w:b/>
                <w:bCs/>
              </w:rPr>
            </w:pPr>
            <w:r w:rsidRPr="00FF1996">
              <w:rPr>
                <w:b/>
                <w:bCs/>
              </w:rPr>
              <w:t>Key threatening process</w:t>
            </w:r>
          </w:p>
        </w:tc>
        <w:tc>
          <w:tcPr>
            <w:tcW w:w="4811" w:type="dxa"/>
            <w:shd w:val="clear" w:color="auto" w:fill="DBDBDB" w:themeFill="accent3" w:themeFillTint="66"/>
          </w:tcPr>
          <w:p w14:paraId="545115A7" w14:textId="77777777" w:rsidR="000B173B" w:rsidRPr="00FF1996" w:rsidRDefault="000B173B" w:rsidP="00A15226">
            <w:pPr>
              <w:pStyle w:val="Tabletext"/>
              <w:rPr>
                <w:b/>
                <w:bCs/>
              </w:rPr>
            </w:pPr>
            <w:r w:rsidRPr="00FF1996">
              <w:rPr>
                <w:b/>
                <w:bCs/>
              </w:rPr>
              <w:t>Threat abatement plan</w:t>
            </w:r>
          </w:p>
        </w:tc>
      </w:tr>
      <w:tr w:rsidR="000B173B" w14:paraId="4144FC73" w14:textId="77777777" w:rsidTr="00A15226">
        <w:tc>
          <w:tcPr>
            <w:tcW w:w="4811" w:type="dxa"/>
            <w:vAlign w:val="center"/>
          </w:tcPr>
          <w:p w14:paraId="51EE4E2A" w14:textId="77777777" w:rsidR="000B173B" w:rsidRPr="00672E41" w:rsidRDefault="000B173B" w:rsidP="00A15226">
            <w:pPr>
              <w:pStyle w:val="Tabletext"/>
            </w:pPr>
            <w:r>
              <w:t>Land clearance</w:t>
            </w:r>
          </w:p>
        </w:tc>
        <w:tc>
          <w:tcPr>
            <w:tcW w:w="4811" w:type="dxa"/>
            <w:vAlign w:val="center"/>
          </w:tcPr>
          <w:p w14:paraId="3E398F8D" w14:textId="77777777" w:rsidR="000B173B" w:rsidRDefault="000B173B" w:rsidP="00A15226">
            <w:pPr>
              <w:pStyle w:val="Tabletext"/>
            </w:pPr>
            <w:r>
              <w:t>There is no relevant TAP</w:t>
            </w:r>
          </w:p>
        </w:tc>
      </w:tr>
      <w:tr w:rsidR="000B173B" w14:paraId="66EE88D7" w14:textId="77777777" w:rsidTr="00A15226">
        <w:tc>
          <w:tcPr>
            <w:tcW w:w="4811" w:type="dxa"/>
            <w:vAlign w:val="center"/>
          </w:tcPr>
          <w:p w14:paraId="0E9594A8" w14:textId="77777777" w:rsidR="000B173B" w:rsidRDefault="000B173B" w:rsidP="00A15226">
            <w:pPr>
              <w:pStyle w:val="Tabletext"/>
            </w:pPr>
            <w:r w:rsidRPr="00672E41">
              <w:t>Loss of climatic habitat caused by anthropogenic emissions of greenhouse gases</w:t>
            </w:r>
          </w:p>
        </w:tc>
        <w:tc>
          <w:tcPr>
            <w:tcW w:w="4811" w:type="dxa"/>
            <w:vAlign w:val="center"/>
          </w:tcPr>
          <w:p w14:paraId="1B74B272" w14:textId="77777777" w:rsidR="000B173B" w:rsidRDefault="000B173B" w:rsidP="00A15226">
            <w:pPr>
              <w:pStyle w:val="Tabletext"/>
            </w:pPr>
            <w:r>
              <w:t>There is no relevant TAP</w:t>
            </w:r>
          </w:p>
        </w:tc>
      </w:tr>
      <w:tr w:rsidR="000B173B" w14:paraId="4ADB6577" w14:textId="77777777" w:rsidTr="00A15226">
        <w:tc>
          <w:tcPr>
            <w:tcW w:w="4811" w:type="dxa"/>
          </w:tcPr>
          <w:p w14:paraId="6804A09B" w14:textId="77777777" w:rsidR="000B173B" w:rsidRPr="003919C8" w:rsidRDefault="000B173B" w:rsidP="00A15226">
            <w:pPr>
              <w:pStyle w:val="Tabletext"/>
            </w:pPr>
            <w:r w:rsidRPr="003919C8">
              <w:t>Novel biota and their impact on biodiversity</w:t>
            </w:r>
          </w:p>
        </w:tc>
        <w:tc>
          <w:tcPr>
            <w:tcW w:w="4811" w:type="dxa"/>
          </w:tcPr>
          <w:p w14:paraId="149247DB" w14:textId="77777777" w:rsidR="000B173B" w:rsidRDefault="000B173B" w:rsidP="00A15226">
            <w:pPr>
              <w:pStyle w:val="Tabletext"/>
            </w:pPr>
            <w:r>
              <w:t>There is no relevant TAP</w:t>
            </w:r>
          </w:p>
        </w:tc>
      </w:tr>
    </w:tbl>
    <w:p w14:paraId="5DD055F4" w14:textId="77777777" w:rsidR="000B173B" w:rsidRDefault="000B173B" w:rsidP="000B173B">
      <w:pPr>
        <w:sectPr w:rsidR="000B173B" w:rsidSect="007F3C87">
          <w:headerReference w:type="even" r:id="rId161"/>
          <w:footerReference w:type="default" r:id="rId162"/>
          <w:headerReference w:type="first" r:id="rId163"/>
          <w:pgSz w:w="11900" w:h="16840"/>
          <w:pgMar w:top="1247" w:right="1134" w:bottom="1247" w:left="1134" w:header="708" w:footer="708" w:gutter="0"/>
          <w:pgNumType w:start="1" w:chapStyle="1"/>
          <w:cols w:space="708"/>
          <w:docGrid w:linePitch="360"/>
        </w:sectPr>
      </w:pPr>
    </w:p>
    <w:p w14:paraId="1C7E55AC" w14:textId="77777777" w:rsidR="000B173B" w:rsidRDefault="000B173B" w:rsidP="000B173B">
      <w:pPr>
        <w:pStyle w:val="Appendixheading1"/>
        <w:numPr>
          <w:ilvl w:val="0"/>
          <w:numId w:val="0"/>
        </w:numPr>
        <w:ind w:left="709" w:hanging="709"/>
      </w:pPr>
      <w:bookmarkStart w:id="305" w:name="_Toc131154217"/>
      <w:bookmarkStart w:id="306" w:name="_Toc131154404"/>
      <w:r>
        <w:lastRenderedPageBreak/>
        <w:t>References</w:t>
      </w:r>
      <w:bookmarkEnd w:id="305"/>
      <w:bookmarkEnd w:id="306"/>
    </w:p>
    <w:sdt>
      <w:sdtPr>
        <w:tag w:val="MENDELEY_BIBLIOGRAPHY"/>
        <w:id w:val="-111588332"/>
        <w:placeholder>
          <w:docPart w:val="7A87483195E49548AABB39FF484A13FE"/>
        </w:placeholder>
      </w:sdtPr>
      <w:sdtContent>
        <w:p w14:paraId="35A96DC5" w14:textId="77777777" w:rsidR="000B173B" w:rsidRDefault="000B173B" w:rsidP="000B173B">
          <w:pPr>
            <w:rPr>
              <w:rFonts w:eastAsia="Times New Roman"/>
              <w:sz w:val="24"/>
              <w:szCs w:val="24"/>
            </w:rPr>
          </w:pPr>
          <w:r>
            <w:rPr>
              <w:rFonts w:eastAsia="Times New Roman"/>
            </w:rPr>
            <w:t>ACAP (2004) ‘Southern Royal Albatross (Diomedea epomophora)’, pp. 1–12.</w:t>
          </w:r>
        </w:p>
        <w:p w14:paraId="3FE4E094" w14:textId="77777777" w:rsidR="000B173B" w:rsidRDefault="000B173B" w:rsidP="000B173B">
          <w:pPr>
            <w:rPr>
              <w:rFonts w:eastAsia="Times New Roman"/>
            </w:rPr>
          </w:pPr>
          <w:r>
            <w:rPr>
              <w:rFonts w:eastAsia="Times New Roman"/>
            </w:rPr>
            <w:t>Backhouse, G. and Lester, K. (2010) ‘National Recovery Plan for the Small Golden Moths Orchid Diuris basaltica’. Department of Sustainability and Environment.</w:t>
          </w:r>
        </w:p>
        <w:p w14:paraId="4A886894" w14:textId="77777777" w:rsidR="000B173B" w:rsidRDefault="000B173B" w:rsidP="000B173B">
          <w:pPr>
            <w:rPr>
              <w:rFonts w:eastAsia="Times New Roman"/>
            </w:rPr>
          </w:pPr>
          <w:r>
            <w:rPr>
              <w:rFonts w:eastAsia="Times New Roman"/>
            </w:rPr>
            <w:t>Backhouse, G., O’Conner, J. and Jackson, J. (2008) ‘National Recovery Plan for the Australian Grayling Prototroctes maraena’. Department of Sustainability and Environment.</w:t>
          </w:r>
        </w:p>
        <w:p w14:paraId="6E20D54C" w14:textId="77777777" w:rsidR="000B173B" w:rsidRDefault="000B173B" w:rsidP="000B173B">
          <w:pPr>
            <w:rPr>
              <w:rFonts w:eastAsia="Times New Roman"/>
            </w:rPr>
          </w:pPr>
          <w:r>
            <w:rPr>
              <w:rFonts w:eastAsia="Times New Roman"/>
            </w:rPr>
            <w:t>Birdlife Australia (2022) ‘Orange-bellied Parrot (OBP) Recovery Program News, May 2022’.</w:t>
          </w:r>
        </w:p>
        <w:p w14:paraId="7CA3B526" w14:textId="77777777" w:rsidR="000B173B" w:rsidRDefault="000B173B" w:rsidP="000B173B">
          <w:pPr>
            <w:rPr>
              <w:rFonts w:eastAsia="Times New Roman"/>
            </w:rPr>
          </w:pPr>
          <w:r>
            <w:rPr>
              <w:rFonts w:eastAsia="Times New Roman"/>
            </w:rPr>
            <w:t xml:space="preserve">Birdlife International (2022) </w:t>
          </w:r>
          <w:r>
            <w:rPr>
              <w:rFonts w:eastAsia="Times New Roman"/>
              <w:i/>
              <w:iCs/>
            </w:rPr>
            <w:t>BirdLife Data Zone</w:t>
          </w:r>
          <w:r>
            <w:rPr>
              <w:rFonts w:eastAsia="Times New Roman"/>
            </w:rPr>
            <w:t>. Available at: http://datazone.birdlife.org/species/search.</w:t>
          </w:r>
        </w:p>
        <w:p w14:paraId="2F696C44" w14:textId="77777777" w:rsidR="000B173B" w:rsidRDefault="000B173B" w:rsidP="000B173B">
          <w:pPr>
            <w:rPr>
              <w:rFonts w:eastAsia="Times New Roman"/>
            </w:rPr>
          </w:pPr>
          <w:r>
            <w:rPr>
              <w:rFonts w:eastAsia="Times New Roman"/>
            </w:rPr>
            <w:t>BirdLife International (2022a) ‘Plains-wanderer Pedionomus torquatus’.</w:t>
          </w:r>
        </w:p>
        <w:p w14:paraId="7A6B311C" w14:textId="77777777" w:rsidR="000B173B" w:rsidRDefault="000B173B" w:rsidP="000B173B">
          <w:pPr>
            <w:rPr>
              <w:rFonts w:eastAsia="Times New Roman"/>
            </w:rPr>
          </w:pPr>
          <w:r>
            <w:rPr>
              <w:rFonts w:eastAsia="Times New Roman"/>
            </w:rPr>
            <w:t xml:space="preserve">BirdLife International (2022b) </w:t>
          </w:r>
          <w:r>
            <w:rPr>
              <w:rFonts w:eastAsia="Times New Roman"/>
              <w:i/>
              <w:iCs/>
            </w:rPr>
            <w:t>Southern Royal Albatross Diomedea epomophora</w:t>
          </w:r>
          <w:r>
            <w:rPr>
              <w:rFonts w:eastAsia="Times New Roman"/>
            </w:rPr>
            <w:t>.</w:t>
          </w:r>
        </w:p>
        <w:p w14:paraId="7D47F927" w14:textId="77777777" w:rsidR="000B173B" w:rsidRDefault="000B173B" w:rsidP="000B173B">
          <w:pPr>
            <w:rPr>
              <w:rFonts w:eastAsia="Times New Roman"/>
            </w:rPr>
          </w:pPr>
          <w:r>
            <w:rPr>
              <w:rFonts w:eastAsia="Times New Roman"/>
            </w:rPr>
            <w:t xml:space="preserve">BirdLife International (2022c) </w:t>
          </w:r>
          <w:r>
            <w:rPr>
              <w:rFonts w:eastAsia="Times New Roman"/>
              <w:i/>
              <w:iCs/>
            </w:rPr>
            <w:t>Wandering Albatross Diomedea exulans</w:t>
          </w:r>
          <w:r>
            <w:rPr>
              <w:rFonts w:eastAsia="Times New Roman"/>
            </w:rPr>
            <w:t>.</w:t>
          </w:r>
        </w:p>
        <w:p w14:paraId="4D2E4248" w14:textId="77777777" w:rsidR="000B173B" w:rsidRDefault="000B173B" w:rsidP="000B173B">
          <w:pPr>
            <w:rPr>
              <w:rFonts w:eastAsia="Times New Roman"/>
            </w:rPr>
          </w:pPr>
          <w:r>
            <w:rPr>
              <w:rFonts w:eastAsia="Times New Roman"/>
            </w:rPr>
            <w:t>Carter, O. (2010a) ‘National Recovery Plan for the Matted Flax-lily Dianella amoena’. Department of Sustainability and Environment.</w:t>
          </w:r>
        </w:p>
        <w:p w14:paraId="02B19A67" w14:textId="77777777" w:rsidR="000B173B" w:rsidRDefault="000B173B" w:rsidP="000B173B">
          <w:pPr>
            <w:rPr>
              <w:rFonts w:eastAsia="Times New Roman"/>
            </w:rPr>
          </w:pPr>
          <w:r>
            <w:rPr>
              <w:rFonts w:eastAsia="Times New Roman"/>
            </w:rPr>
            <w:t>Carter, O. (2010b) ‘National Recovery Plan for the Spiny Peppercress Lepidium aschersonii’. Department of Sustainability and Environment.</w:t>
          </w:r>
        </w:p>
        <w:p w14:paraId="727D1783" w14:textId="77777777" w:rsidR="000B173B" w:rsidRDefault="000B173B" w:rsidP="000B173B">
          <w:pPr>
            <w:rPr>
              <w:rFonts w:eastAsia="Times New Roman"/>
            </w:rPr>
          </w:pPr>
          <w:r>
            <w:rPr>
              <w:rFonts w:eastAsia="Times New Roman"/>
            </w:rPr>
            <w:t>Carter, O. (2010c) ‘National Recovery Plan for the Trailing Hop-bush Dodonaea procumbens’. Department of Sustainability and Environment, p. `.</w:t>
          </w:r>
        </w:p>
        <w:p w14:paraId="43FC0257" w14:textId="77777777" w:rsidR="000B173B" w:rsidRDefault="000B173B" w:rsidP="000B173B">
          <w:pPr>
            <w:rPr>
              <w:rFonts w:eastAsia="Times New Roman"/>
            </w:rPr>
          </w:pPr>
          <w:r>
            <w:rPr>
              <w:rFonts w:eastAsia="Times New Roman"/>
            </w:rPr>
            <w:t>Carter, O. and Sutter, G. (2010) ‘National Recovery Plan for the Clover Glycine Glycine latrobeana’. Department of Sustainability and Environment.</w:t>
          </w:r>
        </w:p>
        <w:p w14:paraId="35F296DA" w14:textId="77777777" w:rsidR="000B173B" w:rsidRDefault="000B173B" w:rsidP="000B173B">
          <w:pPr>
            <w:rPr>
              <w:rFonts w:eastAsia="Times New Roman"/>
            </w:rPr>
          </w:pPr>
          <w:r>
            <w:rPr>
              <w:rFonts w:eastAsia="Times New Roman"/>
            </w:rPr>
            <w:t>Carter, O. and Walsh, N. (2006) ‘National Recovery Plan for the Spiny Rice-flower Pimelea spinescens subsp. spinescens’. Department of Sustainability and Environment.</w:t>
          </w:r>
        </w:p>
        <w:p w14:paraId="3691FB78" w14:textId="77777777" w:rsidR="000B173B" w:rsidRDefault="000B173B" w:rsidP="000B173B">
          <w:pPr>
            <w:rPr>
              <w:rFonts w:eastAsia="Times New Roman"/>
            </w:rPr>
          </w:pPr>
          <w:r>
            <w:rPr>
              <w:rFonts w:eastAsia="Times New Roman"/>
            </w:rPr>
            <w:t>Clemann, N. and Gillespie, G. (2012) ‘National Recovery Plan for the Southern Bell Frog Litoria raniformis’. Department of Sustainability and Environment.</w:t>
          </w:r>
        </w:p>
        <w:p w14:paraId="1968EF02" w14:textId="77777777" w:rsidR="000B173B" w:rsidRDefault="000B173B" w:rsidP="000B173B">
          <w:pPr>
            <w:rPr>
              <w:rFonts w:eastAsia="Times New Roman"/>
            </w:rPr>
          </w:pPr>
          <w:r>
            <w:rPr>
              <w:rFonts w:eastAsia="Times New Roman"/>
            </w:rPr>
            <w:t xml:space="preserve">Coleman, R.A., Hoffman, A.A. and Raaik, T.A. (2015) ‘A review of Galaxiella pusilla (Mack) (Teleostei: Galaxiidae) in south-eastern Australia with a description of a new species’, </w:t>
          </w:r>
          <w:r>
            <w:rPr>
              <w:rFonts w:eastAsia="Times New Roman"/>
              <w:i/>
              <w:iCs/>
            </w:rPr>
            <w:t>Zootaxa</w:t>
          </w:r>
          <w:r>
            <w:rPr>
              <w:rFonts w:eastAsia="Times New Roman"/>
            </w:rPr>
            <w:t>, 4021(2), p. 243. Available at: https://doi.org/10.11646/zootaxa.4021.2.2.</w:t>
          </w:r>
        </w:p>
        <w:p w14:paraId="69A5CCFB" w14:textId="77777777" w:rsidR="000B173B" w:rsidRDefault="000B173B" w:rsidP="000B173B">
          <w:pPr>
            <w:rPr>
              <w:rFonts w:eastAsia="Times New Roman"/>
            </w:rPr>
          </w:pPr>
          <w:r>
            <w:rPr>
              <w:rFonts w:eastAsia="Times New Roman"/>
            </w:rPr>
            <w:t>Commonwealth of Australia (2015) ‘Wildlife Conservation Plan for Migratory Shorebirds’. Department of the Environment.</w:t>
          </w:r>
        </w:p>
        <w:p w14:paraId="18B5AE4D" w14:textId="77777777" w:rsidR="000B173B" w:rsidRDefault="000B173B" w:rsidP="000B173B">
          <w:pPr>
            <w:rPr>
              <w:rFonts w:eastAsia="Times New Roman"/>
            </w:rPr>
          </w:pPr>
          <w:r>
            <w:rPr>
              <w:rFonts w:eastAsia="Times New Roman"/>
            </w:rPr>
            <w:t xml:space="preserve">DAWE (2005) </w:t>
          </w:r>
          <w:r>
            <w:rPr>
              <w:rFonts w:eastAsia="Times New Roman"/>
              <w:i/>
              <w:iCs/>
            </w:rPr>
            <w:t>Thalassarche melanophris (Black-browed Albatross)</w:t>
          </w:r>
          <w:r>
            <w:rPr>
              <w:rFonts w:eastAsia="Times New Roman"/>
            </w:rPr>
            <w:t>. Available at: https://www.awe.gov.au/environment/biodiversity/threatened/assessments/thalassarche-melanophris-2005.</w:t>
          </w:r>
        </w:p>
        <w:p w14:paraId="0CEC6FC8" w14:textId="77777777" w:rsidR="000B173B" w:rsidRDefault="000B173B" w:rsidP="000B173B">
          <w:pPr>
            <w:rPr>
              <w:rFonts w:eastAsia="Times New Roman"/>
            </w:rPr>
          </w:pPr>
          <w:r>
            <w:rPr>
              <w:rFonts w:eastAsia="Times New Roman"/>
            </w:rPr>
            <w:t>DAWE (2020) ‘National Recovery Plan for the Australian Fairy Tern (Sternula nereis nereis)’. Department of Agriculture, Water and the Environment.</w:t>
          </w:r>
        </w:p>
        <w:p w14:paraId="6588FAC9" w14:textId="77777777" w:rsidR="000B173B" w:rsidRDefault="000B173B" w:rsidP="000B173B">
          <w:pPr>
            <w:rPr>
              <w:rFonts w:eastAsia="Times New Roman"/>
            </w:rPr>
          </w:pPr>
          <w:r>
            <w:rPr>
              <w:rFonts w:eastAsia="Times New Roman"/>
            </w:rPr>
            <w:t>DAWE (2021a) ‘Conservation Advice for Leucochrysum albicans subsp. tricolor (Hoary Sunray)’. Department of Agriculture, Water and the Environment.</w:t>
          </w:r>
        </w:p>
        <w:p w14:paraId="5309D486" w14:textId="77777777" w:rsidR="000B173B" w:rsidRDefault="000B173B" w:rsidP="000B173B">
          <w:pPr>
            <w:rPr>
              <w:rFonts w:eastAsia="Times New Roman"/>
            </w:rPr>
          </w:pPr>
          <w:r>
            <w:rPr>
              <w:rFonts w:eastAsia="Times New Roman"/>
            </w:rPr>
            <w:t>DAWE (2021b) ‘Conservation Advice for Perameles gunnii Victorian subspecies (Eastern Barred Bandicoot (Mainland))’, pp. 1–20.</w:t>
          </w:r>
        </w:p>
        <w:p w14:paraId="3B2AFAE9" w14:textId="77777777" w:rsidR="000B173B" w:rsidRDefault="000B173B" w:rsidP="000B173B">
          <w:pPr>
            <w:rPr>
              <w:rFonts w:eastAsia="Times New Roman"/>
            </w:rPr>
          </w:pPr>
          <w:r>
            <w:rPr>
              <w:rFonts w:eastAsia="Times New Roman"/>
            </w:rPr>
            <w:t xml:space="preserve">DAWE (2021c) ‘Conservation Advice for </w:t>
          </w:r>
          <w:r>
            <w:rPr>
              <w:rFonts w:eastAsia="Times New Roman"/>
              <w:i/>
              <w:iCs/>
            </w:rPr>
            <w:t>Synemon plana</w:t>
          </w:r>
          <w:r>
            <w:rPr>
              <w:rFonts w:eastAsia="Times New Roman"/>
            </w:rPr>
            <w:t xml:space="preserve"> (Golden Sun Moth)’, </w:t>
          </w:r>
          <w:r>
            <w:rPr>
              <w:rFonts w:eastAsia="Times New Roman"/>
              <w:i/>
              <w:iCs/>
            </w:rPr>
            <w:t>2021</w:t>
          </w:r>
          <w:r>
            <w:rPr>
              <w:rFonts w:eastAsia="Times New Roman"/>
            </w:rPr>
            <w:t xml:space="preserve"> [Preprint]. Department of Agriculture, Water and the Environment.</w:t>
          </w:r>
        </w:p>
        <w:p w14:paraId="7AE89B80" w14:textId="77777777" w:rsidR="000B173B" w:rsidRDefault="000B173B" w:rsidP="000B173B">
          <w:pPr>
            <w:rPr>
              <w:rFonts w:eastAsia="Times New Roman"/>
            </w:rPr>
          </w:pPr>
          <w:r>
            <w:rPr>
              <w:rFonts w:eastAsia="Times New Roman"/>
            </w:rPr>
            <w:lastRenderedPageBreak/>
            <w:t>DAWE (2021d) ‘Conservation Advice for Xerochrysum palustre (Swamp Everlasting)’. Department of Agriculture, Water and the Environment.</w:t>
          </w:r>
        </w:p>
        <w:p w14:paraId="48A27C0E" w14:textId="77777777" w:rsidR="000B173B" w:rsidRDefault="000B173B" w:rsidP="000B173B">
          <w:pPr>
            <w:rPr>
              <w:rFonts w:eastAsia="Times New Roman"/>
            </w:rPr>
          </w:pPr>
          <w:r>
            <w:rPr>
              <w:rFonts w:eastAsia="Times New Roman"/>
            </w:rPr>
            <w:t>DAWE (2021e) ‘FINALISED PRIORITY ASSESSMENT LIST FOR THE ASSESSMENT PERIOD COMMENCING 1 OCTOBER 2021’. Department of Agriculture, Water and the Environment.</w:t>
          </w:r>
        </w:p>
        <w:p w14:paraId="1C7DF6FC" w14:textId="77777777" w:rsidR="000B173B" w:rsidRDefault="000B173B" w:rsidP="000B173B">
          <w:pPr>
            <w:rPr>
              <w:rFonts w:eastAsia="Times New Roman"/>
            </w:rPr>
          </w:pPr>
          <w:r>
            <w:rPr>
              <w:rFonts w:eastAsia="Times New Roman"/>
            </w:rPr>
            <w:t xml:space="preserve">DAWE (2021f) </w:t>
          </w:r>
          <w:r>
            <w:rPr>
              <w:rFonts w:eastAsia="Times New Roman"/>
              <w:i/>
              <w:iCs/>
            </w:rPr>
            <w:t>National Recovery Plan for the Grey-headed Flying-fox Pteropus poliocephalus</w:t>
          </w:r>
          <w:r>
            <w:rPr>
              <w:rFonts w:eastAsia="Times New Roman"/>
            </w:rPr>
            <w:t>.</w:t>
          </w:r>
        </w:p>
        <w:p w14:paraId="2778E97B" w14:textId="77777777" w:rsidR="000B173B" w:rsidRDefault="000B173B" w:rsidP="000B173B">
          <w:pPr>
            <w:rPr>
              <w:rFonts w:eastAsia="Times New Roman"/>
            </w:rPr>
          </w:pPr>
          <w:r>
            <w:rPr>
              <w:rFonts w:eastAsia="Times New Roman"/>
            </w:rPr>
            <w:t>DAWE (2022a) ‘Conservation Advice for Callocephalon fimbriatum (Gang-gang Cockatoo)’. Department of Agriculture, Water and the Environment.</w:t>
          </w:r>
        </w:p>
        <w:p w14:paraId="64A1D58B" w14:textId="77777777" w:rsidR="000B173B" w:rsidRDefault="000B173B" w:rsidP="000B173B">
          <w:pPr>
            <w:rPr>
              <w:rFonts w:eastAsia="Times New Roman"/>
            </w:rPr>
          </w:pPr>
          <w:r>
            <w:rPr>
              <w:rFonts w:eastAsia="Times New Roman"/>
            </w:rPr>
            <w:t>DAWE (2022b) ‘Conservation Advice for Petaurus australis australis (yellowbellied glider (south-eastern))’. Department of Agriculture, Water and the Environment.</w:t>
          </w:r>
        </w:p>
        <w:p w14:paraId="2F8A28BD" w14:textId="77777777" w:rsidR="000B173B" w:rsidRDefault="000B173B" w:rsidP="000B173B">
          <w:pPr>
            <w:rPr>
              <w:rFonts w:eastAsia="Times New Roman"/>
            </w:rPr>
          </w:pPr>
          <w:r>
            <w:rPr>
              <w:rFonts w:eastAsia="Times New Roman"/>
            </w:rPr>
            <w:t>DAWE (2022c) ‘Consultation Document on Listing Eligibility and Conservation Actions Aphelocephala leucopsis (Southern Whiteface)’. Department of Agriculture, Water and the Environment.</w:t>
          </w:r>
        </w:p>
        <w:p w14:paraId="62499C12" w14:textId="77777777" w:rsidR="000B173B" w:rsidRDefault="000B173B" w:rsidP="000B173B">
          <w:pPr>
            <w:rPr>
              <w:rFonts w:eastAsia="Times New Roman"/>
            </w:rPr>
          </w:pPr>
          <w:r>
            <w:rPr>
              <w:rFonts w:eastAsia="Times New Roman"/>
            </w:rPr>
            <w:t>DAWE (2022d) ‘Consultation Document on Listing Eligibility and Conservation Actions Climacteris picumnus victoriae (Brown Treecreeper (south-eastern))’. Department of Agriculture, Water and the Environment.</w:t>
          </w:r>
        </w:p>
        <w:p w14:paraId="3CF54E55" w14:textId="77777777" w:rsidR="000B173B" w:rsidRDefault="000B173B" w:rsidP="000B173B">
          <w:pPr>
            <w:rPr>
              <w:rFonts w:eastAsia="Times New Roman"/>
            </w:rPr>
          </w:pPr>
          <w:r>
            <w:rPr>
              <w:rFonts w:eastAsia="Times New Roman"/>
            </w:rPr>
            <w:t>DAWE (2022e) ‘Consultation Document on Listing Eligibility and Conservation Actions Stagonopleura guttata (Diamond Firetail)’. Department of Agriculture, Water and the Environment.</w:t>
          </w:r>
        </w:p>
        <w:p w14:paraId="29CAED05" w14:textId="77777777" w:rsidR="000B173B" w:rsidRDefault="000B173B" w:rsidP="000B173B">
          <w:pPr>
            <w:rPr>
              <w:rFonts w:eastAsia="Times New Roman"/>
            </w:rPr>
          </w:pPr>
          <w:r>
            <w:rPr>
              <w:rFonts w:eastAsia="Times New Roman"/>
            </w:rPr>
            <w:t>DAWE (2022f) ‘Consultation on Species Listing Eligibility and Conservation Actions Lissolepis coventryi (swamp skink)’. Department of Agriculture, Water and the Environment.</w:t>
          </w:r>
        </w:p>
        <w:p w14:paraId="68F39FFF" w14:textId="77777777" w:rsidR="000B173B" w:rsidRDefault="000B173B" w:rsidP="000B173B">
          <w:pPr>
            <w:rPr>
              <w:rFonts w:eastAsia="Times New Roman"/>
            </w:rPr>
          </w:pPr>
          <w:r>
            <w:rPr>
              <w:rFonts w:eastAsia="Times New Roman"/>
            </w:rPr>
            <w:t>DAWE (2022g) ‘Draft Conservation Advice for Sternula albifrons (little tern)’. Department of Agriculture, Water and the Environment.</w:t>
          </w:r>
        </w:p>
        <w:p w14:paraId="654DE8E7" w14:textId="77777777" w:rsidR="000B173B" w:rsidRDefault="000B173B" w:rsidP="000B173B">
          <w:pPr>
            <w:rPr>
              <w:rFonts w:eastAsia="Times New Roman"/>
            </w:rPr>
          </w:pPr>
          <w:r>
            <w:rPr>
              <w:rFonts w:eastAsia="Times New Roman"/>
            </w:rPr>
            <w:t xml:space="preserve">DCCEEW (2022) </w:t>
          </w:r>
          <w:r>
            <w:rPr>
              <w:rFonts w:eastAsia="Times New Roman"/>
              <w:i/>
              <w:iCs/>
            </w:rPr>
            <w:t>Species Profiles and Threats Database (SPRAT)</w:t>
          </w:r>
          <w:r>
            <w:rPr>
              <w:rFonts w:eastAsia="Times New Roman"/>
            </w:rPr>
            <w:t>.</w:t>
          </w:r>
        </w:p>
        <w:p w14:paraId="78ECDC00" w14:textId="77777777" w:rsidR="000B173B" w:rsidRDefault="000B173B" w:rsidP="000B173B">
          <w:pPr>
            <w:rPr>
              <w:rFonts w:eastAsia="Times New Roman"/>
            </w:rPr>
          </w:pPr>
          <w:r>
            <w:rPr>
              <w:rFonts w:eastAsia="Times New Roman"/>
            </w:rPr>
            <w:t xml:space="preserve">DCCEEW (2023) ‘Conservation Advice for </w:t>
          </w:r>
          <w:r>
            <w:rPr>
              <w:rFonts w:eastAsia="Times New Roman"/>
              <w:i/>
              <w:iCs/>
            </w:rPr>
            <w:t>Neophema chrysostoma</w:t>
          </w:r>
          <w:r>
            <w:rPr>
              <w:rFonts w:eastAsia="Times New Roman"/>
            </w:rPr>
            <w:t xml:space="preserve"> (Blue-winged Parrot)’.</w:t>
          </w:r>
        </w:p>
        <w:p w14:paraId="31C0F665" w14:textId="77777777" w:rsidR="000B173B" w:rsidRDefault="000B173B" w:rsidP="000B173B">
          <w:pPr>
            <w:rPr>
              <w:rFonts w:eastAsia="Times New Roman"/>
            </w:rPr>
          </w:pPr>
          <w:r>
            <w:rPr>
              <w:rFonts w:eastAsia="Times New Roman"/>
            </w:rPr>
            <w:t>DECCW (2010) ‘National Recovery Plan for White Box - Yellow Box - Blakely’s Red Gum Grassy Woodland and Derived Native Grassland’. Department of Environment, Climate Change and Water NSW.</w:t>
          </w:r>
        </w:p>
        <w:p w14:paraId="52B9470C" w14:textId="77777777" w:rsidR="000B173B" w:rsidRDefault="000B173B" w:rsidP="000B173B">
          <w:pPr>
            <w:rPr>
              <w:rFonts w:eastAsia="Times New Roman"/>
            </w:rPr>
          </w:pPr>
          <w:r>
            <w:rPr>
              <w:rFonts w:eastAsia="Times New Roman"/>
            </w:rPr>
            <w:t>DELWP (2015a) ‘Action statement Australian Grayling Prototroctes maraena’. Department of Environment, Land, Water and Planning.</w:t>
          </w:r>
        </w:p>
        <w:p w14:paraId="28E786B4" w14:textId="77777777" w:rsidR="000B173B" w:rsidRDefault="000B173B" w:rsidP="000B173B">
          <w:pPr>
            <w:rPr>
              <w:rFonts w:eastAsia="Times New Roman"/>
            </w:rPr>
          </w:pPr>
          <w:r>
            <w:rPr>
              <w:rFonts w:eastAsia="Times New Roman"/>
            </w:rPr>
            <w:t>DELWP (2015b) ‘Action statement Yarra Pygmy Perch Nannoperca obscura’. Department of Environment, Land, Water and Planning.</w:t>
          </w:r>
        </w:p>
        <w:p w14:paraId="55277E15" w14:textId="77777777" w:rsidR="000B173B" w:rsidRDefault="000B173B" w:rsidP="000B173B">
          <w:pPr>
            <w:rPr>
              <w:rFonts w:eastAsia="Times New Roman"/>
            </w:rPr>
          </w:pPr>
          <w:r>
            <w:rPr>
              <w:rFonts w:eastAsia="Times New Roman"/>
            </w:rPr>
            <w:t>DELWP (2016) ‘National Recovery Plan for the Orange-bellied Parrot, Neophema chrysogaster’. Department of Environment, Land, Water and Planning.</w:t>
          </w:r>
        </w:p>
        <w:p w14:paraId="671CCB89" w14:textId="77777777" w:rsidR="000B173B" w:rsidRDefault="000B173B" w:rsidP="000B173B">
          <w:pPr>
            <w:rPr>
              <w:rFonts w:eastAsia="Times New Roman"/>
            </w:rPr>
          </w:pPr>
          <w:r>
            <w:rPr>
              <w:rFonts w:eastAsia="Times New Roman"/>
            </w:rPr>
            <w:t>DELWP (2017) ‘Common Long-necked Turtle’.</w:t>
          </w:r>
        </w:p>
        <w:p w14:paraId="56B933CA" w14:textId="77777777" w:rsidR="000B173B" w:rsidRDefault="000B173B" w:rsidP="000B173B">
          <w:pPr>
            <w:rPr>
              <w:rFonts w:eastAsia="Times New Roman"/>
            </w:rPr>
          </w:pPr>
          <w:r>
            <w:rPr>
              <w:rFonts w:eastAsia="Times New Roman"/>
            </w:rPr>
            <w:t>DELWP (2020) ‘Port Phillip Bay (Western Shoreline) &amp; Bellarine Peninsula Ramsar Site Ecological Character Description’. Department of Environment, Land, Water and Planning.</w:t>
          </w:r>
        </w:p>
        <w:p w14:paraId="1A04B13D" w14:textId="77777777" w:rsidR="000B173B" w:rsidRDefault="000B173B" w:rsidP="000B173B">
          <w:pPr>
            <w:rPr>
              <w:rFonts w:eastAsia="Times New Roman"/>
            </w:rPr>
          </w:pPr>
          <w:r>
            <w:rPr>
              <w:rFonts w:eastAsia="Times New Roman"/>
            </w:rPr>
            <w:t>DELWP (2022a) ‘Native Vegetation - Modelled 1750 Ecological Vegetation Classes’. Department of Environment, Land, Water and Planning.</w:t>
          </w:r>
        </w:p>
        <w:p w14:paraId="4110375E" w14:textId="77777777" w:rsidR="000B173B" w:rsidRDefault="000B173B" w:rsidP="000B173B">
          <w:pPr>
            <w:rPr>
              <w:rFonts w:eastAsia="Times New Roman"/>
            </w:rPr>
          </w:pPr>
          <w:r>
            <w:rPr>
              <w:rFonts w:eastAsia="Times New Roman"/>
            </w:rPr>
            <w:t>DELWP (2022b) ‘Victorian Wetland Inventory (Current)’.</w:t>
          </w:r>
        </w:p>
        <w:p w14:paraId="2628F28F" w14:textId="77777777" w:rsidR="000B173B" w:rsidRDefault="000B173B" w:rsidP="000B173B">
          <w:pPr>
            <w:rPr>
              <w:rFonts w:eastAsia="Times New Roman"/>
            </w:rPr>
          </w:pPr>
          <w:r>
            <w:rPr>
              <w:rFonts w:eastAsia="Times New Roman"/>
            </w:rPr>
            <w:t>DEWHA (2008a) ‘Approved Conservation Advice for Amphibromus fluitans (River Swamp Wallaby-grass)’. Department of Environment, Water, Heritage and Arts.</w:t>
          </w:r>
        </w:p>
        <w:p w14:paraId="0BEE1086" w14:textId="77777777" w:rsidR="000B173B" w:rsidRDefault="000B173B" w:rsidP="000B173B">
          <w:pPr>
            <w:rPr>
              <w:rFonts w:eastAsia="Times New Roman"/>
            </w:rPr>
          </w:pPr>
          <w:r>
            <w:rPr>
              <w:rFonts w:eastAsia="Times New Roman"/>
            </w:rPr>
            <w:t>DEWHA (2008b) ‘Approved Conservation Advice for Caladenia carnea var. ornata (Ornate Pink Fingers)’. Department of the Environment, Water, Heritage and Arts.</w:t>
          </w:r>
        </w:p>
        <w:p w14:paraId="46FC9D7A" w14:textId="77777777" w:rsidR="000B173B" w:rsidRDefault="000B173B" w:rsidP="000B173B">
          <w:pPr>
            <w:rPr>
              <w:rFonts w:eastAsia="Times New Roman"/>
            </w:rPr>
          </w:pPr>
          <w:r>
            <w:rPr>
              <w:rFonts w:eastAsia="Times New Roman"/>
            </w:rPr>
            <w:lastRenderedPageBreak/>
            <w:t>DEWHA (2008c) ‘Approved Conservation Advice for Senecio psilocarpus (Swamp Fireweed)’. Department of Environment, Water, Heritage and Arts.</w:t>
          </w:r>
        </w:p>
        <w:p w14:paraId="64321F05" w14:textId="77777777" w:rsidR="000B173B" w:rsidRDefault="000B173B" w:rsidP="000B173B">
          <w:pPr>
            <w:rPr>
              <w:rFonts w:eastAsia="Times New Roman"/>
            </w:rPr>
          </w:pPr>
          <w:r>
            <w:rPr>
              <w:rFonts w:eastAsia="Times New Roman"/>
            </w:rPr>
            <w:t>DEWHA (2008d) ‘Approved Conservation Advice for the Natural Temperate Grassland of the Victorian Volcanic Plain’. Department of the Environment, Water, Heritage and Arts.</w:t>
          </w:r>
        </w:p>
        <w:p w14:paraId="71DCEA84" w14:textId="77777777" w:rsidR="000B173B" w:rsidRDefault="000B173B" w:rsidP="000B173B">
          <w:pPr>
            <w:rPr>
              <w:rFonts w:eastAsia="Times New Roman"/>
            </w:rPr>
          </w:pPr>
          <w:r>
            <w:rPr>
              <w:rFonts w:eastAsia="Times New Roman"/>
            </w:rPr>
            <w:t>DEWHA (2008e) ‘Threat abatement plan for competition and land degradation by unmanaged goats’. Department of Environment, Water, Heritage and Arts.</w:t>
          </w:r>
        </w:p>
        <w:p w14:paraId="431DB2C7" w14:textId="77777777" w:rsidR="000B173B" w:rsidRDefault="000B173B" w:rsidP="000B173B">
          <w:pPr>
            <w:rPr>
              <w:rFonts w:eastAsia="Times New Roman"/>
            </w:rPr>
          </w:pPr>
          <w:r>
            <w:rPr>
              <w:rFonts w:eastAsia="Times New Roman"/>
            </w:rPr>
            <w:t xml:space="preserve">DEWHA (2008f) </w:t>
          </w:r>
          <w:r>
            <w:rPr>
              <w:rFonts w:eastAsia="Times New Roman"/>
              <w:i/>
              <w:iCs/>
            </w:rPr>
            <w:t>Threat abatement plan for predation by the European red fox.</w:t>
          </w:r>
          <w:r>
            <w:rPr>
              <w:rFonts w:eastAsia="Times New Roman"/>
            </w:rPr>
            <w:t xml:space="preserve"> Canberra, ACT: Dept. of the Environment, Water, Heritage, and the Arts.</w:t>
          </w:r>
        </w:p>
        <w:p w14:paraId="65605AA0" w14:textId="77777777" w:rsidR="000B173B" w:rsidRDefault="000B173B" w:rsidP="000B173B">
          <w:pPr>
            <w:rPr>
              <w:rFonts w:eastAsia="Times New Roman"/>
            </w:rPr>
          </w:pPr>
          <w:r>
            <w:rPr>
              <w:rFonts w:eastAsia="Times New Roman"/>
            </w:rPr>
            <w:t>DEWHA (2009a) ‘Approved Conservation Advice for the Grassy Eucalypt Woodland of the Victorian Volcanic Plain’. Department of Environment, Water, Heritage and Arts.</w:t>
          </w:r>
        </w:p>
        <w:p w14:paraId="3C81A044" w14:textId="77777777" w:rsidR="000B173B" w:rsidRDefault="000B173B" w:rsidP="000B173B">
          <w:pPr>
            <w:rPr>
              <w:rFonts w:eastAsia="Times New Roman"/>
            </w:rPr>
          </w:pPr>
          <w:r>
            <w:rPr>
              <w:rFonts w:eastAsia="Times New Roman"/>
            </w:rPr>
            <w:t>DEWHA (2009b) ‘Background Paper to EPBC Act Policy Statement 3.11 – Nationally Threatened Species and Ecological Communities Significant Impact Guidelines for the Critically Endangered Spiny Rice-flower (Pimelea spinescens subsp. spinescens)’. Department of Environment, Water, Heritage and Arts.</w:t>
          </w:r>
        </w:p>
        <w:p w14:paraId="53EE1902" w14:textId="77777777" w:rsidR="000B173B" w:rsidRDefault="000B173B" w:rsidP="000B173B">
          <w:pPr>
            <w:rPr>
              <w:rFonts w:eastAsia="Times New Roman"/>
            </w:rPr>
          </w:pPr>
          <w:r>
            <w:rPr>
              <w:rFonts w:eastAsia="Times New Roman"/>
            </w:rPr>
            <w:t>DEWHA (2009c) ‘EPBC Act Policy Statement 3.11 - Significant Impact Guidelines for the Critically Endangered Spiny Rice-flower (Pimelea spinescens subsp. spinescens)’. Department of Environment, Water, Heritage and Arts.</w:t>
          </w:r>
        </w:p>
        <w:p w14:paraId="7042466D" w14:textId="77777777" w:rsidR="000B173B" w:rsidRDefault="000B173B" w:rsidP="000B173B">
          <w:pPr>
            <w:rPr>
              <w:rFonts w:eastAsia="Times New Roman"/>
            </w:rPr>
          </w:pPr>
          <w:r>
            <w:rPr>
              <w:rFonts w:eastAsia="Times New Roman"/>
            </w:rPr>
            <w:t>DEWHA (2009d) ‘EPBC Act Policy Statement 3.14: Significant impact guidelines for the vulnerable growling grass frog (Litoria raniformis) - Background Paper’. Department of Environment, Water, Heritage and Arts.</w:t>
          </w:r>
        </w:p>
        <w:p w14:paraId="3994C899" w14:textId="77777777" w:rsidR="000B173B" w:rsidRDefault="000B173B" w:rsidP="000B173B">
          <w:pPr>
            <w:rPr>
              <w:rFonts w:eastAsia="Times New Roman"/>
            </w:rPr>
          </w:pPr>
          <w:r>
            <w:rPr>
              <w:rFonts w:eastAsia="Times New Roman"/>
            </w:rPr>
            <w:t>DEWHA (2010a) ‘Approved Conservation Advice for the Grey Box (Eucalyptus microcarpa) Grassy Woodlands and Derived Native Grasslands of South-east Australia’. Department of Environment, Water, Heritage and Arts.</w:t>
          </w:r>
        </w:p>
        <w:p w14:paraId="1BE058F2" w14:textId="77777777" w:rsidR="000B173B" w:rsidRDefault="000B173B" w:rsidP="000B173B">
          <w:pPr>
            <w:rPr>
              <w:rFonts w:eastAsia="Times New Roman"/>
            </w:rPr>
          </w:pPr>
          <w:r>
            <w:rPr>
              <w:rFonts w:eastAsia="Times New Roman"/>
            </w:rPr>
            <w:t>DEWHA (2010b) ‘Survey Guidelines for Australia’s Threatened Birds. EPBC Act survey guidelines 6.2’. Department of Environment, Water, Heritage and Arts.</w:t>
          </w:r>
        </w:p>
        <w:p w14:paraId="08C0FAB5" w14:textId="77777777" w:rsidR="000B173B" w:rsidRDefault="000B173B" w:rsidP="000B173B">
          <w:pPr>
            <w:rPr>
              <w:rFonts w:eastAsia="Times New Roman"/>
            </w:rPr>
          </w:pPr>
          <w:r>
            <w:rPr>
              <w:rFonts w:eastAsia="Times New Roman"/>
            </w:rPr>
            <w:t>DoE (2013a) ‘Approved Conservation Advice for Caladenia pumila (dwarf spider-orchid)’. Department of Environment.</w:t>
          </w:r>
        </w:p>
        <w:p w14:paraId="6E5EAD78" w14:textId="77777777" w:rsidR="000B173B" w:rsidRDefault="000B173B" w:rsidP="000B173B">
          <w:pPr>
            <w:rPr>
              <w:rFonts w:eastAsia="Times New Roman"/>
            </w:rPr>
          </w:pPr>
          <w:r>
            <w:rPr>
              <w:rFonts w:eastAsia="Times New Roman"/>
            </w:rPr>
            <w:t>DoE (2013b) ‘Approved Conservation Advice for Macquaria australasica (Macquarie perch)’. Department of Environment.</w:t>
          </w:r>
        </w:p>
        <w:p w14:paraId="4131CBE1" w14:textId="77777777" w:rsidR="000B173B" w:rsidRDefault="000B173B" w:rsidP="000B173B">
          <w:pPr>
            <w:rPr>
              <w:rFonts w:eastAsia="Times New Roman"/>
            </w:rPr>
          </w:pPr>
          <w:r>
            <w:rPr>
              <w:rFonts w:eastAsia="Times New Roman"/>
            </w:rPr>
            <w:t xml:space="preserve">DoE (2014) </w:t>
          </w:r>
          <w:r>
            <w:rPr>
              <w:rFonts w:eastAsia="Times New Roman"/>
              <w:i/>
              <w:iCs/>
            </w:rPr>
            <w:t>Thinornis rubricollis rubricollis (hooded plover (eastern)) Conservation Advice</w:t>
          </w:r>
          <w:r>
            <w:rPr>
              <w:rFonts w:eastAsia="Times New Roman"/>
            </w:rPr>
            <w:t>.</w:t>
          </w:r>
        </w:p>
        <w:p w14:paraId="2E67572C" w14:textId="77777777" w:rsidR="000B173B" w:rsidRDefault="000B173B" w:rsidP="000B173B">
          <w:pPr>
            <w:rPr>
              <w:rFonts w:eastAsia="Times New Roman"/>
            </w:rPr>
          </w:pPr>
          <w:r>
            <w:rPr>
              <w:rFonts w:eastAsia="Times New Roman"/>
            </w:rPr>
            <w:t>DoE (2015a) ‘Approved Conservation Advice (including listing advice) for the Natural Damp Grassland of the Victorian Coastal Plains’. Department of Environment.</w:t>
          </w:r>
        </w:p>
        <w:p w14:paraId="4D88040E" w14:textId="77777777" w:rsidR="000B173B" w:rsidRDefault="000B173B" w:rsidP="000B173B">
          <w:pPr>
            <w:rPr>
              <w:rFonts w:eastAsia="Times New Roman"/>
            </w:rPr>
          </w:pPr>
          <w:r>
            <w:rPr>
              <w:rFonts w:eastAsia="Times New Roman"/>
            </w:rPr>
            <w:t>DoE (2015b) ‘Conservation Management Plan for the Blue Whale - A Recovery Plan under the Environment Protection and Biodiversity Conservation Act 1999’.</w:t>
          </w:r>
        </w:p>
        <w:p w14:paraId="76107B74" w14:textId="77777777" w:rsidR="000B173B" w:rsidRDefault="000B173B" w:rsidP="000B173B">
          <w:pPr>
            <w:rPr>
              <w:rFonts w:eastAsia="Times New Roman"/>
            </w:rPr>
          </w:pPr>
          <w:r>
            <w:rPr>
              <w:rFonts w:eastAsia="Times New Roman"/>
            </w:rPr>
            <w:t>DoE (2015c) ‘Draft Referral guideline for 14 birds listed as migratory species under the EPBC Act’. Department of Environment.</w:t>
          </w:r>
        </w:p>
        <w:p w14:paraId="715D0055" w14:textId="77777777" w:rsidR="000B173B" w:rsidRDefault="000B173B" w:rsidP="000B173B">
          <w:pPr>
            <w:rPr>
              <w:rFonts w:eastAsia="Times New Roman"/>
            </w:rPr>
          </w:pPr>
          <w:r>
            <w:rPr>
              <w:rFonts w:eastAsia="Times New Roman"/>
            </w:rPr>
            <w:t>DoE (2015d) ‘Grantiella picta (painted honeyeater) Conservation Advice’, pp. 1–8.</w:t>
          </w:r>
        </w:p>
        <w:p w14:paraId="17E2AC00" w14:textId="77777777" w:rsidR="000B173B" w:rsidRDefault="000B173B" w:rsidP="000B173B">
          <w:pPr>
            <w:rPr>
              <w:rFonts w:eastAsia="Times New Roman"/>
            </w:rPr>
          </w:pPr>
          <w:r>
            <w:rPr>
              <w:rFonts w:eastAsia="Times New Roman"/>
            </w:rPr>
            <w:t>DoE (2015e) ‘National Recovery Plan for the Plains-wanderer (Pedionomus torquatus)’, (June), p. 36.</w:t>
          </w:r>
        </w:p>
        <w:p w14:paraId="6DED3DDC" w14:textId="77777777" w:rsidR="000B173B" w:rsidRDefault="000B173B" w:rsidP="000B173B">
          <w:pPr>
            <w:rPr>
              <w:rFonts w:eastAsia="Times New Roman"/>
            </w:rPr>
          </w:pPr>
          <w:r>
            <w:rPr>
              <w:rFonts w:eastAsia="Times New Roman"/>
            </w:rPr>
            <w:t>DoE (2015f) ‘Numenius madagascariensis (eastern curlew) Conservation Advice’, pp. 1–13.</w:t>
          </w:r>
        </w:p>
        <w:p w14:paraId="416B1429" w14:textId="77777777" w:rsidR="000B173B" w:rsidRDefault="000B173B" w:rsidP="000B173B">
          <w:pPr>
            <w:rPr>
              <w:rFonts w:eastAsia="Times New Roman"/>
            </w:rPr>
          </w:pPr>
          <w:r>
            <w:rPr>
              <w:rFonts w:eastAsia="Times New Roman"/>
            </w:rPr>
            <w:t>DoE (2015g) ‘Pedionomus torquatus (plains-wanderer) Conservation Advice’, pp. 1–9.</w:t>
          </w:r>
        </w:p>
        <w:p w14:paraId="43F150AC" w14:textId="77777777" w:rsidR="000B173B" w:rsidRDefault="000B173B" w:rsidP="000B173B">
          <w:pPr>
            <w:rPr>
              <w:rFonts w:eastAsia="Times New Roman"/>
            </w:rPr>
          </w:pPr>
          <w:r>
            <w:rPr>
              <w:rFonts w:eastAsia="Times New Roman"/>
            </w:rPr>
            <w:t xml:space="preserve">DoE (2015h) </w:t>
          </w:r>
          <w:r>
            <w:rPr>
              <w:rFonts w:eastAsia="Times New Roman"/>
              <w:i/>
              <w:iCs/>
            </w:rPr>
            <w:t>Threat abatement plan for predation by feral cats</w:t>
          </w:r>
          <w:r>
            <w:rPr>
              <w:rFonts w:eastAsia="Times New Roman"/>
            </w:rPr>
            <w:t>. Canberra.</w:t>
          </w:r>
        </w:p>
        <w:p w14:paraId="1BB09FEB" w14:textId="77777777" w:rsidR="000B173B" w:rsidRDefault="000B173B" w:rsidP="000B173B">
          <w:pPr>
            <w:rPr>
              <w:rFonts w:eastAsia="Times New Roman"/>
            </w:rPr>
          </w:pPr>
          <w:r>
            <w:rPr>
              <w:rFonts w:eastAsia="Times New Roman"/>
            </w:rPr>
            <w:t>DoE (2016) ‘National Recovery Plan for the Regent Honeyeater (Anthochaera phrygia)’. Department of Environment.</w:t>
          </w:r>
        </w:p>
        <w:p w14:paraId="61F3AE25" w14:textId="77777777" w:rsidR="000B173B" w:rsidRDefault="000B173B" w:rsidP="000B173B">
          <w:pPr>
            <w:rPr>
              <w:rFonts w:eastAsia="Times New Roman"/>
            </w:rPr>
          </w:pPr>
          <w:r>
            <w:rPr>
              <w:rFonts w:eastAsia="Times New Roman"/>
            </w:rPr>
            <w:t>DoE (2017) ‘EPBC Act Policy Statement 3.21: Industry guidelines for avoiding, assessing and mitigating impacts on EPBC Act listed migratory shorebird species’. Department of Environment.</w:t>
          </w:r>
        </w:p>
        <w:p w14:paraId="5C6CAEFC" w14:textId="77777777" w:rsidR="000B173B" w:rsidRDefault="000B173B" w:rsidP="000B173B">
          <w:pPr>
            <w:rPr>
              <w:rFonts w:eastAsia="Times New Roman"/>
            </w:rPr>
          </w:pPr>
          <w:r>
            <w:rPr>
              <w:rFonts w:eastAsia="Times New Roman"/>
            </w:rPr>
            <w:lastRenderedPageBreak/>
            <w:t xml:space="preserve">DoEE (2016) </w:t>
          </w:r>
          <w:r>
            <w:rPr>
              <w:rFonts w:eastAsia="Times New Roman"/>
              <w:i/>
              <w:iCs/>
            </w:rPr>
            <w:t>Threat abatement plan for competition and land degradation by rabbits</w:t>
          </w:r>
          <w:r>
            <w:rPr>
              <w:rFonts w:eastAsia="Times New Roman"/>
            </w:rPr>
            <w:t>. Department of Environment and Energy, Canberra.</w:t>
          </w:r>
        </w:p>
        <w:p w14:paraId="5081E8D1" w14:textId="77777777" w:rsidR="000B173B" w:rsidRDefault="000B173B" w:rsidP="000B173B">
          <w:pPr>
            <w:rPr>
              <w:rFonts w:eastAsia="Times New Roman"/>
            </w:rPr>
          </w:pPr>
          <w:r>
            <w:rPr>
              <w:rFonts w:eastAsia="Times New Roman"/>
            </w:rPr>
            <w:t>DoEE (2017a) ‘Recovery Plan for Marine Turtles in Australia’. Department of Environment and Energy, p. 154.</w:t>
          </w:r>
        </w:p>
        <w:p w14:paraId="22CD69A7" w14:textId="77777777" w:rsidR="000B173B" w:rsidRDefault="000B173B" w:rsidP="000B173B">
          <w:pPr>
            <w:rPr>
              <w:rFonts w:eastAsia="Times New Roman"/>
            </w:rPr>
          </w:pPr>
          <w:r>
            <w:rPr>
              <w:rFonts w:eastAsia="Times New Roman"/>
            </w:rPr>
            <w:t xml:space="preserve">DoEE (2017b) </w:t>
          </w:r>
          <w:r>
            <w:rPr>
              <w:rFonts w:eastAsia="Times New Roman"/>
              <w:i/>
              <w:iCs/>
            </w:rPr>
            <w:t>Threat Abatement Plan for predation, habitat degradation, competition and disease transmission by feral pigs (Sus scrofa)</w:t>
          </w:r>
          <w:r>
            <w:rPr>
              <w:rFonts w:eastAsia="Times New Roman"/>
            </w:rPr>
            <w:t>.</w:t>
          </w:r>
        </w:p>
        <w:p w14:paraId="3D5AE956" w14:textId="77777777" w:rsidR="000B173B" w:rsidRDefault="000B173B" w:rsidP="000B173B">
          <w:pPr>
            <w:rPr>
              <w:rFonts w:eastAsia="Times New Roman"/>
            </w:rPr>
          </w:pPr>
          <w:r>
            <w:rPr>
              <w:rFonts w:eastAsia="Times New Roman"/>
            </w:rPr>
            <w:t>DoEE (2018a) ‘Approved Conservation Advice (including Listing Advice) for the Assemblages of species associated with open-coast salt-wedge estuaries of western and central Victoria ecological community20’. Department of Environment and Energy.</w:t>
          </w:r>
        </w:p>
        <w:p w14:paraId="63B64E86" w14:textId="77777777" w:rsidR="000B173B" w:rsidRDefault="000B173B" w:rsidP="000B173B">
          <w:pPr>
            <w:rPr>
              <w:rFonts w:eastAsia="Times New Roman"/>
            </w:rPr>
          </w:pPr>
          <w:r>
            <w:rPr>
              <w:rFonts w:eastAsia="Times New Roman"/>
            </w:rPr>
            <w:t>DoEE (2018b) ‘Freedom of Information Document 181015 - relating to the 2018 EPBC FPAL list’.</w:t>
          </w:r>
        </w:p>
        <w:p w14:paraId="63EF530E" w14:textId="77777777" w:rsidR="000B173B" w:rsidRDefault="000B173B" w:rsidP="000B173B">
          <w:pPr>
            <w:rPr>
              <w:rFonts w:eastAsia="Times New Roman"/>
            </w:rPr>
          </w:pPr>
          <w:r>
            <w:rPr>
              <w:rFonts w:eastAsia="Times New Roman"/>
            </w:rPr>
            <w:t>DoEE (2019) ‘Draft National Recovery Plan for the Australian Painted Snipe Rostratula australis’. Department of Environment and Energy.</w:t>
          </w:r>
        </w:p>
        <w:p w14:paraId="6F521AE5" w14:textId="77777777" w:rsidR="000B173B" w:rsidRDefault="000B173B" w:rsidP="000B173B">
          <w:pPr>
            <w:rPr>
              <w:rFonts w:eastAsia="Times New Roman"/>
            </w:rPr>
          </w:pPr>
          <w:r>
            <w:rPr>
              <w:rFonts w:eastAsia="Times New Roman"/>
            </w:rPr>
            <w:t>DSE (2008) ‘Action Statement | Spiny Rice-flower’. Department of Sustainability and Environment.</w:t>
          </w:r>
        </w:p>
        <w:p w14:paraId="3BDEC917" w14:textId="77777777" w:rsidR="000B173B" w:rsidRDefault="000B173B" w:rsidP="000B173B">
          <w:pPr>
            <w:rPr>
              <w:rFonts w:eastAsia="Times New Roman"/>
            </w:rPr>
          </w:pPr>
          <w:r>
            <w:rPr>
              <w:rFonts w:eastAsia="Times New Roman"/>
            </w:rPr>
            <w:t>DSEWPaC (2011a) ‘Sternula nereis nereis (Fairy Tern) Conservation Advice’.</w:t>
          </w:r>
        </w:p>
        <w:p w14:paraId="6CD5419B" w14:textId="77777777" w:rsidR="000B173B" w:rsidRDefault="000B173B" w:rsidP="000B173B">
          <w:pPr>
            <w:rPr>
              <w:rFonts w:eastAsia="Times New Roman"/>
            </w:rPr>
          </w:pPr>
          <w:r>
            <w:rPr>
              <w:rFonts w:eastAsia="Times New Roman"/>
            </w:rPr>
            <w:t>DSEWPaC (2011b) ‘Survey guidelines for Australia’s threatened fish. EPBC Act survey guidelines 6.4’. Department of Sustainability, Environment, Water, Population and Communities.</w:t>
          </w:r>
        </w:p>
        <w:p w14:paraId="4C42D7BC" w14:textId="77777777" w:rsidR="000B173B" w:rsidRDefault="000B173B" w:rsidP="000B173B">
          <w:pPr>
            <w:rPr>
              <w:rFonts w:eastAsia="Times New Roman"/>
            </w:rPr>
          </w:pPr>
          <w:r>
            <w:rPr>
              <w:rFonts w:eastAsia="Times New Roman"/>
            </w:rPr>
            <w:t>DSEWPaC (2012a) ‘Approved Conservation Advice for the Seasonal Herbaceous Wetlands (Freshwater) of the Temperate Lowland Plains’. Department of Sustainability, Environment, Water Population and Communities.</w:t>
          </w:r>
        </w:p>
        <w:p w14:paraId="3B5B2DE0" w14:textId="77777777" w:rsidR="000B173B" w:rsidRDefault="000B173B" w:rsidP="000B173B">
          <w:pPr>
            <w:rPr>
              <w:rFonts w:eastAsia="Times New Roman"/>
            </w:rPr>
          </w:pPr>
          <w:r>
            <w:rPr>
              <w:rFonts w:eastAsia="Times New Roman"/>
            </w:rPr>
            <w:t>DSEWPaC (2012b) ‘Conservation Management Plan for the Southern Right Whale: A Recovery Plan under the Environment Protection and Biodiversity Conservation Act 1999 (2011–2021)’, p. 72.</w:t>
          </w:r>
        </w:p>
        <w:p w14:paraId="33FBB767" w14:textId="77777777" w:rsidR="000B173B" w:rsidRDefault="000B173B" w:rsidP="000B173B">
          <w:pPr>
            <w:rPr>
              <w:rFonts w:eastAsia="Times New Roman"/>
            </w:rPr>
          </w:pPr>
          <w:r>
            <w:rPr>
              <w:rFonts w:eastAsia="Times New Roman"/>
            </w:rPr>
            <w:t>DSEWPaC (2013a) ‘Recovery Plan for the White Shark (Carcharodon carcharias)’. Department of Sustainability, Environment, Water Population and Communities.</w:t>
          </w:r>
        </w:p>
        <w:p w14:paraId="5AB7B9C4" w14:textId="77777777" w:rsidR="000B173B" w:rsidRDefault="000B173B" w:rsidP="000B173B">
          <w:pPr>
            <w:rPr>
              <w:rFonts w:eastAsia="Times New Roman"/>
            </w:rPr>
          </w:pPr>
          <w:r>
            <w:rPr>
              <w:rFonts w:eastAsia="Times New Roman"/>
            </w:rPr>
            <w:t>DSEWPaC (2013b) ‘Rostratula australis (Australian painted snipe) Approved Conservation Advice’. Department of Sustainability, Environment, Water, Population and Communities.</w:t>
          </w:r>
        </w:p>
        <w:p w14:paraId="555E7BC1" w14:textId="77777777" w:rsidR="000B173B" w:rsidRDefault="000B173B" w:rsidP="000B173B">
          <w:pPr>
            <w:rPr>
              <w:rFonts w:eastAsia="Times New Roman"/>
            </w:rPr>
          </w:pPr>
          <w:r>
            <w:rPr>
              <w:rFonts w:eastAsia="Times New Roman"/>
            </w:rPr>
            <w:t>Duncan, M. (2010a) ‘National Recovery Plan for the Dense Leek-orchid Prasophyllum spicatum’. Department of Sustainability and Environment.</w:t>
          </w:r>
        </w:p>
        <w:p w14:paraId="24BE7601" w14:textId="77777777" w:rsidR="000B173B" w:rsidRDefault="000B173B" w:rsidP="000B173B">
          <w:pPr>
            <w:rPr>
              <w:rFonts w:eastAsia="Times New Roman"/>
            </w:rPr>
          </w:pPr>
          <w:r>
            <w:rPr>
              <w:rFonts w:eastAsia="Times New Roman"/>
            </w:rPr>
            <w:t>Duncan, M. (2010b) ‘National Recovery Plan for the Leafy Greenhood Pterostylis cucullata’. Victorian Government Department of Sustainability and Environment.</w:t>
          </w:r>
        </w:p>
        <w:p w14:paraId="39C1C481" w14:textId="77777777" w:rsidR="000B173B" w:rsidRDefault="000B173B" w:rsidP="000B173B">
          <w:pPr>
            <w:rPr>
              <w:rFonts w:eastAsia="Times New Roman"/>
            </w:rPr>
          </w:pPr>
          <w:r>
            <w:rPr>
              <w:rFonts w:eastAsia="Times New Roman"/>
            </w:rPr>
            <w:t>Duncan, M., Pritchard, A. and Coates, F. (2010) ‘National Recovery Plan for Fifteen Threatened Orchids in South-eastern Australia’. Department of Sustainability and Environment.</w:t>
          </w:r>
        </w:p>
        <w:p w14:paraId="599C4EEC" w14:textId="77777777" w:rsidR="000B173B" w:rsidRDefault="000B173B" w:rsidP="000B173B">
          <w:pPr>
            <w:rPr>
              <w:rFonts w:eastAsia="Times New Roman"/>
            </w:rPr>
          </w:pPr>
          <w:r>
            <w:rPr>
              <w:rFonts w:eastAsia="Times New Roman"/>
            </w:rPr>
            <w:t>EHP (2021) ‘Existing Ecological Conditions: Northern and Western Geelong Growth Areas’. Prepared for the City of Greater Geelong.</w:t>
          </w:r>
        </w:p>
        <w:p w14:paraId="5C8C8734" w14:textId="77777777" w:rsidR="000B173B" w:rsidRDefault="000B173B" w:rsidP="000B173B">
          <w:pPr>
            <w:rPr>
              <w:rFonts w:eastAsia="Times New Roman"/>
            </w:rPr>
          </w:pPr>
          <w:r>
            <w:rPr>
              <w:rFonts w:eastAsia="Times New Roman"/>
            </w:rPr>
            <w:t xml:space="preserve">Garnett, S., Szabo, J. and Dutson, G. (2011) </w:t>
          </w:r>
          <w:r>
            <w:rPr>
              <w:rFonts w:eastAsia="Times New Roman"/>
              <w:i/>
              <w:iCs/>
            </w:rPr>
            <w:t>The Action Plan for Australian Birds 2010</w:t>
          </w:r>
          <w:r>
            <w:rPr>
              <w:rFonts w:eastAsia="Times New Roman"/>
            </w:rPr>
            <w:t>. Melbourne: CSIRO Publishing.</w:t>
          </w:r>
        </w:p>
        <w:p w14:paraId="162BBD12" w14:textId="77777777" w:rsidR="000B173B" w:rsidRDefault="000B173B" w:rsidP="000B173B">
          <w:pPr>
            <w:rPr>
              <w:rFonts w:eastAsia="Times New Roman"/>
            </w:rPr>
          </w:pPr>
          <w:r>
            <w:rPr>
              <w:rFonts w:eastAsia="Times New Roman"/>
            </w:rPr>
            <w:t>Gillies, C.L., Creighton, C. and McLeod, I.M. (2015) ‘Shellfish reef habitats: a synopsis to underpin the repair and conservation of Australia’s environmentally, socially and economically important bays and estuaries’. Centre for Tropical Water and Aquatic Ecosystem Research (TropWATER), James Cook University.</w:t>
          </w:r>
        </w:p>
        <w:p w14:paraId="27011396" w14:textId="77777777" w:rsidR="000B173B" w:rsidRDefault="000B173B" w:rsidP="000B173B">
          <w:pPr>
            <w:rPr>
              <w:rFonts w:eastAsia="Times New Roman"/>
            </w:rPr>
          </w:pPr>
          <w:r>
            <w:rPr>
              <w:rFonts w:eastAsia="Times New Roman"/>
            </w:rPr>
            <w:t xml:space="preserve">Hamer, A. (2011) ‘The herpetofauna of Melbourne: using past and present distributions to assess impacts of urbanisation’, </w:t>
          </w:r>
          <w:r>
            <w:rPr>
              <w:rFonts w:eastAsia="Times New Roman"/>
              <w:i/>
              <w:iCs/>
            </w:rPr>
            <w:t>The Victorian Naturalist</w:t>
          </w:r>
          <w:r>
            <w:rPr>
              <w:rFonts w:eastAsia="Times New Roman"/>
            </w:rPr>
            <w:t>, 128(5), pp. 162–173.</w:t>
          </w:r>
        </w:p>
        <w:p w14:paraId="6F59363C" w14:textId="77777777" w:rsidR="000B173B" w:rsidRDefault="000B173B" w:rsidP="000B173B">
          <w:pPr>
            <w:rPr>
              <w:rFonts w:eastAsia="Times New Roman"/>
            </w:rPr>
          </w:pPr>
          <w:r>
            <w:rPr>
              <w:rFonts w:eastAsia="Times New Roman"/>
            </w:rPr>
            <w:t xml:space="preserve">Hansen, B.D. </w:t>
          </w:r>
          <w:r>
            <w:rPr>
              <w:rFonts w:eastAsia="Times New Roman"/>
              <w:i/>
              <w:iCs/>
            </w:rPr>
            <w:t>et al.</w:t>
          </w:r>
          <w:r>
            <w:rPr>
              <w:rFonts w:eastAsia="Times New Roman"/>
            </w:rPr>
            <w:t xml:space="preserve"> (2016) ‘Revision of the East Asian-Australasian Flyway Population Estimates for 37 listed Migratory Shorebird Species’. Unpublished report for the Department of the Environment. BirdLife Australia, Melbourne., p. 90.</w:t>
          </w:r>
        </w:p>
        <w:p w14:paraId="4C828658" w14:textId="77777777" w:rsidR="000B173B" w:rsidRDefault="000B173B" w:rsidP="000B173B">
          <w:pPr>
            <w:rPr>
              <w:rFonts w:eastAsia="Times New Roman"/>
            </w:rPr>
          </w:pPr>
          <w:r>
            <w:rPr>
              <w:rFonts w:eastAsia="Times New Roman"/>
            </w:rPr>
            <w:t xml:space="preserve">Heard, G., Scroggie, M. and Clemann, N. (2010) </w:t>
          </w:r>
          <w:r>
            <w:rPr>
              <w:rFonts w:eastAsia="Times New Roman"/>
              <w:i/>
              <w:iCs/>
            </w:rPr>
            <w:t>Guidelines for managing the endangered Growling Grass Frog in urbanising landscapes</w:t>
          </w:r>
          <w:r>
            <w:rPr>
              <w:rFonts w:eastAsia="Times New Roman"/>
            </w:rPr>
            <w:t>. Citeseer.</w:t>
          </w:r>
        </w:p>
        <w:p w14:paraId="4668C30C" w14:textId="77777777" w:rsidR="000B173B" w:rsidRDefault="000B173B" w:rsidP="000B173B">
          <w:pPr>
            <w:rPr>
              <w:rFonts w:eastAsia="Times New Roman"/>
            </w:rPr>
          </w:pPr>
          <w:r>
            <w:rPr>
              <w:rFonts w:eastAsia="Times New Roman"/>
            </w:rPr>
            <w:lastRenderedPageBreak/>
            <w:t xml:space="preserve">Howland, B.W.A. </w:t>
          </w:r>
          <w:r>
            <w:rPr>
              <w:rFonts w:eastAsia="Times New Roman"/>
              <w:i/>
              <w:iCs/>
            </w:rPr>
            <w:t>et al.</w:t>
          </w:r>
          <w:r>
            <w:rPr>
              <w:rFonts w:eastAsia="Times New Roman"/>
            </w:rPr>
            <w:t xml:space="preserve"> (2016) ‘Habitat preference of the striped legless lizard: Implications of grazing by native herbivores and livestock for conservation of grassland biota’, </w:t>
          </w:r>
          <w:r>
            <w:rPr>
              <w:rFonts w:eastAsia="Times New Roman"/>
              <w:i/>
              <w:iCs/>
            </w:rPr>
            <w:t>Austral Ecology</w:t>
          </w:r>
          <w:r>
            <w:rPr>
              <w:rFonts w:eastAsia="Times New Roman"/>
            </w:rPr>
            <w:t>, 41(4), pp. 455–464. Available at: https://doi.org/10.1111/aec.12337.</w:t>
          </w:r>
        </w:p>
        <w:p w14:paraId="3C0F7E79" w14:textId="77777777" w:rsidR="000B173B" w:rsidRDefault="000B173B" w:rsidP="000B173B">
          <w:pPr>
            <w:rPr>
              <w:rFonts w:eastAsia="Times New Roman"/>
            </w:rPr>
          </w:pPr>
          <w:r>
            <w:rPr>
              <w:rFonts w:eastAsia="Times New Roman"/>
            </w:rPr>
            <w:t xml:space="preserve">Kennett, R. </w:t>
          </w:r>
          <w:r>
            <w:rPr>
              <w:rFonts w:eastAsia="Times New Roman"/>
              <w:i/>
              <w:iCs/>
            </w:rPr>
            <w:t>et al.</w:t>
          </w:r>
          <w:r>
            <w:rPr>
              <w:rFonts w:eastAsia="Times New Roman"/>
            </w:rPr>
            <w:t xml:space="preserve"> (2009) ‘Chelodina longicollis (Shaw 1794) – Eastern Long-Necked Turtle, Common Long-Necked Turtle, Common Snake-Necked Turtle’, in </w:t>
          </w:r>
          <w:r>
            <w:rPr>
              <w:rFonts w:eastAsia="Times New Roman"/>
              <w:i/>
              <w:iCs/>
            </w:rPr>
            <w:t>Conservation Biology of Freshwater Turtles and Tortoises</w:t>
          </w:r>
          <w:r>
            <w:rPr>
              <w:rFonts w:eastAsia="Times New Roman"/>
            </w:rPr>
            <w:t>. Chelonian Research Foundation, pp. 031.1-031.8. Available at: https://doi.org/10.3854/crm.5.031.longicollis.v1.2009.</w:t>
          </w:r>
        </w:p>
        <w:p w14:paraId="3973BD00" w14:textId="77777777" w:rsidR="000B173B" w:rsidRDefault="000B173B" w:rsidP="000B173B">
          <w:pPr>
            <w:rPr>
              <w:rFonts w:eastAsia="Times New Roman"/>
            </w:rPr>
          </w:pPr>
          <w:r>
            <w:rPr>
              <w:rFonts w:eastAsia="Times New Roman"/>
            </w:rPr>
            <w:t xml:space="preserve">Melville, J. </w:t>
          </w:r>
          <w:r>
            <w:rPr>
              <w:rFonts w:eastAsia="Times New Roman"/>
              <w:i/>
              <w:iCs/>
            </w:rPr>
            <w:t>et al.</w:t>
          </w:r>
          <w:r>
            <w:rPr>
              <w:rFonts w:eastAsia="Times New Roman"/>
            </w:rPr>
            <w:t xml:space="preserve"> (2019) ‘Taxonomy and conservation of grassland earless dragons: new species and an assessment of the first possible extinction of a reptile on mainland Australia’, </w:t>
          </w:r>
          <w:r>
            <w:rPr>
              <w:rFonts w:eastAsia="Times New Roman"/>
              <w:i/>
              <w:iCs/>
            </w:rPr>
            <w:t>Royal Society Open Science</w:t>
          </w:r>
          <w:r>
            <w:rPr>
              <w:rFonts w:eastAsia="Times New Roman"/>
            </w:rPr>
            <w:t>, 6(5), p. 190233. Available at: https://doi.org/10.1098/rsos.190233.</w:t>
          </w:r>
        </w:p>
        <w:p w14:paraId="2826890F" w14:textId="77777777" w:rsidR="000B173B" w:rsidRDefault="000B173B" w:rsidP="000B173B">
          <w:pPr>
            <w:rPr>
              <w:rFonts w:eastAsia="Times New Roman"/>
            </w:rPr>
          </w:pPr>
          <w:r>
            <w:rPr>
              <w:rFonts w:eastAsia="Times New Roman"/>
            </w:rPr>
            <w:t>Murphy, A. (2010) ‘National Recovery Plan for Adamson’s Blown-grass Lachnagrostis adamsonii’. Department of Sustainability and Environment.</w:t>
          </w:r>
        </w:p>
        <w:p w14:paraId="6964D90B" w14:textId="77777777" w:rsidR="000B173B" w:rsidRDefault="000B173B" w:rsidP="000B173B">
          <w:pPr>
            <w:rPr>
              <w:rFonts w:eastAsia="Times New Roman"/>
            </w:rPr>
          </w:pPr>
          <w:r>
            <w:rPr>
              <w:rFonts w:eastAsia="Times New Roman"/>
            </w:rPr>
            <w:t>Murphy, A. and Downe, J. (2006) ‘National Recovery Plan for the Purple Eyebright Euphrasia collina subspecies muelleri’. Department of Sustainability and Environment.</w:t>
          </w:r>
        </w:p>
        <w:p w14:paraId="5CE7579B" w14:textId="77777777" w:rsidR="000B173B" w:rsidRDefault="000B173B" w:rsidP="000B173B">
          <w:pPr>
            <w:rPr>
              <w:rFonts w:eastAsia="Times New Roman"/>
            </w:rPr>
          </w:pPr>
          <w:r>
            <w:rPr>
              <w:rFonts w:eastAsia="Times New Roman"/>
            </w:rPr>
            <w:t>OEH (2012) ‘National Recovery Plan for Button Wrinklewort (Rutidosis leptorrhynchoides)’. Office of Environment and Heritage.</w:t>
          </w:r>
        </w:p>
        <w:p w14:paraId="3218C2A1" w14:textId="77777777" w:rsidR="000B173B" w:rsidRDefault="000B173B" w:rsidP="000B173B">
          <w:pPr>
            <w:rPr>
              <w:rFonts w:eastAsia="Times New Roman"/>
            </w:rPr>
          </w:pPr>
          <w:r>
            <w:rPr>
              <w:rFonts w:eastAsia="Times New Roman"/>
            </w:rPr>
            <w:t>Robertson, P. and Evans, M. (2009) ‘National Recovery Plan for the Grassland Earless Dragon Tympanocryptis pinguicolla’. Department of Territoy and Municipal Services.</w:t>
          </w:r>
        </w:p>
        <w:p w14:paraId="7AEF74D9" w14:textId="77777777" w:rsidR="000B173B" w:rsidRDefault="000B173B" w:rsidP="000B173B">
          <w:pPr>
            <w:rPr>
              <w:rFonts w:eastAsia="Times New Roman"/>
            </w:rPr>
          </w:pPr>
          <w:r>
            <w:rPr>
              <w:rFonts w:eastAsia="Times New Roman"/>
            </w:rPr>
            <w:t>SA DEH (2008) ‘Adelaide and Mount Lofty Ranges South Australia Threatened Species Profile Melanodryas cucullata cucullata Hooded Robin (south-eastern)’. South Australia Department for Environment and Heritage.</w:t>
          </w:r>
        </w:p>
        <w:p w14:paraId="4F62AB48" w14:textId="77777777" w:rsidR="000B173B" w:rsidRDefault="000B173B" w:rsidP="000B173B">
          <w:pPr>
            <w:rPr>
              <w:rFonts w:eastAsia="Times New Roman"/>
            </w:rPr>
          </w:pPr>
          <w:r>
            <w:rPr>
              <w:rFonts w:eastAsia="Times New Roman"/>
            </w:rPr>
            <w:t>Saddlier, S. and Hammer, M. (2010) ‘National Recovery Plan for the Yarra Pygmy Perch Nannoperca obscura’. Department of Sustainability and Environment.</w:t>
          </w:r>
        </w:p>
        <w:p w14:paraId="1751CC24" w14:textId="77777777" w:rsidR="000B173B" w:rsidRDefault="000B173B" w:rsidP="000B173B">
          <w:pPr>
            <w:rPr>
              <w:rFonts w:eastAsia="Times New Roman"/>
            </w:rPr>
          </w:pPr>
          <w:r>
            <w:rPr>
              <w:rFonts w:eastAsia="Times New Roman"/>
            </w:rPr>
            <w:t>Saddlier, S., Jackson, J. and Hammer, M. (2010) ‘National Recovery Plan for the Dwarf Galaxias Galaxiella pusilla’. Department of Sustainability and Environment.</w:t>
          </w:r>
        </w:p>
        <w:p w14:paraId="38113288" w14:textId="77777777" w:rsidR="000B173B" w:rsidRDefault="000B173B" w:rsidP="000B173B">
          <w:pPr>
            <w:rPr>
              <w:rFonts w:eastAsia="Times New Roman"/>
            </w:rPr>
          </w:pPr>
          <w:r>
            <w:rPr>
              <w:rFonts w:eastAsia="Times New Roman"/>
            </w:rPr>
            <w:t>Sinclair, S. (2010) ‘National Recovery Plan for the Large-fruit Groundsel Senecio macrocarpus’. Department of Sustainability and Environment.</w:t>
          </w:r>
        </w:p>
        <w:p w14:paraId="06CC60C1" w14:textId="77777777" w:rsidR="000B173B" w:rsidRDefault="000B173B" w:rsidP="000B173B">
          <w:pPr>
            <w:rPr>
              <w:rFonts w:eastAsia="Times New Roman"/>
            </w:rPr>
          </w:pPr>
          <w:r>
            <w:rPr>
              <w:rFonts w:eastAsia="Times New Roman"/>
            </w:rPr>
            <w:t xml:space="preserve">Stojanovic, D. </w:t>
          </w:r>
          <w:r>
            <w:rPr>
              <w:rFonts w:eastAsia="Times New Roman"/>
              <w:i/>
              <w:iCs/>
            </w:rPr>
            <w:t>et al.</w:t>
          </w:r>
          <w:r>
            <w:rPr>
              <w:rFonts w:eastAsia="Times New Roman"/>
            </w:rPr>
            <w:t xml:space="preserve"> (2020) ‘Spatial bias in implementation of recovery actions has not improved survival of Orange-bellied Parrots Neophema chrysogaster’, </w:t>
          </w:r>
          <w:r>
            <w:rPr>
              <w:rFonts w:eastAsia="Times New Roman"/>
              <w:i/>
              <w:iCs/>
            </w:rPr>
            <w:t>Emu</w:t>
          </w:r>
          <w:r>
            <w:rPr>
              <w:rFonts w:eastAsia="Times New Roman"/>
            </w:rPr>
            <w:t>, 120(3), pp. 263–268. Available at: https://doi.org/10.1080/01584197.2020.1799411.</w:t>
          </w:r>
        </w:p>
        <w:p w14:paraId="69A87B51" w14:textId="77777777" w:rsidR="000B173B" w:rsidRDefault="000B173B" w:rsidP="000B173B">
          <w:pPr>
            <w:rPr>
              <w:rFonts w:eastAsia="Times New Roman"/>
            </w:rPr>
          </w:pPr>
          <w:r>
            <w:rPr>
              <w:rFonts w:eastAsia="Times New Roman"/>
            </w:rPr>
            <w:t xml:space="preserve">Stojanovic, D. </w:t>
          </w:r>
          <w:r>
            <w:rPr>
              <w:rFonts w:eastAsia="Times New Roman"/>
              <w:i/>
              <w:iCs/>
            </w:rPr>
            <w:t>et al.</w:t>
          </w:r>
          <w:r>
            <w:rPr>
              <w:rFonts w:eastAsia="Times New Roman"/>
            </w:rPr>
            <w:t xml:space="preserve"> (2021) ‘Differences in wing shape of captive, critically endangered, migratory Orange-bellied Parrot Neophema chrysogaster relative to wild conspecifics’, </w:t>
          </w:r>
          <w:r>
            <w:rPr>
              <w:rFonts w:eastAsia="Times New Roman"/>
              <w:i/>
              <w:iCs/>
            </w:rPr>
            <w:t>Emu</w:t>
          </w:r>
          <w:r>
            <w:rPr>
              <w:rFonts w:eastAsia="Times New Roman"/>
            </w:rPr>
            <w:t>, 121(3), pp. 178–186. Available at: https://doi.org/10.1080/01584197.2021.1872389.</w:t>
          </w:r>
        </w:p>
        <w:p w14:paraId="7F8FBCE5" w14:textId="77777777" w:rsidR="000B173B" w:rsidRDefault="000B173B" w:rsidP="000B173B">
          <w:pPr>
            <w:rPr>
              <w:rFonts w:eastAsia="Times New Roman"/>
            </w:rPr>
          </w:pPr>
          <w:r>
            <w:rPr>
              <w:rFonts w:eastAsia="Times New Roman"/>
            </w:rPr>
            <w:t>SWIFFT (2022a) ‘Button Wrinklewort’. State Wide Integrated Flora and Fauna Teams.</w:t>
          </w:r>
        </w:p>
        <w:p w14:paraId="484EA1AA" w14:textId="77777777" w:rsidR="000B173B" w:rsidRDefault="000B173B" w:rsidP="000B173B">
          <w:pPr>
            <w:rPr>
              <w:rFonts w:eastAsia="Times New Roman"/>
            </w:rPr>
          </w:pPr>
          <w:r>
            <w:rPr>
              <w:rFonts w:eastAsia="Times New Roman"/>
            </w:rPr>
            <w:t>SWIFFT (2022b) ‘Golden Sun Moth’. State Wide Integrated Flora and Fauna Teams.</w:t>
          </w:r>
        </w:p>
        <w:p w14:paraId="0B9CD5FF" w14:textId="77777777" w:rsidR="000B173B" w:rsidRDefault="000B173B" w:rsidP="000B173B">
          <w:pPr>
            <w:rPr>
              <w:rFonts w:eastAsia="Times New Roman"/>
            </w:rPr>
          </w:pPr>
          <w:r>
            <w:rPr>
              <w:rFonts w:eastAsia="Times New Roman"/>
            </w:rPr>
            <w:t>SWIFFT (2022c) ‘Hooded Robin Melanodryas cucullata cucullata’. State Wide Integrated Flora and Fauna Teams.</w:t>
          </w:r>
        </w:p>
        <w:p w14:paraId="1ACA45F2" w14:textId="77777777" w:rsidR="000B173B" w:rsidRDefault="000B173B" w:rsidP="000B173B">
          <w:pPr>
            <w:rPr>
              <w:rFonts w:eastAsia="Times New Roman"/>
            </w:rPr>
          </w:pPr>
          <w:r>
            <w:rPr>
              <w:rFonts w:eastAsia="Times New Roman"/>
            </w:rPr>
            <w:t>SWIFFT (2022d) ‘Spiny Rice-flower’. State Wide Integrated Flora and Fauna Teams.</w:t>
          </w:r>
        </w:p>
        <w:p w14:paraId="5CEA1221" w14:textId="77777777" w:rsidR="000B173B" w:rsidRDefault="000B173B" w:rsidP="000B173B">
          <w:pPr>
            <w:rPr>
              <w:rFonts w:eastAsia="Times New Roman"/>
            </w:rPr>
          </w:pPr>
          <w:r>
            <w:rPr>
              <w:rFonts w:eastAsia="Times New Roman"/>
            </w:rPr>
            <w:t>SWIFFT (2022e) ‘Swamp Antechinus’. State Wide Integrated Flora and Fauna Teams.</w:t>
          </w:r>
        </w:p>
        <w:p w14:paraId="1AC66531" w14:textId="77777777" w:rsidR="000B173B" w:rsidRDefault="000B173B" w:rsidP="000B173B">
          <w:pPr>
            <w:rPr>
              <w:rFonts w:eastAsia="Times New Roman"/>
            </w:rPr>
          </w:pPr>
          <w:r>
            <w:rPr>
              <w:rFonts w:eastAsia="Times New Roman"/>
            </w:rPr>
            <w:t>The City of Greater Geelong (2021) ‘The northern and western geelong growth areas framework plan.’</w:t>
          </w:r>
        </w:p>
        <w:p w14:paraId="4824BD2D" w14:textId="77777777" w:rsidR="000B173B" w:rsidRDefault="000B173B" w:rsidP="000B173B">
          <w:pPr>
            <w:rPr>
              <w:rFonts w:eastAsia="Times New Roman"/>
            </w:rPr>
          </w:pPr>
          <w:r>
            <w:rPr>
              <w:rFonts w:eastAsia="Times New Roman"/>
            </w:rPr>
            <w:t>Threatened Species Section (2021) ‘Listing Statement for Pseudemoia rawlinsoni (glossy grass skink)’. Department of Primary Industries, Parks, Water and Environment, Tasmania.</w:t>
          </w:r>
        </w:p>
        <w:p w14:paraId="447A3FEA" w14:textId="77777777" w:rsidR="000B173B" w:rsidRDefault="000B173B" w:rsidP="000B173B">
          <w:pPr>
            <w:rPr>
              <w:rFonts w:eastAsia="Times New Roman"/>
            </w:rPr>
          </w:pPr>
          <w:r>
            <w:rPr>
              <w:rFonts w:eastAsia="Times New Roman"/>
            </w:rPr>
            <w:t>TSSC (2006) ‘Commonwealth Listing Advice on Neophema chrysogaster’. Threatened Species Scientific Committee.</w:t>
          </w:r>
        </w:p>
        <w:p w14:paraId="20F2C24F" w14:textId="77777777" w:rsidR="000B173B" w:rsidRDefault="000B173B" w:rsidP="000B173B">
          <w:pPr>
            <w:rPr>
              <w:rFonts w:eastAsia="Times New Roman"/>
            </w:rPr>
          </w:pPr>
          <w:r>
            <w:rPr>
              <w:rFonts w:eastAsia="Times New Roman"/>
            </w:rPr>
            <w:lastRenderedPageBreak/>
            <w:t>TSSC (2008) ‘Commonwealth Listing Advice on Natural Temperate Grassland of the Victorian Volcanic Plain’. Threatened Species Scientific Committee.</w:t>
          </w:r>
        </w:p>
        <w:p w14:paraId="1C15236C" w14:textId="77777777" w:rsidR="000B173B" w:rsidRDefault="000B173B" w:rsidP="000B173B">
          <w:pPr>
            <w:rPr>
              <w:rFonts w:eastAsia="Times New Roman"/>
            </w:rPr>
          </w:pPr>
          <w:r>
            <w:rPr>
              <w:rFonts w:eastAsia="Times New Roman"/>
            </w:rPr>
            <w:t>TSSC (2010) ‘National Recovery Plan for the Murray Cod Maccullochella peelii peelii’. Department of Sustainability and Environment.</w:t>
          </w:r>
        </w:p>
        <w:p w14:paraId="71FCAE16" w14:textId="77777777" w:rsidR="000B173B" w:rsidRDefault="000B173B" w:rsidP="000B173B">
          <w:pPr>
            <w:rPr>
              <w:rFonts w:eastAsia="Times New Roman"/>
            </w:rPr>
          </w:pPr>
          <w:r>
            <w:rPr>
              <w:rFonts w:eastAsia="Times New Roman"/>
            </w:rPr>
            <w:t>TSSC (2011a) ‘Commonwealth Listing Advice on Botaurus poiciloptilus (Australasian Bittern)’. Department of Sustainability, Environment, Water Population and Communities.</w:t>
          </w:r>
        </w:p>
        <w:p w14:paraId="05AF899E" w14:textId="77777777" w:rsidR="000B173B" w:rsidRDefault="000B173B" w:rsidP="000B173B">
          <w:pPr>
            <w:rPr>
              <w:rFonts w:eastAsia="Times New Roman"/>
            </w:rPr>
          </w:pPr>
          <w:r>
            <w:rPr>
              <w:rFonts w:eastAsia="Times New Roman"/>
            </w:rPr>
            <w:t>TSSC (2011b) ‘Sternula nereis nereis (Fairy Tern) Listing Advice’.</w:t>
          </w:r>
        </w:p>
        <w:p w14:paraId="3A3F1D09" w14:textId="77777777" w:rsidR="000B173B" w:rsidRDefault="000B173B" w:rsidP="000B173B">
          <w:pPr>
            <w:rPr>
              <w:rFonts w:eastAsia="Times New Roman"/>
            </w:rPr>
          </w:pPr>
          <w:r>
            <w:rPr>
              <w:rFonts w:eastAsia="Times New Roman"/>
            </w:rPr>
            <w:t>TSSC (2012) ‘Commonwealth Listing Advice on Amphibromus fluitans (River Swamp Wallaby-grass)’. Threatened Species Scientific Committee.</w:t>
          </w:r>
        </w:p>
        <w:p w14:paraId="2249A34F" w14:textId="77777777" w:rsidR="000B173B" w:rsidRDefault="000B173B" w:rsidP="000B173B">
          <w:pPr>
            <w:rPr>
              <w:rFonts w:eastAsia="Times New Roman"/>
            </w:rPr>
          </w:pPr>
          <w:r>
            <w:rPr>
              <w:rFonts w:eastAsia="Times New Roman"/>
            </w:rPr>
            <w:t>TSSC (2013) ‘Rostratula australis (Australian painted snipe) Listing Advice’, pp. 1–14.</w:t>
          </w:r>
        </w:p>
        <w:p w14:paraId="7E0ADAA6" w14:textId="77777777" w:rsidR="000B173B" w:rsidRDefault="000B173B" w:rsidP="000B173B">
          <w:pPr>
            <w:rPr>
              <w:rFonts w:eastAsia="Times New Roman"/>
            </w:rPr>
          </w:pPr>
          <w:r>
            <w:rPr>
              <w:rFonts w:eastAsia="Times New Roman"/>
            </w:rPr>
            <w:t>TSSC (2015a) ‘Calidris ferruginea (curlew sandpiper) Conservation Advice’, (October 2014), pp. 275–275.</w:t>
          </w:r>
        </w:p>
        <w:p w14:paraId="0173010E" w14:textId="77777777" w:rsidR="000B173B" w:rsidRDefault="000B173B" w:rsidP="000B173B">
          <w:pPr>
            <w:rPr>
              <w:rFonts w:eastAsia="Times New Roman"/>
            </w:rPr>
          </w:pPr>
          <w:r>
            <w:rPr>
              <w:rFonts w:eastAsia="Times New Roman"/>
            </w:rPr>
            <w:t>TSSC (2015b) ‘Conservation Advice Halobaena caerulea blue petrel’. Department of Environment.</w:t>
          </w:r>
        </w:p>
        <w:p w14:paraId="33FC1508" w14:textId="77777777" w:rsidR="000B173B" w:rsidRDefault="000B173B" w:rsidP="000B173B">
          <w:pPr>
            <w:rPr>
              <w:rFonts w:eastAsia="Times New Roman"/>
            </w:rPr>
          </w:pPr>
          <w:r>
            <w:rPr>
              <w:rFonts w:eastAsia="Times New Roman"/>
            </w:rPr>
            <w:t>TSSC (2015c) ‘Pachyptila tutur subantarctica (fairy prion (southern)) conservation advice’, p. 3.</w:t>
          </w:r>
        </w:p>
        <w:p w14:paraId="68BFAE6B" w14:textId="77777777" w:rsidR="000B173B" w:rsidRDefault="000B173B" w:rsidP="000B173B">
          <w:pPr>
            <w:rPr>
              <w:rFonts w:eastAsia="Times New Roman"/>
            </w:rPr>
          </w:pPr>
          <w:r>
            <w:rPr>
              <w:rFonts w:eastAsia="Times New Roman"/>
            </w:rPr>
            <w:t>TSSC (2016a) ‘Antechinus minimus maritimus (swamp antechinus (coastal Victoria and far south-eastern South Australia)) Conservation Advice’, pp. 1–14.</w:t>
          </w:r>
        </w:p>
        <w:p w14:paraId="1C933466" w14:textId="77777777" w:rsidR="000B173B" w:rsidRDefault="000B173B" w:rsidP="000B173B">
          <w:pPr>
            <w:rPr>
              <w:rFonts w:eastAsia="Times New Roman"/>
            </w:rPr>
          </w:pPr>
          <w:r>
            <w:rPr>
              <w:rFonts w:eastAsia="Times New Roman"/>
            </w:rPr>
            <w:t>TSSC (2016b) ‘Calidris canutus (red knot) Conservation Advice’, (December 2015), p. 13.</w:t>
          </w:r>
        </w:p>
        <w:p w14:paraId="564DF00A" w14:textId="77777777" w:rsidR="000B173B" w:rsidRDefault="000B173B" w:rsidP="000B173B">
          <w:pPr>
            <w:rPr>
              <w:rFonts w:eastAsia="Times New Roman"/>
            </w:rPr>
          </w:pPr>
          <w:r>
            <w:rPr>
              <w:rFonts w:eastAsia="Times New Roman"/>
            </w:rPr>
            <w:t>TSSC (2016c) ‘Calidris tenuirostris (great knot) Conservation Advice’, (May), p. 12.</w:t>
          </w:r>
        </w:p>
        <w:p w14:paraId="06FE9850" w14:textId="77777777" w:rsidR="000B173B" w:rsidRDefault="000B173B" w:rsidP="000B173B">
          <w:pPr>
            <w:rPr>
              <w:rFonts w:eastAsia="Times New Roman"/>
            </w:rPr>
          </w:pPr>
          <w:r>
            <w:rPr>
              <w:rFonts w:eastAsia="Times New Roman"/>
            </w:rPr>
            <w:t>TSSC (2016d) ‘Charadrius leschenaultii (greater sand plover) Conservation Advice’, (May), p. 16.</w:t>
          </w:r>
        </w:p>
        <w:p w14:paraId="7025DF05" w14:textId="77777777" w:rsidR="000B173B" w:rsidRDefault="000B173B" w:rsidP="000B173B">
          <w:pPr>
            <w:rPr>
              <w:rFonts w:eastAsia="Times New Roman"/>
            </w:rPr>
          </w:pPr>
          <w:r>
            <w:rPr>
              <w:rFonts w:eastAsia="Times New Roman"/>
            </w:rPr>
            <w:t>TSSC (2016e) ‘Charadrius mongolus (lesser sand plover) Conservation Advice’, (May), p. 15.</w:t>
          </w:r>
        </w:p>
        <w:p w14:paraId="77E9B83A" w14:textId="77777777" w:rsidR="000B173B" w:rsidRDefault="000B173B" w:rsidP="000B173B">
          <w:pPr>
            <w:rPr>
              <w:rFonts w:eastAsia="Times New Roman"/>
            </w:rPr>
          </w:pPr>
          <w:r>
            <w:rPr>
              <w:rFonts w:eastAsia="Times New Roman"/>
            </w:rPr>
            <w:t>TSSC (2016f) ‘Conservation Advice Delma impar striped legless lizard’. Department of Environment and Energy.</w:t>
          </w:r>
        </w:p>
        <w:p w14:paraId="5C4D7B2F" w14:textId="77777777" w:rsidR="000B173B" w:rsidRDefault="000B173B" w:rsidP="000B173B">
          <w:pPr>
            <w:rPr>
              <w:rFonts w:eastAsia="Times New Roman"/>
            </w:rPr>
          </w:pPr>
          <w:r>
            <w:rPr>
              <w:rFonts w:eastAsia="Times New Roman"/>
            </w:rPr>
            <w:t>TSSC (2016g) ‘Conservation Advice Eucalyptus crenulata’. Department of Environment.</w:t>
          </w:r>
        </w:p>
        <w:p w14:paraId="237BAC7E" w14:textId="77777777" w:rsidR="000B173B" w:rsidRDefault="000B173B" w:rsidP="000B173B">
          <w:pPr>
            <w:rPr>
              <w:rFonts w:eastAsia="Times New Roman"/>
            </w:rPr>
          </w:pPr>
          <w:r>
            <w:rPr>
              <w:rFonts w:eastAsia="Times New Roman"/>
            </w:rPr>
            <w:t>TSSC (2016h) ‘Conservation Advice Euphrasia collina subspecies muelleri’. Department of Environment.</w:t>
          </w:r>
        </w:p>
        <w:p w14:paraId="5A951F42" w14:textId="77777777" w:rsidR="000B173B" w:rsidRDefault="000B173B" w:rsidP="000B173B">
          <w:pPr>
            <w:rPr>
              <w:rFonts w:eastAsia="Times New Roman"/>
            </w:rPr>
          </w:pPr>
          <w:r>
            <w:rPr>
              <w:rFonts w:eastAsia="Times New Roman"/>
            </w:rPr>
            <w:t>TSSC (2016i) ‘Conservation Advice Mirounga leonina southern elephant seal’. Threatened Species Scientific Committee.</w:t>
          </w:r>
        </w:p>
        <w:p w14:paraId="25DD1DBD" w14:textId="77777777" w:rsidR="000B173B" w:rsidRDefault="000B173B" w:rsidP="000B173B">
          <w:pPr>
            <w:rPr>
              <w:rFonts w:eastAsia="Times New Roman"/>
            </w:rPr>
          </w:pPr>
          <w:r>
            <w:rPr>
              <w:rFonts w:eastAsia="Times New Roman"/>
            </w:rPr>
            <w:t>TSSC (2016j) ‘Conservation Advice Pimelea spinescens subsp. spinescens’. Department of the Environment and Energy.</w:t>
          </w:r>
        </w:p>
        <w:p w14:paraId="2ECAB1AE" w14:textId="77777777" w:rsidR="000B173B" w:rsidRDefault="000B173B" w:rsidP="000B173B">
          <w:pPr>
            <w:rPr>
              <w:rFonts w:eastAsia="Times New Roman"/>
            </w:rPr>
          </w:pPr>
          <w:r>
            <w:rPr>
              <w:rFonts w:eastAsia="Times New Roman"/>
            </w:rPr>
            <w:t>TSSC (2016k) ‘Conservation Advice Polytelis swainsonii superb parrot’. Department of the Environment.</w:t>
          </w:r>
        </w:p>
        <w:p w14:paraId="310F27C5" w14:textId="77777777" w:rsidR="000B173B" w:rsidRDefault="000B173B" w:rsidP="000B173B">
          <w:pPr>
            <w:rPr>
              <w:rFonts w:eastAsia="Times New Roman"/>
            </w:rPr>
          </w:pPr>
          <w:r>
            <w:rPr>
              <w:rFonts w:eastAsia="Times New Roman"/>
            </w:rPr>
            <w:t>TSSC (2016l) ‘Conservation Advice Prasophyllum suaveolens’. Department of the Environment and Energy.</w:t>
          </w:r>
        </w:p>
        <w:p w14:paraId="2D7575F4" w14:textId="77777777" w:rsidR="000B173B" w:rsidRDefault="000B173B" w:rsidP="000B173B">
          <w:pPr>
            <w:rPr>
              <w:rFonts w:eastAsia="Times New Roman"/>
            </w:rPr>
          </w:pPr>
          <w:r>
            <w:rPr>
              <w:rFonts w:eastAsia="Times New Roman"/>
            </w:rPr>
            <w:t xml:space="preserve">TSSC (2016m) ‘Isoodon obesulus obesulus (southern brown bandicoot (eastern)) Conservation Advice’, </w:t>
          </w:r>
          <w:r>
            <w:rPr>
              <w:rFonts w:eastAsia="Times New Roman"/>
              <w:i/>
              <w:iCs/>
            </w:rPr>
            <w:t>Department of the Environment</w:t>
          </w:r>
          <w:r>
            <w:rPr>
              <w:rFonts w:eastAsia="Times New Roman"/>
            </w:rPr>
            <w:t>, 2(May), pp. 1–18.</w:t>
          </w:r>
        </w:p>
        <w:p w14:paraId="0E3ACCC3" w14:textId="77777777" w:rsidR="000B173B" w:rsidRDefault="000B173B" w:rsidP="000B173B">
          <w:pPr>
            <w:rPr>
              <w:rFonts w:eastAsia="Times New Roman"/>
            </w:rPr>
          </w:pPr>
          <w:r>
            <w:rPr>
              <w:rFonts w:eastAsia="Times New Roman"/>
            </w:rPr>
            <w:t xml:space="preserve">TSSC (2016n) </w:t>
          </w:r>
          <w:r>
            <w:rPr>
              <w:rFonts w:eastAsia="Times New Roman"/>
              <w:i/>
              <w:iCs/>
            </w:rPr>
            <w:t>Lathamus discolor (swift parrot) Conservation Advice</w:t>
          </w:r>
          <w:r>
            <w:rPr>
              <w:rFonts w:eastAsia="Times New Roman"/>
            </w:rPr>
            <w:t>.</w:t>
          </w:r>
        </w:p>
        <w:p w14:paraId="00CE1462" w14:textId="77777777" w:rsidR="000B173B" w:rsidRDefault="000B173B" w:rsidP="000B173B">
          <w:pPr>
            <w:rPr>
              <w:rFonts w:eastAsia="Times New Roman"/>
            </w:rPr>
          </w:pPr>
          <w:r>
            <w:rPr>
              <w:rFonts w:eastAsia="Times New Roman"/>
            </w:rPr>
            <w:t>TSSC (2016o) ‘Limosa lapponica baueri (bar-tailed godwit (western Alaskan)) Conservation Advice’, (May), p. 15.</w:t>
          </w:r>
        </w:p>
        <w:p w14:paraId="7CF0A846" w14:textId="77777777" w:rsidR="000B173B" w:rsidRDefault="000B173B" w:rsidP="000B173B">
          <w:pPr>
            <w:rPr>
              <w:rFonts w:eastAsia="Times New Roman"/>
            </w:rPr>
          </w:pPr>
          <w:r>
            <w:rPr>
              <w:rFonts w:eastAsia="Times New Roman"/>
            </w:rPr>
            <w:t>TSSC (2019a) ‘Botaurus poiciloptilus (Australasian Bittern) Conservation Advice’, pp. 1–11.</w:t>
          </w:r>
        </w:p>
        <w:p w14:paraId="377479DF" w14:textId="77777777" w:rsidR="000B173B" w:rsidRDefault="000B173B" w:rsidP="000B173B">
          <w:pPr>
            <w:rPr>
              <w:rFonts w:eastAsia="Times New Roman"/>
            </w:rPr>
          </w:pPr>
          <w:r>
            <w:rPr>
              <w:rFonts w:eastAsia="Times New Roman"/>
            </w:rPr>
            <w:t>TSSC (2019b) ‘Conservation Advice Hirundapus caudacutus White-throated Needletail’. Threatened Species Scientific Committee.</w:t>
          </w:r>
        </w:p>
        <w:p w14:paraId="0A74295F" w14:textId="77777777" w:rsidR="000B173B" w:rsidRDefault="000B173B" w:rsidP="000B173B">
          <w:pPr>
            <w:rPr>
              <w:rFonts w:eastAsia="Times New Roman"/>
            </w:rPr>
          </w:pPr>
          <w:r>
            <w:rPr>
              <w:rFonts w:eastAsia="Times New Roman"/>
            </w:rPr>
            <w:t>TSSC (2020a) ‘Conservation Advice Thalassarche cauta Shy Albatross’. Threatened Species Scientific Committee, pp. 1–18.</w:t>
          </w:r>
        </w:p>
        <w:p w14:paraId="2563CE52" w14:textId="77777777" w:rsidR="000B173B" w:rsidRDefault="000B173B" w:rsidP="000B173B">
          <w:pPr>
            <w:rPr>
              <w:rFonts w:eastAsia="Times New Roman"/>
            </w:rPr>
          </w:pPr>
          <w:r>
            <w:rPr>
              <w:rFonts w:eastAsia="Times New Roman"/>
            </w:rPr>
            <w:t>TSSC (2020b) ‘Falco hypoleucos (Grey Falcon) Conservation Advice’, pp. 1–12.</w:t>
          </w:r>
        </w:p>
        <w:p w14:paraId="00EEEB19" w14:textId="77777777" w:rsidR="000B173B" w:rsidRDefault="000B173B" w:rsidP="000B173B">
          <w:pPr>
            <w:rPr>
              <w:rFonts w:eastAsia="Times New Roman"/>
            </w:rPr>
          </w:pPr>
          <w:r>
            <w:rPr>
              <w:rFonts w:eastAsia="Times New Roman"/>
            </w:rPr>
            <w:lastRenderedPageBreak/>
            <w:t>TSSC (2021) ‘Conservation Advice Prototroctes maraena Australian Grayling’. Department of Agriculture, Water and the Environment.</w:t>
          </w:r>
        </w:p>
        <w:p w14:paraId="68BDC03F" w14:textId="77777777" w:rsidR="000B173B" w:rsidRDefault="000B173B" w:rsidP="000B173B">
          <w:pPr>
            <w:rPr>
              <w:rFonts w:eastAsia="Times New Roman"/>
            </w:rPr>
          </w:pPr>
          <w:r>
            <w:rPr>
              <w:rFonts w:eastAsia="Times New Roman"/>
            </w:rPr>
            <w:t>Tumino, M. (2010) ‘National Recovery Plan for the Basalt Peppercress Lepidium hyssopifolium’. Department of Sustainability and Environment.</w:t>
          </w:r>
        </w:p>
        <w:p w14:paraId="52852A7F" w14:textId="77777777" w:rsidR="000B173B" w:rsidRDefault="000B173B" w:rsidP="000B173B">
          <w:pPr>
            <w:rPr>
              <w:rFonts w:eastAsia="Times New Roman"/>
            </w:rPr>
          </w:pPr>
          <w:r>
            <w:rPr>
              <w:rFonts w:eastAsia="Times New Roman"/>
            </w:rPr>
            <w:t xml:space="preserve">Warrant, E. </w:t>
          </w:r>
          <w:r>
            <w:rPr>
              <w:rFonts w:eastAsia="Times New Roman"/>
              <w:i/>
              <w:iCs/>
            </w:rPr>
            <w:t>et al.</w:t>
          </w:r>
          <w:r>
            <w:rPr>
              <w:rFonts w:eastAsia="Times New Roman"/>
            </w:rPr>
            <w:t xml:space="preserve"> (2016) ‘The Australian Bogong moth Agrotis infusa: A long-distance nocturnal navigator’, </w:t>
          </w:r>
          <w:r>
            <w:rPr>
              <w:rFonts w:eastAsia="Times New Roman"/>
              <w:i/>
              <w:iCs/>
            </w:rPr>
            <w:t>Frontiers in Behavioral Neuroscience</w:t>
          </w:r>
          <w:r>
            <w:rPr>
              <w:rFonts w:eastAsia="Times New Roman"/>
            </w:rPr>
            <w:t>, 10(77). Available at: https://doi.org/10.3389/fnbeh.2016.00077.</w:t>
          </w:r>
        </w:p>
        <w:p w14:paraId="59BC27DF" w14:textId="77777777" w:rsidR="000B173B" w:rsidRDefault="000B173B" w:rsidP="000B173B">
          <w:pPr>
            <w:rPr>
              <w:rFonts w:eastAsia="Times New Roman"/>
            </w:rPr>
          </w:pPr>
          <w:r>
            <w:rPr>
              <w:rFonts w:eastAsia="Times New Roman"/>
            </w:rPr>
            <w:t xml:space="preserve">Weller, D. </w:t>
          </w:r>
          <w:r>
            <w:rPr>
              <w:rFonts w:eastAsia="Times New Roman"/>
              <w:i/>
              <w:iCs/>
            </w:rPr>
            <w:t>et al.</w:t>
          </w:r>
          <w:r>
            <w:rPr>
              <w:rFonts w:eastAsia="Times New Roman"/>
            </w:rPr>
            <w:t xml:space="preserve"> (2020) ‘Australian National Directory of Important Migratory Shorebird Habitat’. Prepared for the Department of Agriculture, Water and the Environment by Birdlife Australia.</w:t>
          </w:r>
        </w:p>
        <w:p w14:paraId="225278C5" w14:textId="77777777" w:rsidR="000B173B" w:rsidRDefault="000B173B" w:rsidP="000B173B">
          <w:pPr>
            <w:rPr>
              <w:rFonts w:eastAsia="Times New Roman"/>
            </w:rPr>
          </w:pPr>
          <w:r>
            <w:rPr>
              <w:rFonts w:eastAsia="Times New Roman"/>
            </w:rPr>
            <w:t>White, M., Murphy, A.H. and Downe, J. (2006) ‘National Recovery Plan for the Buxton Gum Eucalyptus crenulata’. Department of Sustainability and Environment, Melbourne.</w:t>
          </w:r>
        </w:p>
        <w:p w14:paraId="50EFE07A" w14:textId="77777777" w:rsidR="000B173B" w:rsidRDefault="000B173B" w:rsidP="000B173B">
          <w:pPr>
            <w:rPr>
              <w:rFonts w:eastAsia="Times New Roman"/>
            </w:rPr>
          </w:pPr>
          <w:r>
            <w:rPr>
              <w:rFonts w:eastAsia="Times New Roman"/>
            </w:rPr>
            <w:t xml:space="preserve">Wintle, B. </w:t>
          </w:r>
          <w:r>
            <w:rPr>
              <w:rFonts w:eastAsia="Times New Roman"/>
              <w:i/>
              <w:iCs/>
            </w:rPr>
            <w:t>et al.</w:t>
          </w:r>
          <w:r>
            <w:rPr>
              <w:rFonts w:eastAsia="Times New Roman"/>
            </w:rPr>
            <w:t xml:space="preserve"> (2021) ‘The Bogong moth, Agrotis infusa: cultural context, knowledge gaps, conservation and monitoring options: Interim Report’. Brisbane: NESP Threatened Species Recovery Hub Project 4.2.1.</w:t>
          </w:r>
        </w:p>
        <w:p w14:paraId="1D838A07" w14:textId="77777777" w:rsidR="000B173B" w:rsidRDefault="000B173B" w:rsidP="000B173B">
          <w:pPr>
            <w:rPr>
              <w:rFonts w:eastAsia="Times New Roman"/>
            </w:rPr>
          </w:pPr>
          <w:r>
            <w:rPr>
              <w:rFonts w:eastAsia="Times New Roman"/>
            </w:rPr>
            <w:t> </w:t>
          </w:r>
        </w:p>
        <w:p w14:paraId="5A5302FC" w14:textId="77777777" w:rsidR="000B173B" w:rsidRDefault="000B173B" w:rsidP="000B173B"/>
      </w:sdtContent>
    </w:sdt>
    <w:p w14:paraId="270A45BC" w14:textId="77777777" w:rsidR="00820819" w:rsidRDefault="00820819"/>
    <w:sectPr w:rsidR="00820819" w:rsidSect="00417E97">
      <w:headerReference w:type="default" r:id="rId164"/>
      <w:footerReference w:type="default" r:id="rId165"/>
      <w:pgSz w:w="11900" w:h="16840"/>
      <w:pgMar w:top="1247" w:right="1134" w:bottom="1247" w:left="1134" w:header="708" w:footer="708" w:gutter="0"/>
      <w:pgNumType w:fmt="upperLetter"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FF1188" w14:textId="77777777" w:rsidR="000A24F3" w:rsidRDefault="000A24F3" w:rsidP="00290626">
      <w:r>
        <w:separator/>
      </w:r>
    </w:p>
  </w:endnote>
  <w:endnote w:type="continuationSeparator" w:id="0">
    <w:p w14:paraId="6C29C82C" w14:textId="77777777" w:rsidR="000A24F3" w:rsidRDefault="000A24F3" w:rsidP="00290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Yu Mincho">
    <w:panose1 w:val="02020400000000000000"/>
    <w:charset w:val="80"/>
    <w:family w:val="roman"/>
    <w:pitch w:val="variable"/>
    <w:sig w:usb0="800002E7" w:usb1="2AC7FCFF" w:usb2="00000012" w:usb3="00000000" w:csb0="0002009F" w:csb1="00000000"/>
  </w:font>
  <w:font w:name="Palatino">
    <w:panose1 w:val="00000000000000000000"/>
    <w:charset w:val="4D"/>
    <w:family w:val="auto"/>
    <w:pitch w:val="variable"/>
    <w:sig w:usb0="A00002FF" w:usb1="7800205A" w:usb2="14600000" w:usb3="00000000" w:csb0="00000193" w:csb1="00000000"/>
  </w:font>
  <w:font w:name="Times New Roman (Body CS)">
    <w:altName w:val="Times New Roman"/>
    <w:panose1 w:val="020B0604020202020204"/>
    <w:charset w:val="00"/>
    <w:family w:val="roman"/>
    <w:pitch w:val="default"/>
  </w:font>
  <w:font w:name="Lucida Grande">
    <w:panose1 w:val="020B0600040502020204"/>
    <w:charset w:val="00"/>
    <w:family w:val="swiss"/>
    <w:pitch w:val="variable"/>
    <w:sig w:usb0="E1000AEF" w:usb1="5000A1FF" w:usb2="00000000" w:usb3="00000000" w:csb0="000001BF" w:csb1="00000000"/>
  </w:font>
  <w:font w:name="Open Sans">
    <w:panose1 w:val="020B0606030504020204"/>
    <w:charset w:val="00"/>
    <w:family w:val="swiss"/>
    <w:pitch w:val="variable"/>
    <w:sig w:usb0="E00002EF" w:usb1="4000205B" w:usb2="00000028" w:usb3="00000000" w:csb0="0000019F" w:csb1="00000000"/>
  </w:font>
  <w:font w:name="Open Sans ExtraBold">
    <w:panose1 w:val="020B0906030804020204"/>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2B1BE" w14:textId="6E85C4BE" w:rsidR="00FF6F90" w:rsidRPr="000D565D" w:rsidRDefault="00FF6F90" w:rsidP="00563C8F">
    <w:pPr>
      <w:pStyle w:val="Footer"/>
      <w:tabs>
        <w:tab w:val="clear" w:pos="9026"/>
        <w:tab w:val="left" w:pos="5812"/>
      </w:tabs>
      <w:ind w:right="3395"/>
    </w:pPr>
    <w:r>
      <w:rPr>
        <w:noProof/>
      </w:rPr>
      <mc:AlternateContent>
        <mc:Choice Requires="wps">
          <w:drawing>
            <wp:anchor distT="0" distB="0" distL="114300" distR="114300" simplePos="0" relativeHeight="251715584" behindDoc="0" locked="0" layoutInCell="1" allowOverlap="1" wp14:anchorId="38A6A9F3" wp14:editId="39527CA2">
              <wp:simplePos x="0" y="0"/>
              <wp:positionH relativeFrom="column">
                <wp:posOffset>5139055</wp:posOffset>
              </wp:positionH>
              <wp:positionV relativeFrom="paragraph">
                <wp:posOffset>-26670</wp:posOffset>
              </wp:positionV>
              <wp:extent cx="223520" cy="205740"/>
              <wp:effectExtent l="0" t="0" r="0" b="0"/>
              <wp:wrapThrough wrapText="bothSides">
                <wp:wrapPolygon edited="0">
                  <wp:start x="2455" y="0"/>
                  <wp:lineTo x="2455" y="18667"/>
                  <wp:lineTo x="17182" y="18667"/>
                  <wp:lineTo x="17182" y="0"/>
                  <wp:lineTo x="2455" y="0"/>
                </wp:wrapPolygon>
              </wp:wrapThrough>
              <wp:docPr id="143" name="Text Box 1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CE87FA" w14:textId="77777777" w:rsidR="00FF6F90" w:rsidRPr="00E27E7D" w:rsidRDefault="00FF6F90" w:rsidP="000D565D">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A6A9F3" id="_x0000_t202" coordsize="21600,21600" o:spt="202" path="m,l,21600r21600,l21600,xe">
              <v:stroke joinstyle="miter"/>
              <v:path gradientshapeok="t" o:connecttype="rect"/>
            </v:shapetype>
            <v:shape id="Text Box 143" o:spid="_x0000_s1026" type="#_x0000_t202" alt="&quot;&quot;" style="position:absolute;margin-left:404.65pt;margin-top:-2.1pt;width:17.6pt;height:16.2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" filled="f" stroked="f">
              <v:textbox>
                <w:txbxContent>
                  <w:p w14:paraId="50CE87FA" w14:textId="77777777" w:rsidR="00FF6F90" w:rsidRPr="00E27E7D" w:rsidRDefault="00FF6F90" w:rsidP="000D565D">
                    <w:pPr>
                      <w:spacing w:before="0" w:after="0" w:line="240" w:lineRule="auto"/>
                      <w:rPr>
                        <w:sz w:val="16"/>
                        <w:szCs w:val="16"/>
                      </w:rPr>
                    </w:pPr>
                    <w:r w:rsidRPr="00E27E7D">
                      <w:rPr>
                        <w:sz w:val="16"/>
                        <w:szCs w:val="16"/>
                      </w:rPr>
                      <w:t>&amp;</w:t>
                    </w:r>
                  </w:p>
                </w:txbxContent>
              </v:textbox>
              <w10:wrap type="through"/>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F92F6" w14:textId="77777777" w:rsidR="008C1AD8" w:rsidRPr="00487F9F" w:rsidRDefault="008C1AD8" w:rsidP="00487F9F">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92384" behindDoc="0" locked="0" layoutInCell="1" allowOverlap="1" wp14:anchorId="2BA9FAD9" wp14:editId="3309158C">
              <wp:simplePos x="0" y="0"/>
              <wp:positionH relativeFrom="column">
                <wp:posOffset>5048641</wp:posOffset>
              </wp:positionH>
              <wp:positionV relativeFrom="paragraph">
                <wp:posOffset>-22225</wp:posOffset>
              </wp:positionV>
              <wp:extent cx="223520" cy="205740"/>
              <wp:effectExtent l="0" t="0" r="0" b="0"/>
              <wp:wrapThrough wrapText="bothSides">
                <wp:wrapPolygon edited="0">
                  <wp:start x="2455" y="0"/>
                  <wp:lineTo x="2455" y="18667"/>
                  <wp:lineTo x="17182" y="18667"/>
                  <wp:lineTo x="17182" y="0"/>
                  <wp:lineTo x="2455" y="0"/>
                </wp:wrapPolygon>
              </wp:wrapThrough>
              <wp:docPr id="1515952345" name="Text Box 1515952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9F9BF5" w14:textId="77777777" w:rsidR="008C1AD8" w:rsidRPr="00E27E7D" w:rsidRDefault="008C1AD8" w:rsidP="00EF15EA">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BA9FAD9" id="_x0000_t202" coordsize="21600,21600" o:spt="202" path="m,l,21600r21600,l21600,xe">
              <v:stroke joinstyle="miter"/>
              <v:path gradientshapeok="t" o:connecttype="rect"/>
            </v:shapetype>
            <v:shape id="Text Box 1515952345" o:spid="_x0000_s1037" type="#_x0000_t202" alt="&quot;&quot;" style="position:absolute;left:0;text-align:left;margin-left:397.55pt;margin-top:-1.75pt;width:17.6pt;height:16.2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" filled="f" stroked="f">
              <v:textbox>
                <w:txbxContent>
                  <w:p w14:paraId="3A9F9BF5" w14:textId="77777777" w:rsidR="008C1AD8" w:rsidRPr="00E27E7D" w:rsidRDefault="008C1AD8" w:rsidP="00EF15EA">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34016" behindDoc="0" locked="0" layoutInCell="1" allowOverlap="1" wp14:anchorId="7E8C76F8" wp14:editId="6DBD0380">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83" name="Picture 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732992" behindDoc="0" locked="0" layoutInCell="1" allowOverlap="1" wp14:anchorId="073C25A3" wp14:editId="297C937E">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84" name="Picture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19-46</w:t>
    </w:r>
    <w:r>
      <w:rPr>
        <w:noProof/>
      </w:rPr>
      <w:fldChar w:fldCharType="end"/>
    </w:r>
    <w:r>
      <w:rPr>
        <w:noProof/>
      </w:rPr>
      <w:t xml:space="preserve"> </w:t>
    </w:r>
    <w:r>
      <w: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9D366"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93408" behindDoc="0" locked="0" layoutInCell="1" allowOverlap="1" wp14:anchorId="2B3301DF" wp14:editId="5EDB8B39">
              <wp:simplePos x="0" y="0"/>
              <wp:positionH relativeFrom="column">
                <wp:posOffset>5043561</wp:posOffset>
              </wp:positionH>
              <wp:positionV relativeFrom="paragraph">
                <wp:posOffset>-18512</wp:posOffset>
              </wp:positionV>
              <wp:extent cx="223520" cy="205740"/>
              <wp:effectExtent l="0" t="0" r="0" b="0"/>
              <wp:wrapThrough wrapText="bothSides">
                <wp:wrapPolygon edited="0">
                  <wp:start x="2455" y="0"/>
                  <wp:lineTo x="2455" y="18667"/>
                  <wp:lineTo x="17182" y="18667"/>
                  <wp:lineTo x="17182" y="0"/>
                  <wp:lineTo x="2455" y="0"/>
                </wp:wrapPolygon>
              </wp:wrapThrough>
              <wp:docPr id="563685585" name="Text Box 5636855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9C12DF7" w14:textId="77777777" w:rsidR="008C1AD8" w:rsidRPr="00E27E7D" w:rsidRDefault="008C1AD8" w:rsidP="00EF15EA">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B3301DF" id="_x0000_t202" coordsize="21600,21600" o:spt="202" path="m,l,21600r21600,l21600,xe">
              <v:stroke joinstyle="miter"/>
              <v:path gradientshapeok="t" o:connecttype="rect"/>
            </v:shapetype>
            <v:shape id="Text Box 563685585" o:spid="_x0000_s1038" type="#_x0000_t202" alt="&quot;&quot;" style="position:absolute;left:0;text-align:left;margin-left:397.15pt;margin-top:-1.45pt;width:17.6pt;height:16.2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" filled="f" stroked="f">
              <v:textbox>
                <w:txbxContent>
                  <w:p w14:paraId="59C12DF7" w14:textId="77777777" w:rsidR="008C1AD8" w:rsidRPr="00E27E7D" w:rsidRDefault="008C1AD8" w:rsidP="00EF15EA">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36064" behindDoc="0" locked="0" layoutInCell="1" allowOverlap="1" wp14:anchorId="2778E0ED" wp14:editId="6359A80E">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85" name="Picture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735040" behindDoc="0" locked="0" layoutInCell="1" allowOverlap="1" wp14:anchorId="019117A0" wp14:editId="3644163D">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86" name="Picture 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B8F0"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38112" behindDoc="0" locked="0" layoutInCell="1" allowOverlap="1" wp14:anchorId="6D15F614" wp14:editId="7E8E5359">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63" name="Picture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737088" behindDoc="0" locked="0" layoutInCell="1" allowOverlap="1" wp14:anchorId="352087BA" wp14:editId="3C03B0EE">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64" name="Picture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39136" behindDoc="0" locked="0" layoutInCell="1" allowOverlap="1" wp14:anchorId="74A76370" wp14:editId="549EBCBE">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55" name="Text Box 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ECE2EF"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4A76370" id="_x0000_t202" coordsize="21600,21600" o:spt="202" path="m,l,21600r21600,l21600,xe">
              <v:stroke joinstyle="miter"/>
              <v:path gradientshapeok="t" o:connecttype="rect"/>
            </v:shapetype>
            <v:shape id="Text Box 155" o:spid="_x0000_s1039" type="#_x0000_t202" alt="&quot;&quot;" style="position:absolute;left:0;text-align:left;margin-left:395.9pt;margin-top:-1.45pt;width:17.6pt;height:16.2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6miBkWQCAAA7BQAADgAAAAAAAAAAAAAAAAAuAgAA&#13;&#10;ZHJzL2Uyb0RvYy54bWxQSwECLQAUAAYACAAAACEAk64Mi+IAAAAOAQAADwAAAAAAAAAAAAAAAAC+&#13;&#10;BAAAZHJzL2Rvd25yZXYueG1sUEsFBgAAAAAEAAQA8wAAAM0FAAAAAA==&#13;&#10;" filled="f" stroked="f">
              <v:textbox>
                <w:txbxContent>
                  <w:p w14:paraId="10ECE2EF"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CBA50"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47328" behindDoc="0" locked="0" layoutInCell="1" allowOverlap="1" wp14:anchorId="68BBA501" wp14:editId="01B60B5B">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65" name="Picture 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746304" behindDoc="0" locked="0" layoutInCell="1" allowOverlap="1" wp14:anchorId="3FDE5C6E" wp14:editId="508CAE8C">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66" name="Picture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48352" behindDoc="0" locked="0" layoutInCell="1" allowOverlap="1" wp14:anchorId="4010FF62" wp14:editId="67223A3A">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49" name="Text Box 1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9EE443A"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010FF62" id="_x0000_t202" coordsize="21600,21600" o:spt="202" path="m,l,21600r21600,l21600,xe">
              <v:stroke joinstyle="miter"/>
              <v:path gradientshapeok="t" o:connecttype="rect"/>
            </v:shapetype>
            <v:shape id="Text Box 149" o:spid="_x0000_s1040" type="#_x0000_t202" alt="&quot;&quot;" style="position:absolute;left:0;text-align:left;margin-left:395.9pt;margin-top:-1.45pt;width:17.6pt;height:16.2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VH381mQCAAA7BQAADgAAAAAAAAAAAAAAAAAuAgAA&#13;&#10;ZHJzL2Uyb0RvYy54bWxQSwECLQAUAAYACAAAACEAk64Mi+IAAAAOAQAADwAAAAAAAAAAAAAAAAC+&#13;&#10;BAAAZHJzL2Rvd25yZXYueG1sUEsFBgAAAAAEAAQA8wAAAM0FAAAAAA==&#13;&#10;" filled="f" stroked="f">
              <v:textbox>
                <w:txbxContent>
                  <w:p w14:paraId="79EE443A"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995DD"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45280" behindDoc="0" locked="0" layoutInCell="1" allowOverlap="1" wp14:anchorId="2720A4EE" wp14:editId="2A63FA7B">
              <wp:simplePos x="0" y="0"/>
              <wp:positionH relativeFrom="column">
                <wp:posOffset>8045450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49" name="Text Box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4F3721"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720A4EE" id="_x0000_t202" coordsize="21600,21600" o:spt="202" path="m,l,21600r21600,l21600,xe">
              <v:stroke joinstyle="miter"/>
              <v:path gradientshapeok="t" o:connecttype="rect"/>
            </v:shapetype>
            <v:shape id="Text Box 49" o:spid="_x0000_s1041" type="#_x0000_t202" alt="&quot;&quot;" style="position:absolute;left:0;text-align:left;margin-left:633.5pt;margin-top:-1.45pt;width:17.6pt;height:16.2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" filled="f" stroked="f">
              <v:textbox>
                <w:txbxContent>
                  <w:p w14:paraId="0B4F3721"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43232" behindDoc="0" locked="0" layoutInCell="1" allowOverlap="1" wp14:anchorId="588D071D" wp14:editId="3556D9D9">
          <wp:simplePos x="0" y="0"/>
          <wp:positionH relativeFrom="column">
            <wp:posOffset>7023735</wp:posOffset>
          </wp:positionH>
          <wp:positionV relativeFrom="paragraph">
            <wp:posOffset>27940</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67" name="Picture 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w:drawing>
        <wp:anchor distT="0" distB="0" distL="114300" distR="114300" simplePos="0" relativeHeight="251744256" behindDoc="0" locked="0" layoutInCell="1" allowOverlap="1" wp14:anchorId="5FF02C67" wp14:editId="1BE44BB4">
          <wp:simplePos x="0" y="0"/>
          <wp:positionH relativeFrom="column">
            <wp:posOffset>8256844</wp:posOffset>
          </wp:positionH>
          <wp:positionV relativeFrom="paragraph">
            <wp:posOffset>-19846</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68" name="Picture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CBC8F"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41184" behindDoc="0" locked="0" layoutInCell="1" allowOverlap="1" wp14:anchorId="2038FB87" wp14:editId="45163A4B">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69" name="Picture 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lang w:val="en-US" w:eastAsia="en-US"/>
      </w:rPr>
      <w:drawing>
        <wp:anchor distT="0" distB="0" distL="114300" distR="114300" simplePos="0" relativeHeight="251740160" behindDoc="0" locked="0" layoutInCell="1" allowOverlap="1" wp14:anchorId="00C71755" wp14:editId="70D6C150">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70" name="Picture 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42208" behindDoc="0" locked="0" layoutInCell="1" allowOverlap="1" wp14:anchorId="79C3050F" wp14:editId="49A60483">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50" name="Text Box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D03E0D"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C3050F" id="_x0000_t202" coordsize="21600,21600" o:spt="202" path="m,l,21600r21600,l21600,xe">
              <v:stroke joinstyle="miter"/>
              <v:path gradientshapeok="t" o:connecttype="rect"/>
            </v:shapetype>
            <v:shape id="Text Box 50" o:spid="_x0000_s1042" type="#_x0000_t202" alt="&quot;&quot;" style="position:absolute;left:0;text-align:left;margin-left:395.9pt;margin-top:-1.45pt;width:17.6pt;height:16.2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" filled="f" stroked="f">
              <v:textbox>
                <w:txbxContent>
                  <w:p w14:paraId="72D03E0D"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695EC"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99552" behindDoc="0" locked="0" layoutInCell="1" allowOverlap="1" wp14:anchorId="0107FD5F" wp14:editId="2A8FC894">
              <wp:simplePos x="0" y="0"/>
              <wp:positionH relativeFrom="column">
                <wp:posOffset>8110855</wp:posOffset>
              </wp:positionH>
              <wp:positionV relativeFrom="paragraph">
                <wp:posOffset>-20955</wp:posOffset>
              </wp:positionV>
              <wp:extent cx="223520" cy="205740"/>
              <wp:effectExtent l="0" t="0" r="0" b="0"/>
              <wp:wrapThrough wrapText="bothSides">
                <wp:wrapPolygon edited="0">
                  <wp:start x="2455" y="0"/>
                  <wp:lineTo x="2455" y="18667"/>
                  <wp:lineTo x="17182" y="18667"/>
                  <wp:lineTo x="17182" y="0"/>
                  <wp:lineTo x="2455" y="0"/>
                </wp:wrapPolygon>
              </wp:wrapThrough>
              <wp:docPr id="35" name="Text Box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532193"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107FD5F" id="_x0000_t202" coordsize="21600,21600" o:spt="202" path="m,l,21600r21600,l21600,xe">
              <v:stroke joinstyle="miter"/>
              <v:path gradientshapeok="t" o:connecttype="rect"/>
            </v:shapetype>
            <v:shape id="Text Box 35" o:spid="_x0000_s1043" type="#_x0000_t202" alt="&quot;&quot;" style="position:absolute;left:0;text-align:left;margin-left:638.65pt;margin-top:-1.65pt;width:17.6pt;height:16.2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" filled="f" stroked="f">
              <v:textbox>
                <w:txbxContent>
                  <w:p w14:paraId="48532193"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98528" behindDoc="0" locked="0" layoutInCell="1" allowOverlap="1" wp14:anchorId="690EAFE7" wp14:editId="737F29F6">
          <wp:simplePos x="0" y="0"/>
          <wp:positionH relativeFrom="column">
            <wp:posOffset>8340090</wp:posOffset>
          </wp:positionH>
          <wp:positionV relativeFrom="paragraph">
            <wp:posOffset>-22719</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lang w:val="en-US" w:eastAsia="en-US"/>
      </w:rPr>
      <w:drawing>
        <wp:anchor distT="0" distB="0" distL="114300" distR="114300" simplePos="0" relativeHeight="251797504" behindDoc="0" locked="0" layoutInCell="1" allowOverlap="1" wp14:anchorId="7079C052" wp14:editId="09D3F0AB">
          <wp:simplePos x="0" y="0"/>
          <wp:positionH relativeFrom="column">
            <wp:posOffset>7076793</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02F39"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95456" behindDoc="0" locked="0" layoutInCell="1" allowOverlap="1" wp14:anchorId="22C492BC" wp14:editId="6A3DFC21">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lang w:val="en-US" w:eastAsia="en-US"/>
      </w:rPr>
      <w:drawing>
        <wp:anchor distT="0" distB="0" distL="114300" distR="114300" simplePos="0" relativeHeight="251794432" behindDoc="0" locked="0" layoutInCell="1" allowOverlap="1" wp14:anchorId="66FE62EA" wp14:editId="48259E8C">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220052647" name="Picture 220052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96480" behindDoc="0" locked="0" layoutInCell="1" allowOverlap="1" wp14:anchorId="66403E25" wp14:editId="499CF0C0">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444591246" name="Text Box 1444591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95D903"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6403E25" id="_x0000_t202" coordsize="21600,21600" o:spt="202" path="m,l,21600r21600,l21600,xe">
              <v:stroke joinstyle="miter"/>
              <v:path gradientshapeok="t" o:connecttype="rect"/>
            </v:shapetype>
            <v:shape id="Text Box 1444591246" o:spid="_x0000_s1044" type="#_x0000_t202" alt="&quot;&quot;" style="position:absolute;left:0;text-align:left;margin-left:395.9pt;margin-top:-1.45pt;width:17.6pt;height:16.2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lzToKWQCAAA7BQAADgAAAAAAAAAAAAAAAAAuAgAA&#13;&#10;ZHJzL2Uyb0RvYy54bWxQSwECLQAUAAYACAAAACEAk64Mi+IAAAAOAQAADwAAAAAAAAAAAAAAAAC+&#13;&#10;BAAAZHJzL2Rvd25yZXYueG1sUEsFBgAAAAAEAAQA8wAAAM0FAAAAAA==&#13;&#10;" filled="f" stroked="f">
              <v:textbox>
                <w:txbxContent>
                  <w:p w14:paraId="6C95D903"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0BADB" w14:textId="77777777" w:rsidR="008C1AD8" w:rsidRPr="00280B93" w:rsidRDefault="008C1AD8" w:rsidP="00280B93">
    <w:pPr>
      <w:pStyle w:val="Footer"/>
      <w:tabs>
        <w:tab w:val="clear" w:pos="9026"/>
        <w:tab w:val="left" w:pos="5812"/>
      </w:tabs>
      <w:ind w:right="3395"/>
      <w:jc w:val="right"/>
    </w:pPr>
    <w:r>
      <w:fldChar w:fldCharType="begin"/>
    </w:r>
    <w:r>
      <w:instrText xml:space="preserve"> PAGE </w:instrText>
    </w:r>
    <w:r>
      <w:fldChar w:fldCharType="separate"/>
    </w:r>
    <w:r>
      <w:t>22-17</w:t>
    </w:r>
    <w:r>
      <w:rPr>
        <w:noProof/>
      </w:rPr>
      <w:fldChar w:fldCharType="end"/>
    </w:r>
    <w:r>
      <w:rPr>
        <w:noProof/>
        <w:lang w:val="en-US" w:eastAsia="en-US"/>
      </w:rPr>
      <mc:AlternateContent>
        <mc:Choice Requires="wps">
          <w:drawing>
            <wp:anchor distT="0" distB="0" distL="114300" distR="114300" simplePos="0" relativeHeight="251757568" behindDoc="0" locked="0" layoutInCell="1" allowOverlap="1" wp14:anchorId="24CCD164" wp14:editId="6089A26C">
              <wp:simplePos x="0" y="0"/>
              <wp:positionH relativeFrom="column">
                <wp:posOffset>5076825</wp:posOffset>
              </wp:positionH>
              <wp:positionV relativeFrom="paragraph">
                <wp:posOffset>-38100</wp:posOffset>
              </wp:positionV>
              <wp:extent cx="223520" cy="205740"/>
              <wp:effectExtent l="0" t="0" r="0" b="0"/>
              <wp:wrapThrough wrapText="bothSides">
                <wp:wrapPolygon edited="0">
                  <wp:start x="2455" y="0"/>
                  <wp:lineTo x="2455" y="18667"/>
                  <wp:lineTo x="17182" y="18667"/>
                  <wp:lineTo x="17182" y="0"/>
                  <wp:lineTo x="2455" y="0"/>
                </wp:wrapPolygon>
              </wp:wrapThrough>
              <wp:docPr id="182" name="Text Box 1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43D4135" w14:textId="77777777" w:rsidR="008C1AD8" w:rsidRPr="00E27E7D" w:rsidRDefault="008C1AD8" w:rsidP="00280B93">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4CCD164" id="_x0000_t202" coordsize="21600,21600" o:spt="202" path="m,l,21600r21600,l21600,xe">
              <v:stroke joinstyle="miter"/>
              <v:path gradientshapeok="t" o:connecttype="rect"/>
            </v:shapetype>
            <v:shape id="Text Box 182" o:spid="_x0000_s1045" type="#_x0000_t202" alt="&quot;&quot;" style="position:absolute;left:0;text-align:left;margin-left:399.75pt;margin-top:-3pt;width:17.6pt;height:16.2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" filled="f" stroked="f">
              <v:textbox>
                <w:txbxContent>
                  <w:p w14:paraId="343D4135" w14:textId="77777777" w:rsidR="008C1AD8" w:rsidRPr="00E27E7D" w:rsidRDefault="008C1AD8" w:rsidP="00280B93">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56544" behindDoc="0" locked="0" layoutInCell="1" allowOverlap="1" wp14:anchorId="1B28F2D0" wp14:editId="0CF7C66B">
          <wp:simplePos x="0" y="0"/>
          <wp:positionH relativeFrom="column">
            <wp:posOffset>5287645</wp:posOffset>
          </wp:positionH>
          <wp:positionV relativeFrom="paragraph">
            <wp:posOffset>-40005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19" name="Picture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755520" behindDoc="0" locked="0" layoutInCell="1" allowOverlap="1" wp14:anchorId="1883BAD5" wp14:editId="10A34D8E">
          <wp:simplePos x="0" y="0"/>
          <wp:positionH relativeFrom="column">
            <wp:posOffset>4055165</wp:posOffset>
          </wp:positionH>
          <wp:positionV relativeFrom="paragraph">
            <wp:posOffset>8255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20" name="Picture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rPr>
      <w:t xml:space="preserve"> </w:t>
    </w:r>
    <w:r>
      <w:t>|</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30E73" w14:textId="77777777" w:rsidR="008C1AD8" w:rsidRPr="00280B93" w:rsidRDefault="008C1AD8" w:rsidP="00280B93">
    <w:pPr>
      <w:pStyle w:val="Footer"/>
      <w:tabs>
        <w:tab w:val="clear" w:pos="9026"/>
        <w:tab w:val="left" w:pos="5812"/>
      </w:tabs>
      <w:ind w:right="3395"/>
      <w:jc w:val="right"/>
    </w:pPr>
    <w:r>
      <w:rPr>
        <w:noProof/>
        <w:lang w:val="en-US" w:eastAsia="en-US"/>
      </w:rPr>
      <w:drawing>
        <wp:anchor distT="0" distB="0" distL="114300" distR="114300" simplePos="0" relativeHeight="251804672" behindDoc="0" locked="0" layoutInCell="1" allowOverlap="1" wp14:anchorId="63E301B2" wp14:editId="16C503F3">
          <wp:simplePos x="0" y="0"/>
          <wp:positionH relativeFrom="column">
            <wp:posOffset>8156575</wp:posOffset>
          </wp:positionH>
          <wp:positionV relativeFrom="paragraph">
            <wp:posOffset>-40016</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803648" behindDoc="0" locked="0" layoutInCell="1" allowOverlap="1" wp14:anchorId="1F35458A" wp14:editId="59B984D1">
          <wp:simplePos x="0" y="0"/>
          <wp:positionH relativeFrom="column">
            <wp:posOffset>6843534</wp:posOffset>
          </wp:positionH>
          <wp:positionV relativeFrom="paragraph">
            <wp:posOffset>8255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805696" behindDoc="0" locked="0" layoutInCell="1" allowOverlap="1" wp14:anchorId="3D291CEB" wp14:editId="6D4738C9">
              <wp:simplePos x="0" y="0"/>
              <wp:positionH relativeFrom="column">
                <wp:posOffset>7881743</wp:posOffset>
              </wp:positionH>
              <wp:positionV relativeFrom="paragraph">
                <wp:posOffset>-45102</wp:posOffset>
              </wp:positionV>
              <wp:extent cx="223520" cy="205740"/>
              <wp:effectExtent l="0" t="0" r="0" b="0"/>
              <wp:wrapThrough wrapText="bothSides">
                <wp:wrapPolygon edited="0">
                  <wp:start x="2455" y="0"/>
                  <wp:lineTo x="2455" y="18667"/>
                  <wp:lineTo x="17182" y="18667"/>
                  <wp:lineTo x="17182" y="0"/>
                  <wp:lineTo x="2455" y="0"/>
                </wp:wrapPolygon>
              </wp:wrapThrough>
              <wp:docPr id="42" name="Text Box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47ECAC3" w14:textId="77777777" w:rsidR="008C1AD8" w:rsidRPr="00E27E7D" w:rsidRDefault="008C1AD8" w:rsidP="00280B93">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D291CEB" id="_x0000_t202" coordsize="21600,21600" o:spt="202" path="m,l,21600r21600,l21600,xe">
              <v:stroke joinstyle="miter"/>
              <v:path gradientshapeok="t" o:connecttype="rect"/>
            </v:shapetype>
            <v:shape id="Text Box 42" o:spid="_x0000_s1046" type="#_x0000_t202" alt="&quot;&quot;" style="position:absolute;left:0;text-align:left;margin-left:620.6pt;margin-top:-3.55pt;width:17.6pt;height:16.2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" filled="f" stroked="f">
              <v:textbox>
                <w:txbxContent>
                  <w:p w14:paraId="447ECAC3" w14:textId="77777777" w:rsidR="008C1AD8" w:rsidRPr="00E27E7D" w:rsidRDefault="008C1AD8" w:rsidP="00280B93">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22-17</w:t>
    </w:r>
    <w:r>
      <w:rPr>
        <w:noProof/>
      </w:rPr>
      <w:fldChar w:fldCharType="end"/>
    </w:r>
    <w:r>
      <w:rPr>
        <w:noProof/>
      </w:rPr>
      <w:t xml:space="preserve"> </w:t>
    </w:r>
    <w: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67229" w14:textId="77777777" w:rsidR="00FF6F90" w:rsidRPr="00417E97" w:rsidRDefault="00FF6F90" w:rsidP="00417E97">
    <w:pPr>
      <w:pStyle w:val="Footer"/>
      <w:tabs>
        <w:tab w:val="clear" w:pos="9026"/>
        <w:tab w:val="left" w:pos="5812"/>
      </w:tabs>
      <w:ind w:right="3395"/>
      <w:jc w:val="right"/>
    </w:pPr>
    <w:r>
      <w:rPr>
        <w:noProof/>
        <w:lang w:val="en-US" w:eastAsia="en-US"/>
      </w:rPr>
      <w:drawing>
        <wp:anchor distT="0" distB="0" distL="114300" distR="114300" simplePos="0" relativeHeight="251718656" behindDoc="0" locked="0" layoutInCell="1" allowOverlap="1" wp14:anchorId="2EBF5A48" wp14:editId="667C8AEB">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lang w:val="en-US" w:eastAsia="en-US"/>
      </w:rPr>
      <w:drawing>
        <wp:anchor distT="0" distB="0" distL="114300" distR="114300" simplePos="0" relativeHeight="251717632" behindDoc="0" locked="0" layoutInCell="1" allowOverlap="1" wp14:anchorId="107219F0" wp14:editId="2C8431F0">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19680" behindDoc="0" locked="0" layoutInCell="1" allowOverlap="1" wp14:anchorId="044E1516" wp14:editId="52EA4531">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5"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5728A2" w14:textId="77777777" w:rsidR="00FF6F90" w:rsidRPr="00E27E7D" w:rsidRDefault="00FF6F90"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44E1516" id="_x0000_t202" coordsize="21600,21600" o:spt="202" path="m,l,21600r21600,l21600,xe">
              <v:stroke joinstyle="miter"/>
              <v:path gradientshapeok="t" o:connecttype="rect"/>
            </v:shapetype>
            <v:shape id="Text Box 5" o:spid="_x0000_s1027" type="#_x0000_t202" alt="&quot;&quot;" style="position:absolute;left:0;text-align:left;margin-left:395.9pt;margin-top:-1.45pt;width:17.6pt;height:16.2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zMtXBmQCAAA6BQAADgAAAAAAAAAAAAAAAAAuAgAA&#13;&#10;ZHJzL2Uyb0RvYy54bWxQSwECLQAUAAYACAAAACEAk64Mi+IAAAAOAQAADwAAAAAAAAAAAAAAAAC+&#13;&#10;BAAAZHJzL2Rvd25yZXYueG1sUEsFBgAAAAAEAAQA8wAAAM0FAAAAAA==&#13;&#10;" filled="f" stroked="f">
              <v:textbox>
                <w:txbxContent>
                  <w:p w14:paraId="175728A2" w14:textId="77777777" w:rsidR="00FF6F90" w:rsidRPr="00E27E7D" w:rsidRDefault="00FF6F90"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C5FAE" w14:textId="77777777" w:rsidR="008C1AD8" w:rsidRPr="00280B93" w:rsidRDefault="008C1AD8" w:rsidP="00280B93">
    <w:pPr>
      <w:pStyle w:val="Footer"/>
      <w:tabs>
        <w:tab w:val="clear" w:pos="9026"/>
        <w:tab w:val="left" w:pos="5812"/>
      </w:tabs>
      <w:ind w:right="3395"/>
      <w:jc w:val="right"/>
    </w:pPr>
    <w:r>
      <w:fldChar w:fldCharType="begin"/>
    </w:r>
    <w:r>
      <w:instrText xml:space="preserve"> PAGE </w:instrText>
    </w:r>
    <w:r>
      <w:fldChar w:fldCharType="separate"/>
    </w:r>
    <w:r>
      <w:t>22-17</w:t>
    </w:r>
    <w:r>
      <w:rPr>
        <w:noProof/>
      </w:rPr>
      <w:fldChar w:fldCharType="end"/>
    </w:r>
    <w:r>
      <w:rPr>
        <w:noProof/>
        <w:lang w:val="en-US" w:eastAsia="en-US"/>
      </w:rPr>
      <mc:AlternateContent>
        <mc:Choice Requires="wps">
          <w:drawing>
            <wp:anchor distT="0" distB="0" distL="114300" distR="114300" simplePos="0" relativeHeight="251802624" behindDoc="0" locked="0" layoutInCell="1" allowOverlap="1" wp14:anchorId="605A79EB" wp14:editId="0A0412CD">
              <wp:simplePos x="0" y="0"/>
              <wp:positionH relativeFrom="column">
                <wp:posOffset>5076825</wp:posOffset>
              </wp:positionH>
              <wp:positionV relativeFrom="paragraph">
                <wp:posOffset>-38100</wp:posOffset>
              </wp:positionV>
              <wp:extent cx="223520" cy="205740"/>
              <wp:effectExtent l="0" t="0" r="0" b="0"/>
              <wp:wrapThrough wrapText="bothSides">
                <wp:wrapPolygon edited="0">
                  <wp:start x="2455" y="0"/>
                  <wp:lineTo x="2455" y="18667"/>
                  <wp:lineTo x="17182" y="18667"/>
                  <wp:lineTo x="17182" y="0"/>
                  <wp:lineTo x="2455" y="0"/>
                </wp:wrapPolygon>
              </wp:wrapThrough>
              <wp:docPr id="38" name="Text Box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C78008" w14:textId="77777777" w:rsidR="008C1AD8" w:rsidRPr="00E27E7D" w:rsidRDefault="008C1AD8" w:rsidP="00280B93">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05A79EB" id="_x0000_t202" coordsize="21600,21600" o:spt="202" path="m,l,21600r21600,l21600,xe">
              <v:stroke joinstyle="miter"/>
              <v:path gradientshapeok="t" o:connecttype="rect"/>
            </v:shapetype>
            <v:shape id="Text Box 38" o:spid="_x0000_s1047" type="#_x0000_t202" alt="&quot;&quot;" style="position:absolute;left:0;text-align:left;margin-left:399.75pt;margin-top:-3pt;width:17.6pt;height:16.2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" filled="f" stroked="f">
              <v:textbox>
                <w:txbxContent>
                  <w:p w14:paraId="4EC78008" w14:textId="77777777" w:rsidR="008C1AD8" w:rsidRPr="00E27E7D" w:rsidRDefault="008C1AD8" w:rsidP="00280B93">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801600" behindDoc="0" locked="0" layoutInCell="1" allowOverlap="1" wp14:anchorId="59520190" wp14:editId="3A12C8E8">
          <wp:simplePos x="0" y="0"/>
          <wp:positionH relativeFrom="column">
            <wp:posOffset>5287645</wp:posOffset>
          </wp:positionH>
          <wp:positionV relativeFrom="paragraph">
            <wp:posOffset>-40005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800576" behindDoc="0" locked="0" layoutInCell="1" allowOverlap="1" wp14:anchorId="7DB22CB7" wp14:editId="376A70C7">
          <wp:simplePos x="0" y="0"/>
          <wp:positionH relativeFrom="column">
            <wp:posOffset>4055165</wp:posOffset>
          </wp:positionH>
          <wp:positionV relativeFrom="paragraph">
            <wp:posOffset>8255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rPr>
      <w:t xml:space="preserve"> </w:t>
    </w:r>
    <w:r>
      <w:t>|</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A43AB"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51424" behindDoc="0" locked="0" layoutInCell="1" allowOverlap="1" wp14:anchorId="5BBF3ECE" wp14:editId="52D95AB3">
              <wp:simplePos x="0" y="0"/>
              <wp:positionH relativeFrom="column">
                <wp:posOffset>7716520</wp:posOffset>
              </wp:positionH>
              <wp:positionV relativeFrom="paragraph">
                <wp:posOffset>-36195</wp:posOffset>
              </wp:positionV>
              <wp:extent cx="223520" cy="205740"/>
              <wp:effectExtent l="0" t="0" r="0" b="0"/>
              <wp:wrapThrough wrapText="bothSides">
                <wp:wrapPolygon edited="0">
                  <wp:start x="6136" y="1333"/>
                  <wp:lineTo x="6136" y="18667"/>
                  <wp:lineTo x="14727" y="18667"/>
                  <wp:lineTo x="14727" y="1333"/>
                  <wp:lineTo x="6136" y="1333"/>
                </wp:wrapPolygon>
              </wp:wrapThrough>
              <wp:docPr id="178" name="Text Box 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04BF9D6"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BBF3ECE" id="_x0000_t202" coordsize="21600,21600" o:spt="202" path="m,l,21600r21600,l21600,xe">
              <v:stroke joinstyle="miter"/>
              <v:path gradientshapeok="t" o:connecttype="rect"/>
            </v:shapetype>
            <v:shape id="Text Box 178" o:spid="_x0000_s1048" type="#_x0000_t202" alt="&quot;&quot;" style="position:absolute;left:0;text-align:left;margin-left:607.6pt;margin-top:-2.85pt;width:17.6pt;height:16.2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" filled="f" stroked="f">
              <v:textbox>
                <w:txbxContent>
                  <w:p w14:paraId="504BF9D6"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49376" behindDoc="0" locked="0" layoutInCell="1" allowOverlap="1" wp14:anchorId="77795426" wp14:editId="049E2ED1">
          <wp:simplePos x="0" y="0"/>
          <wp:positionH relativeFrom="column">
            <wp:posOffset>6694805</wp:posOffset>
          </wp:positionH>
          <wp:positionV relativeFrom="paragraph">
            <wp:posOffset>10795</wp:posOffset>
          </wp:positionV>
          <wp:extent cx="1038225" cy="182245"/>
          <wp:effectExtent l="0" t="0" r="3175" b="0"/>
          <wp:wrapThrough wrapText="bothSides">
            <wp:wrapPolygon edited="0">
              <wp:start x="0" y="0"/>
              <wp:lineTo x="0" y="13547"/>
              <wp:lineTo x="10305" y="19568"/>
              <wp:lineTo x="21402" y="19568"/>
              <wp:lineTo x="21402" y="0"/>
              <wp:lineTo x="0" y="0"/>
            </wp:wrapPolygon>
          </wp:wrapThrough>
          <wp:docPr id="389" name="Picture 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w:drawing>
        <wp:anchor distT="0" distB="0" distL="114300" distR="114300" simplePos="0" relativeHeight="251750400" behindDoc="0" locked="0" layoutInCell="1" allowOverlap="1" wp14:anchorId="4376C8E4" wp14:editId="3F0598D0">
          <wp:simplePos x="0" y="0"/>
          <wp:positionH relativeFrom="column">
            <wp:posOffset>7927552</wp:posOffset>
          </wp:positionH>
          <wp:positionV relativeFrom="paragraph">
            <wp:posOffset>-37465</wp:posOffset>
          </wp:positionV>
          <wp:extent cx="933450" cy="213995"/>
          <wp:effectExtent l="0" t="0" r="6350" b="1905"/>
          <wp:wrapThrough wrapText="bothSides">
            <wp:wrapPolygon edited="0">
              <wp:start x="2645" y="0"/>
              <wp:lineTo x="0" y="8973"/>
              <wp:lineTo x="0" y="16665"/>
              <wp:lineTo x="3233" y="20510"/>
              <wp:lineTo x="5290" y="20510"/>
              <wp:lineTo x="21453" y="19228"/>
              <wp:lineTo x="21453" y="0"/>
              <wp:lineTo x="5290" y="0"/>
              <wp:lineTo x="2645" y="0"/>
            </wp:wrapPolygon>
          </wp:wrapThrough>
          <wp:docPr id="390" name="Picture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1C2E8" w14:textId="77777777" w:rsidR="008C1AD8" w:rsidRPr="003A6B9D" w:rsidRDefault="008C1AD8" w:rsidP="003A6B9D">
    <w:pPr>
      <w:pStyle w:val="Footer"/>
      <w:tabs>
        <w:tab w:val="clear" w:pos="9026"/>
        <w:tab w:val="left" w:pos="5812"/>
      </w:tabs>
      <w:ind w:right="3395"/>
      <w:jc w:val="right"/>
    </w:pPr>
    <w:r>
      <w:rPr>
        <w:noProof/>
        <w:lang w:val="en-US" w:eastAsia="en-US"/>
      </w:rPr>
      <w:drawing>
        <wp:anchor distT="0" distB="0" distL="114300" distR="114300" simplePos="0" relativeHeight="251759616" behindDoc="0" locked="0" layoutInCell="1" allowOverlap="1" wp14:anchorId="6B212D34" wp14:editId="72D02284">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87" name="Picture 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758592" behindDoc="0" locked="0" layoutInCell="1" allowOverlap="1" wp14:anchorId="35C9211B" wp14:editId="0007EC18">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88" name="Picture 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60640" behindDoc="0" locked="0" layoutInCell="1" allowOverlap="1" wp14:anchorId="4AF8FBAE" wp14:editId="4CDC2D6F">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86" name="Text Box 1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C9A48A" w14:textId="77777777" w:rsidR="008C1AD8" w:rsidRPr="00E27E7D" w:rsidRDefault="008C1AD8" w:rsidP="003A6B9D">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AF8FBAE" id="_x0000_t202" coordsize="21600,21600" o:spt="202" path="m,l,21600r21600,l21600,xe">
              <v:stroke joinstyle="miter"/>
              <v:path gradientshapeok="t" o:connecttype="rect"/>
            </v:shapetype>
            <v:shape id="Text Box 186" o:spid="_x0000_s1049" type="#_x0000_t202" alt="&quot;&quot;" style="position:absolute;left:0;text-align:left;margin-left:395.9pt;margin-top:-1.45pt;width:17.6pt;height:16.2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S6xzmGQCAAA7BQAADgAAAAAAAAAAAAAAAAAuAgAA&#13;&#10;ZHJzL2Uyb0RvYy54bWxQSwECLQAUAAYACAAAACEAk64Mi+IAAAAOAQAADwAAAAAAAAAAAAAAAAC+&#13;&#10;BAAAZHJzL2Rvd25yZXYueG1sUEsFBgAAAAAEAAQA8wAAAM0FAAAAAA==&#13;&#10;" filled="f" stroked="f">
              <v:textbox>
                <w:txbxContent>
                  <w:p w14:paraId="49C9A48A" w14:textId="77777777" w:rsidR="008C1AD8" w:rsidRPr="00E27E7D" w:rsidRDefault="008C1AD8" w:rsidP="003A6B9D">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23-11</w:t>
    </w:r>
    <w:r>
      <w:rPr>
        <w:noProof/>
      </w:rPr>
      <w:fldChar w:fldCharType="end"/>
    </w:r>
    <w:r>
      <w:rPr>
        <w:noProof/>
      </w:rPr>
      <w:t xml:space="preserve"> </w:t>
    </w:r>
    <w:r>
      <w:t>|</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47ACF" w14:textId="77777777" w:rsidR="008C1AD8" w:rsidRPr="00BF0FA8" w:rsidRDefault="008C1AD8" w:rsidP="00BF0FA8">
    <w:pPr>
      <w:pStyle w:val="Footer"/>
      <w:tabs>
        <w:tab w:val="clear" w:pos="9026"/>
        <w:tab w:val="left" w:pos="5812"/>
      </w:tabs>
      <w:ind w:right="3395"/>
      <w:jc w:val="right"/>
    </w:pPr>
    <w:r>
      <w:rPr>
        <w:noProof/>
        <w:lang w:val="en-US" w:eastAsia="en-US"/>
      </w:rPr>
      <w:drawing>
        <wp:anchor distT="0" distB="0" distL="114300" distR="114300" simplePos="0" relativeHeight="251778048" behindDoc="0" locked="0" layoutInCell="1" allowOverlap="1" wp14:anchorId="35C7E007" wp14:editId="4FEA4B2D">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71" name="Picture 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777024" behindDoc="0" locked="0" layoutInCell="1" allowOverlap="1" wp14:anchorId="6A52E6FF" wp14:editId="0974A2D3">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72" name="Picture 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79072" behindDoc="0" locked="0" layoutInCell="1" allowOverlap="1" wp14:anchorId="5A97387D" wp14:editId="765F0A52">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61" name="Text Box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A4FE95" w14:textId="77777777" w:rsidR="008C1AD8" w:rsidRPr="00E27E7D" w:rsidRDefault="008C1AD8" w:rsidP="00BF0FA8">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A97387D" id="_x0000_t202" coordsize="21600,21600" o:spt="202" path="m,l,21600r21600,l21600,xe">
              <v:stroke joinstyle="miter"/>
              <v:path gradientshapeok="t" o:connecttype="rect"/>
            </v:shapetype>
            <v:shape id="Text Box 161" o:spid="_x0000_s1050" type="#_x0000_t202" alt="&quot;&quot;" style="position:absolute;left:0;text-align:left;margin-left:395.9pt;margin-top:-1.45pt;width:17.6pt;height:16.2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" filled="f" stroked="f">
              <v:textbox>
                <w:txbxContent>
                  <w:p w14:paraId="18A4FE95" w14:textId="77777777" w:rsidR="008C1AD8" w:rsidRPr="00E27E7D" w:rsidRDefault="008C1AD8" w:rsidP="00BF0FA8">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23-11</w:t>
    </w:r>
    <w:r>
      <w:rPr>
        <w:noProof/>
      </w:rPr>
      <w:fldChar w:fldCharType="end"/>
    </w:r>
    <w:r>
      <w:rPr>
        <w:noProof/>
      </w:rPr>
      <w:t xml:space="preserve"> </w:t>
    </w:r>
    <w:r>
      <w:t>|</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0DEF8"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62688" behindDoc="0" locked="0" layoutInCell="1" allowOverlap="1" wp14:anchorId="371BCFBF" wp14:editId="40FD91B4">
          <wp:simplePos x="0" y="0"/>
          <wp:positionH relativeFrom="column">
            <wp:posOffset>8299450</wp:posOffset>
          </wp:positionH>
          <wp:positionV relativeFrom="paragraph">
            <wp:posOffset>-36195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73" name="Picture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761664" behindDoc="0" locked="0" layoutInCell="1" allowOverlap="1" wp14:anchorId="5ACB6C86" wp14:editId="490F2B1E">
          <wp:simplePos x="0" y="0"/>
          <wp:positionH relativeFrom="column">
            <wp:posOffset>7066915</wp:posOffset>
          </wp:positionH>
          <wp:positionV relativeFrom="paragraph">
            <wp:posOffset>12065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74" name="Picture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63712" behindDoc="0" locked="0" layoutInCell="1" allowOverlap="1" wp14:anchorId="65F600F4" wp14:editId="298F6F6D">
              <wp:simplePos x="0" y="0"/>
              <wp:positionH relativeFrom="column">
                <wp:posOffset>8089182</wp:posOffset>
              </wp:positionH>
              <wp:positionV relativeFrom="paragraph">
                <wp:posOffset>-34373</wp:posOffset>
              </wp:positionV>
              <wp:extent cx="223520" cy="205740"/>
              <wp:effectExtent l="0" t="0" r="0" b="0"/>
              <wp:wrapThrough wrapText="bothSides">
                <wp:wrapPolygon edited="0">
                  <wp:start x="2455" y="0"/>
                  <wp:lineTo x="2455" y="18667"/>
                  <wp:lineTo x="17182" y="18667"/>
                  <wp:lineTo x="17182" y="0"/>
                  <wp:lineTo x="2455" y="0"/>
                </wp:wrapPolygon>
              </wp:wrapThrough>
              <wp:docPr id="25" name="Text 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5E4BA60"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5F600F4" id="_x0000_t202" coordsize="21600,21600" o:spt="202" path="m,l,21600r21600,l21600,xe">
              <v:stroke joinstyle="miter"/>
              <v:path gradientshapeok="t" o:connecttype="rect"/>
            </v:shapetype>
            <v:shape id="Text Box 25" o:spid="_x0000_s1051" type="#_x0000_t202" alt="&quot;&quot;" style="position:absolute;left:0;text-align:left;margin-left:636.95pt;margin-top:-2.7pt;width:17.6pt;height:16.2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" filled="f" stroked="f">
              <v:textbox>
                <w:txbxContent>
                  <w:p w14:paraId="55E4BA60"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75B6A"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66784" behindDoc="0" locked="0" layoutInCell="1" allowOverlap="1" wp14:anchorId="7EB279D1" wp14:editId="1FF8433C">
              <wp:simplePos x="0" y="0"/>
              <wp:positionH relativeFrom="column">
                <wp:posOffset>5076825</wp:posOffset>
              </wp:positionH>
              <wp:positionV relativeFrom="paragraph">
                <wp:posOffset>-38100</wp:posOffset>
              </wp:positionV>
              <wp:extent cx="223520" cy="205740"/>
              <wp:effectExtent l="0" t="0" r="0" b="0"/>
              <wp:wrapThrough wrapText="bothSides">
                <wp:wrapPolygon edited="0">
                  <wp:start x="2455" y="0"/>
                  <wp:lineTo x="2455" y="18667"/>
                  <wp:lineTo x="17182" y="18667"/>
                  <wp:lineTo x="17182" y="0"/>
                  <wp:lineTo x="2455" y="0"/>
                </wp:wrapPolygon>
              </wp:wrapThrough>
              <wp:docPr id="26" name="Text 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3E58842" w14:textId="77777777" w:rsidR="008C1AD8" w:rsidRPr="00E27E7D" w:rsidRDefault="008C1AD8" w:rsidP="00B8598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EB279D1" id="_x0000_t202" coordsize="21600,21600" o:spt="202" path="m,l,21600r21600,l21600,xe">
              <v:stroke joinstyle="miter"/>
              <v:path gradientshapeok="t" o:connecttype="rect"/>
            </v:shapetype>
            <v:shape id="Text Box 26" o:spid="_x0000_s1052" type="#_x0000_t202" alt="&quot;&quot;" style="position:absolute;left:0;text-align:left;margin-left:399.75pt;margin-top:-3pt;width:17.6pt;height:16.2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" filled="f" stroked="f">
              <v:textbox>
                <w:txbxContent>
                  <w:p w14:paraId="13E58842" w14:textId="77777777" w:rsidR="008C1AD8" w:rsidRPr="00E27E7D" w:rsidRDefault="008C1AD8" w:rsidP="00B85987">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65760" behindDoc="0" locked="0" layoutInCell="1" allowOverlap="1" wp14:anchorId="12381577" wp14:editId="0C9C2058">
          <wp:simplePos x="0" y="0"/>
          <wp:positionH relativeFrom="column">
            <wp:posOffset>5287645</wp:posOffset>
          </wp:positionH>
          <wp:positionV relativeFrom="paragraph">
            <wp:posOffset>-40005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75" name="Picture 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764736" behindDoc="0" locked="0" layoutInCell="1" allowOverlap="1" wp14:anchorId="5C918697" wp14:editId="55E538A7">
          <wp:simplePos x="0" y="0"/>
          <wp:positionH relativeFrom="column">
            <wp:posOffset>4055110</wp:posOffset>
          </wp:positionH>
          <wp:positionV relativeFrom="paragraph">
            <wp:posOffset>8255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76" name="Picture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6060B"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68832" behindDoc="0" locked="0" layoutInCell="1" allowOverlap="1" wp14:anchorId="55BB4ACA" wp14:editId="0D310559">
          <wp:simplePos x="0" y="0"/>
          <wp:positionH relativeFrom="column">
            <wp:posOffset>8299450</wp:posOffset>
          </wp:positionH>
          <wp:positionV relativeFrom="paragraph">
            <wp:posOffset>-36195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77" name="Picture 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767808" behindDoc="0" locked="0" layoutInCell="1" allowOverlap="1" wp14:anchorId="2CA6D244" wp14:editId="16DD579E">
          <wp:simplePos x="0" y="0"/>
          <wp:positionH relativeFrom="column">
            <wp:posOffset>7066915</wp:posOffset>
          </wp:positionH>
          <wp:positionV relativeFrom="paragraph">
            <wp:posOffset>12065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78" name="Picture 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69856" behindDoc="0" locked="0" layoutInCell="1" allowOverlap="1" wp14:anchorId="447704DE" wp14:editId="25028288">
              <wp:simplePos x="0" y="0"/>
              <wp:positionH relativeFrom="column">
                <wp:posOffset>8089182</wp:posOffset>
              </wp:positionH>
              <wp:positionV relativeFrom="paragraph">
                <wp:posOffset>-34373</wp:posOffset>
              </wp:positionV>
              <wp:extent cx="223520" cy="205740"/>
              <wp:effectExtent l="0" t="0" r="0" b="0"/>
              <wp:wrapThrough wrapText="bothSides">
                <wp:wrapPolygon edited="0">
                  <wp:start x="2455" y="0"/>
                  <wp:lineTo x="2455" y="18667"/>
                  <wp:lineTo x="17182" y="18667"/>
                  <wp:lineTo x="17182" y="0"/>
                  <wp:lineTo x="2455" y="0"/>
                </wp:wrapPolygon>
              </wp:wrapThrough>
              <wp:docPr id="29" name="Text Box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9F80FD4"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47704DE" id="_x0000_t202" coordsize="21600,21600" o:spt="202" path="m,l,21600r21600,l21600,xe">
              <v:stroke joinstyle="miter"/>
              <v:path gradientshapeok="t" o:connecttype="rect"/>
            </v:shapetype>
            <v:shape id="Text Box 29" o:spid="_x0000_s1053" type="#_x0000_t202" alt="&quot;&quot;" style="position:absolute;left:0;text-align:left;margin-left:636.95pt;margin-top:-2.7pt;width:17.6pt;height:16.2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" filled="f" stroked="f">
              <v:textbox>
                <w:txbxContent>
                  <w:p w14:paraId="59F80FD4"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08BAD"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72928" behindDoc="0" locked="0" layoutInCell="1" allowOverlap="1" wp14:anchorId="6C5652A0" wp14:editId="46ACBF4F">
              <wp:simplePos x="0" y="0"/>
              <wp:positionH relativeFrom="column">
                <wp:posOffset>5076825</wp:posOffset>
              </wp:positionH>
              <wp:positionV relativeFrom="paragraph">
                <wp:posOffset>-38100</wp:posOffset>
              </wp:positionV>
              <wp:extent cx="223520" cy="205740"/>
              <wp:effectExtent l="0" t="0" r="0" b="0"/>
              <wp:wrapThrough wrapText="bothSides">
                <wp:wrapPolygon edited="0">
                  <wp:start x="2455" y="0"/>
                  <wp:lineTo x="2455" y="18667"/>
                  <wp:lineTo x="17182" y="18667"/>
                  <wp:lineTo x="17182" y="0"/>
                  <wp:lineTo x="2455" y="0"/>
                </wp:wrapPolygon>
              </wp:wrapThrough>
              <wp:docPr id="30" name="Text 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2C1C3D1" w14:textId="77777777" w:rsidR="008C1AD8" w:rsidRPr="00E27E7D" w:rsidRDefault="008C1AD8" w:rsidP="00B8598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C5652A0" id="_x0000_t202" coordsize="21600,21600" o:spt="202" path="m,l,21600r21600,l21600,xe">
              <v:stroke joinstyle="miter"/>
              <v:path gradientshapeok="t" o:connecttype="rect"/>
            </v:shapetype>
            <v:shape id="Text Box 30" o:spid="_x0000_s1054" type="#_x0000_t202" alt="&quot;&quot;" style="position:absolute;left:0;text-align:left;margin-left:399.75pt;margin-top:-3pt;width:17.6pt;height:16.2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" filled="f" stroked="f">
              <v:textbox>
                <w:txbxContent>
                  <w:p w14:paraId="12C1C3D1" w14:textId="77777777" w:rsidR="008C1AD8" w:rsidRPr="00E27E7D" w:rsidRDefault="008C1AD8" w:rsidP="00B85987">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71904" behindDoc="0" locked="0" layoutInCell="1" allowOverlap="1" wp14:anchorId="6C3404DA" wp14:editId="22AB0028">
          <wp:simplePos x="0" y="0"/>
          <wp:positionH relativeFrom="column">
            <wp:posOffset>5287645</wp:posOffset>
          </wp:positionH>
          <wp:positionV relativeFrom="paragraph">
            <wp:posOffset>-40005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79" name="Picture 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770880" behindDoc="0" locked="0" layoutInCell="1" allowOverlap="1" wp14:anchorId="1531B3A9" wp14:editId="2EC6058E">
          <wp:simplePos x="0" y="0"/>
          <wp:positionH relativeFrom="column">
            <wp:posOffset>4055165</wp:posOffset>
          </wp:positionH>
          <wp:positionV relativeFrom="paragraph">
            <wp:posOffset>8255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80" name="Picture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ED8DB"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74976" behindDoc="0" locked="0" layoutInCell="1" allowOverlap="1" wp14:anchorId="7DCFE409" wp14:editId="2B6C2A1A">
          <wp:simplePos x="0" y="0"/>
          <wp:positionH relativeFrom="column">
            <wp:posOffset>8299450</wp:posOffset>
          </wp:positionH>
          <wp:positionV relativeFrom="paragraph">
            <wp:posOffset>-36195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81" name="Picture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773952" behindDoc="0" locked="0" layoutInCell="1" allowOverlap="1" wp14:anchorId="6F97F272" wp14:editId="333CF8CD">
          <wp:simplePos x="0" y="0"/>
          <wp:positionH relativeFrom="column">
            <wp:posOffset>7066915</wp:posOffset>
          </wp:positionH>
          <wp:positionV relativeFrom="paragraph">
            <wp:posOffset>12065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82" name="Picture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76000" behindDoc="0" locked="0" layoutInCell="1" allowOverlap="1" wp14:anchorId="45218DD7" wp14:editId="334B41E1">
              <wp:simplePos x="0" y="0"/>
              <wp:positionH relativeFrom="column">
                <wp:posOffset>8089182</wp:posOffset>
              </wp:positionH>
              <wp:positionV relativeFrom="paragraph">
                <wp:posOffset>-34373</wp:posOffset>
              </wp:positionV>
              <wp:extent cx="223520" cy="205740"/>
              <wp:effectExtent l="0" t="0" r="0" b="0"/>
              <wp:wrapThrough wrapText="bothSides">
                <wp:wrapPolygon edited="0">
                  <wp:start x="2455" y="0"/>
                  <wp:lineTo x="2455" y="18667"/>
                  <wp:lineTo x="17182" y="18667"/>
                  <wp:lineTo x="17182" y="0"/>
                  <wp:lineTo x="2455" y="0"/>
                </wp:wrapPolygon>
              </wp:wrapThrough>
              <wp:docPr id="40" name="Text Box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AD3C058"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5218DD7" id="_x0000_t202" coordsize="21600,21600" o:spt="202" path="m,l,21600r21600,l21600,xe">
              <v:stroke joinstyle="miter"/>
              <v:path gradientshapeok="t" o:connecttype="rect"/>
            </v:shapetype>
            <v:shape id="Text Box 40" o:spid="_x0000_s1055" type="#_x0000_t202" alt="&quot;&quot;" style="position:absolute;left:0;text-align:left;margin-left:636.95pt;margin-top:-2.7pt;width:17.6pt;height:16.2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" filled="f" stroked="f">
              <v:textbox>
                <w:txbxContent>
                  <w:p w14:paraId="4AD3C058"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13529" w14:textId="77777777" w:rsidR="008C1AD8" w:rsidRPr="004A5E2B" w:rsidRDefault="008C1AD8" w:rsidP="004A5E2B">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82144" behindDoc="0" locked="0" layoutInCell="1" allowOverlap="1" wp14:anchorId="692B273B" wp14:editId="378D021D">
              <wp:simplePos x="0" y="0"/>
              <wp:positionH relativeFrom="column">
                <wp:posOffset>5076825</wp:posOffset>
              </wp:positionH>
              <wp:positionV relativeFrom="paragraph">
                <wp:posOffset>-38100</wp:posOffset>
              </wp:positionV>
              <wp:extent cx="223520" cy="205740"/>
              <wp:effectExtent l="0" t="0" r="0" b="0"/>
              <wp:wrapThrough wrapText="bothSides">
                <wp:wrapPolygon edited="0">
                  <wp:start x="2455" y="0"/>
                  <wp:lineTo x="2455" y="18667"/>
                  <wp:lineTo x="17182" y="18667"/>
                  <wp:lineTo x="17182" y="0"/>
                  <wp:lineTo x="2455" y="0"/>
                </wp:wrapPolygon>
              </wp:wrapThrough>
              <wp:docPr id="23" name="Text 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4F067C5" w14:textId="77777777" w:rsidR="008C1AD8" w:rsidRPr="00E27E7D" w:rsidRDefault="008C1AD8" w:rsidP="004A5E2B">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92B273B" id="_x0000_t202" coordsize="21600,21600" o:spt="202" path="m,l,21600r21600,l21600,xe">
              <v:stroke joinstyle="miter"/>
              <v:path gradientshapeok="t" o:connecttype="rect"/>
            </v:shapetype>
            <v:shape id="Text Box 23" o:spid="_x0000_s1056" type="#_x0000_t202" alt="&quot;&quot;" style="position:absolute;left:0;text-align:left;margin-left:399.75pt;margin-top:-3pt;width:17.6pt;height:16.2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" filled="f" stroked="f">
              <v:textbox>
                <w:txbxContent>
                  <w:p w14:paraId="24F067C5" w14:textId="77777777" w:rsidR="008C1AD8" w:rsidRPr="00E27E7D" w:rsidRDefault="008C1AD8" w:rsidP="004A5E2B">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81120" behindDoc="0" locked="0" layoutInCell="1" allowOverlap="1" wp14:anchorId="3796D9CB" wp14:editId="312E109F">
          <wp:simplePos x="0" y="0"/>
          <wp:positionH relativeFrom="column">
            <wp:posOffset>5287645</wp:posOffset>
          </wp:positionH>
          <wp:positionV relativeFrom="paragraph">
            <wp:posOffset>-40005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83" name="Picture 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anchor>
      </w:drawing>
    </w:r>
    <w:r>
      <w:rPr>
        <w:noProof/>
        <w:lang w:val="en-US" w:eastAsia="en-US"/>
      </w:rPr>
      <w:drawing>
        <wp:anchor distT="0" distB="0" distL="114300" distR="114300" simplePos="0" relativeHeight="251780096" behindDoc="0" locked="0" layoutInCell="1" allowOverlap="1" wp14:anchorId="4F406F5D" wp14:editId="75FD2730">
          <wp:simplePos x="0" y="0"/>
          <wp:positionH relativeFrom="column">
            <wp:posOffset>4055165</wp:posOffset>
          </wp:positionH>
          <wp:positionV relativeFrom="paragraph">
            <wp:posOffset>8255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384" name="Picture 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25-9</w:t>
    </w:r>
    <w:r>
      <w:rPr>
        <w:noProof/>
      </w:rPr>
      <w:fldChar w:fldCharType="end"/>
    </w:r>
    <w:r>
      <w:rPr>
        <w:noProof/>
      </w:rPr>
      <w:t xml:space="preserve"> </w:t>
    </w:r>
    <w: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51F1E" w14:textId="16C1939E" w:rsidR="00FF6F90" w:rsidRPr="00417E97" w:rsidRDefault="0080031C" w:rsidP="00417E97">
    <w:pPr>
      <w:pStyle w:val="Footer"/>
      <w:tabs>
        <w:tab w:val="clear" w:pos="9026"/>
        <w:tab w:val="left" w:pos="5812"/>
      </w:tabs>
      <w:ind w:right="3395"/>
      <w:jc w:val="right"/>
    </w:pPr>
    <w:r>
      <w:rPr>
        <w:noProof/>
      </w:rPr>
      <mc:AlternateContent>
        <mc:Choice Requires="wpg">
          <w:drawing>
            <wp:anchor distT="0" distB="0" distL="114300" distR="114300" simplePos="0" relativeHeight="251723776" behindDoc="0" locked="0" layoutInCell="1" allowOverlap="1" wp14:anchorId="1B48E1A7" wp14:editId="5CC32AB6">
              <wp:simplePos x="0" y="0"/>
              <wp:positionH relativeFrom="column">
                <wp:posOffset>4004310</wp:posOffset>
              </wp:positionH>
              <wp:positionV relativeFrom="paragraph">
                <wp:posOffset>-21590</wp:posOffset>
              </wp:positionV>
              <wp:extent cx="2166938" cy="234633"/>
              <wp:effectExtent l="0" t="0" r="5080" b="0"/>
              <wp:wrapThrough wrapText="bothSides">
                <wp:wrapPolygon edited="0">
                  <wp:start x="13421" y="0"/>
                  <wp:lineTo x="0" y="3512"/>
                  <wp:lineTo x="0" y="15220"/>
                  <wp:lineTo x="4938" y="19902"/>
                  <wp:lineTo x="10509" y="19902"/>
                  <wp:lineTo x="14687" y="19902"/>
                  <wp:lineTo x="21524" y="17561"/>
                  <wp:lineTo x="21524" y="0"/>
                  <wp:lineTo x="14560" y="0"/>
                  <wp:lineTo x="13421" y="0"/>
                </wp:wrapPolygon>
              </wp:wrapThrough>
              <wp:docPr id="1165960461" name="Group 1"/>
              <wp:cNvGraphicFramePr/>
              <a:graphic xmlns:a="http://schemas.openxmlformats.org/drawingml/2006/main">
                <a:graphicData uri="http://schemas.microsoft.com/office/word/2010/wordprocessingGroup">
                  <wpg:wgp>
                    <wpg:cNvGrpSpPr/>
                    <wpg:grpSpPr>
                      <a:xfrm>
                        <a:off x="0" y="0"/>
                        <a:ext cx="2166938" cy="234633"/>
                        <a:chOff x="0" y="0"/>
                        <a:chExt cx="2166938" cy="234633"/>
                      </a:xfrm>
                    </wpg:grpSpPr>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52388"/>
                          <a:ext cx="1038225" cy="182245"/>
                        </a:xfrm>
                        <a:prstGeom prst="rect">
                          <a:avLst/>
                        </a:prstGeom>
                        <a:noFill/>
                      </pic:spPr>
                    </pic:pic>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233488"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6" name="Text Box 6">
                        <a:extLst>
                          <a:ext uri="{C183D7F6-B498-43B3-948B-1728B52AA6E4}">
                            <adec:decorative xmlns:adec="http://schemas.microsoft.com/office/drawing/2017/decorative" val="1"/>
                          </a:ext>
                        </a:extLst>
                      </wps:cNvPr>
                      <wps:cNvSpPr txBox="1"/>
                      <wps:spPr>
                        <a:xfrm>
                          <a:off x="1023938" y="4763"/>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BE84F4" w14:textId="77777777" w:rsidR="00FF6F90" w:rsidRPr="00E27E7D" w:rsidRDefault="00FF6F90"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B48E1A7" id="Group 1" o:spid="_x0000_s1028" style="position:absolute;left:0;text-align:left;margin-left:315.3pt;margin-top:-1.7pt;width:170.65pt;height:18.5pt;z-index:251723776;mso-height-relative:margin" coordsize="21669,2346" o:gfxdata="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9" type="#_x0000_t75" alt="&quot;&quot;" style="position:absolute;top:523;width:10382;height:18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">
                <v:imagedata r:id="rId3" o:title=""/>
              </v:shape>
              <v:shape id="Picture 7" o:spid="_x0000_s1030" type="#_x0000_t75" alt="&quot;&quot;" style="position:absolute;left:12334;width:9335;height:21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">
                <v:imagedata r:id="rId4" o:title=""/>
              </v:shape>
              <v:shapetype id="_x0000_t202" coordsize="21600,21600" o:spt="202" path="m,l,21600r21600,l21600,xe">
                <v:stroke joinstyle="miter"/>
                <v:path gradientshapeok="t" o:connecttype="rect"/>
              </v:shapetype>
              <v:shape id="_x0000_s1031" type="#_x0000_t202" alt="&quot;&quot;" style="position:absolute;left:10239;top:47;width:2235;height:2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" filled="f" stroked="f">
                <v:textbox>
                  <w:txbxContent>
                    <w:p w14:paraId="05BE84F4" w14:textId="77777777" w:rsidR="00FF6F90" w:rsidRPr="00E27E7D" w:rsidRDefault="00FF6F90" w:rsidP="00417E97">
                      <w:pPr>
                        <w:spacing w:before="0" w:after="0" w:line="240" w:lineRule="auto"/>
                        <w:rPr>
                          <w:sz w:val="16"/>
                          <w:szCs w:val="16"/>
                        </w:rPr>
                      </w:pPr>
                      <w:r w:rsidRPr="00E27E7D">
                        <w:rPr>
                          <w:sz w:val="16"/>
                          <w:szCs w:val="16"/>
                        </w:rPr>
                        <w:t>&amp;</w:t>
                      </w:r>
                    </w:p>
                  </w:txbxContent>
                </v:textbox>
              </v:shape>
              <w10:wrap type="through"/>
            </v:group>
          </w:pict>
        </mc:Fallback>
      </mc:AlternateContent>
    </w:r>
    <w:r w:rsidR="00FF6F90">
      <w:fldChar w:fldCharType="begin"/>
    </w:r>
    <w:r w:rsidR="00FF6F90">
      <w:instrText xml:space="preserve"> PAGE </w:instrText>
    </w:r>
    <w:r w:rsidR="00FF6F90">
      <w:fldChar w:fldCharType="separate"/>
    </w:r>
    <w:r w:rsidR="00FF6F90">
      <w:t>2-1</w:t>
    </w:r>
    <w:r w:rsidR="00FF6F90">
      <w:rPr>
        <w:noProof/>
      </w:rPr>
      <w:fldChar w:fldCharType="end"/>
    </w:r>
    <w:r w:rsidR="00FF6F90">
      <w:rPr>
        <w:noProof/>
      </w:rPr>
      <w:t xml:space="preserve"> </w:t>
    </w:r>
    <w:r w:rsidR="00FF6F90">
      <w:t>|</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2746A"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26848" behindDoc="0" locked="0" layoutInCell="1" allowOverlap="1" wp14:anchorId="1448D52F" wp14:editId="49273B46">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1209718226" name="Picture 1209718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725824" behindDoc="0" locked="0" layoutInCell="1" allowOverlap="1" wp14:anchorId="0119C60C" wp14:editId="54CF7720">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1755847984" name="Picture 1755847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27872" behindDoc="0" locked="0" layoutInCell="1" allowOverlap="1" wp14:anchorId="3619EC61" wp14:editId="1B8E1DCE">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895569364" name="Text Box 895569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4EF900"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619EC61" id="_x0000_t202" coordsize="21600,21600" o:spt="202" path="m,l,21600r21600,l21600,xe">
              <v:stroke joinstyle="miter"/>
              <v:path gradientshapeok="t" o:connecttype="rect"/>
            </v:shapetype>
            <v:shape id="Text Box 895569364" o:spid="_x0000_s1057" type="#_x0000_t202" alt="&quot;&quot;" style="position:absolute;left:0;text-align:left;margin-left:395.9pt;margin-top:-1.45pt;width:17.6pt;height:16.2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lSguymQCAAA7BQAADgAAAAAAAAAAAAAAAAAuAgAA&#13;&#10;ZHJzL2Uyb0RvYy54bWxQSwECLQAUAAYACAAAACEAk64Mi+IAAAAOAQAADwAAAAAAAAAAAAAAAAC+&#13;&#10;BAAAZHJzL2Rvd25yZXYueG1sUEsFBgAAAAAEAAQA8wAAAM0FAAAAAA==&#13;&#10;" filled="f" stroked="f">
              <v:textbox>
                <w:txbxContent>
                  <w:p w14:paraId="094EF900"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F8F7C" w14:textId="77777777" w:rsidR="000B173B" w:rsidRPr="000D565D" w:rsidRDefault="000B173B" w:rsidP="00692F2A">
    <w:pPr>
      <w:pStyle w:val="Footer"/>
      <w:tabs>
        <w:tab w:val="clear" w:pos="9026"/>
        <w:tab w:val="left" w:pos="5812"/>
      </w:tabs>
      <w:ind w:right="3395"/>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545B9" w14:textId="77777777" w:rsidR="000B173B" w:rsidRPr="00417E97" w:rsidRDefault="000B173B" w:rsidP="00417E97">
    <w:pPr>
      <w:pStyle w:val="Footer"/>
      <w:tabs>
        <w:tab w:val="clear" w:pos="9026"/>
        <w:tab w:val="left" w:pos="5812"/>
      </w:tabs>
      <w:ind w:right="3395"/>
      <w:jc w:val="right"/>
    </w:pPr>
    <w:r>
      <w:rPr>
        <w:noProof/>
        <w:lang w:val="en-US" w:eastAsia="en-US"/>
      </w:rPr>
      <w:drawing>
        <wp:anchor distT="0" distB="0" distL="114300" distR="114300" simplePos="0" relativeHeight="251812864" behindDoc="0" locked="0" layoutInCell="1" allowOverlap="1" wp14:anchorId="1928230E" wp14:editId="33D58510">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1826279142" name="Picture 1826279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811840" behindDoc="0" locked="0" layoutInCell="1" allowOverlap="1" wp14:anchorId="215E7A66" wp14:editId="408A6EC0">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1898903438" name="Picture 1898903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813888" behindDoc="0" locked="0" layoutInCell="1" allowOverlap="1" wp14:anchorId="19C79178" wp14:editId="18247AA5">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569821775" name="Text Box 5698217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6750BF" w14:textId="77777777" w:rsidR="000B173B" w:rsidRPr="00E27E7D" w:rsidRDefault="000B173B"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9C79178" id="_x0000_t202" coordsize="21600,21600" o:spt="202" path="m,l,21600r21600,l21600,xe">
              <v:stroke joinstyle="miter"/>
              <v:path gradientshapeok="t" o:connecttype="rect"/>
            </v:shapetype>
            <v:shape id="Text Box 569821775" o:spid="_x0000_s1058" type="#_x0000_t202" alt="&quot;&quot;" style="position:absolute;left:0;text-align:left;margin-left:395.9pt;margin-top:-1.45pt;width:17.6pt;height:16.2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6+3yKWQCAAA7BQAADgAAAAAAAAAAAAAAAAAuAgAA&#13;&#10;ZHJzL2Uyb0RvYy54bWxQSwECLQAUAAYACAAAACEAk64Mi+IAAAAOAQAADwAAAAAAAAAAAAAAAAC+&#13;&#10;BAAAZHJzL2Rvd25yZXYueG1sUEsFBgAAAAAEAAQA8wAAAM0FAAAAAA==&#13;&#10;" filled="f" stroked="f">
              <v:textbox>
                <w:txbxContent>
                  <w:p w14:paraId="486750BF" w14:textId="77777777" w:rsidR="000B173B" w:rsidRPr="00E27E7D" w:rsidRDefault="000B173B"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76669" w14:textId="77777777" w:rsidR="000B173B" w:rsidRPr="00417E97" w:rsidRDefault="000B173B" w:rsidP="00417E97">
    <w:pPr>
      <w:pStyle w:val="Footer"/>
      <w:tabs>
        <w:tab w:val="clear" w:pos="9026"/>
        <w:tab w:val="left" w:pos="5812"/>
      </w:tabs>
      <w:ind w:right="3395"/>
      <w:jc w:val="right"/>
    </w:pPr>
    <w:r>
      <w:rPr>
        <w:noProof/>
        <w:lang w:val="en-US" w:eastAsia="en-US"/>
      </w:rPr>
      <w:drawing>
        <wp:anchor distT="0" distB="0" distL="114300" distR="114300" simplePos="0" relativeHeight="251833344" behindDoc="0" locked="0" layoutInCell="1" allowOverlap="1" wp14:anchorId="73D90B7E" wp14:editId="689AE505">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365791290" name="Picture 365791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832320" behindDoc="0" locked="0" layoutInCell="1" allowOverlap="1" wp14:anchorId="1950E196" wp14:editId="4EEAF921">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785271437" name="Picture 7852714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834368" behindDoc="0" locked="0" layoutInCell="1" allowOverlap="1" wp14:anchorId="27644553" wp14:editId="4CC44EED">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925416154" name="Text Box 1925416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F79379C" w14:textId="77777777" w:rsidR="000B173B" w:rsidRPr="00E27E7D" w:rsidRDefault="000B173B"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7644553" id="_x0000_t202" coordsize="21600,21600" o:spt="202" path="m,l,21600r21600,l21600,xe">
              <v:stroke joinstyle="miter"/>
              <v:path gradientshapeok="t" o:connecttype="rect"/>
            </v:shapetype>
            <v:shape id="Text Box 1925416154" o:spid="_x0000_s1059" type="#_x0000_t202" alt="&quot;&quot;" style="position:absolute;left:0;text-align:left;margin-left:395.9pt;margin-top:-1.45pt;width:17.6pt;height:16.2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" filled="f" stroked="f">
              <v:textbox>
                <w:txbxContent>
                  <w:p w14:paraId="7F79379C" w14:textId="77777777" w:rsidR="000B173B" w:rsidRPr="00E27E7D" w:rsidRDefault="000B173B"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3F026" w14:textId="77777777" w:rsidR="000B173B" w:rsidRDefault="000B173B" w:rsidP="00C41160">
    <w:pPr>
      <w:pStyle w:val="Footer"/>
      <w:tabs>
        <w:tab w:val="clear" w:pos="9026"/>
        <w:tab w:val="left" w:pos="5812"/>
      </w:tabs>
      <w:ind w:right="3395" w:firstLine="1440"/>
      <w:jc w:val="right"/>
    </w:pPr>
    <w:r>
      <w:rPr>
        <w:noProof/>
        <w:lang w:val="en-US" w:eastAsia="en-US"/>
      </w:rPr>
      <w:drawing>
        <wp:anchor distT="0" distB="0" distL="114300" distR="114300" simplePos="0" relativeHeight="251836416" behindDoc="0" locked="0" layoutInCell="1" allowOverlap="1" wp14:anchorId="364445A0" wp14:editId="742FC8CA">
          <wp:simplePos x="0" y="0"/>
          <wp:positionH relativeFrom="column">
            <wp:posOffset>8232775</wp:posOffset>
          </wp:positionH>
          <wp:positionV relativeFrom="paragraph">
            <wp:posOffset>-18203</wp:posOffset>
          </wp:positionV>
          <wp:extent cx="933450" cy="213995"/>
          <wp:effectExtent l="0" t="0" r="6350" b="1905"/>
          <wp:wrapThrough wrapText="bothSides">
            <wp:wrapPolygon edited="0">
              <wp:start x="2939" y="0"/>
              <wp:lineTo x="294" y="8973"/>
              <wp:lineTo x="294" y="16665"/>
              <wp:lineTo x="3233" y="20510"/>
              <wp:lineTo x="3233" y="20510"/>
              <wp:lineTo x="5290" y="20510"/>
              <wp:lineTo x="21453" y="19228"/>
              <wp:lineTo x="21453" y="0"/>
              <wp:lineTo x="4996" y="0"/>
              <wp:lineTo x="2939" y="0"/>
            </wp:wrapPolygon>
          </wp:wrapThrough>
          <wp:docPr id="1298666932" name="Picture 1298666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835392" behindDoc="0" locked="0" layoutInCell="1" allowOverlap="1" wp14:anchorId="6836DA07" wp14:editId="1B5726EC">
          <wp:simplePos x="0" y="0"/>
          <wp:positionH relativeFrom="column">
            <wp:posOffset>7044902</wp:posOffset>
          </wp:positionH>
          <wp:positionV relativeFrom="paragraph">
            <wp:posOffset>34925</wp:posOffset>
          </wp:positionV>
          <wp:extent cx="1038225" cy="182245"/>
          <wp:effectExtent l="0" t="0" r="3175" b="0"/>
          <wp:wrapThrough wrapText="bothSides">
            <wp:wrapPolygon edited="0">
              <wp:start x="0" y="0"/>
              <wp:lineTo x="0" y="13547"/>
              <wp:lineTo x="10305" y="19568"/>
              <wp:lineTo x="21402" y="19568"/>
              <wp:lineTo x="21402" y="0"/>
              <wp:lineTo x="0" y="0"/>
            </wp:wrapPolygon>
          </wp:wrapThrough>
          <wp:docPr id="2113337107" name="Picture 2113337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838464" behindDoc="0" locked="0" layoutInCell="1" allowOverlap="1" wp14:anchorId="797CE02E" wp14:editId="46B14A9C">
              <wp:simplePos x="0" y="0"/>
              <wp:positionH relativeFrom="column">
                <wp:posOffset>8057938</wp:posOffset>
              </wp:positionH>
              <wp:positionV relativeFrom="paragraph">
                <wp:posOffset>-20955</wp:posOffset>
              </wp:positionV>
              <wp:extent cx="223520" cy="205740"/>
              <wp:effectExtent l="0" t="0" r="0" b="0"/>
              <wp:wrapThrough wrapText="bothSides">
                <wp:wrapPolygon edited="0">
                  <wp:start x="6136" y="1333"/>
                  <wp:lineTo x="6136" y="18667"/>
                  <wp:lineTo x="14727" y="18667"/>
                  <wp:lineTo x="14727" y="1333"/>
                  <wp:lineTo x="6136" y="1333"/>
                </wp:wrapPolygon>
              </wp:wrapThrough>
              <wp:docPr id="19" name="Text Box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E80966" w14:textId="77777777" w:rsidR="000B173B" w:rsidRPr="00E27E7D" w:rsidRDefault="000B173B" w:rsidP="0065077B">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7CE02E" id="_x0000_t202" coordsize="21600,21600" o:spt="202" path="m,l,21600r21600,l21600,xe">
              <v:stroke joinstyle="miter"/>
              <v:path gradientshapeok="t" o:connecttype="rect"/>
            </v:shapetype>
            <v:shape id="Text Box 19" o:spid="_x0000_s1061" type="#_x0000_t202" alt="&quot;&quot;" style="position:absolute;left:0;text-align:left;margin-left:634.5pt;margin-top:-1.65pt;width:17.6pt;height:16.2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" filled="f" stroked="f">
              <v:textbox>
                <w:txbxContent>
                  <w:p w14:paraId="63E80966" w14:textId="77777777" w:rsidR="000B173B" w:rsidRPr="00E27E7D" w:rsidRDefault="000B173B" w:rsidP="0065077B">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mc:AlternateContent>
        <mc:Choice Requires="wps">
          <w:drawing>
            <wp:anchor distT="0" distB="0" distL="114300" distR="114300" simplePos="0" relativeHeight="251837440" behindDoc="0" locked="0" layoutInCell="1" allowOverlap="1" wp14:anchorId="1A880CEE" wp14:editId="7064BA29">
              <wp:simplePos x="0" y="0"/>
              <wp:positionH relativeFrom="column">
                <wp:posOffset>8064711</wp:posOffset>
              </wp:positionH>
              <wp:positionV relativeFrom="paragraph">
                <wp:posOffset>33866</wp:posOffset>
              </wp:positionV>
              <wp:extent cx="223520" cy="205740"/>
              <wp:effectExtent l="0" t="0" r="0" b="0"/>
              <wp:wrapThrough wrapText="bothSides">
                <wp:wrapPolygon edited="0">
                  <wp:start x="2455" y="0"/>
                  <wp:lineTo x="2455" y="18667"/>
                  <wp:lineTo x="17182" y="18667"/>
                  <wp:lineTo x="17182" y="0"/>
                  <wp:lineTo x="2455" y="0"/>
                </wp:wrapPolygon>
              </wp:wrapThrough>
              <wp:docPr id="167" name="Text Box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C24EC1" w14:textId="77777777" w:rsidR="000B173B" w:rsidRDefault="000B1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880CEE" id="Text Box 167" o:spid="_x0000_s1062" type="#_x0000_t202" alt="&quot;&quot;" style="position:absolute;left:0;text-align:left;margin-left:635pt;margin-top:2.65pt;width:17.6pt;height:16.2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" filled="f" stroked="f">
              <v:textbox>
                <w:txbxContent>
                  <w:p w14:paraId="1DC24EC1" w14:textId="77777777" w:rsidR="000B173B" w:rsidRDefault="000B173B"/>
                </w:txbxContent>
              </v:textbox>
              <w10:wrap type="through"/>
            </v:shape>
          </w:pict>
        </mc:Fallback>
      </mc:AlternateContent>
    </w:r>
    <w:r>
      <w:fldChar w:fldCharType="begin"/>
    </w:r>
    <w:r>
      <w:instrText xml:space="preserve"> PAGE </w:instrText>
    </w:r>
    <w:r>
      <w:fldChar w:fldCharType="separate"/>
    </w:r>
    <w:r>
      <w:t>1-1</w:t>
    </w:r>
    <w:r>
      <w:rPr>
        <w:noProof/>
      </w:rPr>
      <w:fldChar w:fldCharType="end"/>
    </w:r>
    <w:r>
      <w:rPr>
        <w:noProof/>
      </w:rPr>
      <w:t xml:space="preserve"> </w:t>
    </w:r>
    <w:r>
      <w:t>|</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BC76F" w14:textId="77777777" w:rsidR="000B173B" w:rsidRPr="00417E97" w:rsidRDefault="000B173B" w:rsidP="00417E97">
    <w:pPr>
      <w:pStyle w:val="Footer"/>
      <w:tabs>
        <w:tab w:val="clear" w:pos="9026"/>
        <w:tab w:val="left" w:pos="5812"/>
      </w:tabs>
      <w:ind w:right="3395"/>
      <w:jc w:val="right"/>
    </w:pPr>
    <w:r>
      <w:rPr>
        <w:noProof/>
        <w:lang w:val="en-US" w:eastAsia="en-US"/>
      </w:rPr>
      <w:drawing>
        <wp:anchor distT="0" distB="0" distL="114300" distR="114300" simplePos="0" relativeHeight="251819008" behindDoc="0" locked="0" layoutInCell="1" allowOverlap="1" wp14:anchorId="54FD8FEB" wp14:editId="1E8716F2">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947232459" name="Picture 947232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817984" behindDoc="0" locked="0" layoutInCell="1" allowOverlap="1" wp14:anchorId="3F87FCF5" wp14:editId="5F0021F0">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751670885" name="Picture 751670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820032" behindDoc="0" locked="0" layoutInCell="1" allowOverlap="1" wp14:anchorId="2322D359" wp14:editId="0A12CB09">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37" name="Text Box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6FAC3FE" w14:textId="77777777" w:rsidR="000B173B" w:rsidRPr="00E27E7D" w:rsidRDefault="000B173B"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322D359" id="_x0000_t202" coordsize="21600,21600" o:spt="202" path="m,l,21600r21600,l21600,xe">
              <v:stroke joinstyle="miter"/>
              <v:path gradientshapeok="t" o:connecttype="rect"/>
            </v:shapetype>
            <v:shape id="Text Box 137" o:spid="_x0000_s1065" type="#_x0000_t202" alt="&quot;&quot;" style="position:absolute;left:0;text-align:left;margin-left:395.9pt;margin-top:-1.45pt;width:17.6pt;height:16.2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FOjfJmQCAAA7BQAADgAAAAAAAAAAAAAAAAAuAgAA&#13;&#10;ZHJzL2Uyb0RvYy54bWxQSwECLQAUAAYACAAAACEAk64Mi+IAAAAOAQAADwAAAAAAAAAAAAAAAAC+&#13;&#10;BAAAZHJzL2Rvd25yZXYueG1sUEsFBgAAAAAEAAQA8wAAAM0FAAAAAA==&#13;&#10;" filled="f" stroked="f">
              <v:textbox>
                <w:txbxContent>
                  <w:p w14:paraId="66FAC3FE" w14:textId="77777777" w:rsidR="000B173B" w:rsidRPr="00E27E7D" w:rsidRDefault="000B173B"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3508B" w14:textId="77777777" w:rsidR="000B173B" w:rsidRPr="00417E97" w:rsidRDefault="000B173B" w:rsidP="00417E97">
    <w:pPr>
      <w:pStyle w:val="Footer"/>
      <w:tabs>
        <w:tab w:val="clear" w:pos="9026"/>
        <w:tab w:val="left" w:pos="5812"/>
      </w:tabs>
      <w:ind w:right="3395"/>
      <w:jc w:val="right"/>
    </w:pPr>
    <w:r>
      <w:rPr>
        <w:noProof/>
        <w:lang w:val="en-US" w:eastAsia="en-US"/>
      </w:rPr>
      <w:drawing>
        <wp:anchor distT="0" distB="0" distL="114300" distR="114300" simplePos="0" relativeHeight="251815936" behindDoc="0" locked="0" layoutInCell="1" allowOverlap="1" wp14:anchorId="220321E6" wp14:editId="6D383285">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1530574473" name="Picture 1530574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814912" behindDoc="0" locked="0" layoutInCell="1" allowOverlap="1" wp14:anchorId="1FF6FA7A" wp14:editId="60F3CBD9">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1058184989" name="Picture 10581849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816960" behindDoc="0" locked="0" layoutInCell="1" allowOverlap="1" wp14:anchorId="03E02026" wp14:editId="483DFCE3">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287871635" name="Text Box 2878716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E46D96B" w14:textId="77777777" w:rsidR="000B173B" w:rsidRPr="00E27E7D" w:rsidRDefault="000B173B"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E02026" id="_x0000_t202" coordsize="21600,21600" o:spt="202" path="m,l,21600r21600,l21600,xe">
              <v:stroke joinstyle="miter"/>
              <v:path gradientshapeok="t" o:connecttype="rect"/>
            </v:shapetype>
            <v:shape id="Text Box 287871635" o:spid="_x0000_s1068" type="#_x0000_t202" alt="&quot;&quot;" style="position:absolute;left:0;text-align:left;margin-left:395.9pt;margin-top:-1.45pt;width:17.6pt;height:16.2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FZ9MEGQCAAA7BQAADgAAAAAAAAAAAAAAAAAuAgAA&#13;&#10;ZHJzL2Uyb0RvYy54bWxQSwECLQAUAAYACAAAACEAk64Mi+IAAAAOAQAADwAAAAAAAAAAAAAAAAC+&#13;&#10;BAAAZHJzL2Rvd25yZXYueG1sUEsFBgAAAAAEAAQA8wAAAM0FAAAAAA==&#13;&#10;" filled="f" stroked="f">
              <v:textbox>
                <w:txbxContent>
                  <w:p w14:paraId="0E46D96B" w14:textId="77777777" w:rsidR="000B173B" w:rsidRPr="00E27E7D" w:rsidRDefault="000B173B"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75E50" w14:textId="77777777" w:rsidR="00820819" w:rsidRPr="00417E97" w:rsidRDefault="00820819" w:rsidP="00417E97">
    <w:pPr>
      <w:pStyle w:val="Footer"/>
      <w:tabs>
        <w:tab w:val="clear" w:pos="9026"/>
        <w:tab w:val="left" w:pos="5812"/>
      </w:tabs>
      <w:ind w:right="3395"/>
      <w:jc w:val="right"/>
    </w:pPr>
    <w:r>
      <w:rPr>
        <w:noProof/>
        <w:lang w:val="en-US" w:eastAsia="en-US"/>
      </w:rPr>
      <w:drawing>
        <wp:anchor distT="0" distB="0" distL="114300" distR="114300" simplePos="0" relativeHeight="251808768" behindDoc="0" locked="0" layoutInCell="1" allowOverlap="1" wp14:anchorId="5299DB8F" wp14:editId="7388D524">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1710694141" name="Picture 1710694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807744" behindDoc="0" locked="0" layoutInCell="1" allowOverlap="1" wp14:anchorId="6365AEE7" wp14:editId="4EF3B241">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220798546" name="Picture 220798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809792" behindDoc="0" locked="0" layoutInCell="1" allowOverlap="1" wp14:anchorId="760A3563" wp14:editId="00AF05A3">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981083461" name="Text Box 9810834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E80D0F" w14:textId="77777777" w:rsidR="00820819" w:rsidRPr="00E27E7D" w:rsidRDefault="00820819"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60A3563" id="_x0000_t202" coordsize="21600,21600" o:spt="202" path="m,l,21600r21600,l21600,xe">
              <v:stroke joinstyle="miter"/>
              <v:path gradientshapeok="t" o:connecttype="rect"/>
            </v:shapetype>
            <v:shape id="Text Box 981083461" o:spid="_x0000_s1070" type="#_x0000_t202" alt="&quot;&quot;" style="position:absolute;left:0;text-align:left;margin-left:395.9pt;margin-top:-1.45pt;width:17.6pt;height:16.2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abS2nmQCAAA7BQAADgAAAAAAAAAAAAAAAAAuAgAA&#13;&#10;ZHJzL2Uyb0RvYy54bWxQSwECLQAUAAYACAAAACEAk64Mi+IAAAAOAQAADwAAAAAAAAAAAAAAAAC+&#13;&#10;BAAAZHJzL2Rvd25yZXYueG1sUEsFBgAAAAAEAAQA8wAAAM0FAAAAAA==&#13;&#10;" filled="f" stroked="f">
              <v:textbox>
                <w:txbxContent>
                  <w:p w14:paraId="7BE80D0F" w14:textId="77777777" w:rsidR="00820819" w:rsidRPr="00E27E7D" w:rsidRDefault="00820819"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0812" w14:textId="38B09302" w:rsidR="00061892" w:rsidRPr="00417E97" w:rsidRDefault="00061892" w:rsidP="00417E97">
    <w:pPr>
      <w:pStyle w:val="Footer"/>
      <w:tabs>
        <w:tab w:val="clear" w:pos="9026"/>
        <w:tab w:val="left" w:pos="5812"/>
      </w:tabs>
      <w:ind w:right="3395"/>
      <w:jc w:val="right"/>
    </w:pPr>
    <w:r>
      <w:rPr>
        <w:noProof/>
        <w:lang w:val="en-US" w:eastAsia="en-US"/>
      </w:rPr>
      <w:drawing>
        <wp:anchor distT="0" distB="0" distL="114300" distR="114300" simplePos="0" relativeHeight="251708416" behindDoc="0" locked="0" layoutInCell="1" allowOverlap="1" wp14:anchorId="0A0365FF" wp14:editId="113675C3">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707392" behindDoc="0" locked="0" layoutInCell="1" allowOverlap="1" wp14:anchorId="44061F07" wp14:editId="172C1536">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09440" behindDoc="0" locked="0" layoutInCell="1" allowOverlap="1" wp14:anchorId="0CF7D20C" wp14:editId="715075B4">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95C59E" w14:textId="77777777" w:rsidR="00061892" w:rsidRPr="00E27E7D" w:rsidRDefault="00061892"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CF7D20C" id="_x0000_t202" coordsize="21600,21600" o:spt="202" path="m,l,21600r21600,l21600,xe">
              <v:stroke joinstyle="miter"/>
              <v:path gradientshapeok="t" o:connecttype="rect"/>
            </v:shapetype>
            <v:shape id="Text Box 11" o:spid="_x0000_s1032" type="#_x0000_t202" alt="&quot;&quot;" style="position:absolute;left:0;text-align:left;margin-left:395.9pt;margin-top:-1.45pt;width:17.6pt;height:16.2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DWxllGQCAAA6BQAADgAAAAAAAAAAAAAAAAAuAgAA&#13;&#10;ZHJzL2Uyb0RvYy54bWxQSwECLQAUAAYACAAAACEAk64Mi+IAAAAOAQAADwAAAAAAAAAAAAAAAAC+&#13;&#10;BAAAZHJzL2Rvd25yZXYueG1sUEsFBgAAAAAEAAQA8wAAAM0FAAAAAA==&#13;&#10;" filled="f" stroked="f">
              <v:textbox>
                <w:txbxContent>
                  <w:p w14:paraId="5595C59E" w14:textId="77777777" w:rsidR="00061892" w:rsidRPr="00E27E7D" w:rsidRDefault="00061892"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37776" w14:textId="77777777" w:rsidR="008C1AD8" w:rsidRPr="000D565D" w:rsidRDefault="008C1AD8" w:rsidP="000D565D">
    <w:pPr>
      <w:pStyle w:val="Footer"/>
      <w:tabs>
        <w:tab w:val="clear" w:pos="9026"/>
        <w:tab w:val="left" w:pos="5812"/>
      </w:tabs>
      <w:ind w:right="3395"/>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4D571" w14:textId="77777777" w:rsidR="008C1AD8" w:rsidRPr="00417E97" w:rsidRDefault="008C1AD8" w:rsidP="00417E97">
    <w:pPr>
      <w:pStyle w:val="Footer"/>
      <w:tabs>
        <w:tab w:val="clear" w:pos="9026"/>
        <w:tab w:val="left" w:pos="5812"/>
      </w:tabs>
      <w:ind w:right="3395"/>
      <w:jc w:val="right"/>
    </w:pPr>
    <w:r>
      <w:rPr>
        <w:noProof/>
        <w:lang w:val="en-US" w:eastAsia="en-US"/>
      </w:rPr>
      <w:drawing>
        <wp:anchor distT="0" distB="0" distL="114300" distR="114300" simplePos="0" relativeHeight="251730944" behindDoc="0" locked="0" layoutInCell="1" allowOverlap="1" wp14:anchorId="1D360613" wp14:editId="3C93C9E4">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lang w:val="en-US" w:eastAsia="en-US"/>
      </w:rPr>
      <w:drawing>
        <wp:anchor distT="0" distB="0" distL="114300" distR="114300" simplePos="0" relativeHeight="251729920" behindDoc="0" locked="0" layoutInCell="1" allowOverlap="1" wp14:anchorId="0CB4F225" wp14:editId="14BA1F67">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mc:AlternateContent>
        <mc:Choice Requires="wps">
          <w:drawing>
            <wp:anchor distT="0" distB="0" distL="114300" distR="114300" simplePos="0" relativeHeight="251731968" behindDoc="0" locked="0" layoutInCell="1" allowOverlap="1" wp14:anchorId="43538178" wp14:editId="759AA445">
              <wp:simplePos x="0" y="0"/>
              <wp:positionH relativeFrom="column">
                <wp:posOffset>5027930</wp:posOffset>
              </wp:positionH>
              <wp:positionV relativeFrom="paragraph">
                <wp:posOffset>-18415</wp:posOffset>
              </wp:positionV>
              <wp:extent cx="223520" cy="205740"/>
              <wp:effectExtent l="0" t="0" r="0" b="0"/>
              <wp:wrapThrough wrapText="bothSides">
                <wp:wrapPolygon edited="0">
                  <wp:start x="2455" y="0"/>
                  <wp:lineTo x="2455" y="18667"/>
                  <wp:lineTo x="17182" y="18667"/>
                  <wp:lineTo x="17182" y="0"/>
                  <wp:lineTo x="2455" y="0"/>
                </wp:wrapPolygon>
              </wp:wrapThrough>
              <wp:docPr id="680332184" name="Text Box 6803321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1FFECC" w14:textId="77777777" w:rsidR="008C1AD8" w:rsidRPr="00E27E7D" w:rsidRDefault="008C1AD8" w:rsidP="00417E97">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538178" id="_x0000_t202" coordsize="21600,21600" o:spt="202" path="m,l,21600r21600,l21600,xe">
              <v:stroke joinstyle="miter"/>
              <v:path gradientshapeok="t" o:connecttype="rect"/>
            </v:shapetype>
            <v:shape id="Text Box 680332184" o:spid="_x0000_s1033" type="#_x0000_t202" alt="&quot;&quot;" style="position:absolute;left:0;text-align:left;margin-left:395.9pt;margin-top:-1.45pt;width:17.6pt;height:16.2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" filled="f" stroked="f">
              <v:textbox>
                <w:txbxContent>
                  <w:p w14:paraId="351FFECC" w14:textId="77777777" w:rsidR="008C1AD8" w:rsidRPr="00E27E7D" w:rsidRDefault="008C1AD8" w:rsidP="00417E97">
                    <w:pPr>
                      <w:spacing w:before="0" w:after="0" w:line="240" w:lineRule="auto"/>
                      <w:rPr>
                        <w:sz w:val="16"/>
                        <w:szCs w:val="16"/>
                      </w:rPr>
                    </w:pPr>
                    <w:r w:rsidRPr="00E27E7D">
                      <w:rPr>
                        <w:sz w:val="16"/>
                        <w:szCs w:val="16"/>
                      </w:rPr>
                      <w:t>&amp;</w:t>
                    </w:r>
                  </w:p>
                </w:txbxContent>
              </v:textbox>
              <w10:wrap type="through"/>
            </v:shape>
          </w:pict>
        </mc:Fallback>
      </mc:AlternateContent>
    </w:r>
    <w:r>
      <w:fldChar w:fldCharType="begin"/>
    </w:r>
    <w:r>
      <w:instrText xml:space="preserve"> PAGE </w:instrText>
    </w:r>
    <w:r>
      <w:fldChar w:fldCharType="separate"/>
    </w:r>
    <w:r>
      <w:t>2-1</w:t>
    </w:r>
    <w:r>
      <w:rPr>
        <w:noProof/>
      </w:rPr>
      <w:fldChar w:fldCharType="end"/>
    </w:r>
    <w:r>
      <w:rPr>
        <w:noProof/>
      </w:rPr>
      <w:t xml:space="preserve"> </w:t>
    </w:r>
    <w:r>
      <w: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D93CB" w14:textId="77777777" w:rsidR="008C1AD8" w:rsidRPr="00417E97" w:rsidRDefault="008C1AD8" w:rsidP="006D7907">
    <w:pPr>
      <w:pStyle w:val="Footer"/>
      <w:tabs>
        <w:tab w:val="clear" w:pos="9026"/>
        <w:tab w:val="left" w:pos="6946"/>
      </w:tabs>
      <w:ind w:right="2297"/>
      <w:jc w:val="right"/>
    </w:pPr>
    <w:r>
      <w:rPr>
        <w:noProof/>
        <w:lang w:val="en-US" w:eastAsia="en-US"/>
      </w:rPr>
      <mc:AlternateContent>
        <mc:Choice Requires="wps">
          <w:drawing>
            <wp:anchor distT="0" distB="0" distL="114300" distR="114300" simplePos="0" relativeHeight="251789312" behindDoc="0" locked="0" layoutInCell="1" allowOverlap="1" wp14:anchorId="489CD670" wp14:editId="43DB6BC4">
              <wp:simplePos x="0" y="0"/>
              <wp:positionH relativeFrom="column">
                <wp:posOffset>7929880</wp:posOffset>
              </wp:positionH>
              <wp:positionV relativeFrom="paragraph">
                <wp:posOffset>-24765</wp:posOffset>
              </wp:positionV>
              <wp:extent cx="191770" cy="240030"/>
              <wp:effectExtent l="0" t="0" r="0" b="0"/>
              <wp:wrapThrough wrapText="bothSides">
                <wp:wrapPolygon edited="0">
                  <wp:start x="7152" y="1143"/>
                  <wp:lineTo x="7152" y="19429"/>
                  <wp:lineTo x="12874" y="19429"/>
                  <wp:lineTo x="12874" y="1143"/>
                  <wp:lineTo x="7152" y="1143"/>
                </wp:wrapPolygon>
              </wp:wrapThrough>
              <wp:docPr id="268461016" name="Text Box 2684610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1770" cy="24003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917C89" w14:textId="77777777" w:rsidR="008C1AD8" w:rsidRPr="00E27E7D" w:rsidRDefault="008C1AD8" w:rsidP="00EF15EA">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9CD670" id="_x0000_t202" coordsize="21600,21600" o:spt="202" path="m,l,21600r21600,l21600,xe">
              <v:stroke joinstyle="miter"/>
              <v:path gradientshapeok="t" o:connecttype="rect"/>
            </v:shapetype>
            <v:shape id="Text Box 268461016" o:spid="_x0000_s1034" type="#_x0000_t202" alt="&quot;&quot;" style="position:absolute;left:0;text-align:left;margin-left:624.4pt;margin-top:-1.95pt;width:15.1pt;height:18.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" filled="f" stroked="f">
              <v:textbox>
                <w:txbxContent>
                  <w:p w14:paraId="43917C89" w14:textId="77777777" w:rsidR="008C1AD8" w:rsidRPr="00E27E7D" w:rsidRDefault="008C1AD8" w:rsidP="00EF15EA">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86240" behindDoc="0" locked="0" layoutInCell="1" allowOverlap="1" wp14:anchorId="53C21951" wp14:editId="58520D78">
          <wp:simplePos x="0" y="0"/>
          <wp:positionH relativeFrom="column">
            <wp:posOffset>8129270</wp:posOffset>
          </wp:positionH>
          <wp:positionV relativeFrom="paragraph">
            <wp:posOffset>-19685</wp:posOffset>
          </wp:positionV>
          <wp:extent cx="933450" cy="213995"/>
          <wp:effectExtent l="0" t="0" r="6350" b="1905"/>
          <wp:wrapThrough wrapText="bothSides">
            <wp:wrapPolygon edited="0">
              <wp:start x="2645" y="0"/>
              <wp:lineTo x="0" y="8973"/>
              <wp:lineTo x="0" y="16665"/>
              <wp:lineTo x="3233" y="20510"/>
              <wp:lineTo x="5290" y="20510"/>
              <wp:lineTo x="21453" y="19228"/>
              <wp:lineTo x="21453" y="0"/>
              <wp:lineTo x="5290" y="0"/>
              <wp:lineTo x="2645" y="0"/>
            </wp:wrapPolygon>
          </wp:wrapThrough>
          <wp:docPr id="497" name="Picture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785216" behindDoc="0" locked="0" layoutInCell="1" allowOverlap="1" wp14:anchorId="5EDB94A6" wp14:editId="28E29F44">
          <wp:simplePos x="0" y="0"/>
          <wp:positionH relativeFrom="column">
            <wp:posOffset>6896735</wp:posOffset>
          </wp:positionH>
          <wp:positionV relativeFrom="paragraph">
            <wp:posOffset>28575</wp:posOffset>
          </wp:positionV>
          <wp:extent cx="1038225" cy="182245"/>
          <wp:effectExtent l="0" t="0" r="3175" b="0"/>
          <wp:wrapThrough wrapText="bothSides">
            <wp:wrapPolygon edited="0">
              <wp:start x="0" y="0"/>
              <wp:lineTo x="0" y="13547"/>
              <wp:lineTo x="10305" y="19568"/>
              <wp:lineTo x="21402" y="19568"/>
              <wp:lineTo x="21402" y="0"/>
              <wp:lineTo x="0" y="0"/>
            </wp:wrapPolygon>
          </wp:wrapThrough>
          <wp:docPr id="498" name="Picture 4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E628D"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90336" behindDoc="0" locked="0" layoutInCell="1" allowOverlap="1" wp14:anchorId="1904A9F4" wp14:editId="62F8BC99">
              <wp:simplePos x="0" y="0"/>
              <wp:positionH relativeFrom="column">
                <wp:posOffset>5050388</wp:posOffset>
              </wp:positionH>
              <wp:positionV relativeFrom="paragraph">
                <wp:posOffset>-18531</wp:posOffset>
              </wp:positionV>
              <wp:extent cx="223520" cy="205740"/>
              <wp:effectExtent l="0" t="0" r="0" b="0"/>
              <wp:wrapThrough wrapText="bothSides">
                <wp:wrapPolygon edited="0">
                  <wp:start x="2455" y="0"/>
                  <wp:lineTo x="2455" y="18667"/>
                  <wp:lineTo x="17182" y="18667"/>
                  <wp:lineTo x="17182" y="0"/>
                  <wp:lineTo x="2455" y="0"/>
                </wp:wrapPolygon>
              </wp:wrapThrough>
              <wp:docPr id="1298395227" name="Text Box 1298395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93A0CF" w14:textId="77777777" w:rsidR="008C1AD8" w:rsidRPr="00E27E7D" w:rsidRDefault="008C1AD8" w:rsidP="00EF15EA">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904A9F4" id="_x0000_t202" coordsize="21600,21600" o:spt="202" path="m,l,21600r21600,l21600,xe">
              <v:stroke joinstyle="miter"/>
              <v:path gradientshapeok="t" o:connecttype="rect"/>
            </v:shapetype>
            <v:shape id="Text Box 1298395227" o:spid="_x0000_s1035" type="#_x0000_t202" alt="&quot;&quot;" style="position:absolute;left:0;text-align:left;margin-left:397.65pt;margin-top:-1.45pt;width:17.6pt;height:16.2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" filled="f" stroked="f">
              <v:textbox>
                <w:txbxContent>
                  <w:p w14:paraId="6293A0CF" w14:textId="77777777" w:rsidR="008C1AD8" w:rsidRPr="00E27E7D" w:rsidRDefault="008C1AD8" w:rsidP="00EF15EA">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84192" behindDoc="0" locked="0" layoutInCell="1" allowOverlap="1" wp14:anchorId="7B6813F1" wp14:editId="62D20700">
          <wp:simplePos x="0" y="0"/>
          <wp:positionH relativeFrom="column">
            <wp:posOffset>5238750</wp:posOffset>
          </wp:positionH>
          <wp:positionV relativeFrom="paragraph">
            <wp:posOffset>-19685</wp:posOffset>
          </wp:positionV>
          <wp:extent cx="933450" cy="213995"/>
          <wp:effectExtent l="0" t="0" r="6350" b="0"/>
          <wp:wrapThrough wrapText="bothSides">
            <wp:wrapPolygon edited="0">
              <wp:start x="2351" y="0"/>
              <wp:lineTo x="0" y="10255"/>
              <wp:lineTo x="0" y="17947"/>
              <wp:lineTo x="2351" y="17947"/>
              <wp:lineTo x="5878" y="17947"/>
              <wp:lineTo x="21159" y="17947"/>
              <wp:lineTo x="21159" y="2564"/>
              <wp:lineTo x="18220" y="0"/>
              <wp:lineTo x="2351" y="0"/>
            </wp:wrapPolygon>
          </wp:wrapThrough>
          <wp:docPr id="491" name="Pictur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Pr>
        <w:noProof/>
        <w:lang w:val="en-US" w:eastAsia="en-US"/>
      </w:rPr>
      <w:drawing>
        <wp:anchor distT="0" distB="0" distL="114300" distR="114300" simplePos="0" relativeHeight="251783168" behindDoc="0" locked="0" layoutInCell="1" allowOverlap="1" wp14:anchorId="2E636DFB" wp14:editId="377F0E00">
          <wp:simplePos x="0" y="0"/>
          <wp:positionH relativeFrom="column">
            <wp:posOffset>4006215</wp:posOffset>
          </wp:positionH>
          <wp:positionV relativeFrom="paragraph">
            <wp:posOffset>28575</wp:posOffset>
          </wp:positionV>
          <wp:extent cx="1038225" cy="182245"/>
          <wp:effectExtent l="0" t="0" r="3175" b="0"/>
          <wp:wrapThrough wrapText="bothSides">
            <wp:wrapPolygon edited="0">
              <wp:start x="0" y="0"/>
              <wp:lineTo x="0" y="15052"/>
              <wp:lineTo x="9512" y="18063"/>
              <wp:lineTo x="21138" y="18063"/>
              <wp:lineTo x="21138" y="0"/>
              <wp:lineTo x="0" y="0"/>
            </wp:wrapPolygon>
          </wp:wrapThrough>
          <wp:docPr id="492" name="Picture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EE12B" w14:textId="77777777" w:rsidR="008C1AD8" w:rsidRPr="00417E97" w:rsidRDefault="008C1AD8" w:rsidP="00417E97">
    <w:pPr>
      <w:pStyle w:val="Footer"/>
      <w:tabs>
        <w:tab w:val="clear" w:pos="9026"/>
        <w:tab w:val="left" w:pos="5812"/>
      </w:tabs>
      <w:ind w:right="3395"/>
      <w:jc w:val="right"/>
    </w:pPr>
    <w:r>
      <w:rPr>
        <w:noProof/>
        <w:lang w:val="en-US" w:eastAsia="en-US"/>
      </w:rPr>
      <mc:AlternateContent>
        <mc:Choice Requires="wps">
          <w:drawing>
            <wp:anchor distT="0" distB="0" distL="114300" distR="114300" simplePos="0" relativeHeight="251791360" behindDoc="0" locked="0" layoutInCell="1" allowOverlap="1" wp14:anchorId="2048EB58" wp14:editId="2879648A">
              <wp:simplePos x="0" y="0"/>
              <wp:positionH relativeFrom="column">
                <wp:posOffset>7913125</wp:posOffset>
              </wp:positionH>
              <wp:positionV relativeFrom="paragraph">
                <wp:posOffset>-20516</wp:posOffset>
              </wp:positionV>
              <wp:extent cx="223520" cy="205740"/>
              <wp:effectExtent l="0" t="0" r="0" b="0"/>
              <wp:wrapThrough wrapText="bothSides">
                <wp:wrapPolygon edited="0">
                  <wp:start x="2455" y="0"/>
                  <wp:lineTo x="2455" y="18667"/>
                  <wp:lineTo x="17182" y="18667"/>
                  <wp:lineTo x="17182" y="0"/>
                  <wp:lineTo x="2455" y="0"/>
                </wp:wrapPolygon>
              </wp:wrapThrough>
              <wp:docPr id="1022869292" name="Text Box 10228692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 cy="2057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D83DFD" w14:textId="77777777" w:rsidR="008C1AD8" w:rsidRPr="00E27E7D" w:rsidRDefault="008C1AD8" w:rsidP="00EF15EA">
                          <w:pPr>
                            <w:spacing w:before="0" w:after="0" w:line="240" w:lineRule="auto"/>
                            <w:rPr>
                              <w:sz w:val="16"/>
                              <w:szCs w:val="16"/>
                            </w:rPr>
                          </w:pPr>
                          <w:r w:rsidRPr="00E27E7D">
                            <w:rPr>
                              <w:sz w:val="16"/>
                              <w:szCs w:val="16"/>
                            </w:rPr>
                            <w:t>&amp;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48EB58" id="_x0000_t202" coordsize="21600,21600" o:spt="202" path="m,l,21600r21600,l21600,xe">
              <v:stroke joinstyle="miter"/>
              <v:path gradientshapeok="t" o:connecttype="rect"/>
            </v:shapetype>
            <v:shape id="Text Box 1022869292" o:spid="_x0000_s1036" type="#_x0000_t202" alt="&quot;&quot;" style="position:absolute;left:0;text-align:left;margin-left:623.1pt;margin-top:-1.6pt;width:17.6pt;height:16.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" filled="f" stroked="f">
              <v:textbox>
                <w:txbxContent>
                  <w:p w14:paraId="44D83DFD" w14:textId="77777777" w:rsidR="008C1AD8" w:rsidRPr="00E27E7D" w:rsidRDefault="008C1AD8" w:rsidP="00EF15EA">
                    <w:pPr>
                      <w:spacing w:before="0" w:after="0" w:line="240" w:lineRule="auto"/>
                      <w:rPr>
                        <w:sz w:val="16"/>
                        <w:szCs w:val="16"/>
                      </w:rPr>
                    </w:pPr>
                    <w:r w:rsidRPr="00E27E7D">
                      <w:rPr>
                        <w:sz w:val="16"/>
                        <w:szCs w:val="16"/>
                      </w:rPr>
                      <w:t>&amp;</w:t>
                    </w:r>
                  </w:p>
                </w:txbxContent>
              </v:textbox>
              <w10:wrap type="through"/>
            </v:shape>
          </w:pict>
        </mc:Fallback>
      </mc:AlternateContent>
    </w:r>
    <w:r>
      <w:rPr>
        <w:noProof/>
        <w:lang w:val="en-US" w:eastAsia="en-US"/>
      </w:rPr>
      <w:drawing>
        <wp:anchor distT="0" distB="0" distL="114300" distR="114300" simplePos="0" relativeHeight="251787264" behindDoc="0" locked="0" layoutInCell="1" allowOverlap="1" wp14:anchorId="5412C63E" wp14:editId="6F4C16A1">
          <wp:simplePos x="0" y="0"/>
          <wp:positionH relativeFrom="column">
            <wp:posOffset>6884035</wp:posOffset>
          </wp:positionH>
          <wp:positionV relativeFrom="paragraph">
            <wp:posOffset>28575</wp:posOffset>
          </wp:positionV>
          <wp:extent cx="1038225" cy="182245"/>
          <wp:effectExtent l="0" t="0" r="3175" b="0"/>
          <wp:wrapThrough wrapText="bothSides">
            <wp:wrapPolygon edited="0">
              <wp:start x="0" y="0"/>
              <wp:lineTo x="0" y="13547"/>
              <wp:lineTo x="10305" y="19568"/>
              <wp:lineTo x="21402" y="19568"/>
              <wp:lineTo x="21402" y="0"/>
              <wp:lineTo x="0" y="0"/>
            </wp:wrapPolygon>
          </wp:wrapThrough>
          <wp:docPr id="481" name="Picture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8225" cy="182245"/>
                  </a:xfrm>
                  <a:prstGeom prst="rect">
                    <a:avLst/>
                  </a:prstGeom>
                  <a:noFill/>
                </pic:spPr>
              </pic:pic>
            </a:graphicData>
          </a:graphic>
        </wp:anchor>
      </w:drawing>
    </w:r>
    <w:r>
      <w:rPr>
        <w:noProof/>
        <w:lang w:val="en-US" w:eastAsia="en-US"/>
      </w:rPr>
      <w:drawing>
        <wp:anchor distT="0" distB="0" distL="114300" distR="114300" simplePos="0" relativeHeight="251788288" behindDoc="0" locked="0" layoutInCell="1" allowOverlap="1" wp14:anchorId="550D2416" wp14:editId="742E34BC">
          <wp:simplePos x="0" y="0"/>
          <wp:positionH relativeFrom="column">
            <wp:posOffset>8116715</wp:posOffset>
          </wp:positionH>
          <wp:positionV relativeFrom="paragraph">
            <wp:posOffset>-19685</wp:posOffset>
          </wp:positionV>
          <wp:extent cx="933450" cy="213995"/>
          <wp:effectExtent l="0" t="0" r="6350" b="1905"/>
          <wp:wrapThrough wrapText="bothSides">
            <wp:wrapPolygon edited="0">
              <wp:start x="2645" y="0"/>
              <wp:lineTo x="0" y="8973"/>
              <wp:lineTo x="0" y="16665"/>
              <wp:lineTo x="3233" y="20510"/>
              <wp:lineTo x="5290" y="20510"/>
              <wp:lineTo x="21453" y="19228"/>
              <wp:lineTo x="21453" y="0"/>
              <wp:lineTo x="5290" y="0"/>
              <wp:lineTo x="2645" y="0"/>
            </wp:wrapPolygon>
          </wp:wrapThrough>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933450" cy="213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fldChar w:fldCharType="begin"/>
    </w:r>
    <w:r>
      <w:instrText xml:space="preserve"> PAGE </w:instrText>
    </w:r>
    <w:r>
      <w:fldChar w:fldCharType="separate"/>
    </w:r>
    <w:r>
      <w:t>2-1</w:t>
    </w:r>
    <w:r>
      <w:rPr>
        <w:noProof/>
      </w:rPr>
      <w:fldChar w:fldCharType="end"/>
    </w:r>
    <w:r>
      <w:rPr>
        <w:noProof/>
      </w:rPr>
      <w:t xml:space="preserve"> </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DE7103" w14:textId="77777777" w:rsidR="000A24F3" w:rsidRDefault="000A24F3" w:rsidP="00290626">
      <w:r>
        <w:separator/>
      </w:r>
    </w:p>
  </w:footnote>
  <w:footnote w:type="continuationSeparator" w:id="0">
    <w:p w14:paraId="70ACAF3A" w14:textId="77777777" w:rsidR="000A24F3" w:rsidRDefault="000A24F3" w:rsidP="002906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D5EFF" w14:textId="77777777" w:rsidR="00FF6F90" w:rsidRDefault="000A24F3">
    <w:pPr>
      <w:pStyle w:val="Header"/>
    </w:pPr>
    <w:r>
      <w:rPr>
        <w:noProof/>
        <w:lang w:eastAsia="en-US"/>
      </w:rPr>
      <w:pict w14:anchorId="48A25C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41" type="#_x0000_t136" alt="" style="position:absolute;margin-left:0;margin-top:0;width:509.25pt;height:169.75pt;rotation:315;z-index:-251603968;mso-wrap-edited:f;mso-width-percent:0;mso-height-percent:0;mso-position-horizontal:center;mso-position-horizontal-relative:margin;mso-position-vertical:center;mso-position-vertical-relative:margin;mso-width-percent:0;mso-height-percent:0" wrapcoords="21377 5447 14251 5447 14219 5734 14855 9653 14824 13762 11865 5734 11643 5161 11452 5925 10434 11564 8493 6690 7889 5256 7730 5543 5121 5543 4994 5638 5630 7932 5598 9844 3658 6021 3212 5638 2735 5447 127 5543 31 5925 572 7932 540 14145 445 15961 286 16343 477 16916 508 17012 2831 16725 3340 16247 3817 15483 4199 14431 4962 16534 5503 17490 5789 16916 6871 16725 6966 16343 6330 14336 6298 12138 7030 14145 8461 17203 8589 16821 8716 17012 9098 16725 9193 16534 9416 17012 10720 16916 10784 16725 10529 13953 10974 13189 12024 16152 12692 17490 12979 16916 15778 16821 16160 16725 16160 16438 15555 13953 15555 11660 16192 11564 16923 13284 17082 12998 17082 12042 18546 16247 19150 17585 19468 16916 20550 16725 20613 16438 19977 14240 20009 7837 20295 6594 21122 8123 21409 8410 21472 8028 21504 5925 21377 5447" fillcolor="silver" stroked="f">
          <v:textpath style="font-family:&quot;Palatino Linotype&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E625A" w14:textId="77777777" w:rsidR="008C1AD8" w:rsidRDefault="008C1AD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C1AA0" w14:textId="77777777" w:rsidR="008C1AD8" w:rsidRDefault="008C1AD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ADBF8" w14:textId="77777777" w:rsidR="008C1AD8" w:rsidRDefault="008C1AD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3B5CF" w14:textId="77777777" w:rsidR="008C1AD8" w:rsidRDefault="000A24F3">
    <w:pPr>
      <w:pStyle w:val="Header"/>
    </w:pPr>
    <w:r>
      <w:rPr>
        <w:noProof/>
      </w:rPr>
      <w:pict w14:anchorId="291F542F">
        <v:shapetype id="_x0000_t202" coordsize="21600,21600" o:spt="202" path="m,l,21600r21600,l21600,xe">
          <v:stroke joinstyle="miter"/>
          <v:path gradientshapeok="t" o:connecttype="rect"/>
        </v:shapetype>
        <v:shape id="Text Box 2" o:spid="_x0000_s1038" type="#_x0000_t202" style="position:absolute;margin-left:0;margin-top:0;width:509.25pt;height:169.75pt;z-index:-2515619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" o:allowincell="f" filled="f" stroked="f">
          <o:lock v:ext="edit" aspectratio="t" verticies="t" text="t" shapetype="t"/>
          <v:textbox>
            <w:txbxContent/>
          </v:textbox>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BAF00" w14:textId="77777777" w:rsidR="008C1AD8" w:rsidRDefault="000A24F3">
    <w:pPr>
      <w:pStyle w:val="Header"/>
    </w:pPr>
    <w:r>
      <w:rPr>
        <w:noProof/>
      </w:rPr>
      <w:pict w14:anchorId="2E138ADD">
        <v:shapetype id="_x0000_t202" coordsize="21600,21600" o:spt="202" path="m,l,21600r21600,l21600,xe">
          <v:stroke joinstyle="miter"/>
          <v:path gradientshapeok="t" o:connecttype="rect"/>
        </v:shapetype>
        <v:shape id="_x0000_s1037" type="#_x0000_t202" style="position:absolute;margin-left:0;margin-top:0;width:509.25pt;height:169.75pt;rotation:-45;z-index:-2515630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" o:allowincell="f" filled="f" stroked="f">
          <o:lock v:ext="edit" aspectratio="t" verticies="t" text="t" shapetype="t"/>
          <v:textbox>
            <w:txbxContent/>
          </v:textbox>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459A0" w14:textId="77777777" w:rsidR="008C1AD8" w:rsidRDefault="008C1AD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C25A0" w14:textId="77777777" w:rsidR="008C1AD8" w:rsidRDefault="008C1AD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5AE73" w14:textId="77777777" w:rsidR="008C1AD8" w:rsidRDefault="008C1AD8" w:rsidP="00290626">
    <w:pPr>
      <w:pStyle w:val="Reportheader"/>
    </w:pPr>
    <w:r>
      <w:t>draft NWGGA Strategic assessment REPORT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3792" w14:textId="77777777" w:rsidR="000B173B" w:rsidRDefault="000A24F3">
    <w:pPr>
      <w:pStyle w:val="Header"/>
    </w:pPr>
    <w:r>
      <w:rPr>
        <w:noProof/>
        <w:lang w:eastAsia="en-US"/>
      </w:rPr>
      <w:pict w14:anchorId="3F92C4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alt="" style="position:absolute;margin-left:0;margin-top:0;width:509.25pt;height:169.75pt;rotation:315;z-index:-251493376;mso-wrap-edited:f;mso-width-percent:0;mso-height-percent:0;mso-position-horizontal:center;mso-position-horizontal-relative:margin;mso-position-vertical:center;mso-position-vertical-relative:margin;mso-width-percent:0;mso-height-percent:0" wrapcoords="21377 5447 14251 5447 14219 5734 14855 9653 14824 13762 11865 5734 11643 5161 11452 5925 10434 11564 8493 6690 7889 5256 7730 5543 5121 5543 4994 5638 5630 7932 5598 9844 3658 6021 3212 5638 2735 5447 127 5543 31 5925 572 7932 540 14145 445 15961 286 16343 477 16916 508 17012 2831 16725 3340 16247 3817 15483 4199 14431 4962 16534 5503 17490 5789 16916 6871 16725 6966 16343 6330 14336 6298 12138 7030 14145 8461 17203 8589 16821 8716 17012 9098 16725 9193 16534 9416 17012 10720 16916 10784 16725 10529 13953 10974 13189 12024 16152 12692 17490 12979 16916 15778 16821 16160 16725 16160 16438 15555 13953 15555 11660 16192 11564 16923 13284 17082 12998 17082 12042 18546 16247 19150 17585 19468 16916 20550 16725 20613 16438 19977 14240 20009 7837 20295 6594 21122 8123 21409 8410 21472 8028 21504 5925 21377 5447" fillcolor="silver" stroked="f">
          <v:textpath style="font-family:&quot;Palatino Linotype&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3CE25" w14:textId="77777777" w:rsidR="000B173B" w:rsidRPr="003A3031" w:rsidRDefault="000B173B" w:rsidP="00692F2A">
    <w:pPr>
      <w:pStyle w:val="Report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9F344" w14:textId="607BED68" w:rsidR="00FF6F90" w:rsidRDefault="00FF6F90" w:rsidP="008F4C3D">
    <w:pPr>
      <w:pStyle w:val="Reportheader"/>
      <w:pBdr>
        <w:bottom w:val="none" w:sz="0" w:space="0" w:color="auto"/>
      </w:pBd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35CB4" w14:textId="77777777" w:rsidR="000B173B" w:rsidRDefault="000A24F3">
    <w:pPr>
      <w:pStyle w:val="Header"/>
    </w:pPr>
    <w:r>
      <w:rPr>
        <w:noProof/>
      </w:rPr>
      <w:pict w14:anchorId="64A0C75E">
        <v:shapetype id="_x0000_t202" coordsize="21600,21600" o:spt="202" path="m,l,21600r21600,l21600,xe">
          <v:stroke joinstyle="miter"/>
          <v:path gradientshapeok="t" o:connecttype="rect"/>
        </v:shapetype>
        <v:shape id="PowerPlusWaterMarkObject1402913152" o:spid="_x0000_s1035" type="#_x0000_t202" style="position:absolute;margin-left:0;margin-top:0;width:509.25pt;height:169.75pt;rotation:-45;z-index:-2514944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" o:allowincell="f" filled="f" stroked="f">
          <v:stroke joinstyle="round"/>
          <o:lock v:ext="edit" rotation="t" aspectratio="t" verticies="t" adjusthandles="t" grouping="t" shapetype="t"/>
          <v:textbox>
            <w:txbxContent>
              <w:p w14:paraId="28ED78FC"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24E08" w14:textId="77777777" w:rsidR="000B173B" w:rsidRDefault="000A24F3">
    <w:pPr>
      <w:pStyle w:val="Header"/>
    </w:pPr>
    <w:r>
      <w:rPr>
        <w:noProof/>
      </w:rPr>
      <w:pict w14:anchorId="63EF0FE7">
        <v:shapetype id="_x0000_t202" coordsize="21600,21600" o:spt="202" path="m,l,21600r21600,l21600,xe">
          <v:stroke joinstyle="miter"/>
          <v:path gradientshapeok="t" o:connecttype="rect"/>
        </v:shapetype>
        <v:shape id="PowerPlusWaterMarkObject1402913156" o:spid="_x0000_s1034" type="#_x0000_t202" style="position:absolute;margin-left:0;margin-top:0;width:509.25pt;height:169.75pt;rotation:-45;z-index:-2514913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" o:allowincell="f" filled="f" stroked="f">
          <v:stroke joinstyle="round"/>
          <o:lock v:ext="edit" rotation="t" aspectratio="t" verticies="t" adjusthandles="t" grouping="t" shapetype="t"/>
          <v:textbox>
            <w:txbxContent>
              <w:p w14:paraId="77881A4B"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3F116" w14:textId="77777777" w:rsidR="000B173B" w:rsidRPr="003A3031" w:rsidRDefault="000B173B" w:rsidP="003A3031">
    <w:pPr>
      <w:pStyle w:val="Reportheader"/>
    </w:pPr>
    <w:r>
      <w:t>draft NWGGA Strategic assessment report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E097C" w14:textId="77777777" w:rsidR="000B173B" w:rsidRDefault="000A24F3">
    <w:pPr>
      <w:pStyle w:val="Header"/>
    </w:pPr>
    <w:r>
      <w:rPr>
        <w:noProof/>
      </w:rPr>
      <w:pict w14:anchorId="7193CB52">
        <v:shapetype id="_x0000_t202" coordsize="21600,21600" o:spt="202" path="m,l,21600r21600,l21600,xe">
          <v:stroke joinstyle="miter"/>
          <v:path gradientshapeok="t" o:connecttype="rect"/>
        </v:shapetype>
        <v:shape id="PowerPlusWaterMarkObject1402913155" o:spid="_x0000_s1033" type="#_x0000_t202" style="position:absolute;margin-left:0;margin-top:0;width:509.25pt;height:169.75pt;rotation:-45;z-index:-2514923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" o:allowincell="f" filled="f" stroked="f">
          <v:stroke joinstyle="round"/>
          <o:lock v:ext="edit" rotation="t" aspectratio="t" verticies="t" adjusthandles="t" grouping="t" shapetype="t"/>
          <v:textbox>
            <w:txbxContent>
              <w:p w14:paraId="70A92379"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C27BE" w14:textId="77777777" w:rsidR="000B173B" w:rsidRDefault="000A24F3">
    <w:pPr>
      <w:pStyle w:val="Header"/>
    </w:pPr>
    <w:r>
      <w:rPr>
        <w:noProof/>
      </w:rPr>
      <w:pict w14:anchorId="00A0E15F">
        <v:shapetype id="_x0000_t202" coordsize="21600,21600" o:spt="202" path="m,l,21600r21600,l21600,xe">
          <v:stroke joinstyle="miter"/>
          <v:path gradientshapeok="t" o:connecttype="rect"/>
        </v:shapetype>
        <v:shape id="PowerPlusWaterMarkObject1402913159" o:spid="_x0000_s1032" type="#_x0000_t202" style="position:absolute;margin-left:0;margin-top:0;width:509.25pt;height:169.75pt;rotation:-45;z-index:-2514749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" o:allowincell="f" filled="f" stroked="f">
          <v:stroke joinstyle="round"/>
          <o:lock v:ext="edit" rotation="t" aspectratio="t" verticies="t" adjusthandles="t" grouping="t" shapetype="t"/>
          <v:textbox>
            <w:txbxContent>
              <w:p w14:paraId="01DE906E"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BC3D5" w14:textId="77777777" w:rsidR="000B173B" w:rsidRDefault="000A24F3">
    <w:pPr>
      <w:pStyle w:val="Header"/>
    </w:pPr>
    <w:r>
      <w:rPr>
        <w:noProof/>
      </w:rPr>
      <w:pict w14:anchorId="12F8FC94">
        <v:shapetype id="_x0000_t202" coordsize="21600,21600" o:spt="202" path="m,l,21600r21600,l21600,xe">
          <v:stroke joinstyle="miter"/>
          <v:path gradientshapeok="t" o:connecttype="rect"/>
        </v:shapetype>
        <v:shape id="PowerPlusWaterMarkObject1402913158" o:spid="_x0000_s1031" type="#_x0000_t202" style="position:absolute;margin-left:0;margin-top:0;width:509.25pt;height:169.75pt;rotation:-45;z-index:-2514759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" o:allowincell="f" filled="f" stroked="f">
          <v:stroke joinstyle="round"/>
          <o:lock v:ext="edit" rotation="t" aspectratio="t" verticies="t" adjusthandles="t" grouping="t" shapetype="t"/>
          <v:textbox>
            <w:txbxContent>
              <w:p w14:paraId="7CB117FF"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29856" w14:textId="77777777" w:rsidR="000B173B" w:rsidRDefault="000A24F3">
    <w:pPr>
      <w:pStyle w:val="Header"/>
    </w:pPr>
    <w:r>
      <w:rPr>
        <w:noProof/>
      </w:rPr>
      <w:pict w14:anchorId="50614C86">
        <v:shapetype id="_x0000_t202" coordsize="21600,21600" o:spt="202" path="m,l,21600r21600,l21600,xe">
          <v:stroke joinstyle="miter"/>
          <v:path gradientshapeok="t" o:connecttype="rect"/>
        </v:shapetype>
        <v:shape id="PowerPlusWaterMarkObject1402913162" o:spid="_x0000_s1030" type="#_x0000_t202" style="position:absolute;margin-left:0;margin-top:0;width:509.25pt;height:169.75pt;rotation:-45;z-index:-2514728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" o:allowincell="f" filled="f" stroked="f">
          <v:stroke joinstyle="round"/>
          <o:lock v:ext="edit" rotation="t" aspectratio="t" verticies="t" adjusthandles="t" grouping="t" shapetype="t"/>
          <v:textbox>
            <w:txbxContent>
              <w:p w14:paraId="61C6B9D3"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47389" w14:textId="77777777" w:rsidR="000B173B" w:rsidRDefault="000B173B" w:rsidP="000F624C">
    <w:pPr>
      <w:pStyle w:val="Reportheader"/>
      <w:tabs>
        <w:tab w:val="clear" w:pos="9026"/>
        <w:tab w:val="left" w:pos="8647"/>
        <w:tab w:val="right" w:pos="9214"/>
        <w:tab w:val="right" w:pos="14317"/>
      </w:tabs>
    </w:pPr>
    <w:r>
      <w:rPr>
        <w:noProof/>
      </w:rPr>
      <mc:AlternateContent>
        <mc:Choice Requires="wps">
          <w:drawing>
            <wp:anchor distT="0" distB="0" distL="114300" distR="114300" simplePos="0" relativeHeight="251839488" behindDoc="1" locked="0" layoutInCell="1" allowOverlap="1" wp14:anchorId="704AA637" wp14:editId="7AD7722E">
              <wp:simplePos x="0" y="0"/>
              <wp:positionH relativeFrom="margin">
                <wp:align>center</wp:align>
              </wp:positionH>
              <wp:positionV relativeFrom="margin">
                <wp:align>center</wp:align>
              </wp:positionV>
              <wp:extent cx="6467475" cy="2155825"/>
              <wp:effectExtent l="0" t="0" r="0" b="0"/>
              <wp:wrapNone/>
              <wp:docPr id="52"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67475" cy="215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4625DA" w14:textId="77777777" w:rsidR="000B173B" w:rsidRDefault="000B17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4AA637" id="_x0000_t202" coordsize="21600,21600" o:spt="202" path="m,l,21600r21600,l21600,xe">
              <v:stroke joinstyle="miter"/>
              <v:path gradientshapeok="t" o:connecttype="rect"/>
            </v:shapetype>
            <v:shape id="WordArt 1" o:spid="_x0000_s1060" type="#_x0000_t202" style="position:absolute;left:0;text-align:left;margin-left:0;margin-top:0;width:509.25pt;height:169.75pt;z-index:-2514769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" filled="f" stroked="f">
              <v:stroke joinstyle="round"/>
              <v:path arrowok="t"/>
              <v:textbox>
                <w:txbxContent>
                  <w:p w14:paraId="174625DA" w14:textId="77777777" w:rsidR="000B173B" w:rsidRDefault="000B173B"/>
                </w:txbxContent>
              </v:textbox>
              <w10:wrap anchorx="margin" anchory="margin"/>
            </v:shape>
          </w:pict>
        </mc:Fallback>
      </mc:AlternateContent>
    </w:r>
    <w:r w:rsidRPr="00635589">
      <w:t xml:space="preserve"> </w:t>
    </w:r>
    <w:r>
      <w:t>draft NWGGA Strategic assessment report</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10A98" w14:textId="77777777" w:rsidR="000B173B" w:rsidRDefault="000A24F3">
    <w:pPr>
      <w:pStyle w:val="Header"/>
    </w:pPr>
    <w:r>
      <w:rPr>
        <w:noProof/>
      </w:rPr>
      <w:pict w14:anchorId="3ECB75A5">
        <v:shapetype id="_x0000_t202" coordsize="21600,21600" o:spt="202" path="m,l,21600r21600,l21600,xe">
          <v:stroke joinstyle="miter"/>
          <v:path gradientshapeok="t" o:connecttype="rect"/>
        </v:shapetype>
        <v:shape id="PowerPlusWaterMarkObject1402913161" o:spid="_x0000_s1029" type="#_x0000_t202" style="position:absolute;margin-left:0;margin-top:0;width:509.25pt;height:169.75pt;rotation:-45;z-index:-2514739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" o:allowincell="f" filled="f" stroked="f">
          <v:stroke joinstyle="round"/>
          <o:lock v:ext="edit" rotation="t" aspectratio="t" verticies="t" adjusthandles="t" grouping="t" shapetype="t"/>
          <v:textbox>
            <w:txbxContent>
              <w:p w14:paraId="2D430E06"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09298" w14:textId="77777777" w:rsidR="000B173B" w:rsidRDefault="000A24F3">
    <w:pPr>
      <w:pStyle w:val="Header"/>
    </w:pPr>
    <w:r>
      <w:rPr>
        <w:noProof/>
      </w:rPr>
      <w:pict w14:anchorId="7C2AC0F2">
        <v:shapetype id="_x0000_t202" coordsize="21600,21600" o:spt="202" path="m,l,21600r21600,l21600,xe">
          <v:stroke joinstyle="miter"/>
          <v:path gradientshapeok="t" o:connecttype="rect"/>
        </v:shapetype>
        <v:shape id="WordArt 6" o:spid="_x0000_s1028" type="#_x0000_t202" style="position:absolute;margin-left:0;margin-top:0;width:509.25pt;height:169.75pt;rotation:-45;z-index:-2514708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" o:allowincell="f" filled="f" stroked="f">
          <v:stroke joinstyle="round"/>
          <o:lock v:ext="edit" aspectratio="t" verticies="t" shapetype="t"/>
          <v:textbox>
            <w:txbxContent>
              <w:p w14:paraId="7596DA59" w14:textId="77777777" w:rsidR="000B173B" w:rsidRDefault="000B173B" w:rsidP="009541C2">
                <w:pPr>
                  <w:jc w:val="center"/>
                  <w:rPr>
                    <w:color w:val="C0C0C0"/>
                    <w:sz w:val="16"/>
                    <w:szCs w:val="16"/>
                    <w:lang w:val="en-GB"/>
                  </w:rPr>
                </w:pPr>
                <w:r>
                  <w:rPr>
                    <w:color w:val="C0C0C0"/>
                    <w:sz w:val="16"/>
                    <w:szCs w:val="16"/>
                    <w:lang w:val="en-GB"/>
                  </w:rPr>
                  <w:t>DRAFT</w:t>
                </w:r>
              </w:p>
            </w:txbxContent>
          </v:textbox>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9DD8C" w14:textId="77777777" w:rsidR="00FF6F90" w:rsidRDefault="000A24F3">
    <w:pPr>
      <w:pStyle w:val="Header"/>
    </w:pPr>
    <w:r>
      <w:rPr>
        <w:noProof/>
        <w:lang w:eastAsia="en-US"/>
      </w:rPr>
      <w:pict w14:anchorId="2C1B40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40" type="#_x0000_t136" alt="" style="position:absolute;margin-left:0;margin-top:0;width:509.25pt;height:169.75pt;rotation:315;z-index:-251602944;mso-wrap-edited:f;mso-width-percent:0;mso-height-percent:0;mso-position-horizontal:center;mso-position-horizontal-relative:margin;mso-position-vertical:center;mso-position-vertical-relative:margin;mso-width-percent:0;mso-height-percent:0" wrapcoords="21377 5447 14251 5447 14219 5734 14855 9653 14824 13762 11865 5734 11643 5161 11452 5925 10434 11564 8493 6690 7889 5256 7730 5543 5121 5543 4994 5638 5630 7932 5598 9844 3658 6021 3212 5638 2735 5447 127 5543 31 5925 572 7932 540 14145 445 15961 286 16343 477 16916 508 17012 2831 16725 3340 16247 3817 15483 4199 14431 4962 16534 5503 17490 5789 16916 6871 16725 6966 16343 6330 14336 6298 12138 7030 14145 8461 17203 8589 16821 8716 17012 9098 16725 9193 16534 9416 17012 10720 16916 10784 16725 10529 13953 10974 13189 12024 16152 12692 17490 12979 16916 15778 16821 16160 16725 16160 16438 15555 13953 15555 11660 16192 11564 16923 13284 17082 12998 17082 12042 18546 16247 19150 17585 19468 16916 20550 16725 20613 16438 19977 14240 20009 7837 20295 6594 21122 8123 21409 8410 21472 8028 21504 5925 21377 5447" fillcolor="silver" stroked="f">
          <v:textpath style="font-family:&quot;Palatino Linotype&quot;;font-size:1pt" string="DRAF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9E278" w14:textId="77777777" w:rsidR="000B173B" w:rsidRDefault="000A24F3">
    <w:pPr>
      <w:pStyle w:val="Header"/>
    </w:pPr>
    <w:r>
      <w:rPr>
        <w:noProof/>
      </w:rPr>
      <w:pict w14:anchorId="23DE51E3">
        <v:shapetype id="_x0000_t202" coordsize="21600,21600" o:spt="202" path="m,l,21600r21600,l21600,xe">
          <v:stroke joinstyle="miter"/>
          <v:path gradientshapeok="t" o:connecttype="rect"/>
        </v:shapetype>
        <v:shape id="WordArt 5" o:spid="_x0000_s1027" type="#_x0000_t202" style="position:absolute;margin-left:0;margin-top:0;width:509.25pt;height:169.75pt;rotation:-45;z-index:-2514718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" o:allowincell="f" filled="f" stroked="f">
          <v:stroke joinstyle="round"/>
          <o:lock v:ext="edit" aspectratio="t" verticies="t" shapetype="t"/>
          <v:textbox>
            <w:txbxContent>
              <w:p w14:paraId="34EB0C21" w14:textId="77777777" w:rsidR="000B173B" w:rsidRDefault="000B173B" w:rsidP="009541C2">
                <w:pPr>
                  <w:jc w:val="center"/>
                  <w:rPr>
                    <w:color w:val="C0C0C0"/>
                    <w:sz w:val="16"/>
                    <w:szCs w:val="16"/>
                    <w:lang w:val="en-GB"/>
                  </w:rPr>
                </w:pPr>
                <w:r>
                  <w:rPr>
                    <w:color w:val="C0C0C0"/>
                    <w:sz w:val="16"/>
                    <w:szCs w:val="16"/>
                    <w:lang w:val="en-GB"/>
                  </w:rPr>
                  <w:t>DRAFT</w:t>
                </w:r>
              </w:p>
            </w:txbxContent>
          </v:textbox>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FE278" w14:textId="77777777" w:rsidR="000B173B" w:rsidRDefault="000A24F3">
    <w:pPr>
      <w:pStyle w:val="Header"/>
    </w:pPr>
    <w:r>
      <w:rPr>
        <w:noProof/>
      </w:rPr>
      <w:pict w14:anchorId="4573A6CA">
        <v:shapetype id="_x0000_t202" coordsize="21600,21600" o:spt="202" path="m,l,21600r21600,l21600,xe">
          <v:stroke joinstyle="miter"/>
          <v:path gradientshapeok="t" o:connecttype="rect"/>
        </v:shapetype>
        <v:shape id="PowerPlusWaterMarkObject1402913165" o:spid="_x0000_s1026" type="#_x0000_t202" style="position:absolute;margin-left:0;margin-top:0;width:509.25pt;height:169.75pt;rotation:-45;z-index:-2514892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" o:allowincell="f" filled="f" stroked="f">
          <v:stroke joinstyle="round"/>
          <o:lock v:ext="edit" rotation="t" aspectratio="t" verticies="t" adjusthandles="t" grouping="t" shapetype="t"/>
          <v:textbox>
            <w:txbxContent>
              <w:p w14:paraId="1DF418C4"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477BD" w14:textId="77777777" w:rsidR="000B173B" w:rsidRDefault="000A24F3">
    <w:pPr>
      <w:pStyle w:val="Header"/>
    </w:pPr>
    <w:r>
      <w:rPr>
        <w:noProof/>
      </w:rPr>
      <w:pict w14:anchorId="3C77DC61">
        <v:shapetype id="_x0000_t202" coordsize="21600,21600" o:spt="202" path="m,l,21600r21600,l21600,xe">
          <v:stroke joinstyle="miter"/>
          <v:path gradientshapeok="t" o:connecttype="rect"/>
        </v:shapetype>
        <v:shape id="PowerPlusWaterMarkObject1402913164" o:spid="_x0000_s1025" type="#_x0000_t202" style="position:absolute;margin-left:0;margin-top:0;width:509.25pt;height:169.75pt;rotation:-45;z-index:-2514903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" o:allowincell="f" filled="f" stroked="f">
          <v:stroke joinstyle="round"/>
          <o:lock v:ext="edit" rotation="t" aspectratio="t" verticies="t" adjusthandles="t" grouping="t" shapetype="t"/>
          <v:textbox>
            <w:txbxContent>
              <w:p w14:paraId="5DCA40BB" w14:textId="77777777" w:rsidR="000B173B" w:rsidRDefault="000B173B" w:rsidP="009541C2">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598B2" w14:textId="77777777" w:rsidR="000B173B" w:rsidRDefault="000B173B">
    <w:pPr>
      <w:pStyle w:val="Header"/>
    </w:pPr>
    <w:r>
      <w:rPr>
        <w:noProof/>
      </w:rPr>
      <mc:AlternateContent>
        <mc:Choice Requires="wps">
          <w:drawing>
            <wp:anchor distT="0" distB="0" distL="114300" distR="114300" simplePos="0" relativeHeight="251829248" behindDoc="1" locked="0" layoutInCell="0" allowOverlap="1" wp14:anchorId="0F8C038B" wp14:editId="0970AB57">
              <wp:simplePos x="0" y="0"/>
              <wp:positionH relativeFrom="margin">
                <wp:align>center</wp:align>
              </wp:positionH>
              <wp:positionV relativeFrom="margin">
                <wp:align>center</wp:align>
              </wp:positionV>
              <wp:extent cx="6467475" cy="2155825"/>
              <wp:effectExtent l="0" t="0" r="0" b="0"/>
              <wp:wrapNone/>
              <wp:docPr id="242028436"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6467475" cy="21558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E18CD1" w14:textId="77777777" w:rsidR="000B173B" w:rsidRDefault="000B173B" w:rsidP="00194663">
                          <w:pPr>
                            <w:jc w:val="center"/>
                            <w:rPr>
                              <w:color w:val="C0C0C0"/>
                              <w:sz w:val="16"/>
                              <w:szCs w:val="16"/>
                              <w:lang w:val="en-GB"/>
                            </w:rPr>
                          </w:pPr>
                          <w:r>
                            <w:rPr>
                              <w:color w:val="C0C0C0"/>
                              <w:sz w:val="16"/>
                              <w:szCs w:val="16"/>
                              <w:lang w:val="en-GB"/>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0F8C038B" id="_x0000_t202" coordsize="21600,21600" o:spt="202" path="m,l,21600r21600,l21600,xe">
              <v:stroke joinstyle="miter"/>
              <v:path gradientshapeok="t" o:connecttype="rect"/>
            </v:shapetype>
            <v:shape id="WordArt 7" o:spid="_x0000_s1063" type="#_x0000_t202" style="position:absolute;margin-left:0;margin-top:0;width:509.25pt;height:169.75pt;rotation:-45;z-index:-2514872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" o:allowincell="f" filled="f" stroked="f">
              <v:stroke joinstyle="round"/>
              <v:path arrowok="t"/>
              <v:textbox>
                <w:txbxContent>
                  <w:p w14:paraId="40E18CD1" w14:textId="77777777" w:rsidR="000B173B" w:rsidRDefault="000B173B" w:rsidP="00194663">
                    <w:pPr>
                      <w:jc w:val="center"/>
                      <w:rPr>
                        <w:color w:val="C0C0C0"/>
                        <w:sz w:val="16"/>
                        <w:szCs w:val="16"/>
                        <w:lang w:val="en-GB"/>
                      </w:rPr>
                    </w:pPr>
                    <w:r>
                      <w:rPr>
                        <w:color w:val="C0C0C0"/>
                        <w:sz w:val="16"/>
                        <w:szCs w:val="16"/>
                        <w:lang w:val="en-GB"/>
                      </w:rPr>
                      <w:t>DRAFT</w:t>
                    </w:r>
                  </w:p>
                </w:txbxContent>
              </v:textbox>
              <w10:wrap anchorx="margin" anchory="margin"/>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6F9BA" w14:textId="77777777" w:rsidR="000B173B" w:rsidRDefault="000B173B" w:rsidP="000F624C">
    <w:pPr>
      <w:pStyle w:val="Reportheader"/>
      <w:tabs>
        <w:tab w:val="clear" w:pos="9026"/>
        <w:tab w:val="left" w:pos="8647"/>
        <w:tab w:val="right" w:pos="9214"/>
        <w:tab w:val="right" w:pos="14317"/>
      </w:tabs>
      <w:ind w:firstLine="0"/>
    </w:pPr>
    <w:r>
      <w:rPr>
        <w:noProof/>
      </w:rPr>
      <mc:AlternateContent>
        <mc:Choice Requires="wps">
          <w:drawing>
            <wp:anchor distT="0" distB="0" distL="114300" distR="114300" simplePos="0" relativeHeight="251821056" behindDoc="1" locked="0" layoutInCell="1" allowOverlap="1" wp14:anchorId="4269D2CA" wp14:editId="70C87356">
              <wp:simplePos x="0" y="0"/>
              <wp:positionH relativeFrom="margin">
                <wp:align>center</wp:align>
              </wp:positionH>
              <wp:positionV relativeFrom="margin">
                <wp:align>center</wp:align>
              </wp:positionV>
              <wp:extent cx="6467475" cy="2155825"/>
              <wp:effectExtent l="0" t="0" r="0" b="0"/>
              <wp:wrapNone/>
              <wp:docPr id="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6467475" cy="215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78797D" w14:textId="77777777" w:rsidR="000B173B" w:rsidRDefault="000B17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69D2CA" id="_x0000_t202" coordsize="21600,21600" o:spt="202" path="m,l,21600r21600,l21600,xe">
              <v:stroke joinstyle="miter"/>
              <v:path gradientshapeok="t" o:connecttype="rect"/>
            </v:shapetype>
            <v:shape id="Text Box 6" o:spid="_x0000_s1064" type="#_x0000_t202" style="position:absolute;left:0;text-align:left;margin-left:0;margin-top:0;width:509.25pt;height:169.75pt;rotation:-45;z-index:-2514954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" filled="f" stroked="f">
              <v:stroke joinstyle="round"/>
              <v:path arrowok="t"/>
              <v:textbox>
                <w:txbxContent>
                  <w:p w14:paraId="6F78797D" w14:textId="77777777" w:rsidR="000B173B" w:rsidRDefault="000B173B"/>
                </w:txbxContent>
              </v:textbox>
              <w10:wrap anchorx="margin" anchory="margin"/>
            </v:shape>
          </w:pict>
        </mc:Fallback>
      </mc:AlternateContent>
    </w:r>
    <w:r>
      <w:t>draft NWGGA Strategic assessment report</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5660C" w14:textId="77777777" w:rsidR="000B173B" w:rsidRDefault="000B173B">
    <w:pPr>
      <w:pStyle w:val="Header"/>
    </w:pPr>
    <w:r>
      <w:rPr>
        <w:noProof/>
      </w:rPr>
      <mc:AlternateContent>
        <mc:Choice Requires="wps">
          <w:drawing>
            <wp:anchor distT="0" distB="0" distL="114300" distR="114300" simplePos="0" relativeHeight="251828224" behindDoc="1" locked="0" layoutInCell="0" allowOverlap="1" wp14:anchorId="0E03D99C" wp14:editId="44BFF822">
              <wp:simplePos x="0" y="0"/>
              <wp:positionH relativeFrom="margin">
                <wp:align>center</wp:align>
              </wp:positionH>
              <wp:positionV relativeFrom="margin">
                <wp:align>center</wp:align>
              </wp:positionV>
              <wp:extent cx="6467475" cy="2155825"/>
              <wp:effectExtent l="0" t="0" r="0" b="0"/>
              <wp:wrapNone/>
              <wp:docPr id="1199910026" name="PowerPlusWaterMarkObject1402913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67475" cy="215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EC1BC2" w14:textId="77777777" w:rsidR="000B173B" w:rsidRDefault="000B17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03D99C" id="_x0000_t202" coordsize="21600,21600" o:spt="202" path="m,l,21600r21600,l21600,xe">
              <v:stroke joinstyle="miter"/>
              <v:path gradientshapeok="t" o:connecttype="rect"/>
            </v:shapetype>
            <v:shape id="PowerPlusWaterMarkObject1402913167" o:spid="_x0000_s1066" type="#_x0000_t202" style="position:absolute;margin-left:0;margin-top:0;width:509.25pt;height:169.75pt;z-index:-2514882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" o:allowincell="f" filled="f" stroked="f">
              <v:stroke joinstyle="round"/>
              <v:path arrowok="t"/>
              <v:textbox>
                <w:txbxContent>
                  <w:p w14:paraId="08EC1BC2" w14:textId="77777777" w:rsidR="000B173B" w:rsidRDefault="000B173B"/>
                </w:txbxContent>
              </v:textbox>
              <w10:wrap anchorx="margin" anchory="margin"/>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C20B9" w14:textId="77777777" w:rsidR="000B173B" w:rsidRDefault="000B173B">
    <w:pPr>
      <w:pStyle w:val="Header"/>
    </w:pPr>
    <w:r>
      <w:rPr>
        <w:noProof/>
      </w:rPr>
      <mc:AlternateContent>
        <mc:Choice Requires="wps">
          <w:drawing>
            <wp:anchor distT="0" distB="0" distL="114300" distR="114300" simplePos="0" relativeHeight="251831296" behindDoc="1" locked="0" layoutInCell="0" allowOverlap="1" wp14:anchorId="139F0E9D" wp14:editId="580063D7">
              <wp:simplePos x="0" y="0"/>
              <wp:positionH relativeFrom="margin">
                <wp:align>center</wp:align>
              </wp:positionH>
              <wp:positionV relativeFrom="margin">
                <wp:align>center</wp:align>
              </wp:positionV>
              <wp:extent cx="6467475" cy="2155825"/>
              <wp:effectExtent l="0" t="0" r="0" b="0"/>
              <wp:wrapNone/>
              <wp:docPr id="1366307222"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67475" cy="215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0ED4C" w14:textId="77777777" w:rsidR="000B173B" w:rsidRDefault="000B17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9F0E9D" id="_x0000_t202" coordsize="21600,21600" o:spt="202" path="m,l,21600r21600,l21600,xe">
              <v:stroke joinstyle="miter"/>
              <v:path gradientshapeok="t" o:connecttype="rect"/>
            </v:shapetype>
            <v:shape id="Text Box 379" o:spid="_x0000_s1067" type="#_x0000_t202" style="position:absolute;margin-left:0;margin-top:0;width:509.25pt;height:169.75pt;z-index:-2514851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" o:allowincell="f" filled="f" stroked="f">
              <v:path arrowok="t"/>
              <v:textbox>
                <w:txbxContent>
                  <w:p w14:paraId="2250ED4C" w14:textId="77777777" w:rsidR="000B173B" w:rsidRDefault="000B173B"/>
                </w:txbxContent>
              </v:textbox>
              <w10:wrap anchorx="margin" anchory="margin"/>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BB8CB" w14:textId="77777777" w:rsidR="000B173B" w:rsidRDefault="000B173B">
    <w:pPr>
      <w:pStyle w:val="Header"/>
    </w:pPr>
    <w:r>
      <w:rPr>
        <w:noProof/>
      </w:rPr>
      <mc:AlternateContent>
        <mc:Choice Requires="wps">
          <w:drawing>
            <wp:anchor distT="0" distB="0" distL="114300" distR="114300" simplePos="0" relativeHeight="251830272" behindDoc="1" locked="0" layoutInCell="0" allowOverlap="1" wp14:anchorId="0D1B7B51" wp14:editId="725686A6">
              <wp:simplePos x="0" y="0"/>
              <wp:positionH relativeFrom="margin">
                <wp:align>center</wp:align>
              </wp:positionH>
              <wp:positionV relativeFrom="margin">
                <wp:align>center</wp:align>
              </wp:positionV>
              <wp:extent cx="6467475" cy="2155825"/>
              <wp:effectExtent l="0" t="0" r="0" b="0"/>
              <wp:wrapNone/>
              <wp:docPr id="4" name="PowerPlusWaterMarkObject1402913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67475" cy="215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ABEDF3" w14:textId="77777777" w:rsidR="000B173B" w:rsidRDefault="000B17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1B7B51" id="_x0000_t202" coordsize="21600,21600" o:spt="202" path="m,l,21600r21600,l21600,xe">
              <v:stroke joinstyle="miter"/>
              <v:path gradientshapeok="t" o:connecttype="rect"/>
            </v:shapetype>
            <v:shape id="PowerPlusWaterMarkObject1402913170" o:spid="_x0000_s1069" type="#_x0000_t202" style="position:absolute;margin-left:0;margin-top:0;width:509.25pt;height:169.75pt;z-index:-2514862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" o:allowincell="f" filled="f" stroked="f">
              <v:stroke joinstyle="round"/>
              <v:path arrowok="t"/>
              <v:textbox>
                <w:txbxContent>
                  <w:p w14:paraId="26ABEDF3" w14:textId="77777777" w:rsidR="000B173B" w:rsidRDefault="000B173B"/>
                </w:txbxContent>
              </v:textbox>
              <w10:wrap anchorx="margin" anchory="margin"/>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1DD9C" w14:textId="77777777" w:rsidR="00820819" w:rsidRDefault="00820819" w:rsidP="00290626">
    <w:pPr>
      <w:pStyle w:val="Reportheader"/>
    </w:pPr>
    <w:r>
      <w:t>draft NWGGA Strategic assessment REPORT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0AA31" w14:textId="644E5F6B" w:rsidR="008F4C3D" w:rsidRDefault="008F4C3D" w:rsidP="00290626">
    <w:pPr>
      <w:pStyle w:val="Reportheader"/>
    </w:pPr>
    <w:r>
      <w:t>draft NWGGA Strategic assessment REPORT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911FE" w14:textId="77777777" w:rsidR="008C1AD8" w:rsidRDefault="008C1AD8">
    <w:r w:rsidRPr="00293ACD">
      <w:rPr>
        <w:color w:val="000000"/>
      </w:rPr>
      <w:t>b)</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AC23F" w14:textId="77777777" w:rsidR="008C1AD8" w:rsidRDefault="008C1AD8" w:rsidP="008D79A4">
    <w:pPr>
      <w:pStyle w:val="Reportheader"/>
      <w:pBdr>
        <w:bottom w:val="none" w:sz="0" w:space="0"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94B04" w14:textId="77777777" w:rsidR="008C1AD8" w:rsidRDefault="000A24F3">
    <w:pPr>
      <w:pStyle w:val="Header"/>
    </w:pPr>
    <w:r>
      <w:rPr>
        <w:noProof/>
      </w:rPr>
      <w:pict w14:anchorId="5A9EAF4E">
        <v:shapetype id="_x0000_t202" coordsize="21600,21600" o:spt="202" path="m,l,21600r21600,l21600,xe">
          <v:stroke joinstyle="miter"/>
          <v:path gradientshapeok="t" o:connecttype="rect"/>
        </v:shapetype>
        <v:shape id="Text Box 1" o:spid="_x0000_s1039" type="#_x0000_t202" style="position:absolute;margin-left:0;margin-top:0;width:509.25pt;height:169.75pt;rotation:-45;z-index:-2515640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" o:allowincell="f" filled="f" stroked="f">
          <o:lock v:ext="edit" text="t" shapetype="t"/>
          <v:textbox>
            <w:txbxContent>
              <w:p w14:paraId="07421B7A" w14:textId="77777777" w:rsidR="008C1AD8" w:rsidRDefault="008C1AD8" w:rsidP="00095099">
                <w:pPr>
                  <w:jc w:val="center"/>
                  <w:rPr>
                    <w:color w:val="C0C0C0"/>
                    <w:sz w:val="72"/>
                    <w:szCs w:val="72"/>
                    <w:lang w:val="en-GB"/>
                  </w:rPr>
                </w:pPr>
                <w:r>
                  <w:rPr>
                    <w:color w:val="C0C0C0"/>
                    <w:sz w:val="72"/>
                    <w:szCs w:val="72"/>
                    <w:lang w:val="en-GB"/>
                  </w:rPr>
                  <w:t>DRAFT</w:t>
                </w:r>
              </w:p>
            </w:txbxContent>
          </v:textbox>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13215" w14:textId="77777777" w:rsidR="008C1AD8" w:rsidRDefault="008C1AD8" w:rsidP="00475C35">
    <w:pPr>
      <w:pStyle w:val="Reportheader"/>
    </w:pPr>
    <w:r>
      <w:t>draft NWGGA Strategic assessment REPORT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FA534" w14:textId="77777777" w:rsidR="008C1AD8" w:rsidRDefault="008C1A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5CC5DA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AF6A4F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516F47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99A206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4842BE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DE29B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1A46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DBADB9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F3255D0"/>
    <w:lvl w:ilvl="0">
      <w:start w:val="1"/>
      <w:numFmt w:val="decimal"/>
      <w:lvlText w:val="%1."/>
      <w:lvlJc w:val="left"/>
      <w:pPr>
        <w:tabs>
          <w:tab w:val="num" w:pos="360"/>
        </w:tabs>
        <w:ind w:left="360" w:hanging="360"/>
      </w:pPr>
    </w:lvl>
  </w:abstractNum>
  <w:abstractNum w:abstractNumId="9" w15:restartNumberingAfterBreak="0">
    <w:nsid w:val="004336FB"/>
    <w:multiLevelType w:val="hybridMultilevel"/>
    <w:tmpl w:val="D57235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5BC2CB9"/>
    <w:multiLevelType w:val="hybridMultilevel"/>
    <w:tmpl w:val="AE1AC562"/>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AF87698"/>
    <w:multiLevelType w:val="hybridMultilevel"/>
    <w:tmpl w:val="EA4E68B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0F572DA5"/>
    <w:multiLevelType w:val="hybridMultilevel"/>
    <w:tmpl w:val="3DAE9D8E"/>
    <w:lvl w:ilvl="0" w:tplc="04090017">
      <w:start w:val="1"/>
      <w:numFmt w:val="lowerLetter"/>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144C668D"/>
    <w:multiLevelType w:val="hybridMultilevel"/>
    <w:tmpl w:val="123AAD0A"/>
    <w:lvl w:ilvl="0" w:tplc="099C113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4F77E7E"/>
    <w:multiLevelType w:val="multilevel"/>
    <w:tmpl w:val="97A8890A"/>
    <w:styleLink w:val="CurrentList7"/>
    <w:lvl w:ilvl="0">
      <w:start w:val="16"/>
      <w:numFmt w:val="decimal"/>
      <w:lvlText w:val="%1"/>
      <w:lvlJc w:val="left"/>
      <w:pPr>
        <w:ind w:left="851" w:hanging="851"/>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164C035B"/>
    <w:multiLevelType w:val="multilevel"/>
    <w:tmpl w:val="AE92A684"/>
    <w:styleLink w:val="CurrentList11"/>
    <w:lvl w:ilvl="0">
      <w:start w:val="25"/>
      <w:numFmt w:val="decimal"/>
      <w:lvlText w:val="%1"/>
      <w:lvlJc w:val="left"/>
      <w:pPr>
        <w:ind w:left="851" w:hanging="851"/>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429"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178B6928"/>
    <w:multiLevelType w:val="hybridMultilevel"/>
    <w:tmpl w:val="8D6E619A"/>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183D195D"/>
    <w:multiLevelType w:val="hybridMultilevel"/>
    <w:tmpl w:val="9FB0B0BA"/>
    <w:lvl w:ilvl="0" w:tplc="FFFFFFFF">
      <w:start w:val="1"/>
      <w:numFmt w:val="decimal"/>
      <w:lvlText w:val="%1."/>
      <w:lvlJc w:val="left"/>
      <w:pPr>
        <w:ind w:left="720" w:hanging="360"/>
      </w:pPr>
      <w:rPr>
        <w:rFonts w:ascii="Palatino Linotype" w:eastAsia="Calibri" w:hAnsi="Palatino Linotype"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9C126E7"/>
    <w:multiLevelType w:val="hybridMultilevel"/>
    <w:tmpl w:val="FC4C904A"/>
    <w:lvl w:ilvl="0" w:tplc="FB5A6524">
      <w:start w:val="1"/>
      <w:numFmt w:val="bullet"/>
      <w:pStyle w:val="Bullet1"/>
      <w:lvlText w:val=""/>
      <w:lvlJc w:val="left"/>
      <w:pPr>
        <w:ind w:left="360" w:hanging="360"/>
      </w:pPr>
      <w:rPr>
        <w:rFonts w:ascii="Symbol" w:hAnsi="Symbol" w:hint="default"/>
      </w:rPr>
    </w:lvl>
    <w:lvl w:ilvl="1" w:tplc="109A4CEC">
      <w:start w:val="1"/>
      <w:numFmt w:val="bullet"/>
      <w:pStyle w:val="Bullet2"/>
      <w:lvlText w:val="o"/>
      <w:lvlJc w:val="left"/>
      <w:pPr>
        <w:ind w:left="786" w:hanging="360"/>
      </w:pPr>
      <w:rPr>
        <w:rFonts w:ascii="Courier New" w:hAnsi="Courier New" w:cs="Courier New" w:hint="default"/>
      </w:rPr>
    </w:lvl>
    <w:lvl w:ilvl="2" w:tplc="6E4AA1B4">
      <w:start w:val="1"/>
      <w:numFmt w:val="bullet"/>
      <w:pStyle w:val="Bullet3"/>
      <w:lvlText w:val=""/>
      <w:lvlJc w:val="left"/>
      <w:pPr>
        <w:ind w:left="1211"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A0D0E2F"/>
    <w:multiLevelType w:val="multilevel"/>
    <w:tmpl w:val="59AEC552"/>
    <w:styleLink w:val="CurrentList3"/>
    <w:lvl w:ilvl="0">
      <w:start w:val="1"/>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0" w15:restartNumberingAfterBreak="0">
    <w:nsid w:val="1F912F7F"/>
    <w:multiLevelType w:val="multilevel"/>
    <w:tmpl w:val="9FB0B0BA"/>
    <w:styleLink w:val="CurrentList2"/>
    <w:lvl w:ilvl="0">
      <w:start w:val="1"/>
      <w:numFmt w:val="decimal"/>
      <w:lvlText w:val="%1."/>
      <w:lvlJc w:val="left"/>
      <w:pPr>
        <w:ind w:left="720" w:hanging="360"/>
      </w:pPr>
      <w:rPr>
        <w:rFonts w:ascii="Palatino Linotype" w:eastAsia="Calibri" w:hAnsi="Palatino Linotype"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0FA4DC5"/>
    <w:multiLevelType w:val="hybridMultilevel"/>
    <w:tmpl w:val="588667A6"/>
    <w:lvl w:ilvl="0" w:tplc="DB4200F2">
      <w:start w:val="1"/>
      <w:numFmt w:val="bullet"/>
      <w:pStyle w:val="Dotpointlevel1"/>
      <w:lvlText w:val=""/>
      <w:lvlJc w:val="left"/>
      <w:pPr>
        <w:ind w:left="360" w:hanging="360"/>
      </w:pPr>
      <w:rPr>
        <w:rFonts w:ascii="Symbol" w:hAnsi="Symbol" w:hint="default"/>
      </w:rPr>
    </w:lvl>
    <w:lvl w:ilvl="1" w:tplc="04090019">
      <w:start w:val="1"/>
      <w:numFmt w:val="lowerLetter"/>
      <w:lvlText w:val="%2."/>
      <w:lvlJc w:val="left"/>
      <w:pPr>
        <w:ind w:left="2062" w:hanging="360"/>
      </w:pPr>
    </w:lvl>
    <w:lvl w:ilvl="2" w:tplc="0409001B" w:tentative="1">
      <w:start w:val="1"/>
      <w:numFmt w:val="lowerRoman"/>
      <w:lvlText w:val="%3."/>
      <w:lvlJc w:val="right"/>
      <w:pPr>
        <w:ind w:left="2782" w:hanging="180"/>
      </w:pPr>
    </w:lvl>
    <w:lvl w:ilvl="3" w:tplc="0409000F" w:tentative="1">
      <w:start w:val="1"/>
      <w:numFmt w:val="decimal"/>
      <w:lvlText w:val="%4."/>
      <w:lvlJc w:val="left"/>
      <w:pPr>
        <w:ind w:left="3502" w:hanging="360"/>
      </w:pPr>
    </w:lvl>
    <w:lvl w:ilvl="4" w:tplc="04090019" w:tentative="1">
      <w:start w:val="1"/>
      <w:numFmt w:val="lowerLetter"/>
      <w:lvlText w:val="%5."/>
      <w:lvlJc w:val="left"/>
      <w:pPr>
        <w:ind w:left="4222" w:hanging="360"/>
      </w:pPr>
    </w:lvl>
    <w:lvl w:ilvl="5" w:tplc="0409001B" w:tentative="1">
      <w:start w:val="1"/>
      <w:numFmt w:val="lowerRoman"/>
      <w:lvlText w:val="%6."/>
      <w:lvlJc w:val="right"/>
      <w:pPr>
        <w:ind w:left="4942" w:hanging="180"/>
      </w:pPr>
    </w:lvl>
    <w:lvl w:ilvl="6" w:tplc="0409000F" w:tentative="1">
      <w:start w:val="1"/>
      <w:numFmt w:val="decimal"/>
      <w:lvlText w:val="%7."/>
      <w:lvlJc w:val="left"/>
      <w:pPr>
        <w:ind w:left="5662" w:hanging="360"/>
      </w:pPr>
    </w:lvl>
    <w:lvl w:ilvl="7" w:tplc="04090019" w:tentative="1">
      <w:start w:val="1"/>
      <w:numFmt w:val="lowerLetter"/>
      <w:lvlText w:val="%8."/>
      <w:lvlJc w:val="left"/>
      <w:pPr>
        <w:ind w:left="6382" w:hanging="360"/>
      </w:pPr>
    </w:lvl>
    <w:lvl w:ilvl="8" w:tplc="0409001B" w:tentative="1">
      <w:start w:val="1"/>
      <w:numFmt w:val="lowerRoman"/>
      <w:lvlText w:val="%9."/>
      <w:lvlJc w:val="right"/>
      <w:pPr>
        <w:ind w:left="7102" w:hanging="180"/>
      </w:pPr>
    </w:lvl>
  </w:abstractNum>
  <w:abstractNum w:abstractNumId="22" w15:restartNumberingAfterBreak="0">
    <w:nsid w:val="253520C2"/>
    <w:multiLevelType w:val="hybridMultilevel"/>
    <w:tmpl w:val="4B86ABF8"/>
    <w:lvl w:ilvl="0" w:tplc="04090017">
      <w:start w:val="1"/>
      <w:numFmt w:val="lowerLetter"/>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2909099A"/>
    <w:multiLevelType w:val="hybridMultilevel"/>
    <w:tmpl w:val="6B38CC62"/>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2CF85290"/>
    <w:multiLevelType w:val="hybridMultilevel"/>
    <w:tmpl w:val="55AC3F0A"/>
    <w:lvl w:ilvl="0" w:tplc="0409000F">
      <w:start w:val="1"/>
      <w:numFmt w:val="decimal"/>
      <w:pStyle w:val="DotPoint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2C72D9E"/>
    <w:multiLevelType w:val="hybridMultilevel"/>
    <w:tmpl w:val="04DE2934"/>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35C21DDA"/>
    <w:multiLevelType w:val="hybridMultilevel"/>
    <w:tmpl w:val="D95AFD9C"/>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37184CEA"/>
    <w:multiLevelType w:val="hybridMultilevel"/>
    <w:tmpl w:val="2190F82C"/>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373C35C1"/>
    <w:multiLevelType w:val="multilevel"/>
    <w:tmpl w:val="9E722CC4"/>
    <w:styleLink w:val="CurrentList8"/>
    <w:lvl w:ilvl="0">
      <w:start w:val="19"/>
      <w:numFmt w:val="decimal"/>
      <w:lvlText w:val="%1"/>
      <w:lvlJc w:val="left"/>
      <w:pPr>
        <w:ind w:left="851" w:hanging="851"/>
      </w:pPr>
    </w:lvl>
    <w:lvl w:ilvl="1">
      <w:start w:val="1"/>
      <w:numFmt w:val="decimal"/>
      <w:lvlText w:val="%1.%2"/>
      <w:lvlJc w:val="left"/>
      <w:pPr>
        <w:ind w:left="576" w:hanging="576"/>
      </w:pPr>
      <w:rPr>
        <w:rFonts w:hint="default"/>
      </w:rPr>
    </w:lvl>
    <w:lvl w:ilvl="2">
      <w:start w:val="1"/>
      <w:numFmt w:val="decimal"/>
      <w:lvlText w:val="%1.%2.%3"/>
      <w:lvlJc w:val="left"/>
      <w:pPr>
        <w:ind w:left="1429"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3FE60AD3"/>
    <w:multiLevelType w:val="hybridMultilevel"/>
    <w:tmpl w:val="D61C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1C43A8E"/>
    <w:multiLevelType w:val="hybridMultilevel"/>
    <w:tmpl w:val="DF08EA6C"/>
    <w:lvl w:ilvl="0" w:tplc="1D8E3C2C">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5730947"/>
    <w:multiLevelType w:val="hybridMultilevel"/>
    <w:tmpl w:val="1680A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6723AA7"/>
    <w:multiLevelType w:val="multilevel"/>
    <w:tmpl w:val="D4C03FC8"/>
    <w:styleLink w:val="CurrentList9"/>
    <w:lvl w:ilvl="0">
      <w:start w:val="19"/>
      <w:numFmt w:val="decimal"/>
      <w:lvlText w:val="%1"/>
      <w:lvlJc w:val="left"/>
      <w:pPr>
        <w:ind w:left="851" w:hanging="851"/>
      </w:pPr>
    </w:lvl>
    <w:lvl w:ilvl="1">
      <w:start w:val="1"/>
      <w:numFmt w:val="decimal"/>
      <w:lvlText w:val="%1.%2"/>
      <w:lvlJc w:val="left"/>
      <w:pPr>
        <w:ind w:left="576" w:hanging="576"/>
      </w:pPr>
      <w:rPr>
        <w:rFonts w:hint="default"/>
      </w:rPr>
    </w:lvl>
    <w:lvl w:ilvl="2">
      <w:start w:val="1"/>
      <w:numFmt w:val="decimal"/>
      <w:lvlText w:val="%1.%2.%3"/>
      <w:lvlJc w:val="left"/>
      <w:pPr>
        <w:ind w:left="1429"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15:restartNumberingAfterBreak="0">
    <w:nsid w:val="485A5869"/>
    <w:multiLevelType w:val="hybridMultilevel"/>
    <w:tmpl w:val="4022D97C"/>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4CA35EB9"/>
    <w:multiLevelType w:val="multilevel"/>
    <w:tmpl w:val="59AEC552"/>
    <w:lvl w:ilvl="0">
      <w:start w:val="1"/>
      <w:numFmt w:val="decimal"/>
      <w:pStyle w:val="Numbering1"/>
      <w:lvlText w:val="%1."/>
      <w:lvlJc w:val="left"/>
      <w:pPr>
        <w:ind w:left="360" w:hanging="360"/>
      </w:pPr>
      <w:rPr>
        <w:rFonts w:hint="default"/>
      </w:rPr>
    </w:lvl>
    <w:lvl w:ilvl="1">
      <w:start w:val="1"/>
      <w:numFmt w:val="lowerLetter"/>
      <w:pStyle w:val="Numbering2"/>
      <w:lvlText w:val="%2."/>
      <w:lvlJc w:val="left"/>
      <w:pPr>
        <w:ind w:left="792" w:hanging="432"/>
      </w:pPr>
      <w:rPr>
        <w:rFonts w:hint="default"/>
      </w:rPr>
    </w:lvl>
    <w:lvl w:ilvl="2">
      <w:start w:val="1"/>
      <w:numFmt w:val="lowerRoman"/>
      <w:pStyle w:val="Numbering3"/>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5" w15:restartNumberingAfterBreak="0">
    <w:nsid w:val="519F14D3"/>
    <w:multiLevelType w:val="multilevel"/>
    <w:tmpl w:val="EE8ACA1C"/>
    <w:styleLink w:val="CurrentList6"/>
    <w:lvl w:ilvl="0">
      <w:start w:val="14"/>
      <w:numFmt w:val="decimal"/>
      <w:lvlText w:val="%1"/>
      <w:lvlJc w:val="left"/>
      <w:pPr>
        <w:ind w:left="851" w:hanging="851"/>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52BC4823"/>
    <w:multiLevelType w:val="hybridMultilevel"/>
    <w:tmpl w:val="9D7067C4"/>
    <w:lvl w:ilvl="0" w:tplc="9E8CC994">
      <w:start w:val="1"/>
      <w:numFmt w:val="bullet"/>
      <w:lvlText w:val=""/>
      <w:lvlJc w:val="left"/>
      <w:pPr>
        <w:ind w:left="360" w:hanging="360"/>
      </w:pPr>
      <w:rPr>
        <w:rFonts w:ascii="Symbol" w:hAnsi="Symbol" w:hint="default"/>
      </w:rPr>
    </w:lvl>
    <w:lvl w:ilvl="1" w:tplc="1E120F06">
      <w:start w:val="1"/>
      <w:numFmt w:val="bullet"/>
      <w:lvlText w:val="o"/>
      <w:lvlJc w:val="left"/>
      <w:pPr>
        <w:ind w:left="1080" w:hanging="360"/>
      </w:pPr>
      <w:rPr>
        <w:rFonts w:ascii="Courier New" w:hAnsi="Courier New" w:cs="Courier New" w:hint="default"/>
      </w:rPr>
    </w:lvl>
    <w:lvl w:ilvl="2" w:tplc="3AD45F1C">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53227898"/>
    <w:multiLevelType w:val="hybridMultilevel"/>
    <w:tmpl w:val="81DE9840"/>
    <w:lvl w:ilvl="0" w:tplc="8FF07EEC">
      <w:start w:val="1"/>
      <w:numFmt w:val="lowerRoman"/>
      <w:pStyle w:val="Style1"/>
      <w:lvlText w:val="%1."/>
      <w:lvlJc w:val="right"/>
      <w:pPr>
        <w:ind w:left="605"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5A60731"/>
    <w:multiLevelType w:val="hybridMultilevel"/>
    <w:tmpl w:val="F8B8564A"/>
    <w:lvl w:ilvl="0" w:tplc="CCAC738C">
      <w:start w:val="1"/>
      <w:numFmt w:val="upperLetter"/>
      <w:pStyle w:val="Appendixheading1"/>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9780B25"/>
    <w:multiLevelType w:val="multilevel"/>
    <w:tmpl w:val="AE92A684"/>
    <w:styleLink w:val="CurrentList10"/>
    <w:lvl w:ilvl="0">
      <w:start w:val="25"/>
      <w:numFmt w:val="decimal"/>
      <w:lvlText w:val="%1"/>
      <w:lvlJc w:val="left"/>
      <w:pPr>
        <w:ind w:left="851" w:hanging="851"/>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429"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610E1A6F"/>
    <w:multiLevelType w:val="multilevel"/>
    <w:tmpl w:val="59AEC552"/>
    <w:styleLink w:val="CurrentList1"/>
    <w:lvl w:ilvl="0">
      <w:start w:val="1"/>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left"/>
      <w:pPr>
        <w:ind w:left="1224" w:hanging="504"/>
      </w:pPr>
      <w:rPr>
        <w:rFonts w:hint="default"/>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1" w15:restartNumberingAfterBreak="0">
    <w:nsid w:val="619A1E72"/>
    <w:multiLevelType w:val="hybridMultilevel"/>
    <w:tmpl w:val="94C4AA44"/>
    <w:lvl w:ilvl="0" w:tplc="8DCA1C2E">
      <w:start w:val="1"/>
      <w:numFmt w:val="decimal"/>
      <w:lvlText w:val="%1."/>
      <w:lvlJc w:val="left"/>
      <w:pPr>
        <w:ind w:left="720" w:hanging="360"/>
      </w:pPr>
      <w:rPr>
        <w:rFonts w:ascii="Palatino Linotype" w:eastAsia="Calibri" w:hAnsi="Palatino Linotype"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301724B"/>
    <w:multiLevelType w:val="multilevel"/>
    <w:tmpl w:val="5F98B1C0"/>
    <w:styleLink w:val="CurrentList4"/>
    <w:lvl w:ilvl="0">
      <w:start w:val="1"/>
      <w:numFmt w:val="decimal"/>
      <w:lvlText w:val="%1"/>
      <w:lvlJc w:val="left"/>
      <w:pPr>
        <w:ind w:left="851" w:hanging="851"/>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6CEA0F77"/>
    <w:multiLevelType w:val="multilevel"/>
    <w:tmpl w:val="EB2A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1C27010"/>
    <w:multiLevelType w:val="hybridMultilevel"/>
    <w:tmpl w:val="98405DAC"/>
    <w:lvl w:ilvl="0" w:tplc="7FB49DA8">
      <w:start w:val="2"/>
      <w:numFmt w:val="lowerLetter"/>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726A131F"/>
    <w:multiLevelType w:val="hybridMultilevel"/>
    <w:tmpl w:val="E2905BCC"/>
    <w:lvl w:ilvl="0" w:tplc="0809000F">
      <w:start w:val="1"/>
      <w:numFmt w:val="decimal"/>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72AE57EA"/>
    <w:multiLevelType w:val="multilevel"/>
    <w:tmpl w:val="A49EB8AC"/>
    <w:styleLink w:val="CurrentList5"/>
    <w:lvl w:ilvl="0">
      <w:start w:val="10"/>
      <w:numFmt w:val="decimal"/>
      <w:lvlText w:val="%1"/>
      <w:lvlJc w:val="left"/>
      <w:pPr>
        <w:ind w:left="851" w:hanging="851"/>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72EE65C9"/>
    <w:multiLevelType w:val="hybridMultilevel"/>
    <w:tmpl w:val="426EEDA0"/>
    <w:lvl w:ilvl="0" w:tplc="57862D7E">
      <w:start w:val="2"/>
      <w:numFmt w:val="lowerLetter"/>
      <w:lvlText w:val="%1)"/>
      <w:lvlJc w:val="left"/>
      <w:pPr>
        <w:ind w:left="360" w:hanging="360"/>
      </w:pPr>
      <w:rPr>
        <w:rFonts w:hint="default"/>
      </w:rPr>
    </w:lvl>
    <w:lvl w:ilvl="1" w:tplc="FFFFFFFF">
      <w:start w:val="1"/>
      <w:numFmt w:val="bullet"/>
      <w:lvlText w:val="o"/>
      <w:lvlJc w:val="left"/>
      <w:pPr>
        <w:ind w:left="786" w:hanging="360"/>
      </w:pPr>
      <w:rPr>
        <w:rFonts w:ascii="Courier New" w:hAnsi="Courier New" w:cs="Courier New" w:hint="default"/>
      </w:rPr>
    </w:lvl>
    <w:lvl w:ilvl="2" w:tplc="FFFFFFFF">
      <w:start w:val="1"/>
      <w:numFmt w:val="bullet"/>
      <w:lvlText w:val=""/>
      <w:lvlJc w:val="left"/>
      <w:pPr>
        <w:ind w:left="1211"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 w15:restartNumberingAfterBreak="0">
    <w:nsid w:val="7D847E4A"/>
    <w:multiLevelType w:val="multilevel"/>
    <w:tmpl w:val="6B620704"/>
    <w:lvl w:ilvl="0">
      <w:start w:val="15"/>
      <w:numFmt w:val="decimal"/>
      <w:pStyle w:val="Heading1"/>
      <w:lvlText w:val="%1"/>
      <w:lvlJc w:val="left"/>
      <w:pPr>
        <w:ind w:left="851" w:hanging="851"/>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144859381">
    <w:abstractNumId w:val="34"/>
  </w:num>
  <w:num w:numId="2" w16cid:durableId="2032367993">
    <w:abstractNumId w:val="18"/>
  </w:num>
  <w:num w:numId="3" w16cid:durableId="139924009">
    <w:abstractNumId w:val="48"/>
  </w:num>
  <w:num w:numId="4" w16cid:durableId="131677326">
    <w:abstractNumId w:val="21"/>
  </w:num>
  <w:num w:numId="5" w16cid:durableId="1142504718">
    <w:abstractNumId w:val="38"/>
  </w:num>
  <w:num w:numId="6" w16cid:durableId="550701522">
    <w:abstractNumId w:val="24"/>
  </w:num>
  <w:num w:numId="7" w16cid:durableId="663124594">
    <w:abstractNumId w:val="37"/>
  </w:num>
  <w:num w:numId="8" w16cid:durableId="1111361012">
    <w:abstractNumId w:val="36"/>
  </w:num>
  <w:num w:numId="9" w16cid:durableId="551384523">
    <w:abstractNumId w:val="29"/>
  </w:num>
  <w:num w:numId="10" w16cid:durableId="1218205256">
    <w:abstractNumId w:val="0"/>
  </w:num>
  <w:num w:numId="11" w16cid:durableId="528757934">
    <w:abstractNumId w:val="1"/>
  </w:num>
  <w:num w:numId="12" w16cid:durableId="770049912">
    <w:abstractNumId w:val="2"/>
  </w:num>
  <w:num w:numId="13" w16cid:durableId="2142259381">
    <w:abstractNumId w:val="3"/>
  </w:num>
  <w:num w:numId="14" w16cid:durableId="24255126">
    <w:abstractNumId w:val="8"/>
  </w:num>
  <w:num w:numId="15" w16cid:durableId="1091245169">
    <w:abstractNumId w:val="4"/>
  </w:num>
  <w:num w:numId="16" w16cid:durableId="56365520">
    <w:abstractNumId w:val="5"/>
  </w:num>
  <w:num w:numId="17" w16cid:durableId="1791317522">
    <w:abstractNumId w:val="6"/>
  </w:num>
  <w:num w:numId="18" w16cid:durableId="1737973756">
    <w:abstractNumId w:val="7"/>
  </w:num>
  <w:num w:numId="19" w16cid:durableId="613630583">
    <w:abstractNumId w:val="48"/>
  </w:num>
  <w:num w:numId="20" w16cid:durableId="357774342">
    <w:abstractNumId w:val="34"/>
    <w:lvlOverride w:ilvl="0">
      <w:startOverride w:val="1"/>
    </w:lvlOverride>
  </w:num>
  <w:num w:numId="21" w16cid:durableId="391392455">
    <w:abstractNumId w:val="40"/>
  </w:num>
  <w:num w:numId="22" w16cid:durableId="52409896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94806148">
    <w:abstractNumId w:val="13"/>
  </w:num>
  <w:num w:numId="24" w16cid:durableId="1464927827">
    <w:abstractNumId w:val="41"/>
  </w:num>
  <w:num w:numId="25" w16cid:durableId="1039552566">
    <w:abstractNumId w:val="17"/>
  </w:num>
  <w:num w:numId="26" w16cid:durableId="1201938021">
    <w:abstractNumId w:val="20"/>
  </w:num>
  <w:num w:numId="27" w16cid:durableId="1115056233">
    <w:abstractNumId w:val="11"/>
  </w:num>
  <w:num w:numId="28" w16cid:durableId="545872664">
    <w:abstractNumId w:val="19"/>
  </w:num>
  <w:num w:numId="29" w16cid:durableId="1712076021">
    <w:abstractNumId w:val="42"/>
  </w:num>
  <w:num w:numId="30" w16cid:durableId="273289263">
    <w:abstractNumId w:val="46"/>
  </w:num>
  <w:num w:numId="31" w16cid:durableId="1840807306">
    <w:abstractNumId w:val="35"/>
  </w:num>
  <w:num w:numId="32" w16cid:durableId="1142193125">
    <w:abstractNumId w:val="14"/>
  </w:num>
  <w:num w:numId="33" w16cid:durableId="67731095">
    <w:abstractNumId w:val="43"/>
  </w:num>
  <w:num w:numId="34" w16cid:durableId="796725922">
    <w:abstractNumId w:val="10"/>
  </w:num>
  <w:num w:numId="35" w16cid:durableId="1299649879">
    <w:abstractNumId w:val="31"/>
  </w:num>
  <w:num w:numId="36" w16cid:durableId="1095244612">
    <w:abstractNumId w:val="47"/>
  </w:num>
  <w:num w:numId="37" w16cid:durableId="369690363">
    <w:abstractNumId w:val="44"/>
  </w:num>
  <w:num w:numId="38" w16cid:durableId="884752373">
    <w:abstractNumId w:val="12"/>
  </w:num>
  <w:num w:numId="39" w16cid:durableId="1654139454">
    <w:abstractNumId w:val="33"/>
  </w:num>
  <w:num w:numId="40" w16cid:durableId="2118867088">
    <w:abstractNumId w:val="22"/>
  </w:num>
  <w:num w:numId="41" w16cid:durableId="1422525381">
    <w:abstractNumId w:val="27"/>
  </w:num>
  <w:num w:numId="42" w16cid:durableId="1355886242">
    <w:abstractNumId w:val="26"/>
  </w:num>
  <w:num w:numId="43" w16cid:durableId="1274898209">
    <w:abstractNumId w:val="45"/>
  </w:num>
  <w:num w:numId="44" w16cid:durableId="982346354">
    <w:abstractNumId w:val="9"/>
  </w:num>
  <w:num w:numId="45" w16cid:durableId="1939369594">
    <w:abstractNumId w:val="28"/>
  </w:num>
  <w:num w:numId="46" w16cid:durableId="384262792">
    <w:abstractNumId w:val="32"/>
  </w:num>
  <w:num w:numId="47" w16cid:durableId="1036352323">
    <w:abstractNumId w:val="39"/>
  </w:num>
  <w:num w:numId="48" w16cid:durableId="129053017">
    <w:abstractNumId w:val="15"/>
  </w:num>
  <w:num w:numId="49" w16cid:durableId="1671255626">
    <w:abstractNumId w:val="16"/>
  </w:num>
  <w:num w:numId="50" w16cid:durableId="290526550">
    <w:abstractNumId w:val="25"/>
  </w:num>
  <w:num w:numId="51" w16cid:durableId="765421452">
    <w:abstractNumId w:val="23"/>
  </w:num>
  <w:num w:numId="52" w16cid:durableId="648703600">
    <w:abstractNumId w:val="30"/>
  </w:num>
  <w:num w:numId="53" w16cid:durableId="151540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fullPage" w:percent="87"/>
  <w:defaultTabStop w:val="720"/>
  <w:drawingGridHorizontalSpacing w:val="9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594F"/>
    <w:rsid w:val="0000056A"/>
    <w:rsid w:val="00000FD9"/>
    <w:rsid w:val="0000354C"/>
    <w:rsid w:val="00003C7B"/>
    <w:rsid w:val="000041E6"/>
    <w:rsid w:val="00005744"/>
    <w:rsid w:val="00005A57"/>
    <w:rsid w:val="00005A75"/>
    <w:rsid w:val="00006197"/>
    <w:rsid w:val="00006485"/>
    <w:rsid w:val="000069FD"/>
    <w:rsid w:val="00006C30"/>
    <w:rsid w:val="000070D2"/>
    <w:rsid w:val="0000754D"/>
    <w:rsid w:val="000106AA"/>
    <w:rsid w:val="00010A40"/>
    <w:rsid w:val="00010CE8"/>
    <w:rsid w:val="00010D6B"/>
    <w:rsid w:val="00010EFC"/>
    <w:rsid w:val="000127C6"/>
    <w:rsid w:val="000129E9"/>
    <w:rsid w:val="00013057"/>
    <w:rsid w:val="00013E0F"/>
    <w:rsid w:val="00014057"/>
    <w:rsid w:val="000143A8"/>
    <w:rsid w:val="00014BBA"/>
    <w:rsid w:val="000155BB"/>
    <w:rsid w:val="000162A9"/>
    <w:rsid w:val="000169BA"/>
    <w:rsid w:val="00017AE8"/>
    <w:rsid w:val="00017F9D"/>
    <w:rsid w:val="00020ADC"/>
    <w:rsid w:val="00021CDC"/>
    <w:rsid w:val="00022030"/>
    <w:rsid w:val="00023071"/>
    <w:rsid w:val="00023574"/>
    <w:rsid w:val="000242C9"/>
    <w:rsid w:val="000276F6"/>
    <w:rsid w:val="00030162"/>
    <w:rsid w:val="00030ED2"/>
    <w:rsid w:val="00030FAD"/>
    <w:rsid w:val="0003103D"/>
    <w:rsid w:val="00031320"/>
    <w:rsid w:val="000317AE"/>
    <w:rsid w:val="000325A8"/>
    <w:rsid w:val="00032879"/>
    <w:rsid w:val="00037632"/>
    <w:rsid w:val="00040710"/>
    <w:rsid w:val="00041420"/>
    <w:rsid w:val="0004225F"/>
    <w:rsid w:val="00043110"/>
    <w:rsid w:val="00043158"/>
    <w:rsid w:val="0004316D"/>
    <w:rsid w:val="000431DC"/>
    <w:rsid w:val="0004383D"/>
    <w:rsid w:val="0004482B"/>
    <w:rsid w:val="00044E62"/>
    <w:rsid w:val="00045F6D"/>
    <w:rsid w:val="00046521"/>
    <w:rsid w:val="00046D07"/>
    <w:rsid w:val="0004729B"/>
    <w:rsid w:val="000500D1"/>
    <w:rsid w:val="00050173"/>
    <w:rsid w:val="00051391"/>
    <w:rsid w:val="00051553"/>
    <w:rsid w:val="000544AB"/>
    <w:rsid w:val="00057A90"/>
    <w:rsid w:val="00057ADF"/>
    <w:rsid w:val="00057BFA"/>
    <w:rsid w:val="000607AD"/>
    <w:rsid w:val="000610D4"/>
    <w:rsid w:val="000613F5"/>
    <w:rsid w:val="00061892"/>
    <w:rsid w:val="00061F44"/>
    <w:rsid w:val="000625AA"/>
    <w:rsid w:val="000632F0"/>
    <w:rsid w:val="00063898"/>
    <w:rsid w:val="00065D18"/>
    <w:rsid w:val="00066688"/>
    <w:rsid w:val="00067C02"/>
    <w:rsid w:val="00067CF7"/>
    <w:rsid w:val="0007023B"/>
    <w:rsid w:val="000714EA"/>
    <w:rsid w:val="0007164F"/>
    <w:rsid w:val="0007177F"/>
    <w:rsid w:val="000732A3"/>
    <w:rsid w:val="00073986"/>
    <w:rsid w:val="00074AB1"/>
    <w:rsid w:val="00074D81"/>
    <w:rsid w:val="00074FC0"/>
    <w:rsid w:val="00075DF2"/>
    <w:rsid w:val="0007659C"/>
    <w:rsid w:val="000767A4"/>
    <w:rsid w:val="00076AC8"/>
    <w:rsid w:val="00076DE2"/>
    <w:rsid w:val="00081862"/>
    <w:rsid w:val="00082CC4"/>
    <w:rsid w:val="0008428D"/>
    <w:rsid w:val="00085483"/>
    <w:rsid w:val="00086A80"/>
    <w:rsid w:val="000905A4"/>
    <w:rsid w:val="00090ADC"/>
    <w:rsid w:val="000915E2"/>
    <w:rsid w:val="00092AA8"/>
    <w:rsid w:val="00092D99"/>
    <w:rsid w:val="00093E61"/>
    <w:rsid w:val="00094190"/>
    <w:rsid w:val="000946B6"/>
    <w:rsid w:val="00094AC6"/>
    <w:rsid w:val="000956C8"/>
    <w:rsid w:val="00095A14"/>
    <w:rsid w:val="00095BD7"/>
    <w:rsid w:val="00095C0D"/>
    <w:rsid w:val="0009621F"/>
    <w:rsid w:val="00096655"/>
    <w:rsid w:val="00096DED"/>
    <w:rsid w:val="00097E8D"/>
    <w:rsid w:val="00097FA6"/>
    <w:rsid w:val="000A0E22"/>
    <w:rsid w:val="000A0FEF"/>
    <w:rsid w:val="000A239A"/>
    <w:rsid w:val="000A24C4"/>
    <w:rsid w:val="000A24F3"/>
    <w:rsid w:val="000A3EEA"/>
    <w:rsid w:val="000A4187"/>
    <w:rsid w:val="000A440E"/>
    <w:rsid w:val="000A4438"/>
    <w:rsid w:val="000A5EC4"/>
    <w:rsid w:val="000A6EA4"/>
    <w:rsid w:val="000A76A5"/>
    <w:rsid w:val="000B0575"/>
    <w:rsid w:val="000B120A"/>
    <w:rsid w:val="000B16C0"/>
    <w:rsid w:val="000B173B"/>
    <w:rsid w:val="000B1F36"/>
    <w:rsid w:val="000B3BFC"/>
    <w:rsid w:val="000B5C0C"/>
    <w:rsid w:val="000B687B"/>
    <w:rsid w:val="000B69D6"/>
    <w:rsid w:val="000B78BC"/>
    <w:rsid w:val="000B7B0C"/>
    <w:rsid w:val="000B7B36"/>
    <w:rsid w:val="000C0190"/>
    <w:rsid w:val="000C0B1E"/>
    <w:rsid w:val="000C1A59"/>
    <w:rsid w:val="000C1AC7"/>
    <w:rsid w:val="000C1CDE"/>
    <w:rsid w:val="000C799C"/>
    <w:rsid w:val="000C7D37"/>
    <w:rsid w:val="000D00C4"/>
    <w:rsid w:val="000D02BD"/>
    <w:rsid w:val="000D1347"/>
    <w:rsid w:val="000D33E0"/>
    <w:rsid w:val="000D346F"/>
    <w:rsid w:val="000D4BB5"/>
    <w:rsid w:val="000D4F1D"/>
    <w:rsid w:val="000D565D"/>
    <w:rsid w:val="000D5FD0"/>
    <w:rsid w:val="000D6DAA"/>
    <w:rsid w:val="000E0765"/>
    <w:rsid w:val="000E0BA9"/>
    <w:rsid w:val="000E0F1C"/>
    <w:rsid w:val="000E1A64"/>
    <w:rsid w:val="000E1B83"/>
    <w:rsid w:val="000E2230"/>
    <w:rsid w:val="000E2DD8"/>
    <w:rsid w:val="000E3C79"/>
    <w:rsid w:val="000E4320"/>
    <w:rsid w:val="000E761E"/>
    <w:rsid w:val="000F1E68"/>
    <w:rsid w:val="000F273F"/>
    <w:rsid w:val="000F2EC4"/>
    <w:rsid w:val="000F31C5"/>
    <w:rsid w:val="000F35B8"/>
    <w:rsid w:val="000F3C42"/>
    <w:rsid w:val="000F4C34"/>
    <w:rsid w:val="000F6BEE"/>
    <w:rsid w:val="001011C8"/>
    <w:rsid w:val="001014D2"/>
    <w:rsid w:val="00102269"/>
    <w:rsid w:val="00102F97"/>
    <w:rsid w:val="00103441"/>
    <w:rsid w:val="001034DD"/>
    <w:rsid w:val="00104355"/>
    <w:rsid w:val="00105749"/>
    <w:rsid w:val="00105D59"/>
    <w:rsid w:val="00106F0E"/>
    <w:rsid w:val="00106F4D"/>
    <w:rsid w:val="0010703F"/>
    <w:rsid w:val="0010745C"/>
    <w:rsid w:val="0010772F"/>
    <w:rsid w:val="00107AC1"/>
    <w:rsid w:val="00107DB9"/>
    <w:rsid w:val="001114FB"/>
    <w:rsid w:val="00111B1B"/>
    <w:rsid w:val="001120EE"/>
    <w:rsid w:val="00112C8D"/>
    <w:rsid w:val="001138F1"/>
    <w:rsid w:val="00114953"/>
    <w:rsid w:val="00114F49"/>
    <w:rsid w:val="0012068A"/>
    <w:rsid w:val="00120F0B"/>
    <w:rsid w:val="00121FB4"/>
    <w:rsid w:val="00122241"/>
    <w:rsid w:val="0012252D"/>
    <w:rsid w:val="00123569"/>
    <w:rsid w:val="001235BB"/>
    <w:rsid w:val="00124CD1"/>
    <w:rsid w:val="00125511"/>
    <w:rsid w:val="0012656B"/>
    <w:rsid w:val="0013112E"/>
    <w:rsid w:val="00131442"/>
    <w:rsid w:val="001319AC"/>
    <w:rsid w:val="00132EC8"/>
    <w:rsid w:val="001335C0"/>
    <w:rsid w:val="00133C15"/>
    <w:rsid w:val="00135140"/>
    <w:rsid w:val="00135381"/>
    <w:rsid w:val="00140A7C"/>
    <w:rsid w:val="00141823"/>
    <w:rsid w:val="00141D45"/>
    <w:rsid w:val="00141DA3"/>
    <w:rsid w:val="0014290C"/>
    <w:rsid w:val="001447D6"/>
    <w:rsid w:val="001454A1"/>
    <w:rsid w:val="00146907"/>
    <w:rsid w:val="00146E48"/>
    <w:rsid w:val="00146E99"/>
    <w:rsid w:val="001514B5"/>
    <w:rsid w:val="00152F33"/>
    <w:rsid w:val="0015487C"/>
    <w:rsid w:val="001559C0"/>
    <w:rsid w:val="00155B3C"/>
    <w:rsid w:val="0015658C"/>
    <w:rsid w:val="001567D7"/>
    <w:rsid w:val="00156B99"/>
    <w:rsid w:val="00161C75"/>
    <w:rsid w:val="00163267"/>
    <w:rsid w:val="00163564"/>
    <w:rsid w:val="00164D96"/>
    <w:rsid w:val="0016573E"/>
    <w:rsid w:val="00165C6A"/>
    <w:rsid w:val="00165DE5"/>
    <w:rsid w:val="00166327"/>
    <w:rsid w:val="00167007"/>
    <w:rsid w:val="0016706D"/>
    <w:rsid w:val="001718F4"/>
    <w:rsid w:val="001720FE"/>
    <w:rsid w:val="001724BE"/>
    <w:rsid w:val="001726AF"/>
    <w:rsid w:val="00172869"/>
    <w:rsid w:val="00174D9C"/>
    <w:rsid w:val="00174EF1"/>
    <w:rsid w:val="0017618A"/>
    <w:rsid w:val="00176567"/>
    <w:rsid w:val="00176AE0"/>
    <w:rsid w:val="00176C15"/>
    <w:rsid w:val="001779C4"/>
    <w:rsid w:val="00180575"/>
    <w:rsid w:val="001818C6"/>
    <w:rsid w:val="00182E13"/>
    <w:rsid w:val="00183599"/>
    <w:rsid w:val="00185AC3"/>
    <w:rsid w:val="00185E82"/>
    <w:rsid w:val="00185FEA"/>
    <w:rsid w:val="00186473"/>
    <w:rsid w:val="001904AC"/>
    <w:rsid w:val="0019087F"/>
    <w:rsid w:val="001911CB"/>
    <w:rsid w:val="001914F5"/>
    <w:rsid w:val="001925D2"/>
    <w:rsid w:val="00196929"/>
    <w:rsid w:val="00196A9F"/>
    <w:rsid w:val="00196CFE"/>
    <w:rsid w:val="00197C4D"/>
    <w:rsid w:val="00197FB3"/>
    <w:rsid w:val="001A04E1"/>
    <w:rsid w:val="001A2BFE"/>
    <w:rsid w:val="001A2F01"/>
    <w:rsid w:val="001A3D44"/>
    <w:rsid w:val="001A3D96"/>
    <w:rsid w:val="001A4DA9"/>
    <w:rsid w:val="001A5DAA"/>
    <w:rsid w:val="001A7B53"/>
    <w:rsid w:val="001B09F1"/>
    <w:rsid w:val="001B0D41"/>
    <w:rsid w:val="001B1357"/>
    <w:rsid w:val="001B2E46"/>
    <w:rsid w:val="001B321E"/>
    <w:rsid w:val="001B3682"/>
    <w:rsid w:val="001B4BDF"/>
    <w:rsid w:val="001B615A"/>
    <w:rsid w:val="001B68CC"/>
    <w:rsid w:val="001B6C1A"/>
    <w:rsid w:val="001B6CD3"/>
    <w:rsid w:val="001B71F6"/>
    <w:rsid w:val="001C0A7A"/>
    <w:rsid w:val="001C116B"/>
    <w:rsid w:val="001C11FE"/>
    <w:rsid w:val="001C126F"/>
    <w:rsid w:val="001C1372"/>
    <w:rsid w:val="001C23DC"/>
    <w:rsid w:val="001C25A0"/>
    <w:rsid w:val="001C3A2B"/>
    <w:rsid w:val="001C3F9E"/>
    <w:rsid w:val="001C42ED"/>
    <w:rsid w:val="001C56FB"/>
    <w:rsid w:val="001C57CA"/>
    <w:rsid w:val="001C7186"/>
    <w:rsid w:val="001C7686"/>
    <w:rsid w:val="001C7B3B"/>
    <w:rsid w:val="001C7FC3"/>
    <w:rsid w:val="001D0053"/>
    <w:rsid w:val="001D05CE"/>
    <w:rsid w:val="001D0A51"/>
    <w:rsid w:val="001D2C0F"/>
    <w:rsid w:val="001D329B"/>
    <w:rsid w:val="001D4067"/>
    <w:rsid w:val="001D49C8"/>
    <w:rsid w:val="001D4B2B"/>
    <w:rsid w:val="001D501B"/>
    <w:rsid w:val="001D53F6"/>
    <w:rsid w:val="001D57EF"/>
    <w:rsid w:val="001D747F"/>
    <w:rsid w:val="001D7A1D"/>
    <w:rsid w:val="001D7B57"/>
    <w:rsid w:val="001D7EE7"/>
    <w:rsid w:val="001E1A3C"/>
    <w:rsid w:val="001E2F2E"/>
    <w:rsid w:val="001E3466"/>
    <w:rsid w:val="001E4EF8"/>
    <w:rsid w:val="001E638D"/>
    <w:rsid w:val="001E63A2"/>
    <w:rsid w:val="001E7A45"/>
    <w:rsid w:val="001F0BAB"/>
    <w:rsid w:val="001F5798"/>
    <w:rsid w:val="001F5EBF"/>
    <w:rsid w:val="001F6531"/>
    <w:rsid w:val="001F6C20"/>
    <w:rsid w:val="001F7226"/>
    <w:rsid w:val="001F7278"/>
    <w:rsid w:val="001F76ED"/>
    <w:rsid w:val="00200562"/>
    <w:rsid w:val="002013F4"/>
    <w:rsid w:val="002014E0"/>
    <w:rsid w:val="002015C0"/>
    <w:rsid w:val="00201F80"/>
    <w:rsid w:val="002021F1"/>
    <w:rsid w:val="002023C4"/>
    <w:rsid w:val="00202A46"/>
    <w:rsid w:val="00202DBB"/>
    <w:rsid w:val="0020379C"/>
    <w:rsid w:val="00203B88"/>
    <w:rsid w:val="002047F7"/>
    <w:rsid w:val="00204C0A"/>
    <w:rsid w:val="002074B8"/>
    <w:rsid w:val="0020794F"/>
    <w:rsid w:val="00207E7B"/>
    <w:rsid w:val="0021011B"/>
    <w:rsid w:val="002112CC"/>
    <w:rsid w:val="00212D50"/>
    <w:rsid w:val="0021498F"/>
    <w:rsid w:val="00214BA0"/>
    <w:rsid w:val="002158B9"/>
    <w:rsid w:val="0021603C"/>
    <w:rsid w:val="002161E3"/>
    <w:rsid w:val="002179F2"/>
    <w:rsid w:val="00217CB6"/>
    <w:rsid w:val="002202CE"/>
    <w:rsid w:val="00221A79"/>
    <w:rsid w:val="002222A9"/>
    <w:rsid w:val="002222B4"/>
    <w:rsid w:val="00222878"/>
    <w:rsid w:val="00223204"/>
    <w:rsid w:val="00223DF4"/>
    <w:rsid w:val="002257AD"/>
    <w:rsid w:val="0022594F"/>
    <w:rsid w:val="00231480"/>
    <w:rsid w:val="00233887"/>
    <w:rsid w:val="00234E5D"/>
    <w:rsid w:val="00235673"/>
    <w:rsid w:val="00236279"/>
    <w:rsid w:val="0023637D"/>
    <w:rsid w:val="00237F11"/>
    <w:rsid w:val="002402AE"/>
    <w:rsid w:val="00240E16"/>
    <w:rsid w:val="00241A44"/>
    <w:rsid w:val="00242D5C"/>
    <w:rsid w:val="00244EE2"/>
    <w:rsid w:val="00246CD0"/>
    <w:rsid w:val="00247009"/>
    <w:rsid w:val="002479D2"/>
    <w:rsid w:val="00250382"/>
    <w:rsid w:val="00250967"/>
    <w:rsid w:val="00250CA3"/>
    <w:rsid w:val="00250E3E"/>
    <w:rsid w:val="0025123A"/>
    <w:rsid w:val="0025135C"/>
    <w:rsid w:val="002515C5"/>
    <w:rsid w:val="0025239E"/>
    <w:rsid w:val="0025362D"/>
    <w:rsid w:val="0025488D"/>
    <w:rsid w:val="0025546F"/>
    <w:rsid w:val="00256283"/>
    <w:rsid w:val="00256FE2"/>
    <w:rsid w:val="002604B8"/>
    <w:rsid w:val="0026052C"/>
    <w:rsid w:val="002608AF"/>
    <w:rsid w:val="00263B61"/>
    <w:rsid w:val="00263C4D"/>
    <w:rsid w:val="00264314"/>
    <w:rsid w:val="002652C6"/>
    <w:rsid w:val="0026559D"/>
    <w:rsid w:val="002659AB"/>
    <w:rsid w:val="00266342"/>
    <w:rsid w:val="00266735"/>
    <w:rsid w:val="00266D3F"/>
    <w:rsid w:val="002678B0"/>
    <w:rsid w:val="00267FD4"/>
    <w:rsid w:val="00270014"/>
    <w:rsid w:val="002705DB"/>
    <w:rsid w:val="00271DAA"/>
    <w:rsid w:val="002725B6"/>
    <w:rsid w:val="00273192"/>
    <w:rsid w:val="0027355E"/>
    <w:rsid w:val="002749E9"/>
    <w:rsid w:val="00274EE6"/>
    <w:rsid w:val="002753F6"/>
    <w:rsid w:val="00275A55"/>
    <w:rsid w:val="00276377"/>
    <w:rsid w:val="00277402"/>
    <w:rsid w:val="00277995"/>
    <w:rsid w:val="00280002"/>
    <w:rsid w:val="002800BC"/>
    <w:rsid w:val="00281289"/>
    <w:rsid w:val="00281B0F"/>
    <w:rsid w:val="00281DEC"/>
    <w:rsid w:val="0028231F"/>
    <w:rsid w:val="00283390"/>
    <w:rsid w:val="00283A65"/>
    <w:rsid w:val="00286896"/>
    <w:rsid w:val="00286CC4"/>
    <w:rsid w:val="00287048"/>
    <w:rsid w:val="002903F5"/>
    <w:rsid w:val="00290414"/>
    <w:rsid w:val="00290626"/>
    <w:rsid w:val="0029185B"/>
    <w:rsid w:val="002919BA"/>
    <w:rsid w:val="00291A1C"/>
    <w:rsid w:val="00292072"/>
    <w:rsid w:val="00292BF2"/>
    <w:rsid w:val="0029367C"/>
    <w:rsid w:val="002944F3"/>
    <w:rsid w:val="002948C1"/>
    <w:rsid w:val="002948ED"/>
    <w:rsid w:val="00294ABB"/>
    <w:rsid w:val="00295306"/>
    <w:rsid w:val="002956ED"/>
    <w:rsid w:val="002A0B7C"/>
    <w:rsid w:val="002A1127"/>
    <w:rsid w:val="002A1C76"/>
    <w:rsid w:val="002A20F0"/>
    <w:rsid w:val="002A263F"/>
    <w:rsid w:val="002A2C51"/>
    <w:rsid w:val="002A2D10"/>
    <w:rsid w:val="002A47AC"/>
    <w:rsid w:val="002A5877"/>
    <w:rsid w:val="002A5FF6"/>
    <w:rsid w:val="002A6A7E"/>
    <w:rsid w:val="002A7943"/>
    <w:rsid w:val="002B1B8C"/>
    <w:rsid w:val="002B1D87"/>
    <w:rsid w:val="002B5903"/>
    <w:rsid w:val="002B5AAA"/>
    <w:rsid w:val="002C05B4"/>
    <w:rsid w:val="002C0FD4"/>
    <w:rsid w:val="002C1035"/>
    <w:rsid w:val="002C1F18"/>
    <w:rsid w:val="002C20E8"/>
    <w:rsid w:val="002C282D"/>
    <w:rsid w:val="002C2891"/>
    <w:rsid w:val="002C47E5"/>
    <w:rsid w:val="002C5A19"/>
    <w:rsid w:val="002C64FE"/>
    <w:rsid w:val="002C7717"/>
    <w:rsid w:val="002D03B6"/>
    <w:rsid w:val="002D0BF4"/>
    <w:rsid w:val="002D0CDE"/>
    <w:rsid w:val="002D1EFB"/>
    <w:rsid w:val="002D251C"/>
    <w:rsid w:val="002D2D02"/>
    <w:rsid w:val="002D3493"/>
    <w:rsid w:val="002D36D3"/>
    <w:rsid w:val="002D3ADD"/>
    <w:rsid w:val="002D3EBF"/>
    <w:rsid w:val="002D3FEC"/>
    <w:rsid w:val="002D4288"/>
    <w:rsid w:val="002D4356"/>
    <w:rsid w:val="002D4758"/>
    <w:rsid w:val="002D4A09"/>
    <w:rsid w:val="002D4A9C"/>
    <w:rsid w:val="002D4D56"/>
    <w:rsid w:val="002D4E9D"/>
    <w:rsid w:val="002D4F3B"/>
    <w:rsid w:val="002D61EF"/>
    <w:rsid w:val="002D62AA"/>
    <w:rsid w:val="002D6384"/>
    <w:rsid w:val="002D66A7"/>
    <w:rsid w:val="002D67CD"/>
    <w:rsid w:val="002D6CFB"/>
    <w:rsid w:val="002D6E12"/>
    <w:rsid w:val="002D7259"/>
    <w:rsid w:val="002D7FEA"/>
    <w:rsid w:val="002E01C6"/>
    <w:rsid w:val="002E1003"/>
    <w:rsid w:val="002E2F6A"/>
    <w:rsid w:val="002E3154"/>
    <w:rsid w:val="002E3BE7"/>
    <w:rsid w:val="002E4A55"/>
    <w:rsid w:val="002E6EE9"/>
    <w:rsid w:val="002E7DAB"/>
    <w:rsid w:val="002F0506"/>
    <w:rsid w:val="002F152C"/>
    <w:rsid w:val="002F15EC"/>
    <w:rsid w:val="002F50A4"/>
    <w:rsid w:val="002F6B00"/>
    <w:rsid w:val="002F7387"/>
    <w:rsid w:val="002F7F0E"/>
    <w:rsid w:val="003004E8"/>
    <w:rsid w:val="00300CF0"/>
    <w:rsid w:val="003032CC"/>
    <w:rsid w:val="0030491E"/>
    <w:rsid w:val="00310EB3"/>
    <w:rsid w:val="00311ADC"/>
    <w:rsid w:val="00312A48"/>
    <w:rsid w:val="0031404E"/>
    <w:rsid w:val="003142C1"/>
    <w:rsid w:val="003144FB"/>
    <w:rsid w:val="003145BC"/>
    <w:rsid w:val="003149ED"/>
    <w:rsid w:val="00315029"/>
    <w:rsid w:val="0031521A"/>
    <w:rsid w:val="003153CC"/>
    <w:rsid w:val="00316418"/>
    <w:rsid w:val="0031731C"/>
    <w:rsid w:val="0031774E"/>
    <w:rsid w:val="00320C83"/>
    <w:rsid w:val="003227AD"/>
    <w:rsid w:val="00322B0A"/>
    <w:rsid w:val="00322DA9"/>
    <w:rsid w:val="00322E3F"/>
    <w:rsid w:val="00324A05"/>
    <w:rsid w:val="003252E5"/>
    <w:rsid w:val="003256FB"/>
    <w:rsid w:val="00326117"/>
    <w:rsid w:val="00326B50"/>
    <w:rsid w:val="003274CF"/>
    <w:rsid w:val="003276D5"/>
    <w:rsid w:val="003307C0"/>
    <w:rsid w:val="00330C39"/>
    <w:rsid w:val="00331454"/>
    <w:rsid w:val="00331D1C"/>
    <w:rsid w:val="003335C9"/>
    <w:rsid w:val="00333BEF"/>
    <w:rsid w:val="00334E26"/>
    <w:rsid w:val="00334ED1"/>
    <w:rsid w:val="003367E1"/>
    <w:rsid w:val="00337979"/>
    <w:rsid w:val="003423C7"/>
    <w:rsid w:val="00343D49"/>
    <w:rsid w:val="00343DCF"/>
    <w:rsid w:val="00344AA4"/>
    <w:rsid w:val="00344B53"/>
    <w:rsid w:val="003453C8"/>
    <w:rsid w:val="00345690"/>
    <w:rsid w:val="00345B11"/>
    <w:rsid w:val="00346DA5"/>
    <w:rsid w:val="003474DE"/>
    <w:rsid w:val="00350961"/>
    <w:rsid w:val="00350A08"/>
    <w:rsid w:val="00350A5E"/>
    <w:rsid w:val="003510C2"/>
    <w:rsid w:val="00351C86"/>
    <w:rsid w:val="00351F67"/>
    <w:rsid w:val="00352357"/>
    <w:rsid w:val="0035557D"/>
    <w:rsid w:val="00357454"/>
    <w:rsid w:val="00357521"/>
    <w:rsid w:val="003600FE"/>
    <w:rsid w:val="00360E62"/>
    <w:rsid w:val="003612D2"/>
    <w:rsid w:val="00361681"/>
    <w:rsid w:val="00362276"/>
    <w:rsid w:val="00363464"/>
    <w:rsid w:val="0036438E"/>
    <w:rsid w:val="00366FB5"/>
    <w:rsid w:val="0037004B"/>
    <w:rsid w:val="00370B15"/>
    <w:rsid w:val="00371BAB"/>
    <w:rsid w:val="00371F54"/>
    <w:rsid w:val="00372217"/>
    <w:rsid w:val="00372C62"/>
    <w:rsid w:val="00372D1F"/>
    <w:rsid w:val="00372D9C"/>
    <w:rsid w:val="00372F6E"/>
    <w:rsid w:val="003736B5"/>
    <w:rsid w:val="00374268"/>
    <w:rsid w:val="003744F2"/>
    <w:rsid w:val="00374987"/>
    <w:rsid w:val="0037500C"/>
    <w:rsid w:val="003772B8"/>
    <w:rsid w:val="00377EA2"/>
    <w:rsid w:val="003807BC"/>
    <w:rsid w:val="00380F74"/>
    <w:rsid w:val="00381D55"/>
    <w:rsid w:val="0038241B"/>
    <w:rsid w:val="0038259E"/>
    <w:rsid w:val="003840DD"/>
    <w:rsid w:val="00385008"/>
    <w:rsid w:val="003858EE"/>
    <w:rsid w:val="0038647A"/>
    <w:rsid w:val="00386F12"/>
    <w:rsid w:val="00386F50"/>
    <w:rsid w:val="0038716D"/>
    <w:rsid w:val="003918B3"/>
    <w:rsid w:val="00391F64"/>
    <w:rsid w:val="003924AE"/>
    <w:rsid w:val="00394C2D"/>
    <w:rsid w:val="00395328"/>
    <w:rsid w:val="00396966"/>
    <w:rsid w:val="00397A92"/>
    <w:rsid w:val="003A0437"/>
    <w:rsid w:val="003A0C4C"/>
    <w:rsid w:val="003A4DE9"/>
    <w:rsid w:val="003A571E"/>
    <w:rsid w:val="003A61FB"/>
    <w:rsid w:val="003A629F"/>
    <w:rsid w:val="003B12BA"/>
    <w:rsid w:val="003B138F"/>
    <w:rsid w:val="003B197F"/>
    <w:rsid w:val="003B19F7"/>
    <w:rsid w:val="003B2814"/>
    <w:rsid w:val="003B31E8"/>
    <w:rsid w:val="003B3950"/>
    <w:rsid w:val="003B470C"/>
    <w:rsid w:val="003B7260"/>
    <w:rsid w:val="003C0A18"/>
    <w:rsid w:val="003C0FBF"/>
    <w:rsid w:val="003C1B56"/>
    <w:rsid w:val="003C2D65"/>
    <w:rsid w:val="003C4622"/>
    <w:rsid w:val="003C4744"/>
    <w:rsid w:val="003C4A6F"/>
    <w:rsid w:val="003C4DCF"/>
    <w:rsid w:val="003C5CA4"/>
    <w:rsid w:val="003C5EB1"/>
    <w:rsid w:val="003C5EC1"/>
    <w:rsid w:val="003C671B"/>
    <w:rsid w:val="003C722C"/>
    <w:rsid w:val="003C7FD8"/>
    <w:rsid w:val="003D229C"/>
    <w:rsid w:val="003D377C"/>
    <w:rsid w:val="003D4405"/>
    <w:rsid w:val="003D44C8"/>
    <w:rsid w:val="003D473F"/>
    <w:rsid w:val="003D71B6"/>
    <w:rsid w:val="003D7235"/>
    <w:rsid w:val="003D7D25"/>
    <w:rsid w:val="003D7E71"/>
    <w:rsid w:val="003E02A9"/>
    <w:rsid w:val="003E02F2"/>
    <w:rsid w:val="003E0EC7"/>
    <w:rsid w:val="003E0FDE"/>
    <w:rsid w:val="003E109C"/>
    <w:rsid w:val="003E1C8C"/>
    <w:rsid w:val="003E1E57"/>
    <w:rsid w:val="003E4208"/>
    <w:rsid w:val="003E4985"/>
    <w:rsid w:val="003E4D2D"/>
    <w:rsid w:val="003E5660"/>
    <w:rsid w:val="003E6BF7"/>
    <w:rsid w:val="003E7015"/>
    <w:rsid w:val="003E75DB"/>
    <w:rsid w:val="003E780E"/>
    <w:rsid w:val="003E7A59"/>
    <w:rsid w:val="003E7DFA"/>
    <w:rsid w:val="003F0CF6"/>
    <w:rsid w:val="003F0F80"/>
    <w:rsid w:val="003F1976"/>
    <w:rsid w:val="003F1AAE"/>
    <w:rsid w:val="003F1AC3"/>
    <w:rsid w:val="003F4294"/>
    <w:rsid w:val="003F56C4"/>
    <w:rsid w:val="003F5B1A"/>
    <w:rsid w:val="003F5D56"/>
    <w:rsid w:val="003F5ED1"/>
    <w:rsid w:val="003F6F61"/>
    <w:rsid w:val="003F6F8C"/>
    <w:rsid w:val="003F7728"/>
    <w:rsid w:val="003F7B4B"/>
    <w:rsid w:val="003F7E5E"/>
    <w:rsid w:val="00400C88"/>
    <w:rsid w:val="00400CAC"/>
    <w:rsid w:val="004035E4"/>
    <w:rsid w:val="00403908"/>
    <w:rsid w:val="00403FC5"/>
    <w:rsid w:val="00403FD3"/>
    <w:rsid w:val="00404146"/>
    <w:rsid w:val="00404EE9"/>
    <w:rsid w:val="00406419"/>
    <w:rsid w:val="00406B2A"/>
    <w:rsid w:val="004105B6"/>
    <w:rsid w:val="00410875"/>
    <w:rsid w:val="00411350"/>
    <w:rsid w:val="00412E54"/>
    <w:rsid w:val="00414E24"/>
    <w:rsid w:val="00416437"/>
    <w:rsid w:val="00416877"/>
    <w:rsid w:val="004172E7"/>
    <w:rsid w:val="00417E97"/>
    <w:rsid w:val="004209B0"/>
    <w:rsid w:val="00420D0F"/>
    <w:rsid w:val="00420DAE"/>
    <w:rsid w:val="004213B6"/>
    <w:rsid w:val="00422B4E"/>
    <w:rsid w:val="004230AE"/>
    <w:rsid w:val="004237A0"/>
    <w:rsid w:val="004242EA"/>
    <w:rsid w:val="00424601"/>
    <w:rsid w:val="00431C7A"/>
    <w:rsid w:val="00432090"/>
    <w:rsid w:val="0043306A"/>
    <w:rsid w:val="00433B2B"/>
    <w:rsid w:val="00434081"/>
    <w:rsid w:val="004356FA"/>
    <w:rsid w:val="00437284"/>
    <w:rsid w:val="00437C68"/>
    <w:rsid w:val="00440947"/>
    <w:rsid w:val="00440DDC"/>
    <w:rsid w:val="00441455"/>
    <w:rsid w:val="00441702"/>
    <w:rsid w:val="00442D21"/>
    <w:rsid w:val="004430F6"/>
    <w:rsid w:val="00443481"/>
    <w:rsid w:val="00443FF5"/>
    <w:rsid w:val="00444348"/>
    <w:rsid w:val="004445BC"/>
    <w:rsid w:val="004450DD"/>
    <w:rsid w:val="00445D7C"/>
    <w:rsid w:val="004466EB"/>
    <w:rsid w:val="00446AA5"/>
    <w:rsid w:val="00447AFE"/>
    <w:rsid w:val="00450BDE"/>
    <w:rsid w:val="00450E5E"/>
    <w:rsid w:val="00451231"/>
    <w:rsid w:val="00452398"/>
    <w:rsid w:val="00452B06"/>
    <w:rsid w:val="00452BCC"/>
    <w:rsid w:val="00453391"/>
    <w:rsid w:val="004547FE"/>
    <w:rsid w:val="004576B2"/>
    <w:rsid w:val="00460695"/>
    <w:rsid w:val="004606B6"/>
    <w:rsid w:val="0046127F"/>
    <w:rsid w:val="004616DC"/>
    <w:rsid w:val="00461914"/>
    <w:rsid w:val="00461DDB"/>
    <w:rsid w:val="0046204D"/>
    <w:rsid w:val="0046215E"/>
    <w:rsid w:val="00463040"/>
    <w:rsid w:val="00465484"/>
    <w:rsid w:val="004661A7"/>
    <w:rsid w:val="004664F8"/>
    <w:rsid w:val="00470AF2"/>
    <w:rsid w:val="00471726"/>
    <w:rsid w:val="004721A3"/>
    <w:rsid w:val="004731C5"/>
    <w:rsid w:val="00473D90"/>
    <w:rsid w:val="0047470C"/>
    <w:rsid w:val="00476D6D"/>
    <w:rsid w:val="004807A0"/>
    <w:rsid w:val="0048123A"/>
    <w:rsid w:val="00481CCC"/>
    <w:rsid w:val="00482D4B"/>
    <w:rsid w:val="0048300E"/>
    <w:rsid w:val="00485852"/>
    <w:rsid w:val="004875A3"/>
    <w:rsid w:val="004916B8"/>
    <w:rsid w:val="00491941"/>
    <w:rsid w:val="00491CEE"/>
    <w:rsid w:val="00494377"/>
    <w:rsid w:val="004952D3"/>
    <w:rsid w:val="004955B8"/>
    <w:rsid w:val="00495E83"/>
    <w:rsid w:val="004967F2"/>
    <w:rsid w:val="00497F55"/>
    <w:rsid w:val="004A1A67"/>
    <w:rsid w:val="004A1A81"/>
    <w:rsid w:val="004A3314"/>
    <w:rsid w:val="004A3F43"/>
    <w:rsid w:val="004A51D1"/>
    <w:rsid w:val="004A5B2F"/>
    <w:rsid w:val="004A63FE"/>
    <w:rsid w:val="004A6491"/>
    <w:rsid w:val="004A668C"/>
    <w:rsid w:val="004A6A3D"/>
    <w:rsid w:val="004A6D80"/>
    <w:rsid w:val="004A70D3"/>
    <w:rsid w:val="004A7B1A"/>
    <w:rsid w:val="004A7D13"/>
    <w:rsid w:val="004A7F86"/>
    <w:rsid w:val="004B0858"/>
    <w:rsid w:val="004B0C7A"/>
    <w:rsid w:val="004B0E8A"/>
    <w:rsid w:val="004B1080"/>
    <w:rsid w:val="004B1390"/>
    <w:rsid w:val="004B1BEF"/>
    <w:rsid w:val="004B30EE"/>
    <w:rsid w:val="004B4292"/>
    <w:rsid w:val="004B4602"/>
    <w:rsid w:val="004B487D"/>
    <w:rsid w:val="004B6E56"/>
    <w:rsid w:val="004C0488"/>
    <w:rsid w:val="004C06BB"/>
    <w:rsid w:val="004C1C0A"/>
    <w:rsid w:val="004C493B"/>
    <w:rsid w:val="004C5C7E"/>
    <w:rsid w:val="004C5D11"/>
    <w:rsid w:val="004C61F4"/>
    <w:rsid w:val="004C6767"/>
    <w:rsid w:val="004C7725"/>
    <w:rsid w:val="004D0ADA"/>
    <w:rsid w:val="004D0D0B"/>
    <w:rsid w:val="004D1126"/>
    <w:rsid w:val="004D1582"/>
    <w:rsid w:val="004D1D6F"/>
    <w:rsid w:val="004D225F"/>
    <w:rsid w:val="004D265A"/>
    <w:rsid w:val="004D2E33"/>
    <w:rsid w:val="004D2F6D"/>
    <w:rsid w:val="004D300F"/>
    <w:rsid w:val="004D30C5"/>
    <w:rsid w:val="004D3B27"/>
    <w:rsid w:val="004D51C1"/>
    <w:rsid w:val="004D56F5"/>
    <w:rsid w:val="004D599D"/>
    <w:rsid w:val="004D5B2C"/>
    <w:rsid w:val="004D7F34"/>
    <w:rsid w:val="004E0BD3"/>
    <w:rsid w:val="004E121D"/>
    <w:rsid w:val="004E2391"/>
    <w:rsid w:val="004E40A6"/>
    <w:rsid w:val="004E4C9A"/>
    <w:rsid w:val="004E6EFE"/>
    <w:rsid w:val="004E720C"/>
    <w:rsid w:val="004E73F9"/>
    <w:rsid w:val="004E74CB"/>
    <w:rsid w:val="004F2098"/>
    <w:rsid w:val="004F21A4"/>
    <w:rsid w:val="004F2CC5"/>
    <w:rsid w:val="004F3F0E"/>
    <w:rsid w:val="004F6FC3"/>
    <w:rsid w:val="004F7371"/>
    <w:rsid w:val="004F7716"/>
    <w:rsid w:val="00500698"/>
    <w:rsid w:val="00501FAC"/>
    <w:rsid w:val="00502F66"/>
    <w:rsid w:val="00504839"/>
    <w:rsid w:val="00504E94"/>
    <w:rsid w:val="00505336"/>
    <w:rsid w:val="005064E4"/>
    <w:rsid w:val="00507015"/>
    <w:rsid w:val="00507034"/>
    <w:rsid w:val="00507780"/>
    <w:rsid w:val="00510109"/>
    <w:rsid w:val="0051052D"/>
    <w:rsid w:val="005112CF"/>
    <w:rsid w:val="00512437"/>
    <w:rsid w:val="00512D98"/>
    <w:rsid w:val="005132AB"/>
    <w:rsid w:val="00514173"/>
    <w:rsid w:val="00515701"/>
    <w:rsid w:val="00516867"/>
    <w:rsid w:val="00517654"/>
    <w:rsid w:val="00520C01"/>
    <w:rsid w:val="00520C3E"/>
    <w:rsid w:val="00523CF2"/>
    <w:rsid w:val="00523E38"/>
    <w:rsid w:val="00524F56"/>
    <w:rsid w:val="0052503F"/>
    <w:rsid w:val="00525C25"/>
    <w:rsid w:val="00525D03"/>
    <w:rsid w:val="00526200"/>
    <w:rsid w:val="005265E9"/>
    <w:rsid w:val="00526706"/>
    <w:rsid w:val="00530228"/>
    <w:rsid w:val="005314BD"/>
    <w:rsid w:val="0053207F"/>
    <w:rsid w:val="005338B5"/>
    <w:rsid w:val="00533997"/>
    <w:rsid w:val="005344A6"/>
    <w:rsid w:val="00534D47"/>
    <w:rsid w:val="005367E5"/>
    <w:rsid w:val="00536A47"/>
    <w:rsid w:val="0053702B"/>
    <w:rsid w:val="005371F0"/>
    <w:rsid w:val="005379A6"/>
    <w:rsid w:val="005416C9"/>
    <w:rsid w:val="00541B75"/>
    <w:rsid w:val="00542BD0"/>
    <w:rsid w:val="00543506"/>
    <w:rsid w:val="00543A72"/>
    <w:rsid w:val="0054426A"/>
    <w:rsid w:val="00544D0D"/>
    <w:rsid w:val="00544F44"/>
    <w:rsid w:val="0054563C"/>
    <w:rsid w:val="005466F3"/>
    <w:rsid w:val="005475A6"/>
    <w:rsid w:val="005514A7"/>
    <w:rsid w:val="00552C20"/>
    <w:rsid w:val="00552EC8"/>
    <w:rsid w:val="00556A60"/>
    <w:rsid w:val="005575D4"/>
    <w:rsid w:val="0056090C"/>
    <w:rsid w:val="00560F5C"/>
    <w:rsid w:val="005633A1"/>
    <w:rsid w:val="00563419"/>
    <w:rsid w:val="005637D6"/>
    <w:rsid w:val="00563C8F"/>
    <w:rsid w:val="00565ED1"/>
    <w:rsid w:val="00565F17"/>
    <w:rsid w:val="00565FF0"/>
    <w:rsid w:val="0056623B"/>
    <w:rsid w:val="00566DFB"/>
    <w:rsid w:val="005679A4"/>
    <w:rsid w:val="00570279"/>
    <w:rsid w:val="00571AEA"/>
    <w:rsid w:val="00571D53"/>
    <w:rsid w:val="0057245A"/>
    <w:rsid w:val="00572507"/>
    <w:rsid w:val="0057269E"/>
    <w:rsid w:val="00574543"/>
    <w:rsid w:val="00575724"/>
    <w:rsid w:val="00575D81"/>
    <w:rsid w:val="00576218"/>
    <w:rsid w:val="00577861"/>
    <w:rsid w:val="00580048"/>
    <w:rsid w:val="00580DBD"/>
    <w:rsid w:val="00582536"/>
    <w:rsid w:val="00582ECD"/>
    <w:rsid w:val="00583518"/>
    <w:rsid w:val="0058494F"/>
    <w:rsid w:val="00584E42"/>
    <w:rsid w:val="0058508A"/>
    <w:rsid w:val="0058631F"/>
    <w:rsid w:val="00586363"/>
    <w:rsid w:val="00586CD5"/>
    <w:rsid w:val="00587440"/>
    <w:rsid w:val="00587457"/>
    <w:rsid w:val="00587587"/>
    <w:rsid w:val="005901A0"/>
    <w:rsid w:val="0059039E"/>
    <w:rsid w:val="00590AFA"/>
    <w:rsid w:val="00591049"/>
    <w:rsid w:val="00592E1B"/>
    <w:rsid w:val="0059354C"/>
    <w:rsid w:val="00593633"/>
    <w:rsid w:val="00593BDD"/>
    <w:rsid w:val="0059552F"/>
    <w:rsid w:val="00595EE6"/>
    <w:rsid w:val="005A0130"/>
    <w:rsid w:val="005A0BAF"/>
    <w:rsid w:val="005A103F"/>
    <w:rsid w:val="005A1299"/>
    <w:rsid w:val="005A161E"/>
    <w:rsid w:val="005A21B0"/>
    <w:rsid w:val="005A370C"/>
    <w:rsid w:val="005A3C0A"/>
    <w:rsid w:val="005A441A"/>
    <w:rsid w:val="005A4864"/>
    <w:rsid w:val="005A5CE1"/>
    <w:rsid w:val="005A6A33"/>
    <w:rsid w:val="005A6D22"/>
    <w:rsid w:val="005A7234"/>
    <w:rsid w:val="005B04A2"/>
    <w:rsid w:val="005B05DF"/>
    <w:rsid w:val="005B2157"/>
    <w:rsid w:val="005B21ED"/>
    <w:rsid w:val="005B2A96"/>
    <w:rsid w:val="005B2BEF"/>
    <w:rsid w:val="005B2CFD"/>
    <w:rsid w:val="005B36FD"/>
    <w:rsid w:val="005B3A5A"/>
    <w:rsid w:val="005B3C3A"/>
    <w:rsid w:val="005B5E28"/>
    <w:rsid w:val="005C04C0"/>
    <w:rsid w:val="005C073F"/>
    <w:rsid w:val="005C12AB"/>
    <w:rsid w:val="005C1740"/>
    <w:rsid w:val="005C1A7A"/>
    <w:rsid w:val="005C36C1"/>
    <w:rsid w:val="005C3AEB"/>
    <w:rsid w:val="005C4DF4"/>
    <w:rsid w:val="005C6194"/>
    <w:rsid w:val="005C72DD"/>
    <w:rsid w:val="005C7C4C"/>
    <w:rsid w:val="005D091B"/>
    <w:rsid w:val="005D1F44"/>
    <w:rsid w:val="005D2D46"/>
    <w:rsid w:val="005D381E"/>
    <w:rsid w:val="005D48A8"/>
    <w:rsid w:val="005D4F3A"/>
    <w:rsid w:val="005D57F2"/>
    <w:rsid w:val="005D597A"/>
    <w:rsid w:val="005D6A59"/>
    <w:rsid w:val="005D6C71"/>
    <w:rsid w:val="005D6CB0"/>
    <w:rsid w:val="005E1B8F"/>
    <w:rsid w:val="005E2B75"/>
    <w:rsid w:val="005E3943"/>
    <w:rsid w:val="005E3CED"/>
    <w:rsid w:val="005E41E2"/>
    <w:rsid w:val="005E4294"/>
    <w:rsid w:val="005E4843"/>
    <w:rsid w:val="005E6B14"/>
    <w:rsid w:val="005E6C91"/>
    <w:rsid w:val="005E70BD"/>
    <w:rsid w:val="005E7824"/>
    <w:rsid w:val="005F0E50"/>
    <w:rsid w:val="005F18AF"/>
    <w:rsid w:val="005F1C04"/>
    <w:rsid w:val="005F25CE"/>
    <w:rsid w:val="005F31E1"/>
    <w:rsid w:val="005F519E"/>
    <w:rsid w:val="005F63A7"/>
    <w:rsid w:val="005F6D29"/>
    <w:rsid w:val="005F700F"/>
    <w:rsid w:val="005F701E"/>
    <w:rsid w:val="005F79E4"/>
    <w:rsid w:val="005F7FBF"/>
    <w:rsid w:val="0060082E"/>
    <w:rsid w:val="006030CB"/>
    <w:rsid w:val="00603265"/>
    <w:rsid w:val="006043C1"/>
    <w:rsid w:val="006047D8"/>
    <w:rsid w:val="00605E49"/>
    <w:rsid w:val="006071A5"/>
    <w:rsid w:val="00607A07"/>
    <w:rsid w:val="00607E07"/>
    <w:rsid w:val="00610779"/>
    <w:rsid w:val="00610CCB"/>
    <w:rsid w:val="00610FE9"/>
    <w:rsid w:val="006117C3"/>
    <w:rsid w:val="00612044"/>
    <w:rsid w:val="00612C6A"/>
    <w:rsid w:val="00612E6F"/>
    <w:rsid w:val="00612EB6"/>
    <w:rsid w:val="00613B48"/>
    <w:rsid w:val="006144ED"/>
    <w:rsid w:val="0061482C"/>
    <w:rsid w:val="006158BE"/>
    <w:rsid w:val="006170C7"/>
    <w:rsid w:val="00620004"/>
    <w:rsid w:val="006205DE"/>
    <w:rsid w:val="00620BB1"/>
    <w:rsid w:val="0062187F"/>
    <w:rsid w:val="006222F8"/>
    <w:rsid w:val="00623101"/>
    <w:rsid w:val="00623EE1"/>
    <w:rsid w:val="00624557"/>
    <w:rsid w:val="006248F0"/>
    <w:rsid w:val="00625B59"/>
    <w:rsid w:val="00625E33"/>
    <w:rsid w:val="00625FB3"/>
    <w:rsid w:val="00626D8B"/>
    <w:rsid w:val="00626FFF"/>
    <w:rsid w:val="0062714C"/>
    <w:rsid w:val="00630C97"/>
    <w:rsid w:val="006322A2"/>
    <w:rsid w:val="0063251C"/>
    <w:rsid w:val="00632AA1"/>
    <w:rsid w:val="0063305E"/>
    <w:rsid w:val="006331C6"/>
    <w:rsid w:val="00633C0B"/>
    <w:rsid w:val="00634830"/>
    <w:rsid w:val="0063538D"/>
    <w:rsid w:val="006358AD"/>
    <w:rsid w:val="00635D7E"/>
    <w:rsid w:val="0063639D"/>
    <w:rsid w:val="00641167"/>
    <w:rsid w:val="00641FD5"/>
    <w:rsid w:val="00642B76"/>
    <w:rsid w:val="006434D8"/>
    <w:rsid w:val="0064417B"/>
    <w:rsid w:val="00644971"/>
    <w:rsid w:val="00645AE5"/>
    <w:rsid w:val="00645EE4"/>
    <w:rsid w:val="00645F8E"/>
    <w:rsid w:val="006467E6"/>
    <w:rsid w:val="006469D2"/>
    <w:rsid w:val="006471E9"/>
    <w:rsid w:val="00650339"/>
    <w:rsid w:val="006506D0"/>
    <w:rsid w:val="006514B7"/>
    <w:rsid w:val="00652A68"/>
    <w:rsid w:val="0065347F"/>
    <w:rsid w:val="00653C59"/>
    <w:rsid w:val="00654376"/>
    <w:rsid w:val="00654B27"/>
    <w:rsid w:val="0065501A"/>
    <w:rsid w:val="00655181"/>
    <w:rsid w:val="006563F4"/>
    <w:rsid w:val="0065646E"/>
    <w:rsid w:val="006568CD"/>
    <w:rsid w:val="006571D5"/>
    <w:rsid w:val="00657EA9"/>
    <w:rsid w:val="0066031E"/>
    <w:rsid w:val="0066113D"/>
    <w:rsid w:val="00661A3F"/>
    <w:rsid w:val="006624BF"/>
    <w:rsid w:val="006627F3"/>
    <w:rsid w:val="00662AC4"/>
    <w:rsid w:val="0066384B"/>
    <w:rsid w:val="00663853"/>
    <w:rsid w:val="00663C16"/>
    <w:rsid w:val="0066433F"/>
    <w:rsid w:val="00665784"/>
    <w:rsid w:val="00665CD7"/>
    <w:rsid w:val="00666DAA"/>
    <w:rsid w:val="00667D54"/>
    <w:rsid w:val="006714D0"/>
    <w:rsid w:val="00672873"/>
    <w:rsid w:val="0067317A"/>
    <w:rsid w:val="00673541"/>
    <w:rsid w:val="00673F43"/>
    <w:rsid w:val="00673F72"/>
    <w:rsid w:val="00675B4A"/>
    <w:rsid w:val="006767BE"/>
    <w:rsid w:val="006768DD"/>
    <w:rsid w:val="00677D69"/>
    <w:rsid w:val="00681B71"/>
    <w:rsid w:val="00682BB0"/>
    <w:rsid w:val="00682F98"/>
    <w:rsid w:val="00683CC9"/>
    <w:rsid w:val="006850AA"/>
    <w:rsid w:val="00685E10"/>
    <w:rsid w:val="00685F3C"/>
    <w:rsid w:val="006861DF"/>
    <w:rsid w:val="0068659B"/>
    <w:rsid w:val="0068752A"/>
    <w:rsid w:val="0069032B"/>
    <w:rsid w:val="006923CA"/>
    <w:rsid w:val="00692F0A"/>
    <w:rsid w:val="00693471"/>
    <w:rsid w:val="006944E1"/>
    <w:rsid w:val="00695597"/>
    <w:rsid w:val="006957A9"/>
    <w:rsid w:val="0069607C"/>
    <w:rsid w:val="0069638B"/>
    <w:rsid w:val="006971E6"/>
    <w:rsid w:val="00697B6A"/>
    <w:rsid w:val="00697EFB"/>
    <w:rsid w:val="00697FB4"/>
    <w:rsid w:val="006A0178"/>
    <w:rsid w:val="006A3637"/>
    <w:rsid w:val="006A530E"/>
    <w:rsid w:val="006A564F"/>
    <w:rsid w:val="006A60DD"/>
    <w:rsid w:val="006A671F"/>
    <w:rsid w:val="006A7181"/>
    <w:rsid w:val="006A7359"/>
    <w:rsid w:val="006A76E1"/>
    <w:rsid w:val="006B00FE"/>
    <w:rsid w:val="006B0B4C"/>
    <w:rsid w:val="006B1859"/>
    <w:rsid w:val="006B3B7B"/>
    <w:rsid w:val="006B3EE5"/>
    <w:rsid w:val="006B3F25"/>
    <w:rsid w:val="006B43F9"/>
    <w:rsid w:val="006B51C8"/>
    <w:rsid w:val="006B636B"/>
    <w:rsid w:val="006B671E"/>
    <w:rsid w:val="006B74C5"/>
    <w:rsid w:val="006C02A9"/>
    <w:rsid w:val="006C0CCF"/>
    <w:rsid w:val="006C1FAA"/>
    <w:rsid w:val="006C2568"/>
    <w:rsid w:val="006C2D6D"/>
    <w:rsid w:val="006C5110"/>
    <w:rsid w:val="006C5418"/>
    <w:rsid w:val="006C66C9"/>
    <w:rsid w:val="006C6DE7"/>
    <w:rsid w:val="006C79BA"/>
    <w:rsid w:val="006D043A"/>
    <w:rsid w:val="006D1E74"/>
    <w:rsid w:val="006D2468"/>
    <w:rsid w:val="006D27C7"/>
    <w:rsid w:val="006D27E6"/>
    <w:rsid w:val="006D29D3"/>
    <w:rsid w:val="006D2BE4"/>
    <w:rsid w:val="006D5304"/>
    <w:rsid w:val="006D5952"/>
    <w:rsid w:val="006D5DBE"/>
    <w:rsid w:val="006D6703"/>
    <w:rsid w:val="006D6FBD"/>
    <w:rsid w:val="006D7195"/>
    <w:rsid w:val="006D7ADD"/>
    <w:rsid w:val="006E08A9"/>
    <w:rsid w:val="006E137E"/>
    <w:rsid w:val="006E2693"/>
    <w:rsid w:val="006E333F"/>
    <w:rsid w:val="006E3414"/>
    <w:rsid w:val="006E4493"/>
    <w:rsid w:val="006E46A3"/>
    <w:rsid w:val="006E4E7A"/>
    <w:rsid w:val="006E5B85"/>
    <w:rsid w:val="006E6B57"/>
    <w:rsid w:val="006E7645"/>
    <w:rsid w:val="006F015B"/>
    <w:rsid w:val="006F1A5D"/>
    <w:rsid w:val="006F2B59"/>
    <w:rsid w:val="006F3806"/>
    <w:rsid w:val="006F3D7A"/>
    <w:rsid w:val="006F584B"/>
    <w:rsid w:val="006F70FE"/>
    <w:rsid w:val="006F772D"/>
    <w:rsid w:val="0070162C"/>
    <w:rsid w:val="00701B83"/>
    <w:rsid w:val="0070391C"/>
    <w:rsid w:val="007059EC"/>
    <w:rsid w:val="00706F10"/>
    <w:rsid w:val="0070703D"/>
    <w:rsid w:val="0070776B"/>
    <w:rsid w:val="00707F8F"/>
    <w:rsid w:val="0071053E"/>
    <w:rsid w:val="007119DA"/>
    <w:rsid w:val="00712ABE"/>
    <w:rsid w:val="00712D6E"/>
    <w:rsid w:val="00712F6E"/>
    <w:rsid w:val="00713600"/>
    <w:rsid w:val="007136B3"/>
    <w:rsid w:val="007137E6"/>
    <w:rsid w:val="00713DBD"/>
    <w:rsid w:val="007144BB"/>
    <w:rsid w:val="007146C9"/>
    <w:rsid w:val="007148D3"/>
    <w:rsid w:val="00717C41"/>
    <w:rsid w:val="00717D7C"/>
    <w:rsid w:val="0072022A"/>
    <w:rsid w:val="007202D4"/>
    <w:rsid w:val="00722817"/>
    <w:rsid w:val="00722DF5"/>
    <w:rsid w:val="007256BF"/>
    <w:rsid w:val="00725F2D"/>
    <w:rsid w:val="007266C0"/>
    <w:rsid w:val="00726F00"/>
    <w:rsid w:val="007273CA"/>
    <w:rsid w:val="007307FE"/>
    <w:rsid w:val="00731C0D"/>
    <w:rsid w:val="00731D6E"/>
    <w:rsid w:val="007321BD"/>
    <w:rsid w:val="00732CC0"/>
    <w:rsid w:val="007334D8"/>
    <w:rsid w:val="00733BF7"/>
    <w:rsid w:val="00733D17"/>
    <w:rsid w:val="007340F5"/>
    <w:rsid w:val="00734818"/>
    <w:rsid w:val="00735032"/>
    <w:rsid w:val="00735FBC"/>
    <w:rsid w:val="0073645B"/>
    <w:rsid w:val="007364E1"/>
    <w:rsid w:val="00737102"/>
    <w:rsid w:val="007406D0"/>
    <w:rsid w:val="00740940"/>
    <w:rsid w:val="00740A0F"/>
    <w:rsid w:val="00742968"/>
    <w:rsid w:val="00742BBC"/>
    <w:rsid w:val="00744E79"/>
    <w:rsid w:val="00744FB9"/>
    <w:rsid w:val="0074589F"/>
    <w:rsid w:val="00745BE2"/>
    <w:rsid w:val="00745F30"/>
    <w:rsid w:val="00746DC8"/>
    <w:rsid w:val="00747198"/>
    <w:rsid w:val="00747241"/>
    <w:rsid w:val="007474C0"/>
    <w:rsid w:val="0075115C"/>
    <w:rsid w:val="00751264"/>
    <w:rsid w:val="00752351"/>
    <w:rsid w:val="0075239F"/>
    <w:rsid w:val="007528FF"/>
    <w:rsid w:val="00752AB5"/>
    <w:rsid w:val="0075340E"/>
    <w:rsid w:val="0075399A"/>
    <w:rsid w:val="007544EA"/>
    <w:rsid w:val="00754FCC"/>
    <w:rsid w:val="00757D45"/>
    <w:rsid w:val="00760013"/>
    <w:rsid w:val="007603DC"/>
    <w:rsid w:val="0076129B"/>
    <w:rsid w:val="0076135C"/>
    <w:rsid w:val="00761B75"/>
    <w:rsid w:val="00763145"/>
    <w:rsid w:val="00763366"/>
    <w:rsid w:val="007644C6"/>
    <w:rsid w:val="00764908"/>
    <w:rsid w:val="0076516E"/>
    <w:rsid w:val="00765B9B"/>
    <w:rsid w:val="00765FAB"/>
    <w:rsid w:val="007660DB"/>
    <w:rsid w:val="0076674B"/>
    <w:rsid w:val="007667A1"/>
    <w:rsid w:val="007673AC"/>
    <w:rsid w:val="007712C8"/>
    <w:rsid w:val="00771948"/>
    <w:rsid w:val="007729C9"/>
    <w:rsid w:val="0077419A"/>
    <w:rsid w:val="007748C6"/>
    <w:rsid w:val="0077727D"/>
    <w:rsid w:val="0078053D"/>
    <w:rsid w:val="00780EBA"/>
    <w:rsid w:val="00781A88"/>
    <w:rsid w:val="00781F04"/>
    <w:rsid w:val="00782E08"/>
    <w:rsid w:val="00783AE6"/>
    <w:rsid w:val="00785723"/>
    <w:rsid w:val="00785E77"/>
    <w:rsid w:val="00786441"/>
    <w:rsid w:val="00786C47"/>
    <w:rsid w:val="00787B03"/>
    <w:rsid w:val="007910EB"/>
    <w:rsid w:val="00791A91"/>
    <w:rsid w:val="00792154"/>
    <w:rsid w:val="007925DC"/>
    <w:rsid w:val="0079264F"/>
    <w:rsid w:val="0079390B"/>
    <w:rsid w:val="00794C4E"/>
    <w:rsid w:val="007952C2"/>
    <w:rsid w:val="00795D30"/>
    <w:rsid w:val="00795DA7"/>
    <w:rsid w:val="007A0B5D"/>
    <w:rsid w:val="007A2325"/>
    <w:rsid w:val="007A2C51"/>
    <w:rsid w:val="007A2DE6"/>
    <w:rsid w:val="007A37F6"/>
    <w:rsid w:val="007A49CD"/>
    <w:rsid w:val="007A4B19"/>
    <w:rsid w:val="007A4FE6"/>
    <w:rsid w:val="007A5FCE"/>
    <w:rsid w:val="007A6566"/>
    <w:rsid w:val="007A6736"/>
    <w:rsid w:val="007A7224"/>
    <w:rsid w:val="007A73B3"/>
    <w:rsid w:val="007A75D0"/>
    <w:rsid w:val="007A7776"/>
    <w:rsid w:val="007B0053"/>
    <w:rsid w:val="007B204C"/>
    <w:rsid w:val="007B2389"/>
    <w:rsid w:val="007B3781"/>
    <w:rsid w:val="007B465C"/>
    <w:rsid w:val="007B483E"/>
    <w:rsid w:val="007C00EE"/>
    <w:rsid w:val="007C0637"/>
    <w:rsid w:val="007C26BE"/>
    <w:rsid w:val="007C2BF2"/>
    <w:rsid w:val="007C30DF"/>
    <w:rsid w:val="007C37DA"/>
    <w:rsid w:val="007C682E"/>
    <w:rsid w:val="007C71D4"/>
    <w:rsid w:val="007C7C30"/>
    <w:rsid w:val="007C7DB0"/>
    <w:rsid w:val="007D048F"/>
    <w:rsid w:val="007D0B02"/>
    <w:rsid w:val="007D1287"/>
    <w:rsid w:val="007D2399"/>
    <w:rsid w:val="007D2409"/>
    <w:rsid w:val="007D24B1"/>
    <w:rsid w:val="007D25BA"/>
    <w:rsid w:val="007D277F"/>
    <w:rsid w:val="007D29D9"/>
    <w:rsid w:val="007D2D6C"/>
    <w:rsid w:val="007D43EE"/>
    <w:rsid w:val="007D4F68"/>
    <w:rsid w:val="007D5E8D"/>
    <w:rsid w:val="007D6C7E"/>
    <w:rsid w:val="007D7278"/>
    <w:rsid w:val="007E0E15"/>
    <w:rsid w:val="007E20A9"/>
    <w:rsid w:val="007E24FA"/>
    <w:rsid w:val="007E2688"/>
    <w:rsid w:val="007E31BE"/>
    <w:rsid w:val="007E34E1"/>
    <w:rsid w:val="007E392D"/>
    <w:rsid w:val="007E3A92"/>
    <w:rsid w:val="007E429B"/>
    <w:rsid w:val="007E59BA"/>
    <w:rsid w:val="007E7CCC"/>
    <w:rsid w:val="007E7CDD"/>
    <w:rsid w:val="007F0BE7"/>
    <w:rsid w:val="007F1913"/>
    <w:rsid w:val="007F261F"/>
    <w:rsid w:val="007F2EE1"/>
    <w:rsid w:val="007F3013"/>
    <w:rsid w:val="007F3B81"/>
    <w:rsid w:val="007F4756"/>
    <w:rsid w:val="007F4BBA"/>
    <w:rsid w:val="007F4F2B"/>
    <w:rsid w:val="007F5B1C"/>
    <w:rsid w:val="007F6B36"/>
    <w:rsid w:val="007F74BA"/>
    <w:rsid w:val="007F7FA4"/>
    <w:rsid w:val="007F7FEF"/>
    <w:rsid w:val="00800151"/>
    <w:rsid w:val="0080031C"/>
    <w:rsid w:val="00800F8E"/>
    <w:rsid w:val="008014C0"/>
    <w:rsid w:val="0080277E"/>
    <w:rsid w:val="00802837"/>
    <w:rsid w:val="0080330C"/>
    <w:rsid w:val="0080369E"/>
    <w:rsid w:val="00804C83"/>
    <w:rsid w:val="00806EB7"/>
    <w:rsid w:val="0080766F"/>
    <w:rsid w:val="00807D08"/>
    <w:rsid w:val="00807F40"/>
    <w:rsid w:val="0081082F"/>
    <w:rsid w:val="00811884"/>
    <w:rsid w:val="00812440"/>
    <w:rsid w:val="008126ED"/>
    <w:rsid w:val="00812ED9"/>
    <w:rsid w:val="008131DA"/>
    <w:rsid w:val="00813881"/>
    <w:rsid w:val="00813DFD"/>
    <w:rsid w:val="00813FF9"/>
    <w:rsid w:val="00814A37"/>
    <w:rsid w:val="008159C6"/>
    <w:rsid w:val="008159E1"/>
    <w:rsid w:val="00815FB3"/>
    <w:rsid w:val="008160A9"/>
    <w:rsid w:val="008160E9"/>
    <w:rsid w:val="008165D1"/>
    <w:rsid w:val="008166C1"/>
    <w:rsid w:val="00816A7C"/>
    <w:rsid w:val="00816D3E"/>
    <w:rsid w:val="00816F61"/>
    <w:rsid w:val="00817C85"/>
    <w:rsid w:val="008202B3"/>
    <w:rsid w:val="00820819"/>
    <w:rsid w:val="00820B43"/>
    <w:rsid w:val="00820F90"/>
    <w:rsid w:val="00821AF7"/>
    <w:rsid w:val="00821D4B"/>
    <w:rsid w:val="008221A5"/>
    <w:rsid w:val="00823513"/>
    <w:rsid w:val="00823D5B"/>
    <w:rsid w:val="00824553"/>
    <w:rsid w:val="00825E53"/>
    <w:rsid w:val="008266F4"/>
    <w:rsid w:val="008306BD"/>
    <w:rsid w:val="008310D7"/>
    <w:rsid w:val="008311E1"/>
    <w:rsid w:val="00831ECB"/>
    <w:rsid w:val="008327BA"/>
    <w:rsid w:val="00832882"/>
    <w:rsid w:val="008332B9"/>
    <w:rsid w:val="008332C0"/>
    <w:rsid w:val="00833821"/>
    <w:rsid w:val="00834EDD"/>
    <w:rsid w:val="008354D9"/>
    <w:rsid w:val="00835780"/>
    <w:rsid w:val="00835FDB"/>
    <w:rsid w:val="008363CC"/>
    <w:rsid w:val="008363DA"/>
    <w:rsid w:val="008371BC"/>
    <w:rsid w:val="00837859"/>
    <w:rsid w:val="00837C5A"/>
    <w:rsid w:val="00840F76"/>
    <w:rsid w:val="00842690"/>
    <w:rsid w:val="00843D92"/>
    <w:rsid w:val="008446D6"/>
    <w:rsid w:val="0084545D"/>
    <w:rsid w:val="0084646F"/>
    <w:rsid w:val="008468ED"/>
    <w:rsid w:val="00846E73"/>
    <w:rsid w:val="00846EDC"/>
    <w:rsid w:val="008473B9"/>
    <w:rsid w:val="00847C20"/>
    <w:rsid w:val="00850463"/>
    <w:rsid w:val="00850788"/>
    <w:rsid w:val="0085101E"/>
    <w:rsid w:val="00852455"/>
    <w:rsid w:val="00852BE5"/>
    <w:rsid w:val="00852FD6"/>
    <w:rsid w:val="00854625"/>
    <w:rsid w:val="0085486C"/>
    <w:rsid w:val="00854B38"/>
    <w:rsid w:val="0085565C"/>
    <w:rsid w:val="008556AD"/>
    <w:rsid w:val="008557D3"/>
    <w:rsid w:val="00856909"/>
    <w:rsid w:val="008573C9"/>
    <w:rsid w:val="00861A27"/>
    <w:rsid w:val="00862E98"/>
    <w:rsid w:val="00864541"/>
    <w:rsid w:val="0086566F"/>
    <w:rsid w:val="00865AC8"/>
    <w:rsid w:val="00865B1A"/>
    <w:rsid w:val="008668FB"/>
    <w:rsid w:val="00867444"/>
    <w:rsid w:val="0086788A"/>
    <w:rsid w:val="00867AC6"/>
    <w:rsid w:val="00870A4C"/>
    <w:rsid w:val="00870BC6"/>
    <w:rsid w:val="00871466"/>
    <w:rsid w:val="00871577"/>
    <w:rsid w:val="008719FF"/>
    <w:rsid w:val="00871B42"/>
    <w:rsid w:val="00871E4B"/>
    <w:rsid w:val="0087491E"/>
    <w:rsid w:val="00876175"/>
    <w:rsid w:val="008762FB"/>
    <w:rsid w:val="00876F95"/>
    <w:rsid w:val="0087716B"/>
    <w:rsid w:val="00880160"/>
    <w:rsid w:val="0088092C"/>
    <w:rsid w:val="0088196B"/>
    <w:rsid w:val="00882C77"/>
    <w:rsid w:val="008834B0"/>
    <w:rsid w:val="0088354E"/>
    <w:rsid w:val="00884933"/>
    <w:rsid w:val="00884C3D"/>
    <w:rsid w:val="00884EBC"/>
    <w:rsid w:val="00885C0B"/>
    <w:rsid w:val="0088699A"/>
    <w:rsid w:val="00886EF4"/>
    <w:rsid w:val="008900C9"/>
    <w:rsid w:val="00890FA1"/>
    <w:rsid w:val="00891514"/>
    <w:rsid w:val="008919FB"/>
    <w:rsid w:val="00891EB2"/>
    <w:rsid w:val="0089211E"/>
    <w:rsid w:val="00893542"/>
    <w:rsid w:val="008940A5"/>
    <w:rsid w:val="0089442F"/>
    <w:rsid w:val="00895070"/>
    <w:rsid w:val="00896207"/>
    <w:rsid w:val="00896293"/>
    <w:rsid w:val="00896E42"/>
    <w:rsid w:val="00897551"/>
    <w:rsid w:val="00897C71"/>
    <w:rsid w:val="008A2999"/>
    <w:rsid w:val="008A32B3"/>
    <w:rsid w:val="008A3A39"/>
    <w:rsid w:val="008A47D5"/>
    <w:rsid w:val="008A6E5C"/>
    <w:rsid w:val="008A7141"/>
    <w:rsid w:val="008B2EDA"/>
    <w:rsid w:val="008B3ADA"/>
    <w:rsid w:val="008B456A"/>
    <w:rsid w:val="008B4AA4"/>
    <w:rsid w:val="008B6185"/>
    <w:rsid w:val="008B6EA3"/>
    <w:rsid w:val="008B7527"/>
    <w:rsid w:val="008B763A"/>
    <w:rsid w:val="008B7688"/>
    <w:rsid w:val="008B7754"/>
    <w:rsid w:val="008B7932"/>
    <w:rsid w:val="008C16B2"/>
    <w:rsid w:val="008C1AD8"/>
    <w:rsid w:val="008C2279"/>
    <w:rsid w:val="008C2591"/>
    <w:rsid w:val="008C2D8E"/>
    <w:rsid w:val="008C3DF5"/>
    <w:rsid w:val="008C5DD2"/>
    <w:rsid w:val="008C65FE"/>
    <w:rsid w:val="008C6CC1"/>
    <w:rsid w:val="008C7703"/>
    <w:rsid w:val="008C7949"/>
    <w:rsid w:val="008D189C"/>
    <w:rsid w:val="008D1B1A"/>
    <w:rsid w:val="008E0651"/>
    <w:rsid w:val="008E170C"/>
    <w:rsid w:val="008E23B8"/>
    <w:rsid w:val="008E45CE"/>
    <w:rsid w:val="008E51A2"/>
    <w:rsid w:val="008E554D"/>
    <w:rsid w:val="008E55FE"/>
    <w:rsid w:val="008E57E2"/>
    <w:rsid w:val="008E5C5B"/>
    <w:rsid w:val="008E5F60"/>
    <w:rsid w:val="008E735D"/>
    <w:rsid w:val="008F059D"/>
    <w:rsid w:val="008F320E"/>
    <w:rsid w:val="008F3B9D"/>
    <w:rsid w:val="008F3C07"/>
    <w:rsid w:val="008F4404"/>
    <w:rsid w:val="008F4C3D"/>
    <w:rsid w:val="008F4D86"/>
    <w:rsid w:val="008F503B"/>
    <w:rsid w:val="008F60B7"/>
    <w:rsid w:val="008F7F2C"/>
    <w:rsid w:val="009019CE"/>
    <w:rsid w:val="00904B0C"/>
    <w:rsid w:val="00904BA4"/>
    <w:rsid w:val="00904EC6"/>
    <w:rsid w:val="00906016"/>
    <w:rsid w:val="00907BDA"/>
    <w:rsid w:val="009116D3"/>
    <w:rsid w:val="00915A70"/>
    <w:rsid w:val="009169A8"/>
    <w:rsid w:val="00917444"/>
    <w:rsid w:val="00920230"/>
    <w:rsid w:val="00920C05"/>
    <w:rsid w:val="00921BB2"/>
    <w:rsid w:val="00922483"/>
    <w:rsid w:val="00923456"/>
    <w:rsid w:val="00923AA3"/>
    <w:rsid w:val="00923C5A"/>
    <w:rsid w:val="00925493"/>
    <w:rsid w:val="009254A9"/>
    <w:rsid w:val="00925FFC"/>
    <w:rsid w:val="00926F09"/>
    <w:rsid w:val="00926F8A"/>
    <w:rsid w:val="00926FCC"/>
    <w:rsid w:val="0093082E"/>
    <w:rsid w:val="00930A36"/>
    <w:rsid w:val="009323C8"/>
    <w:rsid w:val="00932916"/>
    <w:rsid w:val="00934117"/>
    <w:rsid w:val="00934D10"/>
    <w:rsid w:val="00935058"/>
    <w:rsid w:val="00935D33"/>
    <w:rsid w:val="00936AA7"/>
    <w:rsid w:val="009375B3"/>
    <w:rsid w:val="009376E1"/>
    <w:rsid w:val="00937733"/>
    <w:rsid w:val="00937773"/>
    <w:rsid w:val="0094030B"/>
    <w:rsid w:val="00940A8D"/>
    <w:rsid w:val="009426EA"/>
    <w:rsid w:val="00945CB2"/>
    <w:rsid w:val="00946C97"/>
    <w:rsid w:val="00946FEB"/>
    <w:rsid w:val="00947340"/>
    <w:rsid w:val="0094737D"/>
    <w:rsid w:val="00947D19"/>
    <w:rsid w:val="00951021"/>
    <w:rsid w:val="00951501"/>
    <w:rsid w:val="00951545"/>
    <w:rsid w:val="00954747"/>
    <w:rsid w:val="00954990"/>
    <w:rsid w:val="00955C3D"/>
    <w:rsid w:val="009562A2"/>
    <w:rsid w:val="009564A0"/>
    <w:rsid w:val="00956E43"/>
    <w:rsid w:val="00957DE4"/>
    <w:rsid w:val="00963194"/>
    <w:rsid w:val="009635F7"/>
    <w:rsid w:val="00964BB3"/>
    <w:rsid w:val="009650A5"/>
    <w:rsid w:val="00966389"/>
    <w:rsid w:val="00967C59"/>
    <w:rsid w:val="00970322"/>
    <w:rsid w:val="00970630"/>
    <w:rsid w:val="009710EF"/>
    <w:rsid w:val="009721EC"/>
    <w:rsid w:val="009725B4"/>
    <w:rsid w:val="0097262F"/>
    <w:rsid w:val="009728DC"/>
    <w:rsid w:val="00972E43"/>
    <w:rsid w:val="009742EA"/>
    <w:rsid w:val="009753A9"/>
    <w:rsid w:val="009757DD"/>
    <w:rsid w:val="009763D7"/>
    <w:rsid w:val="00976DF1"/>
    <w:rsid w:val="00980022"/>
    <w:rsid w:val="00981516"/>
    <w:rsid w:val="009824B1"/>
    <w:rsid w:val="009826B2"/>
    <w:rsid w:val="009836F6"/>
    <w:rsid w:val="00983F8D"/>
    <w:rsid w:val="00984B85"/>
    <w:rsid w:val="00985579"/>
    <w:rsid w:val="0098560A"/>
    <w:rsid w:val="00985D23"/>
    <w:rsid w:val="00986C40"/>
    <w:rsid w:val="00987476"/>
    <w:rsid w:val="009879FF"/>
    <w:rsid w:val="00991494"/>
    <w:rsid w:val="00991C18"/>
    <w:rsid w:val="00991E63"/>
    <w:rsid w:val="00992742"/>
    <w:rsid w:val="00992E40"/>
    <w:rsid w:val="00992FFE"/>
    <w:rsid w:val="0099428D"/>
    <w:rsid w:val="00994732"/>
    <w:rsid w:val="00994A94"/>
    <w:rsid w:val="00995EC4"/>
    <w:rsid w:val="00995F96"/>
    <w:rsid w:val="009960C9"/>
    <w:rsid w:val="009967FD"/>
    <w:rsid w:val="00996862"/>
    <w:rsid w:val="00996877"/>
    <w:rsid w:val="009972F8"/>
    <w:rsid w:val="009978FA"/>
    <w:rsid w:val="00997D6E"/>
    <w:rsid w:val="009A2B81"/>
    <w:rsid w:val="009A339A"/>
    <w:rsid w:val="009A4010"/>
    <w:rsid w:val="009A5648"/>
    <w:rsid w:val="009A6675"/>
    <w:rsid w:val="009A675F"/>
    <w:rsid w:val="009A76C7"/>
    <w:rsid w:val="009B002B"/>
    <w:rsid w:val="009B0D8E"/>
    <w:rsid w:val="009B132B"/>
    <w:rsid w:val="009B316D"/>
    <w:rsid w:val="009B34EE"/>
    <w:rsid w:val="009B3602"/>
    <w:rsid w:val="009B3940"/>
    <w:rsid w:val="009B41E2"/>
    <w:rsid w:val="009B4558"/>
    <w:rsid w:val="009B5650"/>
    <w:rsid w:val="009B628B"/>
    <w:rsid w:val="009B69BA"/>
    <w:rsid w:val="009C1C89"/>
    <w:rsid w:val="009C1FD8"/>
    <w:rsid w:val="009C28D6"/>
    <w:rsid w:val="009C2D40"/>
    <w:rsid w:val="009C394B"/>
    <w:rsid w:val="009C3C7B"/>
    <w:rsid w:val="009C3CFC"/>
    <w:rsid w:val="009C4567"/>
    <w:rsid w:val="009C4BF9"/>
    <w:rsid w:val="009C4C71"/>
    <w:rsid w:val="009C5B97"/>
    <w:rsid w:val="009C64C9"/>
    <w:rsid w:val="009C65B4"/>
    <w:rsid w:val="009C740E"/>
    <w:rsid w:val="009C7424"/>
    <w:rsid w:val="009D06F6"/>
    <w:rsid w:val="009D163D"/>
    <w:rsid w:val="009D1BA5"/>
    <w:rsid w:val="009D1DE7"/>
    <w:rsid w:val="009D1DFE"/>
    <w:rsid w:val="009D3169"/>
    <w:rsid w:val="009E1D0C"/>
    <w:rsid w:val="009E1E17"/>
    <w:rsid w:val="009E2705"/>
    <w:rsid w:val="009E2AB3"/>
    <w:rsid w:val="009E3586"/>
    <w:rsid w:val="009E3888"/>
    <w:rsid w:val="009E3D9F"/>
    <w:rsid w:val="009E5D69"/>
    <w:rsid w:val="009E6573"/>
    <w:rsid w:val="009F0B85"/>
    <w:rsid w:val="009F233B"/>
    <w:rsid w:val="009F24F4"/>
    <w:rsid w:val="009F2B2F"/>
    <w:rsid w:val="009F3C7E"/>
    <w:rsid w:val="009F49D7"/>
    <w:rsid w:val="009F4EAB"/>
    <w:rsid w:val="009F4FCD"/>
    <w:rsid w:val="009F555F"/>
    <w:rsid w:val="009F5AB5"/>
    <w:rsid w:val="009F6AF9"/>
    <w:rsid w:val="009F77C3"/>
    <w:rsid w:val="00A00593"/>
    <w:rsid w:val="00A0063F"/>
    <w:rsid w:val="00A013D9"/>
    <w:rsid w:val="00A0196B"/>
    <w:rsid w:val="00A01CF9"/>
    <w:rsid w:val="00A02953"/>
    <w:rsid w:val="00A03DFB"/>
    <w:rsid w:val="00A058BB"/>
    <w:rsid w:val="00A058C0"/>
    <w:rsid w:val="00A06406"/>
    <w:rsid w:val="00A06FB7"/>
    <w:rsid w:val="00A0772F"/>
    <w:rsid w:val="00A1054C"/>
    <w:rsid w:val="00A11157"/>
    <w:rsid w:val="00A1143D"/>
    <w:rsid w:val="00A12768"/>
    <w:rsid w:val="00A12CC0"/>
    <w:rsid w:val="00A14C20"/>
    <w:rsid w:val="00A159C0"/>
    <w:rsid w:val="00A17947"/>
    <w:rsid w:val="00A23451"/>
    <w:rsid w:val="00A25396"/>
    <w:rsid w:val="00A26AB4"/>
    <w:rsid w:val="00A26D1A"/>
    <w:rsid w:val="00A27D34"/>
    <w:rsid w:val="00A30B4F"/>
    <w:rsid w:val="00A316F9"/>
    <w:rsid w:val="00A3283F"/>
    <w:rsid w:val="00A32B80"/>
    <w:rsid w:val="00A33F3A"/>
    <w:rsid w:val="00A34B17"/>
    <w:rsid w:val="00A34E24"/>
    <w:rsid w:val="00A351DE"/>
    <w:rsid w:val="00A352F2"/>
    <w:rsid w:val="00A36D5B"/>
    <w:rsid w:val="00A40191"/>
    <w:rsid w:val="00A4020F"/>
    <w:rsid w:val="00A4076C"/>
    <w:rsid w:val="00A40C29"/>
    <w:rsid w:val="00A4179F"/>
    <w:rsid w:val="00A44D1B"/>
    <w:rsid w:val="00A44EF5"/>
    <w:rsid w:val="00A4775A"/>
    <w:rsid w:val="00A50B46"/>
    <w:rsid w:val="00A50C03"/>
    <w:rsid w:val="00A50C8F"/>
    <w:rsid w:val="00A51BBF"/>
    <w:rsid w:val="00A52D38"/>
    <w:rsid w:val="00A5305B"/>
    <w:rsid w:val="00A53DCC"/>
    <w:rsid w:val="00A53E7F"/>
    <w:rsid w:val="00A548F1"/>
    <w:rsid w:val="00A5512A"/>
    <w:rsid w:val="00A55159"/>
    <w:rsid w:val="00A5563E"/>
    <w:rsid w:val="00A5688D"/>
    <w:rsid w:val="00A57624"/>
    <w:rsid w:val="00A60005"/>
    <w:rsid w:val="00A607C4"/>
    <w:rsid w:val="00A612C0"/>
    <w:rsid w:val="00A61342"/>
    <w:rsid w:val="00A62C76"/>
    <w:rsid w:val="00A638E0"/>
    <w:rsid w:val="00A645C9"/>
    <w:rsid w:val="00A646A0"/>
    <w:rsid w:val="00A64B91"/>
    <w:rsid w:val="00A6568B"/>
    <w:rsid w:val="00A65769"/>
    <w:rsid w:val="00A65EFB"/>
    <w:rsid w:val="00A65FE9"/>
    <w:rsid w:val="00A675CC"/>
    <w:rsid w:val="00A67DD9"/>
    <w:rsid w:val="00A7095C"/>
    <w:rsid w:val="00A7174B"/>
    <w:rsid w:val="00A72FFA"/>
    <w:rsid w:val="00A73519"/>
    <w:rsid w:val="00A737BF"/>
    <w:rsid w:val="00A73A41"/>
    <w:rsid w:val="00A73FD9"/>
    <w:rsid w:val="00A74045"/>
    <w:rsid w:val="00A7551A"/>
    <w:rsid w:val="00A758BD"/>
    <w:rsid w:val="00A75CFE"/>
    <w:rsid w:val="00A7624C"/>
    <w:rsid w:val="00A76454"/>
    <w:rsid w:val="00A76716"/>
    <w:rsid w:val="00A76E5F"/>
    <w:rsid w:val="00A77343"/>
    <w:rsid w:val="00A8003B"/>
    <w:rsid w:val="00A8076C"/>
    <w:rsid w:val="00A81411"/>
    <w:rsid w:val="00A8298B"/>
    <w:rsid w:val="00A83BE5"/>
    <w:rsid w:val="00A84CEA"/>
    <w:rsid w:val="00A85230"/>
    <w:rsid w:val="00A862B7"/>
    <w:rsid w:val="00A872D1"/>
    <w:rsid w:val="00A90C86"/>
    <w:rsid w:val="00A90FC0"/>
    <w:rsid w:val="00A916DA"/>
    <w:rsid w:val="00A919C7"/>
    <w:rsid w:val="00A92052"/>
    <w:rsid w:val="00A920C0"/>
    <w:rsid w:val="00A9289A"/>
    <w:rsid w:val="00A92E25"/>
    <w:rsid w:val="00A933F7"/>
    <w:rsid w:val="00A944C2"/>
    <w:rsid w:val="00A9450C"/>
    <w:rsid w:val="00A95429"/>
    <w:rsid w:val="00A959D3"/>
    <w:rsid w:val="00A96268"/>
    <w:rsid w:val="00A97761"/>
    <w:rsid w:val="00AA0AF9"/>
    <w:rsid w:val="00AA14AF"/>
    <w:rsid w:val="00AA1716"/>
    <w:rsid w:val="00AA193D"/>
    <w:rsid w:val="00AA197A"/>
    <w:rsid w:val="00AA2998"/>
    <w:rsid w:val="00AA2A67"/>
    <w:rsid w:val="00AA32E9"/>
    <w:rsid w:val="00AA340C"/>
    <w:rsid w:val="00AA4AE5"/>
    <w:rsid w:val="00AA52FB"/>
    <w:rsid w:val="00AA625A"/>
    <w:rsid w:val="00AA632F"/>
    <w:rsid w:val="00AA66E0"/>
    <w:rsid w:val="00AB0B47"/>
    <w:rsid w:val="00AB3197"/>
    <w:rsid w:val="00AB420B"/>
    <w:rsid w:val="00AB637F"/>
    <w:rsid w:val="00AB63CF"/>
    <w:rsid w:val="00AB76A6"/>
    <w:rsid w:val="00AB7CB7"/>
    <w:rsid w:val="00AC0A0C"/>
    <w:rsid w:val="00AC22CA"/>
    <w:rsid w:val="00AC3861"/>
    <w:rsid w:val="00AC407D"/>
    <w:rsid w:val="00AC424B"/>
    <w:rsid w:val="00AC4666"/>
    <w:rsid w:val="00AC4945"/>
    <w:rsid w:val="00AC5D5E"/>
    <w:rsid w:val="00AC61A9"/>
    <w:rsid w:val="00AC71D5"/>
    <w:rsid w:val="00AD28F3"/>
    <w:rsid w:val="00AD485C"/>
    <w:rsid w:val="00AD567A"/>
    <w:rsid w:val="00AD7CE3"/>
    <w:rsid w:val="00AD7EC5"/>
    <w:rsid w:val="00AE0D14"/>
    <w:rsid w:val="00AE0ECE"/>
    <w:rsid w:val="00AE1672"/>
    <w:rsid w:val="00AE1A0C"/>
    <w:rsid w:val="00AE2333"/>
    <w:rsid w:val="00AE2513"/>
    <w:rsid w:val="00AE27CC"/>
    <w:rsid w:val="00AE349D"/>
    <w:rsid w:val="00AE5E4E"/>
    <w:rsid w:val="00AE64F3"/>
    <w:rsid w:val="00AF02B9"/>
    <w:rsid w:val="00AF0380"/>
    <w:rsid w:val="00AF1D1B"/>
    <w:rsid w:val="00AF1DB6"/>
    <w:rsid w:val="00AF39ED"/>
    <w:rsid w:val="00AF3E26"/>
    <w:rsid w:val="00AF4BC7"/>
    <w:rsid w:val="00AF555B"/>
    <w:rsid w:val="00AF6B33"/>
    <w:rsid w:val="00AF7808"/>
    <w:rsid w:val="00AF790F"/>
    <w:rsid w:val="00AF7BB5"/>
    <w:rsid w:val="00AF7C66"/>
    <w:rsid w:val="00AF7CD8"/>
    <w:rsid w:val="00AF7D36"/>
    <w:rsid w:val="00B00500"/>
    <w:rsid w:val="00B0080C"/>
    <w:rsid w:val="00B00FBB"/>
    <w:rsid w:val="00B014AB"/>
    <w:rsid w:val="00B01B41"/>
    <w:rsid w:val="00B01BF8"/>
    <w:rsid w:val="00B021F8"/>
    <w:rsid w:val="00B0314D"/>
    <w:rsid w:val="00B0316D"/>
    <w:rsid w:val="00B037F3"/>
    <w:rsid w:val="00B03C58"/>
    <w:rsid w:val="00B04412"/>
    <w:rsid w:val="00B0516F"/>
    <w:rsid w:val="00B052FB"/>
    <w:rsid w:val="00B054AE"/>
    <w:rsid w:val="00B05572"/>
    <w:rsid w:val="00B06981"/>
    <w:rsid w:val="00B06B87"/>
    <w:rsid w:val="00B075FC"/>
    <w:rsid w:val="00B106D7"/>
    <w:rsid w:val="00B106E5"/>
    <w:rsid w:val="00B12C84"/>
    <w:rsid w:val="00B12DFE"/>
    <w:rsid w:val="00B13077"/>
    <w:rsid w:val="00B13C41"/>
    <w:rsid w:val="00B144DA"/>
    <w:rsid w:val="00B1497A"/>
    <w:rsid w:val="00B160C4"/>
    <w:rsid w:val="00B1648F"/>
    <w:rsid w:val="00B16621"/>
    <w:rsid w:val="00B166ED"/>
    <w:rsid w:val="00B21C19"/>
    <w:rsid w:val="00B22A70"/>
    <w:rsid w:val="00B2354E"/>
    <w:rsid w:val="00B253A7"/>
    <w:rsid w:val="00B25460"/>
    <w:rsid w:val="00B25570"/>
    <w:rsid w:val="00B25E4B"/>
    <w:rsid w:val="00B265BF"/>
    <w:rsid w:val="00B266F6"/>
    <w:rsid w:val="00B276AA"/>
    <w:rsid w:val="00B30CF3"/>
    <w:rsid w:val="00B310E5"/>
    <w:rsid w:val="00B3206D"/>
    <w:rsid w:val="00B329DE"/>
    <w:rsid w:val="00B33784"/>
    <w:rsid w:val="00B33A4E"/>
    <w:rsid w:val="00B342B0"/>
    <w:rsid w:val="00B34B42"/>
    <w:rsid w:val="00B3551B"/>
    <w:rsid w:val="00B355EB"/>
    <w:rsid w:val="00B35D05"/>
    <w:rsid w:val="00B365FD"/>
    <w:rsid w:val="00B366B3"/>
    <w:rsid w:val="00B37FC9"/>
    <w:rsid w:val="00B41310"/>
    <w:rsid w:val="00B41614"/>
    <w:rsid w:val="00B43043"/>
    <w:rsid w:val="00B441C2"/>
    <w:rsid w:val="00B44CCD"/>
    <w:rsid w:val="00B45865"/>
    <w:rsid w:val="00B45A64"/>
    <w:rsid w:val="00B460B8"/>
    <w:rsid w:val="00B4655C"/>
    <w:rsid w:val="00B46CCA"/>
    <w:rsid w:val="00B47BB1"/>
    <w:rsid w:val="00B47D90"/>
    <w:rsid w:val="00B47F86"/>
    <w:rsid w:val="00B50B0B"/>
    <w:rsid w:val="00B51329"/>
    <w:rsid w:val="00B5162F"/>
    <w:rsid w:val="00B52383"/>
    <w:rsid w:val="00B537A8"/>
    <w:rsid w:val="00B53FAF"/>
    <w:rsid w:val="00B54B66"/>
    <w:rsid w:val="00B54BAC"/>
    <w:rsid w:val="00B55401"/>
    <w:rsid w:val="00B55CE0"/>
    <w:rsid w:val="00B56380"/>
    <w:rsid w:val="00B56A89"/>
    <w:rsid w:val="00B6065F"/>
    <w:rsid w:val="00B614DC"/>
    <w:rsid w:val="00B61D36"/>
    <w:rsid w:val="00B61DAC"/>
    <w:rsid w:val="00B62390"/>
    <w:rsid w:val="00B62AAB"/>
    <w:rsid w:val="00B63ADB"/>
    <w:rsid w:val="00B66932"/>
    <w:rsid w:val="00B66A0C"/>
    <w:rsid w:val="00B67A10"/>
    <w:rsid w:val="00B715A9"/>
    <w:rsid w:val="00B71CED"/>
    <w:rsid w:val="00B71D00"/>
    <w:rsid w:val="00B730D4"/>
    <w:rsid w:val="00B730F2"/>
    <w:rsid w:val="00B74C89"/>
    <w:rsid w:val="00B75368"/>
    <w:rsid w:val="00B759AB"/>
    <w:rsid w:val="00B769AD"/>
    <w:rsid w:val="00B769D4"/>
    <w:rsid w:val="00B76F14"/>
    <w:rsid w:val="00B77283"/>
    <w:rsid w:val="00B778D4"/>
    <w:rsid w:val="00B8001F"/>
    <w:rsid w:val="00B80431"/>
    <w:rsid w:val="00B81920"/>
    <w:rsid w:val="00B819EE"/>
    <w:rsid w:val="00B81A54"/>
    <w:rsid w:val="00B81ED3"/>
    <w:rsid w:val="00B82575"/>
    <w:rsid w:val="00B8290A"/>
    <w:rsid w:val="00B8292F"/>
    <w:rsid w:val="00B83364"/>
    <w:rsid w:val="00B84DFA"/>
    <w:rsid w:val="00B8511A"/>
    <w:rsid w:val="00B87E09"/>
    <w:rsid w:val="00B90A7C"/>
    <w:rsid w:val="00B9157A"/>
    <w:rsid w:val="00B916FD"/>
    <w:rsid w:val="00B91EDF"/>
    <w:rsid w:val="00B94347"/>
    <w:rsid w:val="00B949C4"/>
    <w:rsid w:val="00B94E4D"/>
    <w:rsid w:val="00B94EDA"/>
    <w:rsid w:val="00B9514E"/>
    <w:rsid w:val="00B953E1"/>
    <w:rsid w:val="00B95EAF"/>
    <w:rsid w:val="00B962C6"/>
    <w:rsid w:val="00B96CC0"/>
    <w:rsid w:val="00BA09ED"/>
    <w:rsid w:val="00BA18C3"/>
    <w:rsid w:val="00BA25EA"/>
    <w:rsid w:val="00BA5A9B"/>
    <w:rsid w:val="00BA7FF0"/>
    <w:rsid w:val="00BB08AD"/>
    <w:rsid w:val="00BB08BE"/>
    <w:rsid w:val="00BB1531"/>
    <w:rsid w:val="00BB1A49"/>
    <w:rsid w:val="00BB21E4"/>
    <w:rsid w:val="00BB2F10"/>
    <w:rsid w:val="00BB4218"/>
    <w:rsid w:val="00BB507D"/>
    <w:rsid w:val="00BC1BD4"/>
    <w:rsid w:val="00BC34CA"/>
    <w:rsid w:val="00BC4A3F"/>
    <w:rsid w:val="00BC52A2"/>
    <w:rsid w:val="00BC5B23"/>
    <w:rsid w:val="00BC6129"/>
    <w:rsid w:val="00BC690B"/>
    <w:rsid w:val="00BC7548"/>
    <w:rsid w:val="00BD004E"/>
    <w:rsid w:val="00BD34CE"/>
    <w:rsid w:val="00BD4DCD"/>
    <w:rsid w:val="00BD51D3"/>
    <w:rsid w:val="00BD57C0"/>
    <w:rsid w:val="00BD5A50"/>
    <w:rsid w:val="00BD5C7E"/>
    <w:rsid w:val="00BD6A5B"/>
    <w:rsid w:val="00BD7019"/>
    <w:rsid w:val="00BD7331"/>
    <w:rsid w:val="00BD7557"/>
    <w:rsid w:val="00BE1308"/>
    <w:rsid w:val="00BE2B90"/>
    <w:rsid w:val="00BE4022"/>
    <w:rsid w:val="00BE40E9"/>
    <w:rsid w:val="00BE4683"/>
    <w:rsid w:val="00BE513A"/>
    <w:rsid w:val="00BE5C65"/>
    <w:rsid w:val="00BE6A84"/>
    <w:rsid w:val="00BE7EE5"/>
    <w:rsid w:val="00BE7F75"/>
    <w:rsid w:val="00BF0686"/>
    <w:rsid w:val="00BF0D8D"/>
    <w:rsid w:val="00BF2E30"/>
    <w:rsid w:val="00BF3522"/>
    <w:rsid w:val="00BF53E1"/>
    <w:rsid w:val="00BF61D2"/>
    <w:rsid w:val="00BF6B9F"/>
    <w:rsid w:val="00BF6FB1"/>
    <w:rsid w:val="00C00048"/>
    <w:rsid w:val="00C00FD7"/>
    <w:rsid w:val="00C01AE7"/>
    <w:rsid w:val="00C02243"/>
    <w:rsid w:val="00C027EB"/>
    <w:rsid w:val="00C04542"/>
    <w:rsid w:val="00C04C44"/>
    <w:rsid w:val="00C05916"/>
    <w:rsid w:val="00C07817"/>
    <w:rsid w:val="00C07936"/>
    <w:rsid w:val="00C07E54"/>
    <w:rsid w:val="00C10251"/>
    <w:rsid w:val="00C11432"/>
    <w:rsid w:val="00C118A4"/>
    <w:rsid w:val="00C11BDB"/>
    <w:rsid w:val="00C121BE"/>
    <w:rsid w:val="00C12C65"/>
    <w:rsid w:val="00C12DBC"/>
    <w:rsid w:val="00C12F06"/>
    <w:rsid w:val="00C136EA"/>
    <w:rsid w:val="00C1567B"/>
    <w:rsid w:val="00C15D21"/>
    <w:rsid w:val="00C17F7D"/>
    <w:rsid w:val="00C21D73"/>
    <w:rsid w:val="00C22F3F"/>
    <w:rsid w:val="00C23037"/>
    <w:rsid w:val="00C246FE"/>
    <w:rsid w:val="00C259B4"/>
    <w:rsid w:val="00C26258"/>
    <w:rsid w:val="00C26B12"/>
    <w:rsid w:val="00C2743C"/>
    <w:rsid w:val="00C31089"/>
    <w:rsid w:val="00C310D9"/>
    <w:rsid w:val="00C313CE"/>
    <w:rsid w:val="00C31A4B"/>
    <w:rsid w:val="00C327C6"/>
    <w:rsid w:val="00C32F3F"/>
    <w:rsid w:val="00C3387A"/>
    <w:rsid w:val="00C35310"/>
    <w:rsid w:val="00C353FF"/>
    <w:rsid w:val="00C356B2"/>
    <w:rsid w:val="00C35ADF"/>
    <w:rsid w:val="00C35FFE"/>
    <w:rsid w:val="00C36D50"/>
    <w:rsid w:val="00C372FF"/>
    <w:rsid w:val="00C3732A"/>
    <w:rsid w:val="00C37802"/>
    <w:rsid w:val="00C40005"/>
    <w:rsid w:val="00C40B6E"/>
    <w:rsid w:val="00C42D62"/>
    <w:rsid w:val="00C43193"/>
    <w:rsid w:val="00C43396"/>
    <w:rsid w:val="00C44AB5"/>
    <w:rsid w:val="00C44CBC"/>
    <w:rsid w:val="00C44F3E"/>
    <w:rsid w:val="00C455BD"/>
    <w:rsid w:val="00C47125"/>
    <w:rsid w:val="00C50AB0"/>
    <w:rsid w:val="00C5643A"/>
    <w:rsid w:val="00C56902"/>
    <w:rsid w:val="00C56968"/>
    <w:rsid w:val="00C5702C"/>
    <w:rsid w:val="00C575E3"/>
    <w:rsid w:val="00C6083D"/>
    <w:rsid w:val="00C60D95"/>
    <w:rsid w:val="00C61498"/>
    <w:rsid w:val="00C61BCD"/>
    <w:rsid w:val="00C61F2F"/>
    <w:rsid w:val="00C629F5"/>
    <w:rsid w:val="00C63740"/>
    <w:rsid w:val="00C63A0A"/>
    <w:rsid w:val="00C64454"/>
    <w:rsid w:val="00C64C2A"/>
    <w:rsid w:val="00C64CEA"/>
    <w:rsid w:val="00C66458"/>
    <w:rsid w:val="00C67A46"/>
    <w:rsid w:val="00C707A4"/>
    <w:rsid w:val="00C72958"/>
    <w:rsid w:val="00C72AD0"/>
    <w:rsid w:val="00C736D4"/>
    <w:rsid w:val="00C7370B"/>
    <w:rsid w:val="00C73BED"/>
    <w:rsid w:val="00C75854"/>
    <w:rsid w:val="00C76BAB"/>
    <w:rsid w:val="00C77948"/>
    <w:rsid w:val="00C80B09"/>
    <w:rsid w:val="00C819D2"/>
    <w:rsid w:val="00C81C7A"/>
    <w:rsid w:val="00C828BD"/>
    <w:rsid w:val="00C83735"/>
    <w:rsid w:val="00C84482"/>
    <w:rsid w:val="00C852D5"/>
    <w:rsid w:val="00C869E2"/>
    <w:rsid w:val="00C905BA"/>
    <w:rsid w:val="00C918EF"/>
    <w:rsid w:val="00C91EB2"/>
    <w:rsid w:val="00C92637"/>
    <w:rsid w:val="00C92714"/>
    <w:rsid w:val="00C92E24"/>
    <w:rsid w:val="00C92F3C"/>
    <w:rsid w:val="00C93938"/>
    <w:rsid w:val="00C94839"/>
    <w:rsid w:val="00C9502A"/>
    <w:rsid w:val="00C95AE5"/>
    <w:rsid w:val="00C9755E"/>
    <w:rsid w:val="00C977CC"/>
    <w:rsid w:val="00C97866"/>
    <w:rsid w:val="00C97A51"/>
    <w:rsid w:val="00CA06F7"/>
    <w:rsid w:val="00CA1741"/>
    <w:rsid w:val="00CA1D4D"/>
    <w:rsid w:val="00CA1D81"/>
    <w:rsid w:val="00CA5F51"/>
    <w:rsid w:val="00CA676F"/>
    <w:rsid w:val="00CB1D21"/>
    <w:rsid w:val="00CB3ED8"/>
    <w:rsid w:val="00CB3F7F"/>
    <w:rsid w:val="00CB51BD"/>
    <w:rsid w:val="00CB56B7"/>
    <w:rsid w:val="00CB5739"/>
    <w:rsid w:val="00CB5872"/>
    <w:rsid w:val="00CB5CEE"/>
    <w:rsid w:val="00CB75AB"/>
    <w:rsid w:val="00CC0537"/>
    <w:rsid w:val="00CC06F6"/>
    <w:rsid w:val="00CC07B7"/>
    <w:rsid w:val="00CC2034"/>
    <w:rsid w:val="00CC3382"/>
    <w:rsid w:val="00CC3422"/>
    <w:rsid w:val="00CC37BA"/>
    <w:rsid w:val="00CC6A95"/>
    <w:rsid w:val="00CC6C8B"/>
    <w:rsid w:val="00CC7574"/>
    <w:rsid w:val="00CC7991"/>
    <w:rsid w:val="00CD0CC5"/>
    <w:rsid w:val="00CD1A3E"/>
    <w:rsid w:val="00CD4372"/>
    <w:rsid w:val="00CD52C1"/>
    <w:rsid w:val="00CD570D"/>
    <w:rsid w:val="00CD66FD"/>
    <w:rsid w:val="00CD7190"/>
    <w:rsid w:val="00CD745D"/>
    <w:rsid w:val="00CD747B"/>
    <w:rsid w:val="00CD75B8"/>
    <w:rsid w:val="00CD7796"/>
    <w:rsid w:val="00CD796E"/>
    <w:rsid w:val="00CD7E89"/>
    <w:rsid w:val="00CE0955"/>
    <w:rsid w:val="00CE0E25"/>
    <w:rsid w:val="00CE12A5"/>
    <w:rsid w:val="00CE159E"/>
    <w:rsid w:val="00CE47F2"/>
    <w:rsid w:val="00CE4945"/>
    <w:rsid w:val="00CE4EE8"/>
    <w:rsid w:val="00CE5013"/>
    <w:rsid w:val="00CE5918"/>
    <w:rsid w:val="00CE6315"/>
    <w:rsid w:val="00CE6A7C"/>
    <w:rsid w:val="00CE71DA"/>
    <w:rsid w:val="00CE76CE"/>
    <w:rsid w:val="00CE7E4C"/>
    <w:rsid w:val="00CF0B36"/>
    <w:rsid w:val="00CF0B87"/>
    <w:rsid w:val="00CF168C"/>
    <w:rsid w:val="00CF2E59"/>
    <w:rsid w:val="00CF33C1"/>
    <w:rsid w:val="00CF5367"/>
    <w:rsid w:val="00CF599A"/>
    <w:rsid w:val="00CF5BCD"/>
    <w:rsid w:val="00CF7896"/>
    <w:rsid w:val="00D006CF"/>
    <w:rsid w:val="00D0106B"/>
    <w:rsid w:val="00D01113"/>
    <w:rsid w:val="00D01893"/>
    <w:rsid w:val="00D01E31"/>
    <w:rsid w:val="00D0262A"/>
    <w:rsid w:val="00D02C90"/>
    <w:rsid w:val="00D043CB"/>
    <w:rsid w:val="00D0454D"/>
    <w:rsid w:val="00D045E5"/>
    <w:rsid w:val="00D05CAB"/>
    <w:rsid w:val="00D067DE"/>
    <w:rsid w:val="00D07BA8"/>
    <w:rsid w:val="00D07D85"/>
    <w:rsid w:val="00D104C2"/>
    <w:rsid w:val="00D115F4"/>
    <w:rsid w:val="00D12811"/>
    <w:rsid w:val="00D13411"/>
    <w:rsid w:val="00D137F5"/>
    <w:rsid w:val="00D13CE5"/>
    <w:rsid w:val="00D14488"/>
    <w:rsid w:val="00D14E2D"/>
    <w:rsid w:val="00D15173"/>
    <w:rsid w:val="00D15257"/>
    <w:rsid w:val="00D15491"/>
    <w:rsid w:val="00D175F3"/>
    <w:rsid w:val="00D1767C"/>
    <w:rsid w:val="00D178D5"/>
    <w:rsid w:val="00D21E76"/>
    <w:rsid w:val="00D2374E"/>
    <w:rsid w:val="00D24444"/>
    <w:rsid w:val="00D24693"/>
    <w:rsid w:val="00D249F8"/>
    <w:rsid w:val="00D24E6A"/>
    <w:rsid w:val="00D24F7B"/>
    <w:rsid w:val="00D25435"/>
    <w:rsid w:val="00D2561A"/>
    <w:rsid w:val="00D25779"/>
    <w:rsid w:val="00D25859"/>
    <w:rsid w:val="00D26EEB"/>
    <w:rsid w:val="00D2722A"/>
    <w:rsid w:val="00D273AD"/>
    <w:rsid w:val="00D27449"/>
    <w:rsid w:val="00D277DF"/>
    <w:rsid w:val="00D3068F"/>
    <w:rsid w:val="00D30E03"/>
    <w:rsid w:val="00D31DDE"/>
    <w:rsid w:val="00D31DF3"/>
    <w:rsid w:val="00D32148"/>
    <w:rsid w:val="00D32E6E"/>
    <w:rsid w:val="00D340B5"/>
    <w:rsid w:val="00D341B7"/>
    <w:rsid w:val="00D34848"/>
    <w:rsid w:val="00D364CD"/>
    <w:rsid w:val="00D366F8"/>
    <w:rsid w:val="00D37204"/>
    <w:rsid w:val="00D3730E"/>
    <w:rsid w:val="00D37676"/>
    <w:rsid w:val="00D37DBD"/>
    <w:rsid w:val="00D37E4D"/>
    <w:rsid w:val="00D37E62"/>
    <w:rsid w:val="00D401D7"/>
    <w:rsid w:val="00D414C4"/>
    <w:rsid w:val="00D41554"/>
    <w:rsid w:val="00D41BB1"/>
    <w:rsid w:val="00D43E7B"/>
    <w:rsid w:val="00D4555A"/>
    <w:rsid w:val="00D47166"/>
    <w:rsid w:val="00D47530"/>
    <w:rsid w:val="00D505ED"/>
    <w:rsid w:val="00D50EDC"/>
    <w:rsid w:val="00D51C7E"/>
    <w:rsid w:val="00D53D93"/>
    <w:rsid w:val="00D551F8"/>
    <w:rsid w:val="00D55B62"/>
    <w:rsid w:val="00D56B09"/>
    <w:rsid w:val="00D63C13"/>
    <w:rsid w:val="00D6416A"/>
    <w:rsid w:val="00D64414"/>
    <w:rsid w:val="00D64DD9"/>
    <w:rsid w:val="00D659D1"/>
    <w:rsid w:val="00D67357"/>
    <w:rsid w:val="00D704C6"/>
    <w:rsid w:val="00D731BD"/>
    <w:rsid w:val="00D73539"/>
    <w:rsid w:val="00D74369"/>
    <w:rsid w:val="00D763B5"/>
    <w:rsid w:val="00D80DA0"/>
    <w:rsid w:val="00D81044"/>
    <w:rsid w:val="00D812B4"/>
    <w:rsid w:val="00D81FC6"/>
    <w:rsid w:val="00D82E37"/>
    <w:rsid w:val="00D8347E"/>
    <w:rsid w:val="00D83F35"/>
    <w:rsid w:val="00D8447E"/>
    <w:rsid w:val="00D85E4A"/>
    <w:rsid w:val="00D86556"/>
    <w:rsid w:val="00D87B5D"/>
    <w:rsid w:val="00D87E60"/>
    <w:rsid w:val="00D91C0A"/>
    <w:rsid w:val="00D9407B"/>
    <w:rsid w:val="00D941AF"/>
    <w:rsid w:val="00D944B3"/>
    <w:rsid w:val="00D950C1"/>
    <w:rsid w:val="00D95DCA"/>
    <w:rsid w:val="00D965C0"/>
    <w:rsid w:val="00D968F1"/>
    <w:rsid w:val="00D9690E"/>
    <w:rsid w:val="00D978CB"/>
    <w:rsid w:val="00DA18C9"/>
    <w:rsid w:val="00DA1D41"/>
    <w:rsid w:val="00DA1D75"/>
    <w:rsid w:val="00DA3634"/>
    <w:rsid w:val="00DA3F73"/>
    <w:rsid w:val="00DA4E35"/>
    <w:rsid w:val="00DA55B2"/>
    <w:rsid w:val="00DA580E"/>
    <w:rsid w:val="00DA5F92"/>
    <w:rsid w:val="00DA6816"/>
    <w:rsid w:val="00DA74E6"/>
    <w:rsid w:val="00DA7601"/>
    <w:rsid w:val="00DB12C0"/>
    <w:rsid w:val="00DB1E62"/>
    <w:rsid w:val="00DB2000"/>
    <w:rsid w:val="00DB2B84"/>
    <w:rsid w:val="00DB3E80"/>
    <w:rsid w:val="00DB4581"/>
    <w:rsid w:val="00DB4D16"/>
    <w:rsid w:val="00DB5223"/>
    <w:rsid w:val="00DB5A32"/>
    <w:rsid w:val="00DB7135"/>
    <w:rsid w:val="00DC016A"/>
    <w:rsid w:val="00DC0464"/>
    <w:rsid w:val="00DC0EB9"/>
    <w:rsid w:val="00DC1622"/>
    <w:rsid w:val="00DC21C0"/>
    <w:rsid w:val="00DC2770"/>
    <w:rsid w:val="00DC3C2B"/>
    <w:rsid w:val="00DC4B58"/>
    <w:rsid w:val="00DC63C6"/>
    <w:rsid w:val="00DC6928"/>
    <w:rsid w:val="00DC6C9C"/>
    <w:rsid w:val="00DC7E14"/>
    <w:rsid w:val="00DD0064"/>
    <w:rsid w:val="00DD0340"/>
    <w:rsid w:val="00DD0FAA"/>
    <w:rsid w:val="00DD142B"/>
    <w:rsid w:val="00DD1BE5"/>
    <w:rsid w:val="00DD1E32"/>
    <w:rsid w:val="00DD2324"/>
    <w:rsid w:val="00DD2734"/>
    <w:rsid w:val="00DD2745"/>
    <w:rsid w:val="00DD2A1C"/>
    <w:rsid w:val="00DD2E91"/>
    <w:rsid w:val="00DD3B9F"/>
    <w:rsid w:val="00DD48C6"/>
    <w:rsid w:val="00DD5813"/>
    <w:rsid w:val="00DD58FE"/>
    <w:rsid w:val="00DD5AC0"/>
    <w:rsid w:val="00DD5F3B"/>
    <w:rsid w:val="00DD6B3B"/>
    <w:rsid w:val="00DD70C2"/>
    <w:rsid w:val="00DD7343"/>
    <w:rsid w:val="00DD79E9"/>
    <w:rsid w:val="00DE2824"/>
    <w:rsid w:val="00DE289A"/>
    <w:rsid w:val="00DE2980"/>
    <w:rsid w:val="00DE3C59"/>
    <w:rsid w:val="00DE3FC6"/>
    <w:rsid w:val="00DE4091"/>
    <w:rsid w:val="00DE4D81"/>
    <w:rsid w:val="00DE59A2"/>
    <w:rsid w:val="00DE633B"/>
    <w:rsid w:val="00DE6DCB"/>
    <w:rsid w:val="00DF07F0"/>
    <w:rsid w:val="00DF0955"/>
    <w:rsid w:val="00DF0EDA"/>
    <w:rsid w:val="00DF21DD"/>
    <w:rsid w:val="00DF28D7"/>
    <w:rsid w:val="00DF2964"/>
    <w:rsid w:val="00DF2B35"/>
    <w:rsid w:val="00DF2DBA"/>
    <w:rsid w:val="00DF2F1E"/>
    <w:rsid w:val="00DF44AB"/>
    <w:rsid w:val="00DF5800"/>
    <w:rsid w:val="00DF63A7"/>
    <w:rsid w:val="00DF73D6"/>
    <w:rsid w:val="00DF7882"/>
    <w:rsid w:val="00DF79F4"/>
    <w:rsid w:val="00E003D0"/>
    <w:rsid w:val="00E00C65"/>
    <w:rsid w:val="00E0125E"/>
    <w:rsid w:val="00E01CA7"/>
    <w:rsid w:val="00E02D12"/>
    <w:rsid w:val="00E035D9"/>
    <w:rsid w:val="00E036AE"/>
    <w:rsid w:val="00E036C3"/>
    <w:rsid w:val="00E04E29"/>
    <w:rsid w:val="00E04EAE"/>
    <w:rsid w:val="00E0526F"/>
    <w:rsid w:val="00E061AD"/>
    <w:rsid w:val="00E078EF"/>
    <w:rsid w:val="00E10AA9"/>
    <w:rsid w:val="00E11B34"/>
    <w:rsid w:val="00E11B3C"/>
    <w:rsid w:val="00E1296C"/>
    <w:rsid w:val="00E1486D"/>
    <w:rsid w:val="00E15447"/>
    <w:rsid w:val="00E1587B"/>
    <w:rsid w:val="00E16620"/>
    <w:rsid w:val="00E17804"/>
    <w:rsid w:val="00E17DB6"/>
    <w:rsid w:val="00E21617"/>
    <w:rsid w:val="00E21CE9"/>
    <w:rsid w:val="00E21F8A"/>
    <w:rsid w:val="00E225AF"/>
    <w:rsid w:val="00E229EF"/>
    <w:rsid w:val="00E23303"/>
    <w:rsid w:val="00E2338C"/>
    <w:rsid w:val="00E24D05"/>
    <w:rsid w:val="00E24E8F"/>
    <w:rsid w:val="00E263E4"/>
    <w:rsid w:val="00E272BC"/>
    <w:rsid w:val="00E308E9"/>
    <w:rsid w:val="00E30D41"/>
    <w:rsid w:val="00E30DC3"/>
    <w:rsid w:val="00E31D35"/>
    <w:rsid w:val="00E3282F"/>
    <w:rsid w:val="00E32D96"/>
    <w:rsid w:val="00E330B8"/>
    <w:rsid w:val="00E33477"/>
    <w:rsid w:val="00E34BB6"/>
    <w:rsid w:val="00E35130"/>
    <w:rsid w:val="00E3679D"/>
    <w:rsid w:val="00E36CA1"/>
    <w:rsid w:val="00E371AD"/>
    <w:rsid w:val="00E3753A"/>
    <w:rsid w:val="00E3791C"/>
    <w:rsid w:val="00E402EB"/>
    <w:rsid w:val="00E406E5"/>
    <w:rsid w:val="00E4119D"/>
    <w:rsid w:val="00E418CA"/>
    <w:rsid w:val="00E41998"/>
    <w:rsid w:val="00E42492"/>
    <w:rsid w:val="00E42513"/>
    <w:rsid w:val="00E4259F"/>
    <w:rsid w:val="00E4299A"/>
    <w:rsid w:val="00E4360A"/>
    <w:rsid w:val="00E43D4D"/>
    <w:rsid w:val="00E44527"/>
    <w:rsid w:val="00E46228"/>
    <w:rsid w:val="00E469BC"/>
    <w:rsid w:val="00E46A59"/>
    <w:rsid w:val="00E51769"/>
    <w:rsid w:val="00E519CF"/>
    <w:rsid w:val="00E53331"/>
    <w:rsid w:val="00E535B3"/>
    <w:rsid w:val="00E53DBC"/>
    <w:rsid w:val="00E542C6"/>
    <w:rsid w:val="00E5469E"/>
    <w:rsid w:val="00E54940"/>
    <w:rsid w:val="00E55FCF"/>
    <w:rsid w:val="00E56C79"/>
    <w:rsid w:val="00E56EA0"/>
    <w:rsid w:val="00E56F77"/>
    <w:rsid w:val="00E602DA"/>
    <w:rsid w:val="00E60A64"/>
    <w:rsid w:val="00E61BAC"/>
    <w:rsid w:val="00E6438C"/>
    <w:rsid w:val="00E64A8A"/>
    <w:rsid w:val="00E64E6F"/>
    <w:rsid w:val="00E65865"/>
    <w:rsid w:val="00E65E1C"/>
    <w:rsid w:val="00E6713E"/>
    <w:rsid w:val="00E67BDA"/>
    <w:rsid w:val="00E67D70"/>
    <w:rsid w:val="00E70DAC"/>
    <w:rsid w:val="00E70DF1"/>
    <w:rsid w:val="00E725F2"/>
    <w:rsid w:val="00E7282A"/>
    <w:rsid w:val="00E7333B"/>
    <w:rsid w:val="00E736CD"/>
    <w:rsid w:val="00E73C52"/>
    <w:rsid w:val="00E7457C"/>
    <w:rsid w:val="00E746E8"/>
    <w:rsid w:val="00E74B90"/>
    <w:rsid w:val="00E763DD"/>
    <w:rsid w:val="00E76923"/>
    <w:rsid w:val="00E7791C"/>
    <w:rsid w:val="00E80740"/>
    <w:rsid w:val="00E8154A"/>
    <w:rsid w:val="00E81880"/>
    <w:rsid w:val="00E81C0D"/>
    <w:rsid w:val="00E81D90"/>
    <w:rsid w:val="00E8280E"/>
    <w:rsid w:val="00E829A5"/>
    <w:rsid w:val="00E83A42"/>
    <w:rsid w:val="00E83F15"/>
    <w:rsid w:val="00E83F7F"/>
    <w:rsid w:val="00E85107"/>
    <w:rsid w:val="00E8517C"/>
    <w:rsid w:val="00E86044"/>
    <w:rsid w:val="00E870C3"/>
    <w:rsid w:val="00E9034C"/>
    <w:rsid w:val="00E905DC"/>
    <w:rsid w:val="00E91156"/>
    <w:rsid w:val="00E9157B"/>
    <w:rsid w:val="00E93280"/>
    <w:rsid w:val="00E9359B"/>
    <w:rsid w:val="00E93E07"/>
    <w:rsid w:val="00E93F8D"/>
    <w:rsid w:val="00E9460B"/>
    <w:rsid w:val="00E94F8E"/>
    <w:rsid w:val="00E954C7"/>
    <w:rsid w:val="00E9565B"/>
    <w:rsid w:val="00E959CC"/>
    <w:rsid w:val="00E964BD"/>
    <w:rsid w:val="00E96F90"/>
    <w:rsid w:val="00E97B50"/>
    <w:rsid w:val="00E97EBC"/>
    <w:rsid w:val="00EA06CB"/>
    <w:rsid w:val="00EA071D"/>
    <w:rsid w:val="00EA237F"/>
    <w:rsid w:val="00EA2473"/>
    <w:rsid w:val="00EA5961"/>
    <w:rsid w:val="00EA62D5"/>
    <w:rsid w:val="00EA65C2"/>
    <w:rsid w:val="00EA7BD8"/>
    <w:rsid w:val="00EA7EB6"/>
    <w:rsid w:val="00EB076E"/>
    <w:rsid w:val="00EB092A"/>
    <w:rsid w:val="00EB1C74"/>
    <w:rsid w:val="00EB1D57"/>
    <w:rsid w:val="00EB280D"/>
    <w:rsid w:val="00EB3ABE"/>
    <w:rsid w:val="00EB475B"/>
    <w:rsid w:val="00EB53E4"/>
    <w:rsid w:val="00EB5C51"/>
    <w:rsid w:val="00EB5DAB"/>
    <w:rsid w:val="00EB6C17"/>
    <w:rsid w:val="00EB7D1F"/>
    <w:rsid w:val="00EC0799"/>
    <w:rsid w:val="00EC29D2"/>
    <w:rsid w:val="00EC3979"/>
    <w:rsid w:val="00EC3DB7"/>
    <w:rsid w:val="00EC48B5"/>
    <w:rsid w:val="00EC4A45"/>
    <w:rsid w:val="00EC4EAE"/>
    <w:rsid w:val="00EC4F18"/>
    <w:rsid w:val="00EC5420"/>
    <w:rsid w:val="00EC5D82"/>
    <w:rsid w:val="00EC6643"/>
    <w:rsid w:val="00EC6A98"/>
    <w:rsid w:val="00EC7F57"/>
    <w:rsid w:val="00ED01F7"/>
    <w:rsid w:val="00ED0D64"/>
    <w:rsid w:val="00ED18A1"/>
    <w:rsid w:val="00ED1C06"/>
    <w:rsid w:val="00ED2154"/>
    <w:rsid w:val="00ED23D1"/>
    <w:rsid w:val="00ED2C98"/>
    <w:rsid w:val="00ED4136"/>
    <w:rsid w:val="00ED52D1"/>
    <w:rsid w:val="00ED547D"/>
    <w:rsid w:val="00ED6A96"/>
    <w:rsid w:val="00ED7816"/>
    <w:rsid w:val="00EE0EFE"/>
    <w:rsid w:val="00EE14E5"/>
    <w:rsid w:val="00EE2486"/>
    <w:rsid w:val="00EE26AD"/>
    <w:rsid w:val="00EE43BC"/>
    <w:rsid w:val="00EE4648"/>
    <w:rsid w:val="00EE5492"/>
    <w:rsid w:val="00EE6915"/>
    <w:rsid w:val="00EE6C24"/>
    <w:rsid w:val="00EF059C"/>
    <w:rsid w:val="00EF1EAA"/>
    <w:rsid w:val="00EF29C5"/>
    <w:rsid w:val="00EF2E5C"/>
    <w:rsid w:val="00EF377B"/>
    <w:rsid w:val="00EF401D"/>
    <w:rsid w:val="00EF41B0"/>
    <w:rsid w:val="00EF5807"/>
    <w:rsid w:val="00EF58D7"/>
    <w:rsid w:val="00EF59F5"/>
    <w:rsid w:val="00EF6004"/>
    <w:rsid w:val="00EF7259"/>
    <w:rsid w:val="00EF74CD"/>
    <w:rsid w:val="00F02072"/>
    <w:rsid w:val="00F020B1"/>
    <w:rsid w:val="00F030D3"/>
    <w:rsid w:val="00F058EC"/>
    <w:rsid w:val="00F06732"/>
    <w:rsid w:val="00F0751D"/>
    <w:rsid w:val="00F107C4"/>
    <w:rsid w:val="00F12261"/>
    <w:rsid w:val="00F1240B"/>
    <w:rsid w:val="00F12B53"/>
    <w:rsid w:val="00F14992"/>
    <w:rsid w:val="00F176A7"/>
    <w:rsid w:val="00F20068"/>
    <w:rsid w:val="00F20532"/>
    <w:rsid w:val="00F2061F"/>
    <w:rsid w:val="00F211D4"/>
    <w:rsid w:val="00F21D28"/>
    <w:rsid w:val="00F234E5"/>
    <w:rsid w:val="00F24280"/>
    <w:rsid w:val="00F24315"/>
    <w:rsid w:val="00F244B6"/>
    <w:rsid w:val="00F248AD"/>
    <w:rsid w:val="00F24C66"/>
    <w:rsid w:val="00F25811"/>
    <w:rsid w:val="00F25C0A"/>
    <w:rsid w:val="00F262AB"/>
    <w:rsid w:val="00F30534"/>
    <w:rsid w:val="00F308AF"/>
    <w:rsid w:val="00F3116B"/>
    <w:rsid w:val="00F3156B"/>
    <w:rsid w:val="00F31C9D"/>
    <w:rsid w:val="00F32C48"/>
    <w:rsid w:val="00F3392A"/>
    <w:rsid w:val="00F34FAB"/>
    <w:rsid w:val="00F35069"/>
    <w:rsid w:val="00F37436"/>
    <w:rsid w:val="00F407A8"/>
    <w:rsid w:val="00F41424"/>
    <w:rsid w:val="00F41FC0"/>
    <w:rsid w:val="00F423B1"/>
    <w:rsid w:val="00F43E04"/>
    <w:rsid w:val="00F451AE"/>
    <w:rsid w:val="00F45467"/>
    <w:rsid w:val="00F5026A"/>
    <w:rsid w:val="00F50316"/>
    <w:rsid w:val="00F50D35"/>
    <w:rsid w:val="00F5135E"/>
    <w:rsid w:val="00F534A1"/>
    <w:rsid w:val="00F53872"/>
    <w:rsid w:val="00F546D9"/>
    <w:rsid w:val="00F547B9"/>
    <w:rsid w:val="00F5485A"/>
    <w:rsid w:val="00F54CCD"/>
    <w:rsid w:val="00F564AE"/>
    <w:rsid w:val="00F564BF"/>
    <w:rsid w:val="00F56786"/>
    <w:rsid w:val="00F57AAD"/>
    <w:rsid w:val="00F60321"/>
    <w:rsid w:val="00F60FE5"/>
    <w:rsid w:val="00F61783"/>
    <w:rsid w:val="00F62177"/>
    <w:rsid w:val="00F62345"/>
    <w:rsid w:val="00F62AC1"/>
    <w:rsid w:val="00F6334A"/>
    <w:rsid w:val="00F64CE6"/>
    <w:rsid w:val="00F66129"/>
    <w:rsid w:val="00F673E0"/>
    <w:rsid w:val="00F676A0"/>
    <w:rsid w:val="00F67E08"/>
    <w:rsid w:val="00F67E62"/>
    <w:rsid w:val="00F70224"/>
    <w:rsid w:val="00F70254"/>
    <w:rsid w:val="00F7093A"/>
    <w:rsid w:val="00F710D9"/>
    <w:rsid w:val="00F7135A"/>
    <w:rsid w:val="00F7139B"/>
    <w:rsid w:val="00F7144D"/>
    <w:rsid w:val="00F72F32"/>
    <w:rsid w:val="00F73901"/>
    <w:rsid w:val="00F73D98"/>
    <w:rsid w:val="00F7461A"/>
    <w:rsid w:val="00F747E0"/>
    <w:rsid w:val="00F77166"/>
    <w:rsid w:val="00F7765E"/>
    <w:rsid w:val="00F8089C"/>
    <w:rsid w:val="00F809F9"/>
    <w:rsid w:val="00F813CB"/>
    <w:rsid w:val="00F8203A"/>
    <w:rsid w:val="00F84AE4"/>
    <w:rsid w:val="00F861D1"/>
    <w:rsid w:val="00F86306"/>
    <w:rsid w:val="00F87782"/>
    <w:rsid w:val="00F9030E"/>
    <w:rsid w:val="00F908B1"/>
    <w:rsid w:val="00F92DA1"/>
    <w:rsid w:val="00F9463E"/>
    <w:rsid w:val="00F95D86"/>
    <w:rsid w:val="00F96DB7"/>
    <w:rsid w:val="00FA045D"/>
    <w:rsid w:val="00FA166D"/>
    <w:rsid w:val="00FA184C"/>
    <w:rsid w:val="00FA1C95"/>
    <w:rsid w:val="00FA1D62"/>
    <w:rsid w:val="00FA22DE"/>
    <w:rsid w:val="00FA36EA"/>
    <w:rsid w:val="00FA3A0A"/>
    <w:rsid w:val="00FA771D"/>
    <w:rsid w:val="00FB120C"/>
    <w:rsid w:val="00FB12E3"/>
    <w:rsid w:val="00FB16A1"/>
    <w:rsid w:val="00FB2EEB"/>
    <w:rsid w:val="00FB3832"/>
    <w:rsid w:val="00FB3A64"/>
    <w:rsid w:val="00FB41FD"/>
    <w:rsid w:val="00FB455A"/>
    <w:rsid w:val="00FB4960"/>
    <w:rsid w:val="00FB53BD"/>
    <w:rsid w:val="00FB5415"/>
    <w:rsid w:val="00FB56B0"/>
    <w:rsid w:val="00FB5FC7"/>
    <w:rsid w:val="00FC0006"/>
    <w:rsid w:val="00FC0F81"/>
    <w:rsid w:val="00FC176F"/>
    <w:rsid w:val="00FC1A57"/>
    <w:rsid w:val="00FC1E17"/>
    <w:rsid w:val="00FC2E53"/>
    <w:rsid w:val="00FC3680"/>
    <w:rsid w:val="00FC3C5A"/>
    <w:rsid w:val="00FC44C4"/>
    <w:rsid w:val="00FC4836"/>
    <w:rsid w:val="00FC6F81"/>
    <w:rsid w:val="00FC7813"/>
    <w:rsid w:val="00FD03BD"/>
    <w:rsid w:val="00FD0E29"/>
    <w:rsid w:val="00FD0F9E"/>
    <w:rsid w:val="00FD1D43"/>
    <w:rsid w:val="00FD233D"/>
    <w:rsid w:val="00FD2D93"/>
    <w:rsid w:val="00FD5BF5"/>
    <w:rsid w:val="00FD6C00"/>
    <w:rsid w:val="00FD6EA7"/>
    <w:rsid w:val="00FD6FED"/>
    <w:rsid w:val="00FD7C0E"/>
    <w:rsid w:val="00FD7F5B"/>
    <w:rsid w:val="00FE109D"/>
    <w:rsid w:val="00FE1C78"/>
    <w:rsid w:val="00FE1D35"/>
    <w:rsid w:val="00FE2EB5"/>
    <w:rsid w:val="00FE3EF1"/>
    <w:rsid w:val="00FE3F0F"/>
    <w:rsid w:val="00FE4016"/>
    <w:rsid w:val="00FE4854"/>
    <w:rsid w:val="00FE4910"/>
    <w:rsid w:val="00FE545C"/>
    <w:rsid w:val="00FE60B7"/>
    <w:rsid w:val="00FF02D7"/>
    <w:rsid w:val="00FF0D72"/>
    <w:rsid w:val="00FF41F4"/>
    <w:rsid w:val="00FF6AF3"/>
    <w:rsid w:val="00FF6F90"/>
    <w:rsid w:val="00FF7812"/>
    <w:rsid w:val="00FF7DF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A3913A"/>
  <w14:defaultImageDpi w14:val="32767"/>
  <w15:docId w15:val="{3E19C726-3D9A-064E-AFC1-1312BCA9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57A9"/>
    <w:pPr>
      <w:tabs>
        <w:tab w:val="left" w:pos="4962"/>
      </w:tabs>
      <w:spacing w:before="200" w:after="200" w:line="240" w:lineRule="exact"/>
    </w:pPr>
    <w:rPr>
      <w:rFonts w:ascii="Palatino Linotype" w:eastAsia="Calibri" w:hAnsi="Palatino Linotype" w:cs="Times New Roman"/>
      <w:sz w:val="18"/>
      <w:szCs w:val="20"/>
      <w:lang w:val="en-AU" w:eastAsia="en-AU"/>
    </w:rPr>
  </w:style>
  <w:style w:type="paragraph" w:styleId="Heading1">
    <w:name w:val="heading 1"/>
    <w:basedOn w:val="Normal"/>
    <w:next w:val="Normal"/>
    <w:link w:val="Heading1Char"/>
    <w:uiPriority w:val="9"/>
    <w:qFormat/>
    <w:rsid w:val="00966389"/>
    <w:pPr>
      <w:keepNext/>
      <w:keepLines/>
      <w:numPr>
        <w:numId w:val="3"/>
      </w:numPr>
      <w:tabs>
        <w:tab w:val="clear" w:pos="4962"/>
      </w:tabs>
      <w:spacing w:before="360" w:after="240" w:line="240" w:lineRule="auto"/>
      <w:outlineLvl w:val="0"/>
    </w:pPr>
    <w:rPr>
      <w:rFonts w:ascii="Helvetica" w:eastAsia="MS Gothic" w:hAnsi="Helvetica"/>
      <w:bCs/>
      <w:sz w:val="40"/>
      <w:szCs w:val="28"/>
    </w:rPr>
  </w:style>
  <w:style w:type="paragraph" w:styleId="Heading2">
    <w:name w:val="heading 2"/>
    <w:basedOn w:val="Normal"/>
    <w:next w:val="Normal"/>
    <w:link w:val="Heading2Char"/>
    <w:uiPriority w:val="9"/>
    <w:unhideWhenUsed/>
    <w:qFormat/>
    <w:rsid w:val="00286CC4"/>
    <w:pPr>
      <w:keepNext/>
      <w:keepLines/>
      <w:numPr>
        <w:ilvl w:val="1"/>
        <w:numId w:val="3"/>
      </w:numPr>
      <w:tabs>
        <w:tab w:val="clear" w:pos="4962"/>
      </w:tabs>
      <w:spacing w:before="360"/>
      <w:outlineLvl w:val="1"/>
    </w:pPr>
    <w:rPr>
      <w:rFonts w:ascii="Helvetica" w:eastAsia="MS Gothic" w:hAnsi="Helvetica"/>
      <w:b/>
      <w:bCs/>
      <w:caps/>
      <w:spacing w:val="18"/>
      <w:sz w:val="20"/>
    </w:rPr>
  </w:style>
  <w:style w:type="paragraph" w:styleId="Heading3">
    <w:name w:val="heading 3"/>
    <w:basedOn w:val="Normal"/>
    <w:next w:val="Normal"/>
    <w:link w:val="Heading3Char"/>
    <w:uiPriority w:val="9"/>
    <w:unhideWhenUsed/>
    <w:qFormat/>
    <w:rsid w:val="00237F11"/>
    <w:pPr>
      <w:keepNext/>
      <w:keepLines/>
      <w:numPr>
        <w:ilvl w:val="2"/>
        <w:numId w:val="3"/>
      </w:numPr>
      <w:tabs>
        <w:tab w:val="clear" w:pos="4962"/>
      </w:tabs>
      <w:outlineLvl w:val="2"/>
    </w:pPr>
    <w:rPr>
      <w:rFonts w:ascii="Helvetica" w:eastAsiaTheme="majorEastAsia" w:hAnsi="Helvetica" w:cs="Helvetica"/>
      <w:b/>
      <w:bCs/>
      <w:caps/>
      <w:spacing w:val="20"/>
      <w:sz w:val="14"/>
      <w:szCs w:val="14"/>
    </w:rPr>
  </w:style>
  <w:style w:type="paragraph" w:styleId="Heading4">
    <w:name w:val="heading 4"/>
    <w:basedOn w:val="Normal"/>
    <w:next w:val="Normal"/>
    <w:link w:val="Heading4Char"/>
    <w:uiPriority w:val="9"/>
    <w:unhideWhenUsed/>
    <w:qFormat/>
    <w:rsid w:val="003145BC"/>
    <w:pPr>
      <w:keepNext/>
      <w:keepLines/>
      <w:tabs>
        <w:tab w:val="clear" w:pos="4962"/>
      </w:tabs>
      <w:ind w:left="1134" w:hanging="1134"/>
      <w:outlineLvl w:val="3"/>
    </w:pPr>
    <w:rPr>
      <w:rFonts w:ascii="Helvetica" w:eastAsiaTheme="majorEastAsia" w:hAnsi="Helvetica" w:cs="Times New Roman (Headings CS)"/>
      <w:b/>
      <w:i/>
      <w:iCs/>
      <w:smallCaps/>
      <w:color w:val="000000" w:themeColor="text1"/>
      <w:sz w:val="16"/>
      <w:szCs w:val="16"/>
    </w:rPr>
  </w:style>
  <w:style w:type="paragraph" w:styleId="Heading5">
    <w:name w:val="heading 5"/>
    <w:basedOn w:val="Normal"/>
    <w:next w:val="Normal"/>
    <w:link w:val="Heading5Char"/>
    <w:uiPriority w:val="9"/>
    <w:unhideWhenUsed/>
    <w:qFormat/>
    <w:rsid w:val="003145BC"/>
    <w:pPr>
      <w:keepNext/>
      <w:keepLines/>
      <w:tabs>
        <w:tab w:val="clear" w:pos="4962"/>
      </w:tabs>
      <w:ind w:left="1134" w:hanging="1134"/>
      <w:outlineLvl w:val="4"/>
    </w:pPr>
    <w:rPr>
      <w:rFonts w:ascii="Helvetica" w:eastAsia="Times New Roman" w:hAnsi="Helvetica" w:cs="Times New Roman (Headings CS)"/>
      <w:iCs/>
      <w:color w:val="000000"/>
      <w:sz w:val="16"/>
      <w:szCs w:val="16"/>
      <w:u w:val="single"/>
    </w:rPr>
  </w:style>
  <w:style w:type="paragraph" w:styleId="Heading6">
    <w:name w:val="heading 6"/>
    <w:basedOn w:val="Normal"/>
    <w:next w:val="Normal"/>
    <w:link w:val="Heading6Char"/>
    <w:uiPriority w:val="9"/>
    <w:unhideWhenUsed/>
    <w:qFormat/>
    <w:rsid w:val="003145BC"/>
    <w:pPr>
      <w:keepNext/>
      <w:keepLines/>
      <w:tabs>
        <w:tab w:val="clear" w:pos="4962"/>
      </w:tabs>
      <w:ind w:left="1152" w:hanging="1152"/>
      <w:outlineLvl w:val="5"/>
    </w:pPr>
    <w:rPr>
      <w:rFonts w:ascii="Helvetica" w:eastAsiaTheme="minorEastAsia" w:hAnsi="Helvetica" w:cs="Times New Roman (Headings CS)"/>
      <w:i/>
      <w:iCs/>
      <w:color w:val="000000" w:themeColor="text1"/>
      <w:sz w:val="16"/>
      <w:szCs w:val="16"/>
    </w:rPr>
  </w:style>
  <w:style w:type="paragraph" w:styleId="Heading7">
    <w:name w:val="heading 7"/>
    <w:basedOn w:val="Heading6"/>
    <w:next w:val="Normal"/>
    <w:link w:val="Heading7Char"/>
    <w:uiPriority w:val="9"/>
    <w:unhideWhenUsed/>
    <w:rsid w:val="00966389"/>
    <w:pPr>
      <w:numPr>
        <w:ilvl w:val="6"/>
        <w:numId w:val="3"/>
      </w:numPr>
      <w:outlineLvl w:val="6"/>
    </w:pPr>
  </w:style>
  <w:style w:type="paragraph" w:styleId="Heading8">
    <w:name w:val="heading 8"/>
    <w:basedOn w:val="Normal"/>
    <w:next w:val="Normal"/>
    <w:link w:val="Heading8Char"/>
    <w:uiPriority w:val="9"/>
    <w:semiHidden/>
    <w:unhideWhenUsed/>
    <w:rsid w:val="00966389"/>
    <w:pPr>
      <w:keepNext/>
      <w:keepLines/>
      <w:numPr>
        <w:ilvl w:val="7"/>
        <w:numId w:val="3"/>
      </w:numPr>
      <w:spacing w:before="4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unhideWhenUsed/>
    <w:qFormat/>
    <w:rsid w:val="00966389"/>
    <w:pPr>
      <w:keepNext/>
      <w:keepLines/>
      <w:numPr>
        <w:ilvl w:val="8"/>
        <w:numId w:val="3"/>
      </w:numPr>
      <w:spacing w:before="40"/>
      <w:outlineLvl w:val="8"/>
    </w:pPr>
    <w:rPr>
      <w:rFonts w:eastAsiaTheme="majorEastAsia"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6389"/>
    <w:rPr>
      <w:rFonts w:ascii="Helvetica" w:eastAsia="MS Gothic" w:hAnsi="Helvetica" w:cs="Times New Roman"/>
      <w:bCs/>
      <w:sz w:val="40"/>
      <w:szCs w:val="28"/>
      <w:lang w:val="en-AU" w:eastAsia="en-AU"/>
    </w:rPr>
  </w:style>
  <w:style w:type="character" w:customStyle="1" w:styleId="Heading2Char">
    <w:name w:val="Heading 2 Char"/>
    <w:basedOn w:val="DefaultParagraphFont"/>
    <w:link w:val="Heading2"/>
    <w:uiPriority w:val="9"/>
    <w:rsid w:val="00286CC4"/>
    <w:rPr>
      <w:rFonts w:ascii="Helvetica" w:eastAsia="MS Gothic" w:hAnsi="Helvetica" w:cs="Times New Roman"/>
      <w:b/>
      <w:bCs/>
      <w:caps/>
      <w:spacing w:val="18"/>
      <w:sz w:val="20"/>
      <w:szCs w:val="20"/>
      <w:lang w:val="en-AU" w:eastAsia="en-AU"/>
    </w:rPr>
  </w:style>
  <w:style w:type="character" w:customStyle="1" w:styleId="Heading3Char">
    <w:name w:val="Heading 3 Char"/>
    <w:basedOn w:val="DefaultParagraphFont"/>
    <w:link w:val="Heading3"/>
    <w:uiPriority w:val="9"/>
    <w:rsid w:val="00237F11"/>
    <w:rPr>
      <w:rFonts w:ascii="Helvetica" w:eastAsiaTheme="majorEastAsia" w:hAnsi="Helvetica" w:cs="Helvetica"/>
      <w:b/>
      <w:bCs/>
      <w:caps/>
      <w:spacing w:val="20"/>
      <w:sz w:val="14"/>
      <w:szCs w:val="14"/>
      <w:lang w:val="en-AU" w:eastAsia="en-AU"/>
    </w:rPr>
  </w:style>
  <w:style w:type="character" w:customStyle="1" w:styleId="Heading4Char">
    <w:name w:val="Heading 4 Char"/>
    <w:basedOn w:val="DefaultParagraphFont"/>
    <w:link w:val="Heading4"/>
    <w:uiPriority w:val="9"/>
    <w:rsid w:val="003145BC"/>
    <w:rPr>
      <w:rFonts w:ascii="Helvetica" w:eastAsiaTheme="majorEastAsia" w:hAnsi="Helvetica" w:cs="Times New Roman (Headings CS)"/>
      <w:b/>
      <w:i/>
      <w:iCs/>
      <w:smallCaps/>
      <w:color w:val="000000" w:themeColor="text1"/>
      <w:sz w:val="16"/>
      <w:szCs w:val="16"/>
      <w:lang w:val="en-AU"/>
    </w:rPr>
  </w:style>
  <w:style w:type="character" w:customStyle="1" w:styleId="Heading5Char">
    <w:name w:val="Heading 5 Char"/>
    <w:basedOn w:val="DefaultParagraphFont"/>
    <w:link w:val="Heading5"/>
    <w:uiPriority w:val="9"/>
    <w:rsid w:val="003145BC"/>
    <w:rPr>
      <w:rFonts w:ascii="Helvetica" w:eastAsia="Times New Roman" w:hAnsi="Helvetica" w:cs="Times New Roman (Headings CS)"/>
      <w:iCs/>
      <w:color w:val="000000"/>
      <w:sz w:val="16"/>
      <w:szCs w:val="16"/>
      <w:u w:val="single"/>
      <w:lang w:val="en-AU" w:eastAsia="en-AU"/>
    </w:rPr>
  </w:style>
  <w:style w:type="character" w:customStyle="1" w:styleId="Heading6Char">
    <w:name w:val="Heading 6 Char"/>
    <w:basedOn w:val="DefaultParagraphFont"/>
    <w:link w:val="Heading6"/>
    <w:uiPriority w:val="9"/>
    <w:rsid w:val="003145BC"/>
    <w:rPr>
      <w:rFonts w:ascii="Helvetica" w:eastAsiaTheme="minorEastAsia" w:hAnsi="Helvetica" w:cs="Times New Roman (Headings CS)"/>
      <w:i/>
      <w:iCs/>
      <w:color w:val="000000" w:themeColor="text1"/>
      <w:sz w:val="16"/>
      <w:szCs w:val="16"/>
      <w:lang w:val="en-AU"/>
    </w:rPr>
  </w:style>
  <w:style w:type="character" w:customStyle="1" w:styleId="Heading7Char">
    <w:name w:val="Heading 7 Char"/>
    <w:basedOn w:val="DefaultParagraphFont"/>
    <w:link w:val="Heading7"/>
    <w:uiPriority w:val="9"/>
    <w:rsid w:val="00966389"/>
    <w:rPr>
      <w:rFonts w:ascii="Helvetica" w:eastAsiaTheme="minorEastAsia" w:hAnsi="Helvetica" w:cs="Times New Roman (Headings CS)"/>
      <w:i/>
      <w:iCs/>
      <w:color w:val="000000" w:themeColor="text1"/>
      <w:sz w:val="16"/>
      <w:szCs w:val="16"/>
      <w:lang w:val="en-AU" w:eastAsia="en-AU"/>
    </w:rPr>
  </w:style>
  <w:style w:type="character" w:customStyle="1" w:styleId="Heading8Char">
    <w:name w:val="Heading 8 Char"/>
    <w:basedOn w:val="DefaultParagraphFont"/>
    <w:link w:val="Heading8"/>
    <w:uiPriority w:val="9"/>
    <w:semiHidden/>
    <w:rsid w:val="00966389"/>
    <w:rPr>
      <w:rFonts w:ascii="Palatino Linotype" w:eastAsiaTheme="majorEastAsia" w:hAnsi="Palatino Linotype" w:cstheme="majorBidi"/>
      <w:color w:val="272727" w:themeColor="text1" w:themeTint="D8"/>
      <w:sz w:val="21"/>
      <w:szCs w:val="21"/>
      <w:lang w:val="en-AU" w:eastAsia="en-AU"/>
    </w:rPr>
  </w:style>
  <w:style w:type="character" w:customStyle="1" w:styleId="Heading9Char">
    <w:name w:val="Heading 9 Char"/>
    <w:basedOn w:val="DefaultParagraphFont"/>
    <w:link w:val="Heading9"/>
    <w:uiPriority w:val="9"/>
    <w:rsid w:val="00966389"/>
    <w:rPr>
      <w:rFonts w:ascii="Palatino Linotype" w:eastAsiaTheme="majorEastAsia" w:hAnsi="Palatino Linotype" w:cstheme="majorBidi"/>
      <w:i/>
      <w:iCs/>
      <w:color w:val="272727" w:themeColor="text1" w:themeTint="D8"/>
      <w:sz w:val="21"/>
      <w:szCs w:val="21"/>
      <w:lang w:val="en-AU" w:eastAsia="en-AU"/>
    </w:rPr>
  </w:style>
  <w:style w:type="paragraph" w:customStyle="1" w:styleId="Bullet2">
    <w:name w:val="Bullet 2"/>
    <w:basedOn w:val="Bullet1"/>
    <w:qFormat/>
    <w:rsid w:val="008668FB"/>
    <w:pPr>
      <w:numPr>
        <w:ilvl w:val="1"/>
      </w:numPr>
    </w:pPr>
  </w:style>
  <w:style w:type="paragraph" w:customStyle="1" w:styleId="Bullet1">
    <w:name w:val="Bullet 1"/>
    <w:basedOn w:val="ListParagraph"/>
    <w:link w:val="Bullet1Char"/>
    <w:qFormat/>
    <w:rsid w:val="0060082E"/>
    <w:pPr>
      <w:numPr>
        <w:numId w:val="2"/>
      </w:numPr>
      <w:spacing w:before="60" w:after="60"/>
      <w:contextualSpacing w:val="0"/>
    </w:pPr>
  </w:style>
  <w:style w:type="paragraph" w:styleId="ListParagraph">
    <w:name w:val="List Paragraph"/>
    <w:basedOn w:val="Normal"/>
    <w:link w:val="ListParagraphChar"/>
    <w:uiPriority w:val="34"/>
    <w:qFormat/>
    <w:rsid w:val="00FC1A57"/>
    <w:pPr>
      <w:ind w:left="720"/>
      <w:contextualSpacing/>
    </w:pPr>
  </w:style>
  <w:style w:type="character" w:customStyle="1" w:styleId="ListParagraphChar">
    <w:name w:val="List Paragraph Char"/>
    <w:basedOn w:val="DefaultParagraphFont"/>
    <w:link w:val="ListParagraph"/>
    <w:uiPriority w:val="34"/>
    <w:rsid w:val="003E02F2"/>
    <w:rPr>
      <w:rFonts w:ascii="Palatino" w:eastAsia="Calibri" w:hAnsi="Palatino" w:cs="Times New Roman"/>
      <w:sz w:val="18"/>
      <w:szCs w:val="20"/>
      <w:lang w:val="en-AU"/>
    </w:rPr>
  </w:style>
  <w:style w:type="paragraph" w:customStyle="1" w:styleId="Documenttracking">
    <w:name w:val="Document tracking"/>
    <w:basedOn w:val="Normal"/>
    <w:qFormat/>
    <w:rsid w:val="00290626"/>
    <w:rPr>
      <w:b/>
      <w:caps/>
    </w:rPr>
  </w:style>
  <w:style w:type="paragraph" w:customStyle="1" w:styleId="Bullet3">
    <w:name w:val="Bullet 3"/>
    <w:basedOn w:val="Bullet2"/>
    <w:next w:val="Bullet2"/>
    <w:qFormat/>
    <w:rsid w:val="008668FB"/>
    <w:pPr>
      <w:numPr>
        <w:ilvl w:val="2"/>
      </w:numPr>
    </w:pPr>
  </w:style>
  <w:style w:type="paragraph" w:customStyle="1" w:styleId="Appendixheading1">
    <w:name w:val="Appendix heading 1"/>
    <w:basedOn w:val="Heading1"/>
    <w:qFormat/>
    <w:rsid w:val="00C72AD0"/>
    <w:pPr>
      <w:numPr>
        <w:numId w:val="5"/>
      </w:numPr>
      <w:ind w:left="709" w:hanging="709"/>
    </w:pPr>
  </w:style>
  <w:style w:type="paragraph" w:customStyle="1" w:styleId="Reportheader">
    <w:name w:val="Report header"/>
    <w:basedOn w:val="Headertext"/>
    <w:qFormat/>
    <w:rsid w:val="00C61498"/>
    <w:pPr>
      <w:pBdr>
        <w:bottom w:val="single" w:sz="4" w:space="1" w:color="auto"/>
      </w:pBdr>
    </w:pPr>
  </w:style>
  <w:style w:type="paragraph" w:customStyle="1" w:styleId="Headertext">
    <w:name w:val="Header text"/>
    <w:basedOn w:val="Normal"/>
    <w:rsid w:val="0022594F"/>
    <w:pPr>
      <w:tabs>
        <w:tab w:val="center" w:pos="4513"/>
        <w:tab w:val="right" w:pos="9026"/>
      </w:tabs>
      <w:ind w:left="-142" w:firstLine="142"/>
      <w:jc w:val="right"/>
    </w:pPr>
    <w:rPr>
      <w:rFonts w:ascii="Helvetica" w:hAnsi="Helvetica" w:cs="Times New Roman (Body CS)"/>
      <w:caps/>
      <w:spacing w:val="20"/>
      <w:sz w:val="14"/>
      <w:szCs w:val="14"/>
    </w:rPr>
  </w:style>
  <w:style w:type="paragraph" w:styleId="TOC2">
    <w:name w:val="toc 2"/>
    <w:basedOn w:val="Normal"/>
    <w:next w:val="Normal"/>
    <w:autoRedefine/>
    <w:uiPriority w:val="39"/>
    <w:unhideWhenUsed/>
    <w:rsid w:val="00807F40"/>
    <w:pPr>
      <w:tabs>
        <w:tab w:val="clear" w:pos="4962"/>
        <w:tab w:val="left" w:pos="1134"/>
        <w:tab w:val="right" w:leader="dot" w:pos="9639"/>
      </w:tabs>
      <w:spacing w:after="100"/>
      <w:ind w:left="180"/>
    </w:pPr>
  </w:style>
  <w:style w:type="paragraph" w:styleId="Caption">
    <w:name w:val="caption"/>
    <w:aliases w:val="Table Name"/>
    <w:basedOn w:val="Normal"/>
    <w:next w:val="Normal"/>
    <w:link w:val="CaptionChar"/>
    <w:uiPriority w:val="35"/>
    <w:qFormat/>
    <w:rsid w:val="004E720C"/>
    <w:pPr>
      <w:spacing w:before="120" w:after="120"/>
    </w:pPr>
    <w:rPr>
      <w:b/>
      <w:bCs/>
      <w:sz w:val="16"/>
    </w:rPr>
  </w:style>
  <w:style w:type="character" w:customStyle="1" w:styleId="CaptionChar">
    <w:name w:val="Caption Char"/>
    <w:aliases w:val="Table Name Char"/>
    <w:basedOn w:val="DefaultParagraphFont"/>
    <w:link w:val="Caption"/>
    <w:uiPriority w:val="35"/>
    <w:rsid w:val="004E720C"/>
    <w:rPr>
      <w:rFonts w:ascii="Palatino" w:eastAsia="Calibri" w:hAnsi="Palatino" w:cs="Times New Roman"/>
      <w:b/>
      <w:bCs/>
      <w:sz w:val="16"/>
      <w:szCs w:val="20"/>
      <w:lang w:val="en-AU"/>
    </w:rPr>
  </w:style>
  <w:style w:type="paragraph" w:styleId="TOC1">
    <w:name w:val="toc 1"/>
    <w:next w:val="Normal"/>
    <w:autoRedefine/>
    <w:uiPriority w:val="39"/>
    <w:unhideWhenUsed/>
    <w:rsid w:val="00360E62"/>
    <w:pPr>
      <w:tabs>
        <w:tab w:val="left" w:pos="851"/>
        <w:tab w:val="right" w:leader="dot" w:pos="9639"/>
      </w:tabs>
      <w:spacing w:before="240" w:after="240"/>
    </w:pPr>
    <w:rPr>
      <w:rFonts w:ascii="Helvetica" w:eastAsia="MS Gothic" w:hAnsi="Helvetica" w:cs="Times New Roman"/>
      <w:b/>
      <w:bCs/>
      <w:caps/>
      <w:sz w:val="18"/>
      <w:szCs w:val="28"/>
      <w:lang w:val="en-AU" w:eastAsia="en-AU"/>
    </w:rPr>
  </w:style>
  <w:style w:type="paragraph" w:styleId="Header">
    <w:name w:val="header"/>
    <w:basedOn w:val="Normal"/>
    <w:link w:val="HeaderChar"/>
    <w:uiPriority w:val="99"/>
    <w:unhideWhenUsed/>
    <w:rsid w:val="00A4076C"/>
    <w:pPr>
      <w:tabs>
        <w:tab w:val="clear" w:pos="4962"/>
        <w:tab w:val="center" w:pos="4513"/>
        <w:tab w:val="right" w:pos="9026"/>
      </w:tabs>
      <w:spacing w:before="0" w:after="0" w:line="240" w:lineRule="auto"/>
    </w:pPr>
  </w:style>
  <w:style w:type="character" w:customStyle="1" w:styleId="HeaderChar">
    <w:name w:val="Header Char"/>
    <w:basedOn w:val="DefaultParagraphFont"/>
    <w:link w:val="Header"/>
    <w:uiPriority w:val="99"/>
    <w:rsid w:val="00A4076C"/>
    <w:rPr>
      <w:rFonts w:ascii="Palatino" w:eastAsia="Calibri" w:hAnsi="Palatino" w:cs="Times New Roman"/>
      <w:sz w:val="18"/>
      <w:szCs w:val="20"/>
      <w:lang w:val="en-AU"/>
    </w:rPr>
  </w:style>
  <w:style w:type="paragraph" w:styleId="FootnoteText">
    <w:name w:val="footnote text"/>
    <w:basedOn w:val="Normal"/>
    <w:link w:val="FootnoteTextChar"/>
    <w:uiPriority w:val="99"/>
    <w:semiHidden/>
    <w:unhideWhenUsed/>
    <w:qFormat/>
    <w:rsid w:val="00FC1A57"/>
  </w:style>
  <w:style w:type="character" w:customStyle="1" w:styleId="FootnoteTextChar">
    <w:name w:val="Footnote Text Char"/>
    <w:basedOn w:val="DefaultParagraphFont"/>
    <w:link w:val="FootnoteText"/>
    <w:uiPriority w:val="99"/>
    <w:semiHidden/>
    <w:rsid w:val="00FC1A57"/>
    <w:rPr>
      <w:rFonts w:ascii="Palatino" w:hAnsi="Palatino"/>
      <w:sz w:val="18"/>
      <w:szCs w:val="20"/>
    </w:rPr>
  </w:style>
  <w:style w:type="paragraph" w:styleId="Footer">
    <w:name w:val="footer"/>
    <w:basedOn w:val="Normal"/>
    <w:link w:val="FooterChar"/>
    <w:uiPriority w:val="99"/>
    <w:unhideWhenUsed/>
    <w:qFormat/>
    <w:rsid w:val="00A4076C"/>
    <w:pPr>
      <w:tabs>
        <w:tab w:val="clear" w:pos="4962"/>
        <w:tab w:val="center" w:pos="4513"/>
        <w:tab w:val="right" w:pos="9026"/>
      </w:tabs>
      <w:spacing w:before="0" w:after="0" w:line="240" w:lineRule="auto"/>
    </w:pPr>
  </w:style>
  <w:style w:type="character" w:customStyle="1" w:styleId="FooterChar">
    <w:name w:val="Footer Char"/>
    <w:basedOn w:val="DefaultParagraphFont"/>
    <w:link w:val="Footer"/>
    <w:uiPriority w:val="99"/>
    <w:rsid w:val="00A4076C"/>
    <w:rPr>
      <w:rFonts w:ascii="Palatino" w:eastAsia="Calibri" w:hAnsi="Palatino" w:cs="Times New Roman"/>
      <w:sz w:val="18"/>
      <w:szCs w:val="20"/>
      <w:lang w:val="en-AU"/>
    </w:rPr>
  </w:style>
  <w:style w:type="paragraph" w:customStyle="1" w:styleId="Reporttitle">
    <w:name w:val="Report title"/>
    <w:basedOn w:val="Normal"/>
    <w:qFormat/>
    <w:rsid w:val="006071A5"/>
    <w:pPr>
      <w:spacing w:line="240" w:lineRule="auto"/>
      <w:ind w:left="851" w:right="851"/>
    </w:pPr>
    <w:rPr>
      <w:rFonts w:ascii="Helvetica" w:hAnsi="Helvetica"/>
      <w:b/>
      <w:color w:val="FFFFFF"/>
      <w:sz w:val="52"/>
      <w:szCs w:val="52"/>
    </w:rPr>
  </w:style>
  <w:style w:type="paragraph" w:customStyle="1" w:styleId="Reportdateclient">
    <w:name w:val="Report date/client"/>
    <w:basedOn w:val="Normal"/>
    <w:qFormat/>
    <w:rsid w:val="00935058"/>
    <w:pPr>
      <w:ind w:left="851" w:right="849"/>
    </w:pPr>
    <w:rPr>
      <w:rFonts w:ascii="Helvetica" w:hAnsi="Helvetica"/>
      <w:b/>
      <w:color w:val="F2F6D8"/>
      <w:sz w:val="24"/>
    </w:rPr>
  </w:style>
  <w:style w:type="paragraph" w:styleId="NormalWeb">
    <w:name w:val="Normal (Web)"/>
    <w:basedOn w:val="Normal"/>
    <w:uiPriority w:val="99"/>
    <w:unhideWhenUsed/>
    <w:rsid w:val="003B12BA"/>
    <w:rPr>
      <w:rFonts w:ascii="Times New Roman" w:hAnsi="Times New Roman"/>
      <w:sz w:val="24"/>
      <w:szCs w:val="24"/>
    </w:rPr>
  </w:style>
  <w:style w:type="paragraph" w:customStyle="1" w:styleId="Reporttitle2">
    <w:name w:val="Report title 2"/>
    <w:basedOn w:val="Normal"/>
    <w:qFormat/>
    <w:rsid w:val="006071A5"/>
    <w:pPr>
      <w:spacing w:line="240" w:lineRule="auto"/>
      <w:ind w:left="851" w:right="851"/>
    </w:pPr>
    <w:rPr>
      <w:rFonts w:ascii="Helvetica" w:hAnsi="Helvetica"/>
      <w:b/>
      <w:color w:val="FFFFFF"/>
      <w:sz w:val="24"/>
      <w:szCs w:val="52"/>
    </w:rPr>
  </w:style>
  <w:style w:type="paragraph" w:customStyle="1" w:styleId="Numbering1">
    <w:name w:val="Numbering 1"/>
    <w:next w:val="Numbering2"/>
    <w:qFormat/>
    <w:rsid w:val="00EB280D"/>
    <w:pPr>
      <w:numPr>
        <w:numId w:val="1"/>
      </w:numPr>
      <w:spacing w:before="60" w:after="60"/>
    </w:pPr>
    <w:rPr>
      <w:rFonts w:ascii="Palatino Linotype" w:eastAsia="Calibri" w:hAnsi="Palatino Linotype" w:cs="Times New Roman"/>
      <w:sz w:val="18"/>
      <w:szCs w:val="20"/>
      <w:lang w:val="en-AU" w:eastAsia="en-AU"/>
    </w:rPr>
  </w:style>
  <w:style w:type="paragraph" w:customStyle="1" w:styleId="Numbering2">
    <w:name w:val="Numbering 2"/>
    <w:basedOn w:val="Numbering1"/>
    <w:qFormat/>
    <w:rsid w:val="00D41554"/>
    <w:pPr>
      <w:numPr>
        <w:ilvl w:val="1"/>
      </w:numPr>
      <w:spacing w:line="240" w:lineRule="exact"/>
      <w:ind w:left="782" w:hanging="357"/>
    </w:pPr>
    <w:rPr>
      <w:lang w:eastAsia="en-GB"/>
    </w:rPr>
  </w:style>
  <w:style w:type="table" w:styleId="TableGrid">
    <w:name w:val="Table Grid"/>
    <w:aliases w:val="Table Grid Main Report,Table Financial Statements,DPI Table,Table Grid Main Report1,Table Financial Statements5,Table Grid Main Report2,Table Financial Statements6,Table Grid Main Report3,Table Financial Statements7,Table Grid Main Report4"/>
    <w:basedOn w:val="TableNormal"/>
    <w:uiPriority w:val="39"/>
    <w:rsid w:val="003E02F2"/>
    <w:rPr>
      <w:rFonts w:ascii="Calibri" w:eastAsia="Calibri" w:hAnsi="Calibri"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3E02F2"/>
    <w:pPr>
      <w:numPr>
        <w:numId w:val="0"/>
      </w:numPr>
      <w:spacing w:before="240" w:after="0" w:line="240" w:lineRule="exact"/>
      <w:outlineLvl w:val="9"/>
    </w:pPr>
    <w:rPr>
      <w:rFonts w:asciiTheme="majorHAnsi" w:eastAsiaTheme="majorEastAsia" w:hAnsiTheme="majorHAnsi" w:cstheme="majorBidi"/>
      <w:bCs w:val="0"/>
      <w:color w:val="2F5496" w:themeColor="accent1" w:themeShade="BF"/>
      <w:sz w:val="32"/>
      <w:szCs w:val="32"/>
    </w:rPr>
  </w:style>
  <w:style w:type="paragraph" w:styleId="TOC3">
    <w:name w:val="toc 3"/>
    <w:basedOn w:val="Normal"/>
    <w:next w:val="Normal"/>
    <w:autoRedefine/>
    <w:uiPriority w:val="39"/>
    <w:unhideWhenUsed/>
    <w:rsid w:val="00250382"/>
    <w:pPr>
      <w:tabs>
        <w:tab w:val="clear" w:pos="4962"/>
      </w:tabs>
      <w:spacing w:after="100"/>
      <w:ind w:left="360"/>
    </w:pPr>
  </w:style>
  <w:style w:type="character" w:styleId="Hyperlink">
    <w:name w:val="Hyperlink"/>
    <w:basedOn w:val="DefaultParagraphFont"/>
    <w:uiPriority w:val="99"/>
    <w:unhideWhenUsed/>
    <w:rsid w:val="00250382"/>
    <w:rPr>
      <w:color w:val="0563C1" w:themeColor="hyperlink"/>
      <w:u w:val="single"/>
    </w:rPr>
  </w:style>
  <w:style w:type="paragraph" w:styleId="BalloonText">
    <w:name w:val="Balloon Text"/>
    <w:basedOn w:val="Normal"/>
    <w:link w:val="BalloonTextChar"/>
    <w:uiPriority w:val="99"/>
    <w:semiHidden/>
    <w:unhideWhenUsed/>
    <w:rsid w:val="007C37DA"/>
    <w:pPr>
      <w:spacing w:before="0" w:after="0" w:line="240" w:lineRule="auto"/>
    </w:pPr>
    <w:rPr>
      <w:rFonts w:ascii="Times New Roman" w:hAnsi="Times New Roman"/>
      <w:szCs w:val="18"/>
    </w:rPr>
  </w:style>
  <w:style w:type="character" w:customStyle="1" w:styleId="BalloonTextChar">
    <w:name w:val="Balloon Text Char"/>
    <w:basedOn w:val="DefaultParagraphFont"/>
    <w:link w:val="BalloonText"/>
    <w:uiPriority w:val="99"/>
    <w:semiHidden/>
    <w:rsid w:val="007C37DA"/>
    <w:rPr>
      <w:rFonts w:ascii="Times New Roman" w:eastAsia="Calibri" w:hAnsi="Times New Roman" w:cs="Times New Roman"/>
      <w:sz w:val="18"/>
      <w:szCs w:val="18"/>
      <w:lang w:val="en-AU"/>
    </w:rPr>
  </w:style>
  <w:style w:type="paragraph" w:customStyle="1" w:styleId="Contentsacronymsreferences">
    <w:name w:val="Contents/acronyms/references"/>
    <w:basedOn w:val="Normal"/>
    <w:next w:val="Normal"/>
    <w:qFormat/>
    <w:rsid w:val="008668FB"/>
    <w:pPr>
      <w:keepNext/>
      <w:keepLines/>
      <w:tabs>
        <w:tab w:val="clear" w:pos="4962"/>
      </w:tabs>
      <w:spacing w:before="360" w:after="240" w:line="240" w:lineRule="auto"/>
      <w:ind w:left="432" w:hanging="432"/>
      <w:outlineLvl w:val="0"/>
    </w:pPr>
    <w:rPr>
      <w:rFonts w:ascii="Helvetica" w:eastAsia="MS Gothic" w:hAnsi="Helvetica"/>
      <w:bCs/>
      <w:sz w:val="40"/>
      <w:szCs w:val="40"/>
    </w:rPr>
  </w:style>
  <w:style w:type="paragraph" w:customStyle="1" w:styleId="Tabletext">
    <w:name w:val="Table text"/>
    <w:basedOn w:val="Normal"/>
    <w:link w:val="TabletextChar"/>
    <w:qFormat/>
    <w:rsid w:val="00290626"/>
    <w:pPr>
      <w:spacing w:before="60" w:after="60"/>
    </w:pPr>
  </w:style>
  <w:style w:type="paragraph" w:styleId="DocumentMap">
    <w:name w:val="Document Map"/>
    <w:basedOn w:val="Normal"/>
    <w:link w:val="DocumentMapChar"/>
    <w:uiPriority w:val="99"/>
    <w:semiHidden/>
    <w:unhideWhenUsed/>
    <w:rsid w:val="00966389"/>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966389"/>
    <w:rPr>
      <w:rFonts w:ascii="Lucida Grande" w:eastAsia="Calibri" w:hAnsi="Lucida Grande" w:cs="Lucida Grande"/>
      <w:sz w:val="24"/>
      <w:szCs w:val="24"/>
      <w:lang w:val="en-AU"/>
    </w:rPr>
  </w:style>
  <w:style w:type="paragraph" w:customStyle="1" w:styleId="Dotpointlevel1">
    <w:name w:val="Dot point level 1"/>
    <w:basedOn w:val="ListParagraph"/>
    <w:qFormat/>
    <w:rsid w:val="00AE1672"/>
    <w:pPr>
      <w:numPr>
        <w:numId w:val="4"/>
      </w:numPr>
      <w:tabs>
        <w:tab w:val="clear" w:pos="4962"/>
      </w:tabs>
      <w:spacing w:after="60"/>
      <w:contextualSpacing w:val="0"/>
    </w:pPr>
    <w:rPr>
      <w:rFonts w:ascii="Palatino" w:hAnsi="Palatino"/>
      <w:szCs w:val="18"/>
      <w:lang w:eastAsia="en-US"/>
    </w:rPr>
  </w:style>
  <w:style w:type="paragraph" w:customStyle="1" w:styleId="Heading2nonumber">
    <w:name w:val="Heading 2 no number"/>
    <w:basedOn w:val="Heading2"/>
    <w:rsid w:val="00AE1672"/>
    <w:pPr>
      <w:numPr>
        <w:ilvl w:val="0"/>
        <w:numId w:val="0"/>
      </w:numPr>
      <w:ind w:left="720" w:hanging="720"/>
    </w:pPr>
  </w:style>
  <w:style w:type="paragraph" w:styleId="ListBullet">
    <w:name w:val="List Bullet"/>
    <w:basedOn w:val="Normal"/>
    <w:qFormat/>
    <w:rsid w:val="00B03C58"/>
    <w:pPr>
      <w:tabs>
        <w:tab w:val="clear" w:pos="4962"/>
      </w:tabs>
      <w:spacing w:before="60" w:after="60"/>
    </w:pPr>
    <w:rPr>
      <w:rFonts w:ascii="Palatino" w:eastAsiaTheme="minorHAnsi" w:hAnsi="Palatino"/>
      <w:szCs w:val="18"/>
      <w:lang w:val="en-GB" w:eastAsia="en-GB"/>
    </w:rPr>
  </w:style>
  <w:style w:type="character" w:customStyle="1" w:styleId="Bullets1Char">
    <w:name w:val="Bullets 1 Char"/>
    <w:basedOn w:val="DefaultParagraphFont"/>
    <w:link w:val="Bullets1"/>
    <w:rsid w:val="00B03C58"/>
    <w:rPr>
      <w:rFonts w:ascii="Palatino" w:hAnsi="Palatino" w:cs="Times New Roman"/>
      <w:sz w:val="18"/>
      <w:szCs w:val="18"/>
      <w:lang w:eastAsia="en-GB"/>
    </w:rPr>
  </w:style>
  <w:style w:type="paragraph" w:customStyle="1" w:styleId="Bullets1">
    <w:name w:val="Bullets 1"/>
    <w:basedOn w:val="ListBullet"/>
    <w:link w:val="Bullets1Char"/>
    <w:rsid w:val="00B03C58"/>
    <w:pPr>
      <w:ind w:left="357" w:hanging="357"/>
    </w:pPr>
  </w:style>
  <w:style w:type="paragraph" w:styleId="TOC4">
    <w:name w:val="toc 4"/>
    <w:basedOn w:val="Normal"/>
    <w:next w:val="Normal"/>
    <w:autoRedefine/>
    <w:uiPriority w:val="39"/>
    <w:unhideWhenUsed/>
    <w:rsid w:val="00A316F9"/>
    <w:pPr>
      <w:tabs>
        <w:tab w:val="clear" w:pos="4962"/>
      </w:tabs>
      <w:ind w:left="540"/>
    </w:pPr>
  </w:style>
  <w:style w:type="paragraph" w:styleId="TOC5">
    <w:name w:val="toc 5"/>
    <w:basedOn w:val="Normal"/>
    <w:next w:val="Normal"/>
    <w:autoRedefine/>
    <w:uiPriority w:val="39"/>
    <w:unhideWhenUsed/>
    <w:rsid w:val="00A316F9"/>
    <w:pPr>
      <w:tabs>
        <w:tab w:val="clear" w:pos="4962"/>
      </w:tabs>
      <w:ind w:left="720"/>
    </w:pPr>
  </w:style>
  <w:style w:type="paragraph" w:styleId="TOC6">
    <w:name w:val="toc 6"/>
    <w:basedOn w:val="Normal"/>
    <w:next w:val="Normal"/>
    <w:autoRedefine/>
    <w:uiPriority w:val="39"/>
    <w:unhideWhenUsed/>
    <w:rsid w:val="00A316F9"/>
    <w:pPr>
      <w:tabs>
        <w:tab w:val="clear" w:pos="4962"/>
      </w:tabs>
      <w:ind w:left="900"/>
    </w:pPr>
  </w:style>
  <w:style w:type="paragraph" w:styleId="TOC7">
    <w:name w:val="toc 7"/>
    <w:basedOn w:val="Normal"/>
    <w:next w:val="Normal"/>
    <w:autoRedefine/>
    <w:uiPriority w:val="39"/>
    <w:unhideWhenUsed/>
    <w:rsid w:val="00A316F9"/>
    <w:pPr>
      <w:tabs>
        <w:tab w:val="clear" w:pos="4962"/>
      </w:tabs>
      <w:ind w:left="1080"/>
    </w:pPr>
  </w:style>
  <w:style w:type="paragraph" w:styleId="TOC8">
    <w:name w:val="toc 8"/>
    <w:basedOn w:val="Normal"/>
    <w:next w:val="Normal"/>
    <w:autoRedefine/>
    <w:uiPriority w:val="39"/>
    <w:unhideWhenUsed/>
    <w:rsid w:val="00A316F9"/>
    <w:pPr>
      <w:tabs>
        <w:tab w:val="clear" w:pos="4962"/>
      </w:tabs>
      <w:ind w:left="1260"/>
    </w:pPr>
  </w:style>
  <w:style w:type="paragraph" w:styleId="TOC9">
    <w:name w:val="toc 9"/>
    <w:basedOn w:val="Normal"/>
    <w:next w:val="Normal"/>
    <w:autoRedefine/>
    <w:uiPriority w:val="39"/>
    <w:unhideWhenUsed/>
    <w:rsid w:val="00A316F9"/>
    <w:pPr>
      <w:tabs>
        <w:tab w:val="clear" w:pos="4962"/>
      </w:tabs>
      <w:ind w:left="1440"/>
    </w:pPr>
  </w:style>
  <w:style w:type="character" w:styleId="CommentReference">
    <w:name w:val="annotation reference"/>
    <w:basedOn w:val="DefaultParagraphFont"/>
    <w:uiPriority w:val="99"/>
    <w:unhideWhenUsed/>
    <w:rsid w:val="00AE64F3"/>
    <w:rPr>
      <w:sz w:val="18"/>
      <w:szCs w:val="18"/>
    </w:rPr>
  </w:style>
  <w:style w:type="paragraph" w:customStyle="1" w:styleId="Partheading">
    <w:name w:val="Part heading"/>
    <w:basedOn w:val="Appendixheading1"/>
    <w:qFormat/>
    <w:rsid w:val="00935058"/>
    <w:pPr>
      <w:numPr>
        <w:numId w:val="0"/>
      </w:numPr>
    </w:pPr>
    <w:rPr>
      <w:b/>
      <w:caps/>
      <w:color w:val="3FA297"/>
      <w:spacing w:val="20"/>
      <w:sz w:val="36"/>
      <w:szCs w:val="36"/>
    </w:rPr>
  </w:style>
  <w:style w:type="paragraph" w:styleId="CommentText">
    <w:name w:val="annotation text"/>
    <w:basedOn w:val="Normal"/>
    <w:link w:val="CommentTextChar"/>
    <w:uiPriority w:val="99"/>
    <w:unhideWhenUsed/>
    <w:rsid w:val="00AE64F3"/>
    <w:pPr>
      <w:spacing w:line="240" w:lineRule="auto"/>
    </w:pPr>
    <w:rPr>
      <w:sz w:val="24"/>
      <w:szCs w:val="24"/>
    </w:rPr>
  </w:style>
  <w:style w:type="character" w:customStyle="1" w:styleId="CommentTextChar">
    <w:name w:val="Comment Text Char"/>
    <w:basedOn w:val="DefaultParagraphFont"/>
    <w:link w:val="CommentText"/>
    <w:uiPriority w:val="99"/>
    <w:rsid w:val="00AE64F3"/>
    <w:rPr>
      <w:rFonts w:ascii="Palatino Linotype" w:eastAsia="Calibri" w:hAnsi="Palatino Linotype" w:cs="Times New Roman"/>
      <w:sz w:val="24"/>
      <w:szCs w:val="24"/>
      <w:lang w:val="en-AU" w:eastAsia="en-AU"/>
    </w:rPr>
  </w:style>
  <w:style w:type="paragraph" w:styleId="CommentSubject">
    <w:name w:val="annotation subject"/>
    <w:basedOn w:val="CommentText"/>
    <w:next w:val="CommentText"/>
    <w:link w:val="CommentSubjectChar"/>
    <w:uiPriority w:val="99"/>
    <w:semiHidden/>
    <w:unhideWhenUsed/>
    <w:rsid w:val="00AE64F3"/>
    <w:rPr>
      <w:b/>
      <w:bCs/>
      <w:sz w:val="20"/>
      <w:szCs w:val="20"/>
    </w:rPr>
  </w:style>
  <w:style w:type="character" w:customStyle="1" w:styleId="CommentSubjectChar">
    <w:name w:val="Comment Subject Char"/>
    <w:basedOn w:val="CommentTextChar"/>
    <w:link w:val="CommentSubject"/>
    <w:uiPriority w:val="99"/>
    <w:semiHidden/>
    <w:rsid w:val="00AE64F3"/>
    <w:rPr>
      <w:rFonts w:ascii="Palatino Linotype" w:eastAsia="Calibri" w:hAnsi="Palatino Linotype" w:cs="Times New Roman"/>
      <w:b/>
      <w:bCs/>
      <w:sz w:val="20"/>
      <w:szCs w:val="20"/>
      <w:lang w:val="en-AU" w:eastAsia="en-AU"/>
    </w:rPr>
  </w:style>
  <w:style w:type="table" w:customStyle="1" w:styleId="BiosisTable1">
    <w:name w:val="Biosis Table1"/>
    <w:basedOn w:val="TableNormal"/>
    <w:uiPriority w:val="99"/>
    <w:rsid w:val="00A612C0"/>
    <w:rPr>
      <w:rFonts w:ascii="Open Sans" w:eastAsiaTheme="minorEastAsia" w:hAnsi="Open Sans"/>
      <w:spacing w:val="-4"/>
      <w:sz w:val="16"/>
      <w:szCs w:val="16"/>
      <w:lang w:val="en-AU"/>
    </w:rPr>
    <w:tblPr>
      <w:tblOverlap w:val="never"/>
      <w:tblStyleRowBandSize w:val="1"/>
      <w:tblBorders>
        <w:left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57" w:type="dxa"/>
        <w:right w:w="57" w:type="dxa"/>
      </w:tblCellMar>
    </w:tblPr>
    <w:tcPr>
      <w:shd w:val="clear" w:color="auto" w:fill="F2F2F2" w:themeFill="background1" w:themeFillShade="F2"/>
      <w:tcMar>
        <w:top w:w="57" w:type="dxa"/>
        <w:left w:w="85" w:type="dxa"/>
        <w:bottom w:w="57" w:type="dxa"/>
        <w:right w:w="85" w:type="dxa"/>
      </w:tcMar>
    </w:tcPr>
    <w:tblStylePr w:type="firstRow">
      <w:rPr>
        <w:rFonts w:ascii="Open Sans ExtraBold" w:hAnsi="Open Sans ExtraBold"/>
        <w:b w:val="0"/>
        <w:bCs w:val="0"/>
        <w:i w:val="0"/>
        <w:iCs w:val="0"/>
        <w:color w:val="F2F2F2" w:themeColor="background1" w:themeShade="F2"/>
        <w:spacing w:val="-4"/>
        <w:sz w:val="22"/>
        <w:szCs w:val="22"/>
      </w:rPr>
      <w:tblPr/>
      <w:trPr>
        <w:tblHeader/>
      </w:trPr>
      <w:tcPr>
        <w:shd w:val="clear" w:color="auto" w:fill="DD4D04"/>
      </w:tcPr>
    </w:tblStylePr>
    <w:tblStylePr w:type="lastRow">
      <w:rPr>
        <w:rFonts w:ascii="Open Sans" w:hAnsi="Open Sans"/>
        <w:b/>
        <w:bCs/>
        <w:i w:val="0"/>
        <w:iCs w:val="0"/>
        <w:color w:val="FFFFFF" w:themeColor="background1"/>
      </w:rPr>
      <w:tblPr/>
      <w:tcPr>
        <w:shd w:val="clear" w:color="auto" w:fill="E6E6E6"/>
      </w:tcPr>
    </w:tblStylePr>
    <w:tblStylePr w:type="firstCol">
      <w:rPr>
        <w:rFonts w:ascii="Open Sans" w:hAnsi="Open Sans"/>
        <w:b/>
        <w:bCs/>
        <w:i w:val="0"/>
        <w:iCs w:val="0"/>
        <w:spacing w:val="-4"/>
        <w:w w:val="100"/>
      </w:rPr>
      <w:tblPr/>
      <w:tcPr>
        <w:shd w:val="clear" w:color="auto" w:fill="E6E6E6"/>
      </w:tcPr>
    </w:tblStylePr>
  </w:style>
  <w:style w:type="paragraph" w:customStyle="1" w:styleId="Acronymsreferences">
    <w:name w:val="Acronyms/references"/>
    <w:basedOn w:val="Normal"/>
    <w:next w:val="Normal"/>
    <w:qFormat/>
    <w:rsid w:val="001567D7"/>
    <w:pPr>
      <w:keepNext/>
      <w:keepLines/>
      <w:tabs>
        <w:tab w:val="clear" w:pos="4962"/>
      </w:tabs>
      <w:spacing w:before="360" w:after="240" w:line="240" w:lineRule="auto"/>
      <w:ind w:left="432" w:hanging="432"/>
      <w:outlineLvl w:val="0"/>
    </w:pPr>
    <w:rPr>
      <w:rFonts w:ascii="Helvetica" w:eastAsia="MS Gothic" w:hAnsi="Helvetica"/>
      <w:bCs/>
      <w:sz w:val="40"/>
      <w:szCs w:val="40"/>
    </w:rPr>
  </w:style>
  <w:style w:type="paragraph" w:customStyle="1" w:styleId="Contents">
    <w:name w:val="Contents"/>
    <w:basedOn w:val="Normal"/>
    <w:qFormat/>
    <w:rsid w:val="001567D7"/>
    <w:pPr>
      <w:keepNext/>
      <w:keepLines/>
      <w:spacing w:line="240" w:lineRule="auto"/>
    </w:pPr>
    <w:rPr>
      <w:rFonts w:ascii="Helvetica" w:hAnsi="Helvetica"/>
      <w:sz w:val="40"/>
      <w:szCs w:val="40"/>
    </w:rPr>
  </w:style>
  <w:style w:type="character" w:styleId="PageNumber">
    <w:name w:val="page number"/>
    <w:basedOn w:val="DefaultParagraphFont"/>
    <w:uiPriority w:val="99"/>
    <w:semiHidden/>
    <w:unhideWhenUsed/>
    <w:rsid w:val="001011C8"/>
  </w:style>
  <w:style w:type="paragraph" w:customStyle="1" w:styleId="DotPoint1">
    <w:name w:val="DotPoint1"/>
    <w:basedOn w:val="Normal"/>
    <w:rsid w:val="00B05572"/>
    <w:pPr>
      <w:numPr>
        <w:numId w:val="6"/>
      </w:numPr>
      <w:tabs>
        <w:tab w:val="clear" w:pos="4962"/>
      </w:tabs>
      <w:spacing w:line="240" w:lineRule="auto"/>
      <w:jc w:val="both"/>
    </w:pPr>
    <w:rPr>
      <w:rFonts w:ascii="Century Gothic" w:eastAsia="Times New Roman" w:hAnsi="Century Gothic"/>
      <w:sz w:val="20"/>
      <w:lang w:val="en-GB" w:eastAsia="x-none"/>
    </w:rPr>
  </w:style>
  <w:style w:type="paragraph" w:styleId="Revision">
    <w:name w:val="Revision"/>
    <w:hidden/>
    <w:uiPriority w:val="99"/>
    <w:semiHidden/>
    <w:rsid w:val="00E43D4D"/>
    <w:rPr>
      <w:rFonts w:ascii="Palatino" w:eastAsia="Calibri" w:hAnsi="Palatino" w:cs="Times New Roman"/>
      <w:sz w:val="18"/>
      <w:szCs w:val="20"/>
      <w:lang w:val="en-AU"/>
    </w:rPr>
  </w:style>
  <w:style w:type="table" w:customStyle="1" w:styleId="GridTable41">
    <w:name w:val="Grid Table 41"/>
    <w:basedOn w:val="TableNormal"/>
    <w:uiPriority w:val="49"/>
    <w:rsid w:val="00F64CE6"/>
    <w:rPr>
      <w:rFonts w:asciiTheme="minorHAnsi" w:hAnsiTheme="minorHAnsi"/>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A013D9"/>
    <w:rPr>
      <w:color w:val="954F72" w:themeColor="followedHyperlink"/>
      <w:u w:val="single"/>
    </w:rPr>
  </w:style>
  <w:style w:type="paragraph" w:styleId="Bibliography">
    <w:name w:val="Bibliography"/>
    <w:basedOn w:val="Normal"/>
    <w:next w:val="Normal"/>
    <w:uiPriority w:val="37"/>
    <w:unhideWhenUsed/>
    <w:rsid w:val="001C3F9E"/>
    <w:pPr>
      <w:spacing w:after="0" w:line="480" w:lineRule="exact"/>
      <w:ind w:left="720" w:hanging="720"/>
    </w:pPr>
  </w:style>
  <w:style w:type="paragraph" w:customStyle="1" w:styleId="Numbering3">
    <w:name w:val="Numbering 3"/>
    <w:basedOn w:val="Numbering2"/>
    <w:qFormat/>
    <w:rsid w:val="00D41554"/>
    <w:pPr>
      <w:numPr>
        <w:ilvl w:val="2"/>
      </w:numPr>
      <w:ind w:left="1208" w:hanging="357"/>
    </w:pPr>
  </w:style>
  <w:style w:type="paragraph" w:customStyle="1" w:styleId="Style1">
    <w:name w:val="Style1"/>
    <w:basedOn w:val="Numbering2"/>
    <w:qFormat/>
    <w:rsid w:val="00EB280D"/>
    <w:pPr>
      <w:numPr>
        <w:ilvl w:val="0"/>
        <w:numId w:val="7"/>
      </w:numPr>
      <w:ind w:left="1208" w:hanging="357"/>
    </w:pPr>
  </w:style>
  <w:style w:type="character" w:styleId="UnresolvedMention">
    <w:name w:val="Unresolved Mention"/>
    <w:basedOn w:val="DefaultParagraphFont"/>
    <w:uiPriority w:val="99"/>
    <w:semiHidden/>
    <w:unhideWhenUsed/>
    <w:rsid w:val="006B3EE5"/>
    <w:rPr>
      <w:color w:val="605E5C"/>
      <w:shd w:val="clear" w:color="auto" w:fill="E1DFDD"/>
    </w:rPr>
  </w:style>
  <w:style w:type="character" w:customStyle="1" w:styleId="Bullet1Char">
    <w:name w:val="Bullet 1 Char"/>
    <w:basedOn w:val="DefaultParagraphFont"/>
    <w:link w:val="Bullet1"/>
    <w:rsid w:val="00417E97"/>
    <w:rPr>
      <w:rFonts w:ascii="Palatino Linotype" w:eastAsia="Calibri" w:hAnsi="Palatino Linotype" w:cs="Times New Roman"/>
      <w:sz w:val="18"/>
      <w:szCs w:val="20"/>
      <w:lang w:val="en-AU" w:eastAsia="en-AU"/>
    </w:rPr>
  </w:style>
  <w:style w:type="paragraph" w:customStyle="1" w:styleId="Numbereddotpoints">
    <w:name w:val="Numbered dot points"/>
    <w:basedOn w:val="ListParagraph"/>
    <w:qFormat/>
    <w:rsid w:val="00417E97"/>
    <w:pPr>
      <w:spacing w:before="60" w:after="60"/>
      <w:ind w:left="360" w:hanging="360"/>
      <w:contextualSpacing w:val="0"/>
    </w:pPr>
  </w:style>
  <w:style w:type="character" w:customStyle="1" w:styleId="TabletextChar">
    <w:name w:val="Table text Char"/>
    <w:basedOn w:val="DefaultParagraphFont"/>
    <w:link w:val="Tabletext"/>
    <w:rsid w:val="00417E97"/>
    <w:rPr>
      <w:rFonts w:ascii="Palatino Linotype" w:eastAsia="Calibri" w:hAnsi="Palatino Linotype" w:cs="Times New Roman"/>
      <w:sz w:val="18"/>
      <w:szCs w:val="20"/>
      <w:lang w:val="en-AU" w:eastAsia="en-AU"/>
    </w:rPr>
  </w:style>
  <w:style w:type="numbering" w:customStyle="1" w:styleId="CurrentList1">
    <w:name w:val="Current List1"/>
    <w:uiPriority w:val="99"/>
    <w:rsid w:val="00417E97"/>
    <w:pPr>
      <w:numPr>
        <w:numId w:val="21"/>
      </w:numPr>
    </w:pPr>
  </w:style>
  <w:style w:type="paragraph" w:styleId="TableofFigures">
    <w:name w:val="table of figures"/>
    <w:basedOn w:val="Normal"/>
    <w:next w:val="Normal"/>
    <w:uiPriority w:val="99"/>
    <w:unhideWhenUsed/>
    <w:rsid w:val="00417E97"/>
    <w:pPr>
      <w:tabs>
        <w:tab w:val="clear" w:pos="4962"/>
      </w:tabs>
      <w:spacing w:after="0"/>
    </w:pPr>
  </w:style>
  <w:style w:type="numbering" w:customStyle="1" w:styleId="CurrentList2">
    <w:name w:val="Current List2"/>
    <w:uiPriority w:val="99"/>
    <w:rsid w:val="000E1B83"/>
    <w:pPr>
      <w:numPr>
        <w:numId w:val="26"/>
      </w:numPr>
    </w:pPr>
  </w:style>
  <w:style w:type="numbering" w:customStyle="1" w:styleId="CurrentList3">
    <w:name w:val="Current List3"/>
    <w:uiPriority w:val="99"/>
    <w:rsid w:val="000E1B83"/>
    <w:pPr>
      <w:numPr>
        <w:numId w:val="28"/>
      </w:numPr>
    </w:pPr>
  </w:style>
  <w:style w:type="numbering" w:customStyle="1" w:styleId="CurrentList4">
    <w:name w:val="Current List4"/>
    <w:uiPriority w:val="99"/>
    <w:rsid w:val="00C77948"/>
    <w:pPr>
      <w:numPr>
        <w:numId w:val="29"/>
      </w:numPr>
    </w:pPr>
  </w:style>
  <w:style w:type="numbering" w:customStyle="1" w:styleId="CurrentList5">
    <w:name w:val="Current List5"/>
    <w:uiPriority w:val="99"/>
    <w:rsid w:val="005C72DD"/>
    <w:pPr>
      <w:numPr>
        <w:numId w:val="30"/>
      </w:numPr>
    </w:pPr>
  </w:style>
  <w:style w:type="numbering" w:customStyle="1" w:styleId="CurrentList6">
    <w:name w:val="Current List6"/>
    <w:uiPriority w:val="99"/>
    <w:rsid w:val="00EB475B"/>
    <w:pPr>
      <w:numPr>
        <w:numId w:val="31"/>
      </w:numPr>
    </w:pPr>
  </w:style>
  <w:style w:type="numbering" w:customStyle="1" w:styleId="CurrentList7">
    <w:name w:val="Current List7"/>
    <w:uiPriority w:val="99"/>
    <w:rsid w:val="001B6C1A"/>
    <w:pPr>
      <w:numPr>
        <w:numId w:val="32"/>
      </w:numPr>
    </w:pPr>
  </w:style>
  <w:style w:type="character" w:styleId="PlaceholderText">
    <w:name w:val="Placeholder Text"/>
    <w:basedOn w:val="DefaultParagraphFont"/>
    <w:uiPriority w:val="99"/>
    <w:semiHidden/>
    <w:rsid w:val="00FF6F90"/>
    <w:rPr>
      <w:color w:val="808080"/>
    </w:rPr>
  </w:style>
  <w:style w:type="paragraph" w:customStyle="1" w:styleId="TableHeadingLarge">
    <w:name w:val="Table Heading Large"/>
    <w:basedOn w:val="Tabletext"/>
    <w:link w:val="TableHeadingLargeChar"/>
    <w:qFormat/>
    <w:rsid w:val="008C1AD8"/>
    <w:pPr>
      <w:keepNext/>
    </w:pPr>
    <w:rPr>
      <w:b/>
      <w:sz w:val="16"/>
      <w:szCs w:val="16"/>
    </w:rPr>
  </w:style>
  <w:style w:type="character" w:customStyle="1" w:styleId="TableHeadingLargeChar">
    <w:name w:val="Table Heading Large Char"/>
    <w:basedOn w:val="TabletextChar"/>
    <w:link w:val="TableHeadingLarge"/>
    <w:rsid w:val="008C1AD8"/>
    <w:rPr>
      <w:rFonts w:ascii="Palatino Linotype" w:eastAsia="Calibri" w:hAnsi="Palatino Linotype" w:cs="Times New Roman"/>
      <w:b/>
      <w:sz w:val="16"/>
      <w:szCs w:val="16"/>
      <w:lang w:val="en-AU" w:eastAsia="en-AU"/>
    </w:rPr>
  </w:style>
  <w:style w:type="numbering" w:customStyle="1" w:styleId="CurrentList8">
    <w:name w:val="Current List8"/>
    <w:uiPriority w:val="99"/>
    <w:rsid w:val="008C1AD8"/>
    <w:pPr>
      <w:numPr>
        <w:numId w:val="45"/>
      </w:numPr>
    </w:pPr>
  </w:style>
  <w:style w:type="numbering" w:customStyle="1" w:styleId="CurrentList11">
    <w:name w:val="Current List11"/>
    <w:uiPriority w:val="99"/>
    <w:rsid w:val="008C1AD8"/>
    <w:pPr>
      <w:numPr>
        <w:numId w:val="48"/>
      </w:numPr>
    </w:pPr>
  </w:style>
  <w:style w:type="numbering" w:customStyle="1" w:styleId="CurrentList9">
    <w:name w:val="Current List9"/>
    <w:uiPriority w:val="99"/>
    <w:rsid w:val="008C1AD8"/>
    <w:pPr>
      <w:numPr>
        <w:numId w:val="46"/>
      </w:numPr>
    </w:pPr>
  </w:style>
  <w:style w:type="numbering" w:customStyle="1" w:styleId="CurrentList10">
    <w:name w:val="Current List10"/>
    <w:uiPriority w:val="99"/>
    <w:rsid w:val="008C1AD8"/>
    <w:pPr>
      <w:numPr>
        <w:numId w:val="47"/>
      </w:numPr>
    </w:pPr>
  </w:style>
  <w:style w:type="paragraph" w:customStyle="1" w:styleId="Tabletext2">
    <w:name w:val="Table text2"/>
    <w:basedOn w:val="Normal"/>
    <w:qFormat/>
    <w:rsid w:val="008C1AD8"/>
    <w:pPr>
      <w:spacing w:before="60" w:after="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236">
      <w:bodyDiv w:val="1"/>
      <w:marLeft w:val="0"/>
      <w:marRight w:val="0"/>
      <w:marTop w:val="0"/>
      <w:marBottom w:val="0"/>
      <w:divBdr>
        <w:top w:val="none" w:sz="0" w:space="0" w:color="auto"/>
        <w:left w:val="none" w:sz="0" w:space="0" w:color="auto"/>
        <w:bottom w:val="none" w:sz="0" w:space="0" w:color="auto"/>
        <w:right w:val="none" w:sz="0" w:space="0" w:color="auto"/>
      </w:divBdr>
    </w:div>
    <w:div w:id="18505678">
      <w:bodyDiv w:val="1"/>
      <w:marLeft w:val="0"/>
      <w:marRight w:val="0"/>
      <w:marTop w:val="0"/>
      <w:marBottom w:val="0"/>
      <w:divBdr>
        <w:top w:val="none" w:sz="0" w:space="0" w:color="auto"/>
        <w:left w:val="none" w:sz="0" w:space="0" w:color="auto"/>
        <w:bottom w:val="none" w:sz="0" w:space="0" w:color="auto"/>
        <w:right w:val="none" w:sz="0" w:space="0" w:color="auto"/>
      </w:divBdr>
    </w:div>
    <w:div w:id="49496514">
      <w:bodyDiv w:val="1"/>
      <w:marLeft w:val="0"/>
      <w:marRight w:val="0"/>
      <w:marTop w:val="0"/>
      <w:marBottom w:val="0"/>
      <w:divBdr>
        <w:top w:val="none" w:sz="0" w:space="0" w:color="auto"/>
        <w:left w:val="none" w:sz="0" w:space="0" w:color="auto"/>
        <w:bottom w:val="none" w:sz="0" w:space="0" w:color="auto"/>
        <w:right w:val="none" w:sz="0" w:space="0" w:color="auto"/>
      </w:divBdr>
    </w:div>
    <w:div w:id="64643459">
      <w:bodyDiv w:val="1"/>
      <w:marLeft w:val="0"/>
      <w:marRight w:val="0"/>
      <w:marTop w:val="0"/>
      <w:marBottom w:val="0"/>
      <w:divBdr>
        <w:top w:val="none" w:sz="0" w:space="0" w:color="auto"/>
        <w:left w:val="none" w:sz="0" w:space="0" w:color="auto"/>
        <w:bottom w:val="none" w:sz="0" w:space="0" w:color="auto"/>
        <w:right w:val="none" w:sz="0" w:space="0" w:color="auto"/>
      </w:divBdr>
    </w:div>
    <w:div w:id="91125037">
      <w:bodyDiv w:val="1"/>
      <w:marLeft w:val="0"/>
      <w:marRight w:val="0"/>
      <w:marTop w:val="0"/>
      <w:marBottom w:val="0"/>
      <w:divBdr>
        <w:top w:val="none" w:sz="0" w:space="0" w:color="auto"/>
        <w:left w:val="none" w:sz="0" w:space="0" w:color="auto"/>
        <w:bottom w:val="none" w:sz="0" w:space="0" w:color="auto"/>
        <w:right w:val="none" w:sz="0" w:space="0" w:color="auto"/>
      </w:divBdr>
    </w:div>
    <w:div w:id="143591319">
      <w:bodyDiv w:val="1"/>
      <w:marLeft w:val="0"/>
      <w:marRight w:val="0"/>
      <w:marTop w:val="0"/>
      <w:marBottom w:val="0"/>
      <w:divBdr>
        <w:top w:val="none" w:sz="0" w:space="0" w:color="auto"/>
        <w:left w:val="none" w:sz="0" w:space="0" w:color="auto"/>
        <w:bottom w:val="none" w:sz="0" w:space="0" w:color="auto"/>
        <w:right w:val="none" w:sz="0" w:space="0" w:color="auto"/>
      </w:divBdr>
      <w:divsChild>
        <w:div w:id="356153068">
          <w:marLeft w:val="0"/>
          <w:marRight w:val="0"/>
          <w:marTop w:val="0"/>
          <w:marBottom w:val="0"/>
          <w:divBdr>
            <w:top w:val="none" w:sz="0" w:space="0" w:color="auto"/>
            <w:left w:val="none" w:sz="0" w:space="0" w:color="auto"/>
            <w:bottom w:val="none" w:sz="0" w:space="0" w:color="auto"/>
            <w:right w:val="none" w:sz="0" w:space="0" w:color="auto"/>
          </w:divBdr>
        </w:div>
        <w:div w:id="1478260316">
          <w:marLeft w:val="0"/>
          <w:marRight w:val="0"/>
          <w:marTop w:val="0"/>
          <w:marBottom w:val="0"/>
          <w:divBdr>
            <w:top w:val="none" w:sz="0" w:space="0" w:color="auto"/>
            <w:left w:val="none" w:sz="0" w:space="0" w:color="auto"/>
            <w:bottom w:val="none" w:sz="0" w:space="0" w:color="auto"/>
            <w:right w:val="none" w:sz="0" w:space="0" w:color="auto"/>
          </w:divBdr>
        </w:div>
        <w:div w:id="1221210133">
          <w:marLeft w:val="0"/>
          <w:marRight w:val="0"/>
          <w:marTop w:val="0"/>
          <w:marBottom w:val="0"/>
          <w:divBdr>
            <w:top w:val="none" w:sz="0" w:space="0" w:color="auto"/>
            <w:left w:val="none" w:sz="0" w:space="0" w:color="auto"/>
            <w:bottom w:val="none" w:sz="0" w:space="0" w:color="auto"/>
            <w:right w:val="none" w:sz="0" w:space="0" w:color="auto"/>
          </w:divBdr>
        </w:div>
        <w:div w:id="507914300">
          <w:marLeft w:val="0"/>
          <w:marRight w:val="0"/>
          <w:marTop w:val="0"/>
          <w:marBottom w:val="0"/>
          <w:divBdr>
            <w:top w:val="none" w:sz="0" w:space="0" w:color="auto"/>
            <w:left w:val="none" w:sz="0" w:space="0" w:color="auto"/>
            <w:bottom w:val="none" w:sz="0" w:space="0" w:color="auto"/>
            <w:right w:val="none" w:sz="0" w:space="0" w:color="auto"/>
          </w:divBdr>
        </w:div>
        <w:div w:id="389698185">
          <w:marLeft w:val="0"/>
          <w:marRight w:val="0"/>
          <w:marTop w:val="0"/>
          <w:marBottom w:val="0"/>
          <w:divBdr>
            <w:top w:val="none" w:sz="0" w:space="0" w:color="auto"/>
            <w:left w:val="none" w:sz="0" w:space="0" w:color="auto"/>
            <w:bottom w:val="none" w:sz="0" w:space="0" w:color="auto"/>
            <w:right w:val="none" w:sz="0" w:space="0" w:color="auto"/>
          </w:divBdr>
        </w:div>
        <w:div w:id="1607543034">
          <w:marLeft w:val="0"/>
          <w:marRight w:val="0"/>
          <w:marTop w:val="0"/>
          <w:marBottom w:val="0"/>
          <w:divBdr>
            <w:top w:val="none" w:sz="0" w:space="0" w:color="auto"/>
            <w:left w:val="none" w:sz="0" w:space="0" w:color="auto"/>
            <w:bottom w:val="none" w:sz="0" w:space="0" w:color="auto"/>
            <w:right w:val="none" w:sz="0" w:space="0" w:color="auto"/>
          </w:divBdr>
        </w:div>
        <w:div w:id="119882745">
          <w:marLeft w:val="0"/>
          <w:marRight w:val="0"/>
          <w:marTop w:val="0"/>
          <w:marBottom w:val="0"/>
          <w:divBdr>
            <w:top w:val="none" w:sz="0" w:space="0" w:color="auto"/>
            <w:left w:val="none" w:sz="0" w:space="0" w:color="auto"/>
            <w:bottom w:val="none" w:sz="0" w:space="0" w:color="auto"/>
            <w:right w:val="none" w:sz="0" w:space="0" w:color="auto"/>
          </w:divBdr>
        </w:div>
        <w:div w:id="844174560">
          <w:marLeft w:val="0"/>
          <w:marRight w:val="0"/>
          <w:marTop w:val="0"/>
          <w:marBottom w:val="0"/>
          <w:divBdr>
            <w:top w:val="none" w:sz="0" w:space="0" w:color="auto"/>
            <w:left w:val="none" w:sz="0" w:space="0" w:color="auto"/>
            <w:bottom w:val="none" w:sz="0" w:space="0" w:color="auto"/>
            <w:right w:val="none" w:sz="0" w:space="0" w:color="auto"/>
          </w:divBdr>
        </w:div>
        <w:div w:id="1880314520">
          <w:marLeft w:val="0"/>
          <w:marRight w:val="0"/>
          <w:marTop w:val="0"/>
          <w:marBottom w:val="0"/>
          <w:divBdr>
            <w:top w:val="none" w:sz="0" w:space="0" w:color="auto"/>
            <w:left w:val="none" w:sz="0" w:space="0" w:color="auto"/>
            <w:bottom w:val="none" w:sz="0" w:space="0" w:color="auto"/>
            <w:right w:val="none" w:sz="0" w:space="0" w:color="auto"/>
          </w:divBdr>
        </w:div>
        <w:div w:id="568345639">
          <w:marLeft w:val="0"/>
          <w:marRight w:val="0"/>
          <w:marTop w:val="0"/>
          <w:marBottom w:val="0"/>
          <w:divBdr>
            <w:top w:val="none" w:sz="0" w:space="0" w:color="auto"/>
            <w:left w:val="none" w:sz="0" w:space="0" w:color="auto"/>
            <w:bottom w:val="none" w:sz="0" w:space="0" w:color="auto"/>
            <w:right w:val="none" w:sz="0" w:space="0" w:color="auto"/>
          </w:divBdr>
        </w:div>
        <w:div w:id="518933542">
          <w:marLeft w:val="0"/>
          <w:marRight w:val="0"/>
          <w:marTop w:val="0"/>
          <w:marBottom w:val="0"/>
          <w:divBdr>
            <w:top w:val="none" w:sz="0" w:space="0" w:color="auto"/>
            <w:left w:val="none" w:sz="0" w:space="0" w:color="auto"/>
            <w:bottom w:val="none" w:sz="0" w:space="0" w:color="auto"/>
            <w:right w:val="none" w:sz="0" w:space="0" w:color="auto"/>
          </w:divBdr>
        </w:div>
        <w:div w:id="1731221744">
          <w:marLeft w:val="0"/>
          <w:marRight w:val="0"/>
          <w:marTop w:val="0"/>
          <w:marBottom w:val="0"/>
          <w:divBdr>
            <w:top w:val="none" w:sz="0" w:space="0" w:color="auto"/>
            <w:left w:val="none" w:sz="0" w:space="0" w:color="auto"/>
            <w:bottom w:val="none" w:sz="0" w:space="0" w:color="auto"/>
            <w:right w:val="none" w:sz="0" w:space="0" w:color="auto"/>
          </w:divBdr>
        </w:div>
        <w:div w:id="241256411">
          <w:marLeft w:val="0"/>
          <w:marRight w:val="0"/>
          <w:marTop w:val="0"/>
          <w:marBottom w:val="0"/>
          <w:divBdr>
            <w:top w:val="none" w:sz="0" w:space="0" w:color="auto"/>
            <w:left w:val="none" w:sz="0" w:space="0" w:color="auto"/>
            <w:bottom w:val="none" w:sz="0" w:space="0" w:color="auto"/>
            <w:right w:val="none" w:sz="0" w:space="0" w:color="auto"/>
          </w:divBdr>
        </w:div>
        <w:div w:id="1059984206">
          <w:marLeft w:val="0"/>
          <w:marRight w:val="0"/>
          <w:marTop w:val="0"/>
          <w:marBottom w:val="0"/>
          <w:divBdr>
            <w:top w:val="none" w:sz="0" w:space="0" w:color="auto"/>
            <w:left w:val="none" w:sz="0" w:space="0" w:color="auto"/>
            <w:bottom w:val="none" w:sz="0" w:space="0" w:color="auto"/>
            <w:right w:val="none" w:sz="0" w:space="0" w:color="auto"/>
          </w:divBdr>
        </w:div>
        <w:div w:id="813105679">
          <w:marLeft w:val="0"/>
          <w:marRight w:val="0"/>
          <w:marTop w:val="0"/>
          <w:marBottom w:val="0"/>
          <w:divBdr>
            <w:top w:val="none" w:sz="0" w:space="0" w:color="auto"/>
            <w:left w:val="none" w:sz="0" w:space="0" w:color="auto"/>
            <w:bottom w:val="none" w:sz="0" w:space="0" w:color="auto"/>
            <w:right w:val="none" w:sz="0" w:space="0" w:color="auto"/>
          </w:divBdr>
        </w:div>
        <w:div w:id="43335853">
          <w:marLeft w:val="0"/>
          <w:marRight w:val="0"/>
          <w:marTop w:val="0"/>
          <w:marBottom w:val="0"/>
          <w:divBdr>
            <w:top w:val="none" w:sz="0" w:space="0" w:color="auto"/>
            <w:left w:val="none" w:sz="0" w:space="0" w:color="auto"/>
            <w:bottom w:val="none" w:sz="0" w:space="0" w:color="auto"/>
            <w:right w:val="none" w:sz="0" w:space="0" w:color="auto"/>
          </w:divBdr>
        </w:div>
        <w:div w:id="1010793962">
          <w:marLeft w:val="0"/>
          <w:marRight w:val="0"/>
          <w:marTop w:val="0"/>
          <w:marBottom w:val="0"/>
          <w:divBdr>
            <w:top w:val="none" w:sz="0" w:space="0" w:color="auto"/>
            <w:left w:val="none" w:sz="0" w:space="0" w:color="auto"/>
            <w:bottom w:val="none" w:sz="0" w:space="0" w:color="auto"/>
            <w:right w:val="none" w:sz="0" w:space="0" w:color="auto"/>
          </w:divBdr>
        </w:div>
        <w:div w:id="831792948">
          <w:marLeft w:val="0"/>
          <w:marRight w:val="0"/>
          <w:marTop w:val="0"/>
          <w:marBottom w:val="0"/>
          <w:divBdr>
            <w:top w:val="none" w:sz="0" w:space="0" w:color="auto"/>
            <w:left w:val="none" w:sz="0" w:space="0" w:color="auto"/>
            <w:bottom w:val="none" w:sz="0" w:space="0" w:color="auto"/>
            <w:right w:val="none" w:sz="0" w:space="0" w:color="auto"/>
          </w:divBdr>
        </w:div>
        <w:div w:id="421803342">
          <w:marLeft w:val="0"/>
          <w:marRight w:val="0"/>
          <w:marTop w:val="0"/>
          <w:marBottom w:val="0"/>
          <w:divBdr>
            <w:top w:val="none" w:sz="0" w:space="0" w:color="auto"/>
            <w:left w:val="none" w:sz="0" w:space="0" w:color="auto"/>
            <w:bottom w:val="none" w:sz="0" w:space="0" w:color="auto"/>
            <w:right w:val="none" w:sz="0" w:space="0" w:color="auto"/>
          </w:divBdr>
        </w:div>
        <w:div w:id="160240433">
          <w:marLeft w:val="0"/>
          <w:marRight w:val="0"/>
          <w:marTop w:val="0"/>
          <w:marBottom w:val="0"/>
          <w:divBdr>
            <w:top w:val="none" w:sz="0" w:space="0" w:color="auto"/>
            <w:left w:val="none" w:sz="0" w:space="0" w:color="auto"/>
            <w:bottom w:val="none" w:sz="0" w:space="0" w:color="auto"/>
            <w:right w:val="none" w:sz="0" w:space="0" w:color="auto"/>
          </w:divBdr>
        </w:div>
        <w:div w:id="1027564862">
          <w:marLeft w:val="0"/>
          <w:marRight w:val="0"/>
          <w:marTop w:val="0"/>
          <w:marBottom w:val="0"/>
          <w:divBdr>
            <w:top w:val="none" w:sz="0" w:space="0" w:color="auto"/>
            <w:left w:val="none" w:sz="0" w:space="0" w:color="auto"/>
            <w:bottom w:val="none" w:sz="0" w:space="0" w:color="auto"/>
            <w:right w:val="none" w:sz="0" w:space="0" w:color="auto"/>
          </w:divBdr>
        </w:div>
        <w:div w:id="396906349">
          <w:marLeft w:val="0"/>
          <w:marRight w:val="0"/>
          <w:marTop w:val="0"/>
          <w:marBottom w:val="0"/>
          <w:divBdr>
            <w:top w:val="none" w:sz="0" w:space="0" w:color="auto"/>
            <w:left w:val="none" w:sz="0" w:space="0" w:color="auto"/>
            <w:bottom w:val="none" w:sz="0" w:space="0" w:color="auto"/>
            <w:right w:val="none" w:sz="0" w:space="0" w:color="auto"/>
          </w:divBdr>
        </w:div>
        <w:div w:id="850408900">
          <w:marLeft w:val="0"/>
          <w:marRight w:val="0"/>
          <w:marTop w:val="0"/>
          <w:marBottom w:val="0"/>
          <w:divBdr>
            <w:top w:val="none" w:sz="0" w:space="0" w:color="auto"/>
            <w:left w:val="none" w:sz="0" w:space="0" w:color="auto"/>
            <w:bottom w:val="none" w:sz="0" w:space="0" w:color="auto"/>
            <w:right w:val="none" w:sz="0" w:space="0" w:color="auto"/>
          </w:divBdr>
        </w:div>
        <w:div w:id="1252163135">
          <w:marLeft w:val="0"/>
          <w:marRight w:val="0"/>
          <w:marTop w:val="0"/>
          <w:marBottom w:val="0"/>
          <w:divBdr>
            <w:top w:val="none" w:sz="0" w:space="0" w:color="auto"/>
            <w:left w:val="none" w:sz="0" w:space="0" w:color="auto"/>
            <w:bottom w:val="none" w:sz="0" w:space="0" w:color="auto"/>
            <w:right w:val="none" w:sz="0" w:space="0" w:color="auto"/>
          </w:divBdr>
        </w:div>
        <w:div w:id="1451438570">
          <w:marLeft w:val="0"/>
          <w:marRight w:val="0"/>
          <w:marTop w:val="0"/>
          <w:marBottom w:val="0"/>
          <w:divBdr>
            <w:top w:val="none" w:sz="0" w:space="0" w:color="auto"/>
            <w:left w:val="none" w:sz="0" w:space="0" w:color="auto"/>
            <w:bottom w:val="none" w:sz="0" w:space="0" w:color="auto"/>
            <w:right w:val="none" w:sz="0" w:space="0" w:color="auto"/>
          </w:divBdr>
        </w:div>
        <w:div w:id="2102486111">
          <w:marLeft w:val="0"/>
          <w:marRight w:val="0"/>
          <w:marTop w:val="0"/>
          <w:marBottom w:val="0"/>
          <w:divBdr>
            <w:top w:val="none" w:sz="0" w:space="0" w:color="auto"/>
            <w:left w:val="none" w:sz="0" w:space="0" w:color="auto"/>
            <w:bottom w:val="none" w:sz="0" w:space="0" w:color="auto"/>
            <w:right w:val="none" w:sz="0" w:space="0" w:color="auto"/>
          </w:divBdr>
        </w:div>
        <w:div w:id="835918703">
          <w:marLeft w:val="0"/>
          <w:marRight w:val="0"/>
          <w:marTop w:val="0"/>
          <w:marBottom w:val="0"/>
          <w:divBdr>
            <w:top w:val="none" w:sz="0" w:space="0" w:color="auto"/>
            <w:left w:val="none" w:sz="0" w:space="0" w:color="auto"/>
            <w:bottom w:val="none" w:sz="0" w:space="0" w:color="auto"/>
            <w:right w:val="none" w:sz="0" w:space="0" w:color="auto"/>
          </w:divBdr>
        </w:div>
        <w:div w:id="310403372">
          <w:marLeft w:val="0"/>
          <w:marRight w:val="0"/>
          <w:marTop w:val="0"/>
          <w:marBottom w:val="0"/>
          <w:divBdr>
            <w:top w:val="none" w:sz="0" w:space="0" w:color="auto"/>
            <w:left w:val="none" w:sz="0" w:space="0" w:color="auto"/>
            <w:bottom w:val="none" w:sz="0" w:space="0" w:color="auto"/>
            <w:right w:val="none" w:sz="0" w:space="0" w:color="auto"/>
          </w:divBdr>
        </w:div>
      </w:divsChild>
    </w:div>
    <w:div w:id="145830374">
      <w:bodyDiv w:val="1"/>
      <w:marLeft w:val="0"/>
      <w:marRight w:val="0"/>
      <w:marTop w:val="0"/>
      <w:marBottom w:val="0"/>
      <w:divBdr>
        <w:top w:val="none" w:sz="0" w:space="0" w:color="auto"/>
        <w:left w:val="none" w:sz="0" w:space="0" w:color="auto"/>
        <w:bottom w:val="none" w:sz="0" w:space="0" w:color="auto"/>
        <w:right w:val="none" w:sz="0" w:space="0" w:color="auto"/>
      </w:divBdr>
    </w:div>
    <w:div w:id="167990884">
      <w:bodyDiv w:val="1"/>
      <w:marLeft w:val="0"/>
      <w:marRight w:val="0"/>
      <w:marTop w:val="0"/>
      <w:marBottom w:val="0"/>
      <w:divBdr>
        <w:top w:val="none" w:sz="0" w:space="0" w:color="auto"/>
        <w:left w:val="none" w:sz="0" w:space="0" w:color="auto"/>
        <w:bottom w:val="none" w:sz="0" w:space="0" w:color="auto"/>
        <w:right w:val="none" w:sz="0" w:space="0" w:color="auto"/>
      </w:divBdr>
    </w:div>
    <w:div w:id="174416806">
      <w:bodyDiv w:val="1"/>
      <w:marLeft w:val="0"/>
      <w:marRight w:val="0"/>
      <w:marTop w:val="0"/>
      <w:marBottom w:val="0"/>
      <w:divBdr>
        <w:top w:val="none" w:sz="0" w:space="0" w:color="auto"/>
        <w:left w:val="none" w:sz="0" w:space="0" w:color="auto"/>
        <w:bottom w:val="none" w:sz="0" w:space="0" w:color="auto"/>
        <w:right w:val="none" w:sz="0" w:space="0" w:color="auto"/>
      </w:divBdr>
    </w:div>
    <w:div w:id="250818919">
      <w:bodyDiv w:val="1"/>
      <w:marLeft w:val="0"/>
      <w:marRight w:val="0"/>
      <w:marTop w:val="0"/>
      <w:marBottom w:val="0"/>
      <w:divBdr>
        <w:top w:val="none" w:sz="0" w:space="0" w:color="auto"/>
        <w:left w:val="none" w:sz="0" w:space="0" w:color="auto"/>
        <w:bottom w:val="none" w:sz="0" w:space="0" w:color="auto"/>
        <w:right w:val="none" w:sz="0" w:space="0" w:color="auto"/>
      </w:divBdr>
    </w:div>
    <w:div w:id="251621856">
      <w:bodyDiv w:val="1"/>
      <w:marLeft w:val="0"/>
      <w:marRight w:val="0"/>
      <w:marTop w:val="0"/>
      <w:marBottom w:val="0"/>
      <w:divBdr>
        <w:top w:val="none" w:sz="0" w:space="0" w:color="auto"/>
        <w:left w:val="none" w:sz="0" w:space="0" w:color="auto"/>
        <w:bottom w:val="none" w:sz="0" w:space="0" w:color="auto"/>
        <w:right w:val="none" w:sz="0" w:space="0" w:color="auto"/>
      </w:divBdr>
    </w:div>
    <w:div w:id="324430926">
      <w:bodyDiv w:val="1"/>
      <w:marLeft w:val="0"/>
      <w:marRight w:val="0"/>
      <w:marTop w:val="0"/>
      <w:marBottom w:val="0"/>
      <w:divBdr>
        <w:top w:val="none" w:sz="0" w:space="0" w:color="auto"/>
        <w:left w:val="none" w:sz="0" w:space="0" w:color="auto"/>
        <w:bottom w:val="none" w:sz="0" w:space="0" w:color="auto"/>
        <w:right w:val="none" w:sz="0" w:space="0" w:color="auto"/>
      </w:divBdr>
    </w:div>
    <w:div w:id="324625822">
      <w:bodyDiv w:val="1"/>
      <w:marLeft w:val="0"/>
      <w:marRight w:val="0"/>
      <w:marTop w:val="0"/>
      <w:marBottom w:val="0"/>
      <w:divBdr>
        <w:top w:val="none" w:sz="0" w:space="0" w:color="auto"/>
        <w:left w:val="none" w:sz="0" w:space="0" w:color="auto"/>
        <w:bottom w:val="none" w:sz="0" w:space="0" w:color="auto"/>
        <w:right w:val="none" w:sz="0" w:space="0" w:color="auto"/>
      </w:divBdr>
    </w:div>
    <w:div w:id="352808116">
      <w:bodyDiv w:val="1"/>
      <w:marLeft w:val="0"/>
      <w:marRight w:val="0"/>
      <w:marTop w:val="0"/>
      <w:marBottom w:val="0"/>
      <w:divBdr>
        <w:top w:val="none" w:sz="0" w:space="0" w:color="auto"/>
        <w:left w:val="none" w:sz="0" w:space="0" w:color="auto"/>
        <w:bottom w:val="none" w:sz="0" w:space="0" w:color="auto"/>
        <w:right w:val="none" w:sz="0" w:space="0" w:color="auto"/>
      </w:divBdr>
    </w:div>
    <w:div w:id="356581496">
      <w:bodyDiv w:val="1"/>
      <w:marLeft w:val="0"/>
      <w:marRight w:val="0"/>
      <w:marTop w:val="0"/>
      <w:marBottom w:val="0"/>
      <w:divBdr>
        <w:top w:val="none" w:sz="0" w:space="0" w:color="auto"/>
        <w:left w:val="none" w:sz="0" w:space="0" w:color="auto"/>
        <w:bottom w:val="none" w:sz="0" w:space="0" w:color="auto"/>
        <w:right w:val="none" w:sz="0" w:space="0" w:color="auto"/>
      </w:divBdr>
    </w:div>
    <w:div w:id="364255226">
      <w:bodyDiv w:val="1"/>
      <w:marLeft w:val="0"/>
      <w:marRight w:val="0"/>
      <w:marTop w:val="0"/>
      <w:marBottom w:val="0"/>
      <w:divBdr>
        <w:top w:val="none" w:sz="0" w:space="0" w:color="auto"/>
        <w:left w:val="none" w:sz="0" w:space="0" w:color="auto"/>
        <w:bottom w:val="none" w:sz="0" w:space="0" w:color="auto"/>
        <w:right w:val="none" w:sz="0" w:space="0" w:color="auto"/>
      </w:divBdr>
    </w:div>
    <w:div w:id="376399104">
      <w:bodyDiv w:val="1"/>
      <w:marLeft w:val="0"/>
      <w:marRight w:val="0"/>
      <w:marTop w:val="0"/>
      <w:marBottom w:val="0"/>
      <w:divBdr>
        <w:top w:val="none" w:sz="0" w:space="0" w:color="auto"/>
        <w:left w:val="none" w:sz="0" w:space="0" w:color="auto"/>
        <w:bottom w:val="none" w:sz="0" w:space="0" w:color="auto"/>
        <w:right w:val="none" w:sz="0" w:space="0" w:color="auto"/>
      </w:divBdr>
      <w:divsChild>
        <w:div w:id="1037896874">
          <w:marLeft w:val="0"/>
          <w:marRight w:val="0"/>
          <w:marTop w:val="0"/>
          <w:marBottom w:val="0"/>
          <w:divBdr>
            <w:top w:val="none" w:sz="0" w:space="0" w:color="auto"/>
            <w:left w:val="none" w:sz="0" w:space="0" w:color="auto"/>
            <w:bottom w:val="none" w:sz="0" w:space="0" w:color="auto"/>
            <w:right w:val="none" w:sz="0" w:space="0" w:color="auto"/>
          </w:divBdr>
        </w:div>
        <w:div w:id="1394156842">
          <w:marLeft w:val="0"/>
          <w:marRight w:val="0"/>
          <w:marTop w:val="0"/>
          <w:marBottom w:val="0"/>
          <w:divBdr>
            <w:top w:val="none" w:sz="0" w:space="0" w:color="auto"/>
            <w:left w:val="none" w:sz="0" w:space="0" w:color="auto"/>
            <w:bottom w:val="none" w:sz="0" w:space="0" w:color="auto"/>
            <w:right w:val="none" w:sz="0" w:space="0" w:color="auto"/>
          </w:divBdr>
        </w:div>
        <w:div w:id="1408260162">
          <w:marLeft w:val="0"/>
          <w:marRight w:val="0"/>
          <w:marTop w:val="0"/>
          <w:marBottom w:val="0"/>
          <w:divBdr>
            <w:top w:val="none" w:sz="0" w:space="0" w:color="auto"/>
            <w:left w:val="none" w:sz="0" w:space="0" w:color="auto"/>
            <w:bottom w:val="none" w:sz="0" w:space="0" w:color="auto"/>
            <w:right w:val="none" w:sz="0" w:space="0" w:color="auto"/>
          </w:divBdr>
        </w:div>
        <w:div w:id="171997807">
          <w:marLeft w:val="0"/>
          <w:marRight w:val="0"/>
          <w:marTop w:val="0"/>
          <w:marBottom w:val="0"/>
          <w:divBdr>
            <w:top w:val="none" w:sz="0" w:space="0" w:color="auto"/>
            <w:left w:val="none" w:sz="0" w:space="0" w:color="auto"/>
            <w:bottom w:val="none" w:sz="0" w:space="0" w:color="auto"/>
            <w:right w:val="none" w:sz="0" w:space="0" w:color="auto"/>
          </w:divBdr>
        </w:div>
        <w:div w:id="756176380">
          <w:marLeft w:val="0"/>
          <w:marRight w:val="0"/>
          <w:marTop w:val="0"/>
          <w:marBottom w:val="0"/>
          <w:divBdr>
            <w:top w:val="none" w:sz="0" w:space="0" w:color="auto"/>
            <w:left w:val="none" w:sz="0" w:space="0" w:color="auto"/>
            <w:bottom w:val="none" w:sz="0" w:space="0" w:color="auto"/>
            <w:right w:val="none" w:sz="0" w:space="0" w:color="auto"/>
          </w:divBdr>
        </w:div>
        <w:div w:id="883181207">
          <w:marLeft w:val="0"/>
          <w:marRight w:val="0"/>
          <w:marTop w:val="0"/>
          <w:marBottom w:val="0"/>
          <w:divBdr>
            <w:top w:val="none" w:sz="0" w:space="0" w:color="auto"/>
            <w:left w:val="none" w:sz="0" w:space="0" w:color="auto"/>
            <w:bottom w:val="none" w:sz="0" w:space="0" w:color="auto"/>
            <w:right w:val="none" w:sz="0" w:space="0" w:color="auto"/>
          </w:divBdr>
        </w:div>
        <w:div w:id="746149885">
          <w:marLeft w:val="0"/>
          <w:marRight w:val="0"/>
          <w:marTop w:val="0"/>
          <w:marBottom w:val="0"/>
          <w:divBdr>
            <w:top w:val="none" w:sz="0" w:space="0" w:color="auto"/>
            <w:left w:val="none" w:sz="0" w:space="0" w:color="auto"/>
            <w:bottom w:val="none" w:sz="0" w:space="0" w:color="auto"/>
            <w:right w:val="none" w:sz="0" w:space="0" w:color="auto"/>
          </w:divBdr>
        </w:div>
        <w:div w:id="771163583">
          <w:marLeft w:val="0"/>
          <w:marRight w:val="0"/>
          <w:marTop w:val="0"/>
          <w:marBottom w:val="0"/>
          <w:divBdr>
            <w:top w:val="none" w:sz="0" w:space="0" w:color="auto"/>
            <w:left w:val="none" w:sz="0" w:space="0" w:color="auto"/>
            <w:bottom w:val="none" w:sz="0" w:space="0" w:color="auto"/>
            <w:right w:val="none" w:sz="0" w:space="0" w:color="auto"/>
          </w:divBdr>
        </w:div>
        <w:div w:id="1802846370">
          <w:marLeft w:val="0"/>
          <w:marRight w:val="0"/>
          <w:marTop w:val="0"/>
          <w:marBottom w:val="0"/>
          <w:divBdr>
            <w:top w:val="none" w:sz="0" w:space="0" w:color="auto"/>
            <w:left w:val="none" w:sz="0" w:space="0" w:color="auto"/>
            <w:bottom w:val="none" w:sz="0" w:space="0" w:color="auto"/>
            <w:right w:val="none" w:sz="0" w:space="0" w:color="auto"/>
          </w:divBdr>
        </w:div>
        <w:div w:id="677269114">
          <w:marLeft w:val="0"/>
          <w:marRight w:val="0"/>
          <w:marTop w:val="0"/>
          <w:marBottom w:val="0"/>
          <w:divBdr>
            <w:top w:val="none" w:sz="0" w:space="0" w:color="auto"/>
            <w:left w:val="none" w:sz="0" w:space="0" w:color="auto"/>
            <w:bottom w:val="none" w:sz="0" w:space="0" w:color="auto"/>
            <w:right w:val="none" w:sz="0" w:space="0" w:color="auto"/>
          </w:divBdr>
        </w:div>
        <w:div w:id="1209149596">
          <w:marLeft w:val="0"/>
          <w:marRight w:val="0"/>
          <w:marTop w:val="0"/>
          <w:marBottom w:val="0"/>
          <w:divBdr>
            <w:top w:val="none" w:sz="0" w:space="0" w:color="auto"/>
            <w:left w:val="none" w:sz="0" w:space="0" w:color="auto"/>
            <w:bottom w:val="none" w:sz="0" w:space="0" w:color="auto"/>
            <w:right w:val="none" w:sz="0" w:space="0" w:color="auto"/>
          </w:divBdr>
        </w:div>
        <w:div w:id="1821918895">
          <w:marLeft w:val="0"/>
          <w:marRight w:val="0"/>
          <w:marTop w:val="0"/>
          <w:marBottom w:val="0"/>
          <w:divBdr>
            <w:top w:val="none" w:sz="0" w:space="0" w:color="auto"/>
            <w:left w:val="none" w:sz="0" w:space="0" w:color="auto"/>
            <w:bottom w:val="none" w:sz="0" w:space="0" w:color="auto"/>
            <w:right w:val="none" w:sz="0" w:space="0" w:color="auto"/>
          </w:divBdr>
        </w:div>
        <w:div w:id="1222525828">
          <w:marLeft w:val="0"/>
          <w:marRight w:val="0"/>
          <w:marTop w:val="0"/>
          <w:marBottom w:val="0"/>
          <w:divBdr>
            <w:top w:val="none" w:sz="0" w:space="0" w:color="auto"/>
            <w:left w:val="none" w:sz="0" w:space="0" w:color="auto"/>
            <w:bottom w:val="none" w:sz="0" w:space="0" w:color="auto"/>
            <w:right w:val="none" w:sz="0" w:space="0" w:color="auto"/>
          </w:divBdr>
        </w:div>
        <w:div w:id="1154029504">
          <w:marLeft w:val="0"/>
          <w:marRight w:val="0"/>
          <w:marTop w:val="0"/>
          <w:marBottom w:val="0"/>
          <w:divBdr>
            <w:top w:val="none" w:sz="0" w:space="0" w:color="auto"/>
            <w:left w:val="none" w:sz="0" w:space="0" w:color="auto"/>
            <w:bottom w:val="none" w:sz="0" w:space="0" w:color="auto"/>
            <w:right w:val="none" w:sz="0" w:space="0" w:color="auto"/>
          </w:divBdr>
        </w:div>
        <w:div w:id="514611191">
          <w:marLeft w:val="0"/>
          <w:marRight w:val="0"/>
          <w:marTop w:val="0"/>
          <w:marBottom w:val="0"/>
          <w:divBdr>
            <w:top w:val="none" w:sz="0" w:space="0" w:color="auto"/>
            <w:left w:val="none" w:sz="0" w:space="0" w:color="auto"/>
            <w:bottom w:val="none" w:sz="0" w:space="0" w:color="auto"/>
            <w:right w:val="none" w:sz="0" w:space="0" w:color="auto"/>
          </w:divBdr>
        </w:div>
        <w:div w:id="1368801558">
          <w:marLeft w:val="0"/>
          <w:marRight w:val="0"/>
          <w:marTop w:val="0"/>
          <w:marBottom w:val="0"/>
          <w:divBdr>
            <w:top w:val="none" w:sz="0" w:space="0" w:color="auto"/>
            <w:left w:val="none" w:sz="0" w:space="0" w:color="auto"/>
            <w:bottom w:val="none" w:sz="0" w:space="0" w:color="auto"/>
            <w:right w:val="none" w:sz="0" w:space="0" w:color="auto"/>
          </w:divBdr>
        </w:div>
        <w:div w:id="282464262">
          <w:marLeft w:val="0"/>
          <w:marRight w:val="0"/>
          <w:marTop w:val="0"/>
          <w:marBottom w:val="0"/>
          <w:divBdr>
            <w:top w:val="none" w:sz="0" w:space="0" w:color="auto"/>
            <w:left w:val="none" w:sz="0" w:space="0" w:color="auto"/>
            <w:bottom w:val="none" w:sz="0" w:space="0" w:color="auto"/>
            <w:right w:val="none" w:sz="0" w:space="0" w:color="auto"/>
          </w:divBdr>
        </w:div>
        <w:div w:id="1113749428">
          <w:marLeft w:val="0"/>
          <w:marRight w:val="0"/>
          <w:marTop w:val="0"/>
          <w:marBottom w:val="0"/>
          <w:divBdr>
            <w:top w:val="none" w:sz="0" w:space="0" w:color="auto"/>
            <w:left w:val="none" w:sz="0" w:space="0" w:color="auto"/>
            <w:bottom w:val="none" w:sz="0" w:space="0" w:color="auto"/>
            <w:right w:val="none" w:sz="0" w:space="0" w:color="auto"/>
          </w:divBdr>
        </w:div>
        <w:div w:id="1380518010">
          <w:marLeft w:val="0"/>
          <w:marRight w:val="0"/>
          <w:marTop w:val="0"/>
          <w:marBottom w:val="0"/>
          <w:divBdr>
            <w:top w:val="none" w:sz="0" w:space="0" w:color="auto"/>
            <w:left w:val="none" w:sz="0" w:space="0" w:color="auto"/>
            <w:bottom w:val="none" w:sz="0" w:space="0" w:color="auto"/>
            <w:right w:val="none" w:sz="0" w:space="0" w:color="auto"/>
          </w:divBdr>
        </w:div>
        <w:div w:id="1134642183">
          <w:marLeft w:val="0"/>
          <w:marRight w:val="0"/>
          <w:marTop w:val="0"/>
          <w:marBottom w:val="0"/>
          <w:divBdr>
            <w:top w:val="none" w:sz="0" w:space="0" w:color="auto"/>
            <w:left w:val="none" w:sz="0" w:space="0" w:color="auto"/>
            <w:bottom w:val="none" w:sz="0" w:space="0" w:color="auto"/>
            <w:right w:val="none" w:sz="0" w:space="0" w:color="auto"/>
          </w:divBdr>
        </w:div>
        <w:div w:id="1815950325">
          <w:marLeft w:val="0"/>
          <w:marRight w:val="0"/>
          <w:marTop w:val="0"/>
          <w:marBottom w:val="0"/>
          <w:divBdr>
            <w:top w:val="none" w:sz="0" w:space="0" w:color="auto"/>
            <w:left w:val="none" w:sz="0" w:space="0" w:color="auto"/>
            <w:bottom w:val="none" w:sz="0" w:space="0" w:color="auto"/>
            <w:right w:val="none" w:sz="0" w:space="0" w:color="auto"/>
          </w:divBdr>
        </w:div>
        <w:div w:id="1152213531">
          <w:marLeft w:val="0"/>
          <w:marRight w:val="0"/>
          <w:marTop w:val="0"/>
          <w:marBottom w:val="0"/>
          <w:divBdr>
            <w:top w:val="none" w:sz="0" w:space="0" w:color="auto"/>
            <w:left w:val="none" w:sz="0" w:space="0" w:color="auto"/>
            <w:bottom w:val="none" w:sz="0" w:space="0" w:color="auto"/>
            <w:right w:val="none" w:sz="0" w:space="0" w:color="auto"/>
          </w:divBdr>
        </w:div>
        <w:div w:id="1031149213">
          <w:marLeft w:val="0"/>
          <w:marRight w:val="0"/>
          <w:marTop w:val="0"/>
          <w:marBottom w:val="0"/>
          <w:divBdr>
            <w:top w:val="none" w:sz="0" w:space="0" w:color="auto"/>
            <w:left w:val="none" w:sz="0" w:space="0" w:color="auto"/>
            <w:bottom w:val="none" w:sz="0" w:space="0" w:color="auto"/>
            <w:right w:val="none" w:sz="0" w:space="0" w:color="auto"/>
          </w:divBdr>
        </w:div>
        <w:div w:id="456487134">
          <w:marLeft w:val="0"/>
          <w:marRight w:val="0"/>
          <w:marTop w:val="0"/>
          <w:marBottom w:val="0"/>
          <w:divBdr>
            <w:top w:val="none" w:sz="0" w:space="0" w:color="auto"/>
            <w:left w:val="none" w:sz="0" w:space="0" w:color="auto"/>
            <w:bottom w:val="none" w:sz="0" w:space="0" w:color="auto"/>
            <w:right w:val="none" w:sz="0" w:space="0" w:color="auto"/>
          </w:divBdr>
        </w:div>
        <w:div w:id="527765055">
          <w:marLeft w:val="0"/>
          <w:marRight w:val="0"/>
          <w:marTop w:val="0"/>
          <w:marBottom w:val="0"/>
          <w:divBdr>
            <w:top w:val="none" w:sz="0" w:space="0" w:color="auto"/>
            <w:left w:val="none" w:sz="0" w:space="0" w:color="auto"/>
            <w:bottom w:val="none" w:sz="0" w:space="0" w:color="auto"/>
            <w:right w:val="none" w:sz="0" w:space="0" w:color="auto"/>
          </w:divBdr>
        </w:div>
        <w:div w:id="512888627">
          <w:marLeft w:val="0"/>
          <w:marRight w:val="0"/>
          <w:marTop w:val="0"/>
          <w:marBottom w:val="0"/>
          <w:divBdr>
            <w:top w:val="none" w:sz="0" w:space="0" w:color="auto"/>
            <w:left w:val="none" w:sz="0" w:space="0" w:color="auto"/>
            <w:bottom w:val="none" w:sz="0" w:space="0" w:color="auto"/>
            <w:right w:val="none" w:sz="0" w:space="0" w:color="auto"/>
          </w:divBdr>
        </w:div>
      </w:divsChild>
    </w:div>
    <w:div w:id="397947078">
      <w:bodyDiv w:val="1"/>
      <w:marLeft w:val="0"/>
      <w:marRight w:val="0"/>
      <w:marTop w:val="0"/>
      <w:marBottom w:val="0"/>
      <w:divBdr>
        <w:top w:val="none" w:sz="0" w:space="0" w:color="auto"/>
        <w:left w:val="none" w:sz="0" w:space="0" w:color="auto"/>
        <w:bottom w:val="none" w:sz="0" w:space="0" w:color="auto"/>
        <w:right w:val="none" w:sz="0" w:space="0" w:color="auto"/>
      </w:divBdr>
    </w:div>
    <w:div w:id="406728226">
      <w:bodyDiv w:val="1"/>
      <w:marLeft w:val="0"/>
      <w:marRight w:val="0"/>
      <w:marTop w:val="0"/>
      <w:marBottom w:val="0"/>
      <w:divBdr>
        <w:top w:val="none" w:sz="0" w:space="0" w:color="auto"/>
        <w:left w:val="none" w:sz="0" w:space="0" w:color="auto"/>
        <w:bottom w:val="none" w:sz="0" w:space="0" w:color="auto"/>
        <w:right w:val="none" w:sz="0" w:space="0" w:color="auto"/>
      </w:divBdr>
    </w:div>
    <w:div w:id="407389641">
      <w:bodyDiv w:val="1"/>
      <w:marLeft w:val="0"/>
      <w:marRight w:val="0"/>
      <w:marTop w:val="0"/>
      <w:marBottom w:val="0"/>
      <w:divBdr>
        <w:top w:val="none" w:sz="0" w:space="0" w:color="auto"/>
        <w:left w:val="none" w:sz="0" w:space="0" w:color="auto"/>
        <w:bottom w:val="none" w:sz="0" w:space="0" w:color="auto"/>
        <w:right w:val="none" w:sz="0" w:space="0" w:color="auto"/>
      </w:divBdr>
    </w:div>
    <w:div w:id="418871674">
      <w:bodyDiv w:val="1"/>
      <w:marLeft w:val="0"/>
      <w:marRight w:val="0"/>
      <w:marTop w:val="0"/>
      <w:marBottom w:val="0"/>
      <w:divBdr>
        <w:top w:val="none" w:sz="0" w:space="0" w:color="auto"/>
        <w:left w:val="none" w:sz="0" w:space="0" w:color="auto"/>
        <w:bottom w:val="none" w:sz="0" w:space="0" w:color="auto"/>
        <w:right w:val="none" w:sz="0" w:space="0" w:color="auto"/>
      </w:divBdr>
      <w:divsChild>
        <w:div w:id="1444495342">
          <w:marLeft w:val="0"/>
          <w:marRight w:val="0"/>
          <w:marTop w:val="0"/>
          <w:marBottom w:val="0"/>
          <w:divBdr>
            <w:top w:val="none" w:sz="0" w:space="0" w:color="auto"/>
            <w:left w:val="none" w:sz="0" w:space="0" w:color="auto"/>
            <w:bottom w:val="none" w:sz="0" w:space="0" w:color="auto"/>
            <w:right w:val="none" w:sz="0" w:space="0" w:color="auto"/>
          </w:divBdr>
        </w:div>
        <w:div w:id="749741657">
          <w:marLeft w:val="0"/>
          <w:marRight w:val="0"/>
          <w:marTop w:val="0"/>
          <w:marBottom w:val="0"/>
          <w:divBdr>
            <w:top w:val="none" w:sz="0" w:space="0" w:color="auto"/>
            <w:left w:val="none" w:sz="0" w:space="0" w:color="auto"/>
            <w:bottom w:val="none" w:sz="0" w:space="0" w:color="auto"/>
            <w:right w:val="none" w:sz="0" w:space="0" w:color="auto"/>
          </w:divBdr>
        </w:div>
        <w:div w:id="1235896112">
          <w:marLeft w:val="0"/>
          <w:marRight w:val="0"/>
          <w:marTop w:val="0"/>
          <w:marBottom w:val="0"/>
          <w:divBdr>
            <w:top w:val="none" w:sz="0" w:space="0" w:color="auto"/>
            <w:left w:val="none" w:sz="0" w:space="0" w:color="auto"/>
            <w:bottom w:val="none" w:sz="0" w:space="0" w:color="auto"/>
            <w:right w:val="none" w:sz="0" w:space="0" w:color="auto"/>
          </w:divBdr>
        </w:div>
        <w:div w:id="636376621">
          <w:marLeft w:val="0"/>
          <w:marRight w:val="0"/>
          <w:marTop w:val="0"/>
          <w:marBottom w:val="0"/>
          <w:divBdr>
            <w:top w:val="none" w:sz="0" w:space="0" w:color="auto"/>
            <w:left w:val="none" w:sz="0" w:space="0" w:color="auto"/>
            <w:bottom w:val="none" w:sz="0" w:space="0" w:color="auto"/>
            <w:right w:val="none" w:sz="0" w:space="0" w:color="auto"/>
          </w:divBdr>
        </w:div>
        <w:div w:id="751976079">
          <w:marLeft w:val="0"/>
          <w:marRight w:val="0"/>
          <w:marTop w:val="0"/>
          <w:marBottom w:val="0"/>
          <w:divBdr>
            <w:top w:val="none" w:sz="0" w:space="0" w:color="auto"/>
            <w:left w:val="none" w:sz="0" w:space="0" w:color="auto"/>
            <w:bottom w:val="none" w:sz="0" w:space="0" w:color="auto"/>
            <w:right w:val="none" w:sz="0" w:space="0" w:color="auto"/>
          </w:divBdr>
        </w:div>
        <w:div w:id="415828160">
          <w:marLeft w:val="0"/>
          <w:marRight w:val="0"/>
          <w:marTop w:val="0"/>
          <w:marBottom w:val="0"/>
          <w:divBdr>
            <w:top w:val="none" w:sz="0" w:space="0" w:color="auto"/>
            <w:left w:val="none" w:sz="0" w:space="0" w:color="auto"/>
            <w:bottom w:val="none" w:sz="0" w:space="0" w:color="auto"/>
            <w:right w:val="none" w:sz="0" w:space="0" w:color="auto"/>
          </w:divBdr>
        </w:div>
        <w:div w:id="1124345870">
          <w:marLeft w:val="0"/>
          <w:marRight w:val="0"/>
          <w:marTop w:val="0"/>
          <w:marBottom w:val="0"/>
          <w:divBdr>
            <w:top w:val="none" w:sz="0" w:space="0" w:color="auto"/>
            <w:left w:val="none" w:sz="0" w:space="0" w:color="auto"/>
            <w:bottom w:val="none" w:sz="0" w:space="0" w:color="auto"/>
            <w:right w:val="none" w:sz="0" w:space="0" w:color="auto"/>
          </w:divBdr>
        </w:div>
        <w:div w:id="1106998253">
          <w:marLeft w:val="0"/>
          <w:marRight w:val="0"/>
          <w:marTop w:val="0"/>
          <w:marBottom w:val="0"/>
          <w:divBdr>
            <w:top w:val="none" w:sz="0" w:space="0" w:color="auto"/>
            <w:left w:val="none" w:sz="0" w:space="0" w:color="auto"/>
            <w:bottom w:val="none" w:sz="0" w:space="0" w:color="auto"/>
            <w:right w:val="none" w:sz="0" w:space="0" w:color="auto"/>
          </w:divBdr>
        </w:div>
        <w:div w:id="2047094706">
          <w:marLeft w:val="0"/>
          <w:marRight w:val="0"/>
          <w:marTop w:val="0"/>
          <w:marBottom w:val="0"/>
          <w:divBdr>
            <w:top w:val="none" w:sz="0" w:space="0" w:color="auto"/>
            <w:left w:val="none" w:sz="0" w:space="0" w:color="auto"/>
            <w:bottom w:val="none" w:sz="0" w:space="0" w:color="auto"/>
            <w:right w:val="none" w:sz="0" w:space="0" w:color="auto"/>
          </w:divBdr>
        </w:div>
        <w:div w:id="1182816806">
          <w:marLeft w:val="0"/>
          <w:marRight w:val="0"/>
          <w:marTop w:val="0"/>
          <w:marBottom w:val="0"/>
          <w:divBdr>
            <w:top w:val="none" w:sz="0" w:space="0" w:color="auto"/>
            <w:left w:val="none" w:sz="0" w:space="0" w:color="auto"/>
            <w:bottom w:val="none" w:sz="0" w:space="0" w:color="auto"/>
            <w:right w:val="none" w:sz="0" w:space="0" w:color="auto"/>
          </w:divBdr>
        </w:div>
        <w:div w:id="355350402">
          <w:marLeft w:val="0"/>
          <w:marRight w:val="0"/>
          <w:marTop w:val="0"/>
          <w:marBottom w:val="0"/>
          <w:divBdr>
            <w:top w:val="none" w:sz="0" w:space="0" w:color="auto"/>
            <w:left w:val="none" w:sz="0" w:space="0" w:color="auto"/>
            <w:bottom w:val="none" w:sz="0" w:space="0" w:color="auto"/>
            <w:right w:val="none" w:sz="0" w:space="0" w:color="auto"/>
          </w:divBdr>
        </w:div>
        <w:div w:id="145899311">
          <w:marLeft w:val="0"/>
          <w:marRight w:val="0"/>
          <w:marTop w:val="0"/>
          <w:marBottom w:val="0"/>
          <w:divBdr>
            <w:top w:val="none" w:sz="0" w:space="0" w:color="auto"/>
            <w:left w:val="none" w:sz="0" w:space="0" w:color="auto"/>
            <w:bottom w:val="none" w:sz="0" w:space="0" w:color="auto"/>
            <w:right w:val="none" w:sz="0" w:space="0" w:color="auto"/>
          </w:divBdr>
        </w:div>
        <w:div w:id="107163421">
          <w:marLeft w:val="0"/>
          <w:marRight w:val="0"/>
          <w:marTop w:val="0"/>
          <w:marBottom w:val="0"/>
          <w:divBdr>
            <w:top w:val="none" w:sz="0" w:space="0" w:color="auto"/>
            <w:left w:val="none" w:sz="0" w:space="0" w:color="auto"/>
            <w:bottom w:val="none" w:sz="0" w:space="0" w:color="auto"/>
            <w:right w:val="none" w:sz="0" w:space="0" w:color="auto"/>
          </w:divBdr>
        </w:div>
        <w:div w:id="1975603648">
          <w:marLeft w:val="0"/>
          <w:marRight w:val="0"/>
          <w:marTop w:val="0"/>
          <w:marBottom w:val="0"/>
          <w:divBdr>
            <w:top w:val="none" w:sz="0" w:space="0" w:color="auto"/>
            <w:left w:val="none" w:sz="0" w:space="0" w:color="auto"/>
            <w:bottom w:val="none" w:sz="0" w:space="0" w:color="auto"/>
            <w:right w:val="none" w:sz="0" w:space="0" w:color="auto"/>
          </w:divBdr>
        </w:div>
        <w:div w:id="1379861876">
          <w:marLeft w:val="0"/>
          <w:marRight w:val="0"/>
          <w:marTop w:val="0"/>
          <w:marBottom w:val="0"/>
          <w:divBdr>
            <w:top w:val="none" w:sz="0" w:space="0" w:color="auto"/>
            <w:left w:val="none" w:sz="0" w:space="0" w:color="auto"/>
            <w:bottom w:val="none" w:sz="0" w:space="0" w:color="auto"/>
            <w:right w:val="none" w:sz="0" w:space="0" w:color="auto"/>
          </w:divBdr>
        </w:div>
        <w:div w:id="856499740">
          <w:marLeft w:val="0"/>
          <w:marRight w:val="0"/>
          <w:marTop w:val="0"/>
          <w:marBottom w:val="0"/>
          <w:divBdr>
            <w:top w:val="none" w:sz="0" w:space="0" w:color="auto"/>
            <w:left w:val="none" w:sz="0" w:space="0" w:color="auto"/>
            <w:bottom w:val="none" w:sz="0" w:space="0" w:color="auto"/>
            <w:right w:val="none" w:sz="0" w:space="0" w:color="auto"/>
          </w:divBdr>
        </w:div>
        <w:div w:id="326978458">
          <w:marLeft w:val="0"/>
          <w:marRight w:val="0"/>
          <w:marTop w:val="0"/>
          <w:marBottom w:val="0"/>
          <w:divBdr>
            <w:top w:val="none" w:sz="0" w:space="0" w:color="auto"/>
            <w:left w:val="none" w:sz="0" w:space="0" w:color="auto"/>
            <w:bottom w:val="none" w:sz="0" w:space="0" w:color="auto"/>
            <w:right w:val="none" w:sz="0" w:space="0" w:color="auto"/>
          </w:divBdr>
        </w:div>
        <w:div w:id="1811483829">
          <w:marLeft w:val="0"/>
          <w:marRight w:val="0"/>
          <w:marTop w:val="0"/>
          <w:marBottom w:val="0"/>
          <w:divBdr>
            <w:top w:val="none" w:sz="0" w:space="0" w:color="auto"/>
            <w:left w:val="none" w:sz="0" w:space="0" w:color="auto"/>
            <w:bottom w:val="none" w:sz="0" w:space="0" w:color="auto"/>
            <w:right w:val="none" w:sz="0" w:space="0" w:color="auto"/>
          </w:divBdr>
        </w:div>
        <w:div w:id="350424812">
          <w:marLeft w:val="0"/>
          <w:marRight w:val="0"/>
          <w:marTop w:val="0"/>
          <w:marBottom w:val="0"/>
          <w:divBdr>
            <w:top w:val="none" w:sz="0" w:space="0" w:color="auto"/>
            <w:left w:val="none" w:sz="0" w:space="0" w:color="auto"/>
            <w:bottom w:val="none" w:sz="0" w:space="0" w:color="auto"/>
            <w:right w:val="none" w:sz="0" w:space="0" w:color="auto"/>
          </w:divBdr>
        </w:div>
        <w:div w:id="1831558870">
          <w:marLeft w:val="0"/>
          <w:marRight w:val="0"/>
          <w:marTop w:val="0"/>
          <w:marBottom w:val="0"/>
          <w:divBdr>
            <w:top w:val="none" w:sz="0" w:space="0" w:color="auto"/>
            <w:left w:val="none" w:sz="0" w:space="0" w:color="auto"/>
            <w:bottom w:val="none" w:sz="0" w:space="0" w:color="auto"/>
            <w:right w:val="none" w:sz="0" w:space="0" w:color="auto"/>
          </w:divBdr>
        </w:div>
        <w:div w:id="1843740880">
          <w:marLeft w:val="0"/>
          <w:marRight w:val="0"/>
          <w:marTop w:val="0"/>
          <w:marBottom w:val="0"/>
          <w:divBdr>
            <w:top w:val="none" w:sz="0" w:space="0" w:color="auto"/>
            <w:left w:val="none" w:sz="0" w:space="0" w:color="auto"/>
            <w:bottom w:val="none" w:sz="0" w:space="0" w:color="auto"/>
            <w:right w:val="none" w:sz="0" w:space="0" w:color="auto"/>
          </w:divBdr>
        </w:div>
        <w:div w:id="418061588">
          <w:marLeft w:val="0"/>
          <w:marRight w:val="0"/>
          <w:marTop w:val="0"/>
          <w:marBottom w:val="0"/>
          <w:divBdr>
            <w:top w:val="none" w:sz="0" w:space="0" w:color="auto"/>
            <w:left w:val="none" w:sz="0" w:space="0" w:color="auto"/>
            <w:bottom w:val="none" w:sz="0" w:space="0" w:color="auto"/>
            <w:right w:val="none" w:sz="0" w:space="0" w:color="auto"/>
          </w:divBdr>
        </w:div>
        <w:div w:id="437717732">
          <w:marLeft w:val="0"/>
          <w:marRight w:val="0"/>
          <w:marTop w:val="0"/>
          <w:marBottom w:val="0"/>
          <w:divBdr>
            <w:top w:val="none" w:sz="0" w:space="0" w:color="auto"/>
            <w:left w:val="none" w:sz="0" w:space="0" w:color="auto"/>
            <w:bottom w:val="none" w:sz="0" w:space="0" w:color="auto"/>
            <w:right w:val="none" w:sz="0" w:space="0" w:color="auto"/>
          </w:divBdr>
        </w:div>
        <w:div w:id="1515651985">
          <w:marLeft w:val="0"/>
          <w:marRight w:val="0"/>
          <w:marTop w:val="0"/>
          <w:marBottom w:val="0"/>
          <w:divBdr>
            <w:top w:val="none" w:sz="0" w:space="0" w:color="auto"/>
            <w:left w:val="none" w:sz="0" w:space="0" w:color="auto"/>
            <w:bottom w:val="none" w:sz="0" w:space="0" w:color="auto"/>
            <w:right w:val="none" w:sz="0" w:space="0" w:color="auto"/>
          </w:divBdr>
        </w:div>
        <w:div w:id="1432893674">
          <w:marLeft w:val="0"/>
          <w:marRight w:val="0"/>
          <w:marTop w:val="0"/>
          <w:marBottom w:val="0"/>
          <w:divBdr>
            <w:top w:val="none" w:sz="0" w:space="0" w:color="auto"/>
            <w:left w:val="none" w:sz="0" w:space="0" w:color="auto"/>
            <w:bottom w:val="none" w:sz="0" w:space="0" w:color="auto"/>
            <w:right w:val="none" w:sz="0" w:space="0" w:color="auto"/>
          </w:divBdr>
        </w:div>
        <w:div w:id="258948979">
          <w:marLeft w:val="0"/>
          <w:marRight w:val="0"/>
          <w:marTop w:val="0"/>
          <w:marBottom w:val="0"/>
          <w:divBdr>
            <w:top w:val="none" w:sz="0" w:space="0" w:color="auto"/>
            <w:left w:val="none" w:sz="0" w:space="0" w:color="auto"/>
            <w:bottom w:val="none" w:sz="0" w:space="0" w:color="auto"/>
            <w:right w:val="none" w:sz="0" w:space="0" w:color="auto"/>
          </w:divBdr>
        </w:div>
        <w:div w:id="864829339">
          <w:marLeft w:val="0"/>
          <w:marRight w:val="0"/>
          <w:marTop w:val="0"/>
          <w:marBottom w:val="0"/>
          <w:divBdr>
            <w:top w:val="none" w:sz="0" w:space="0" w:color="auto"/>
            <w:left w:val="none" w:sz="0" w:space="0" w:color="auto"/>
            <w:bottom w:val="none" w:sz="0" w:space="0" w:color="auto"/>
            <w:right w:val="none" w:sz="0" w:space="0" w:color="auto"/>
          </w:divBdr>
        </w:div>
        <w:div w:id="1075711404">
          <w:marLeft w:val="0"/>
          <w:marRight w:val="0"/>
          <w:marTop w:val="0"/>
          <w:marBottom w:val="0"/>
          <w:divBdr>
            <w:top w:val="none" w:sz="0" w:space="0" w:color="auto"/>
            <w:left w:val="none" w:sz="0" w:space="0" w:color="auto"/>
            <w:bottom w:val="none" w:sz="0" w:space="0" w:color="auto"/>
            <w:right w:val="none" w:sz="0" w:space="0" w:color="auto"/>
          </w:divBdr>
        </w:div>
      </w:divsChild>
    </w:div>
    <w:div w:id="448092663">
      <w:bodyDiv w:val="1"/>
      <w:marLeft w:val="0"/>
      <w:marRight w:val="0"/>
      <w:marTop w:val="0"/>
      <w:marBottom w:val="0"/>
      <w:divBdr>
        <w:top w:val="none" w:sz="0" w:space="0" w:color="auto"/>
        <w:left w:val="none" w:sz="0" w:space="0" w:color="auto"/>
        <w:bottom w:val="none" w:sz="0" w:space="0" w:color="auto"/>
        <w:right w:val="none" w:sz="0" w:space="0" w:color="auto"/>
      </w:divBdr>
    </w:div>
    <w:div w:id="491676904">
      <w:bodyDiv w:val="1"/>
      <w:marLeft w:val="0"/>
      <w:marRight w:val="0"/>
      <w:marTop w:val="0"/>
      <w:marBottom w:val="0"/>
      <w:divBdr>
        <w:top w:val="none" w:sz="0" w:space="0" w:color="auto"/>
        <w:left w:val="none" w:sz="0" w:space="0" w:color="auto"/>
        <w:bottom w:val="none" w:sz="0" w:space="0" w:color="auto"/>
        <w:right w:val="none" w:sz="0" w:space="0" w:color="auto"/>
      </w:divBdr>
    </w:div>
    <w:div w:id="525026206">
      <w:bodyDiv w:val="1"/>
      <w:marLeft w:val="0"/>
      <w:marRight w:val="0"/>
      <w:marTop w:val="0"/>
      <w:marBottom w:val="0"/>
      <w:divBdr>
        <w:top w:val="none" w:sz="0" w:space="0" w:color="auto"/>
        <w:left w:val="none" w:sz="0" w:space="0" w:color="auto"/>
        <w:bottom w:val="none" w:sz="0" w:space="0" w:color="auto"/>
        <w:right w:val="none" w:sz="0" w:space="0" w:color="auto"/>
      </w:divBdr>
      <w:divsChild>
        <w:div w:id="1955550300">
          <w:marLeft w:val="0"/>
          <w:marRight w:val="0"/>
          <w:marTop w:val="0"/>
          <w:marBottom w:val="0"/>
          <w:divBdr>
            <w:top w:val="none" w:sz="0" w:space="0" w:color="auto"/>
            <w:left w:val="none" w:sz="0" w:space="0" w:color="auto"/>
            <w:bottom w:val="none" w:sz="0" w:space="0" w:color="auto"/>
            <w:right w:val="none" w:sz="0" w:space="0" w:color="auto"/>
          </w:divBdr>
        </w:div>
        <w:div w:id="1696078323">
          <w:marLeft w:val="0"/>
          <w:marRight w:val="0"/>
          <w:marTop w:val="0"/>
          <w:marBottom w:val="0"/>
          <w:divBdr>
            <w:top w:val="none" w:sz="0" w:space="0" w:color="auto"/>
            <w:left w:val="none" w:sz="0" w:space="0" w:color="auto"/>
            <w:bottom w:val="none" w:sz="0" w:space="0" w:color="auto"/>
            <w:right w:val="none" w:sz="0" w:space="0" w:color="auto"/>
          </w:divBdr>
        </w:div>
        <w:div w:id="91751296">
          <w:marLeft w:val="0"/>
          <w:marRight w:val="0"/>
          <w:marTop w:val="0"/>
          <w:marBottom w:val="0"/>
          <w:divBdr>
            <w:top w:val="none" w:sz="0" w:space="0" w:color="auto"/>
            <w:left w:val="none" w:sz="0" w:space="0" w:color="auto"/>
            <w:bottom w:val="none" w:sz="0" w:space="0" w:color="auto"/>
            <w:right w:val="none" w:sz="0" w:space="0" w:color="auto"/>
          </w:divBdr>
        </w:div>
        <w:div w:id="1088691328">
          <w:marLeft w:val="0"/>
          <w:marRight w:val="0"/>
          <w:marTop w:val="0"/>
          <w:marBottom w:val="0"/>
          <w:divBdr>
            <w:top w:val="none" w:sz="0" w:space="0" w:color="auto"/>
            <w:left w:val="none" w:sz="0" w:space="0" w:color="auto"/>
            <w:bottom w:val="none" w:sz="0" w:space="0" w:color="auto"/>
            <w:right w:val="none" w:sz="0" w:space="0" w:color="auto"/>
          </w:divBdr>
        </w:div>
        <w:div w:id="1674262828">
          <w:marLeft w:val="0"/>
          <w:marRight w:val="0"/>
          <w:marTop w:val="0"/>
          <w:marBottom w:val="0"/>
          <w:divBdr>
            <w:top w:val="none" w:sz="0" w:space="0" w:color="auto"/>
            <w:left w:val="none" w:sz="0" w:space="0" w:color="auto"/>
            <w:bottom w:val="none" w:sz="0" w:space="0" w:color="auto"/>
            <w:right w:val="none" w:sz="0" w:space="0" w:color="auto"/>
          </w:divBdr>
        </w:div>
        <w:div w:id="1627152928">
          <w:marLeft w:val="0"/>
          <w:marRight w:val="0"/>
          <w:marTop w:val="0"/>
          <w:marBottom w:val="0"/>
          <w:divBdr>
            <w:top w:val="none" w:sz="0" w:space="0" w:color="auto"/>
            <w:left w:val="none" w:sz="0" w:space="0" w:color="auto"/>
            <w:bottom w:val="none" w:sz="0" w:space="0" w:color="auto"/>
            <w:right w:val="none" w:sz="0" w:space="0" w:color="auto"/>
          </w:divBdr>
        </w:div>
        <w:div w:id="452789609">
          <w:marLeft w:val="0"/>
          <w:marRight w:val="0"/>
          <w:marTop w:val="0"/>
          <w:marBottom w:val="0"/>
          <w:divBdr>
            <w:top w:val="none" w:sz="0" w:space="0" w:color="auto"/>
            <w:left w:val="none" w:sz="0" w:space="0" w:color="auto"/>
            <w:bottom w:val="none" w:sz="0" w:space="0" w:color="auto"/>
            <w:right w:val="none" w:sz="0" w:space="0" w:color="auto"/>
          </w:divBdr>
        </w:div>
        <w:div w:id="454519457">
          <w:marLeft w:val="0"/>
          <w:marRight w:val="0"/>
          <w:marTop w:val="0"/>
          <w:marBottom w:val="0"/>
          <w:divBdr>
            <w:top w:val="none" w:sz="0" w:space="0" w:color="auto"/>
            <w:left w:val="none" w:sz="0" w:space="0" w:color="auto"/>
            <w:bottom w:val="none" w:sz="0" w:space="0" w:color="auto"/>
            <w:right w:val="none" w:sz="0" w:space="0" w:color="auto"/>
          </w:divBdr>
        </w:div>
        <w:div w:id="1313827245">
          <w:marLeft w:val="0"/>
          <w:marRight w:val="0"/>
          <w:marTop w:val="0"/>
          <w:marBottom w:val="0"/>
          <w:divBdr>
            <w:top w:val="none" w:sz="0" w:space="0" w:color="auto"/>
            <w:left w:val="none" w:sz="0" w:space="0" w:color="auto"/>
            <w:bottom w:val="none" w:sz="0" w:space="0" w:color="auto"/>
            <w:right w:val="none" w:sz="0" w:space="0" w:color="auto"/>
          </w:divBdr>
        </w:div>
        <w:div w:id="681588358">
          <w:marLeft w:val="0"/>
          <w:marRight w:val="0"/>
          <w:marTop w:val="0"/>
          <w:marBottom w:val="0"/>
          <w:divBdr>
            <w:top w:val="none" w:sz="0" w:space="0" w:color="auto"/>
            <w:left w:val="none" w:sz="0" w:space="0" w:color="auto"/>
            <w:bottom w:val="none" w:sz="0" w:space="0" w:color="auto"/>
            <w:right w:val="none" w:sz="0" w:space="0" w:color="auto"/>
          </w:divBdr>
        </w:div>
        <w:div w:id="1279147480">
          <w:marLeft w:val="0"/>
          <w:marRight w:val="0"/>
          <w:marTop w:val="0"/>
          <w:marBottom w:val="0"/>
          <w:divBdr>
            <w:top w:val="none" w:sz="0" w:space="0" w:color="auto"/>
            <w:left w:val="none" w:sz="0" w:space="0" w:color="auto"/>
            <w:bottom w:val="none" w:sz="0" w:space="0" w:color="auto"/>
            <w:right w:val="none" w:sz="0" w:space="0" w:color="auto"/>
          </w:divBdr>
        </w:div>
        <w:div w:id="260917885">
          <w:marLeft w:val="0"/>
          <w:marRight w:val="0"/>
          <w:marTop w:val="0"/>
          <w:marBottom w:val="0"/>
          <w:divBdr>
            <w:top w:val="none" w:sz="0" w:space="0" w:color="auto"/>
            <w:left w:val="none" w:sz="0" w:space="0" w:color="auto"/>
            <w:bottom w:val="none" w:sz="0" w:space="0" w:color="auto"/>
            <w:right w:val="none" w:sz="0" w:space="0" w:color="auto"/>
          </w:divBdr>
        </w:div>
        <w:div w:id="1315138833">
          <w:marLeft w:val="0"/>
          <w:marRight w:val="0"/>
          <w:marTop w:val="0"/>
          <w:marBottom w:val="0"/>
          <w:divBdr>
            <w:top w:val="none" w:sz="0" w:space="0" w:color="auto"/>
            <w:left w:val="none" w:sz="0" w:space="0" w:color="auto"/>
            <w:bottom w:val="none" w:sz="0" w:space="0" w:color="auto"/>
            <w:right w:val="none" w:sz="0" w:space="0" w:color="auto"/>
          </w:divBdr>
        </w:div>
        <w:div w:id="1327977005">
          <w:marLeft w:val="0"/>
          <w:marRight w:val="0"/>
          <w:marTop w:val="0"/>
          <w:marBottom w:val="0"/>
          <w:divBdr>
            <w:top w:val="none" w:sz="0" w:space="0" w:color="auto"/>
            <w:left w:val="none" w:sz="0" w:space="0" w:color="auto"/>
            <w:bottom w:val="none" w:sz="0" w:space="0" w:color="auto"/>
            <w:right w:val="none" w:sz="0" w:space="0" w:color="auto"/>
          </w:divBdr>
        </w:div>
        <w:div w:id="502091234">
          <w:marLeft w:val="0"/>
          <w:marRight w:val="0"/>
          <w:marTop w:val="0"/>
          <w:marBottom w:val="0"/>
          <w:divBdr>
            <w:top w:val="none" w:sz="0" w:space="0" w:color="auto"/>
            <w:left w:val="none" w:sz="0" w:space="0" w:color="auto"/>
            <w:bottom w:val="none" w:sz="0" w:space="0" w:color="auto"/>
            <w:right w:val="none" w:sz="0" w:space="0" w:color="auto"/>
          </w:divBdr>
        </w:div>
        <w:div w:id="31269251">
          <w:marLeft w:val="0"/>
          <w:marRight w:val="0"/>
          <w:marTop w:val="0"/>
          <w:marBottom w:val="0"/>
          <w:divBdr>
            <w:top w:val="none" w:sz="0" w:space="0" w:color="auto"/>
            <w:left w:val="none" w:sz="0" w:space="0" w:color="auto"/>
            <w:bottom w:val="none" w:sz="0" w:space="0" w:color="auto"/>
            <w:right w:val="none" w:sz="0" w:space="0" w:color="auto"/>
          </w:divBdr>
        </w:div>
        <w:div w:id="504906052">
          <w:marLeft w:val="0"/>
          <w:marRight w:val="0"/>
          <w:marTop w:val="0"/>
          <w:marBottom w:val="0"/>
          <w:divBdr>
            <w:top w:val="none" w:sz="0" w:space="0" w:color="auto"/>
            <w:left w:val="none" w:sz="0" w:space="0" w:color="auto"/>
            <w:bottom w:val="none" w:sz="0" w:space="0" w:color="auto"/>
            <w:right w:val="none" w:sz="0" w:space="0" w:color="auto"/>
          </w:divBdr>
        </w:div>
        <w:div w:id="1448356399">
          <w:marLeft w:val="0"/>
          <w:marRight w:val="0"/>
          <w:marTop w:val="0"/>
          <w:marBottom w:val="0"/>
          <w:divBdr>
            <w:top w:val="none" w:sz="0" w:space="0" w:color="auto"/>
            <w:left w:val="none" w:sz="0" w:space="0" w:color="auto"/>
            <w:bottom w:val="none" w:sz="0" w:space="0" w:color="auto"/>
            <w:right w:val="none" w:sz="0" w:space="0" w:color="auto"/>
          </w:divBdr>
        </w:div>
        <w:div w:id="1904871227">
          <w:marLeft w:val="0"/>
          <w:marRight w:val="0"/>
          <w:marTop w:val="0"/>
          <w:marBottom w:val="0"/>
          <w:divBdr>
            <w:top w:val="none" w:sz="0" w:space="0" w:color="auto"/>
            <w:left w:val="none" w:sz="0" w:space="0" w:color="auto"/>
            <w:bottom w:val="none" w:sz="0" w:space="0" w:color="auto"/>
            <w:right w:val="none" w:sz="0" w:space="0" w:color="auto"/>
          </w:divBdr>
        </w:div>
        <w:div w:id="1627393697">
          <w:marLeft w:val="0"/>
          <w:marRight w:val="0"/>
          <w:marTop w:val="0"/>
          <w:marBottom w:val="0"/>
          <w:divBdr>
            <w:top w:val="none" w:sz="0" w:space="0" w:color="auto"/>
            <w:left w:val="none" w:sz="0" w:space="0" w:color="auto"/>
            <w:bottom w:val="none" w:sz="0" w:space="0" w:color="auto"/>
            <w:right w:val="none" w:sz="0" w:space="0" w:color="auto"/>
          </w:divBdr>
        </w:div>
        <w:div w:id="798574608">
          <w:marLeft w:val="0"/>
          <w:marRight w:val="0"/>
          <w:marTop w:val="0"/>
          <w:marBottom w:val="0"/>
          <w:divBdr>
            <w:top w:val="none" w:sz="0" w:space="0" w:color="auto"/>
            <w:left w:val="none" w:sz="0" w:space="0" w:color="auto"/>
            <w:bottom w:val="none" w:sz="0" w:space="0" w:color="auto"/>
            <w:right w:val="none" w:sz="0" w:space="0" w:color="auto"/>
          </w:divBdr>
        </w:div>
        <w:div w:id="1031296583">
          <w:marLeft w:val="0"/>
          <w:marRight w:val="0"/>
          <w:marTop w:val="0"/>
          <w:marBottom w:val="0"/>
          <w:divBdr>
            <w:top w:val="none" w:sz="0" w:space="0" w:color="auto"/>
            <w:left w:val="none" w:sz="0" w:space="0" w:color="auto"/>
            <w:bottom w:val="none" w:sz="0" w:space="0" w:color="auto"/>
            <w:right w:val="none" w:sz="0" w:space="0" w:color="auto"/>
          </w:divBdr>
        </w:div>
        <w:div w:id="249045793">
          <w:marLeft w:val="0"/>
          <w:marRight w:val="0"/>
          <w:marTop w:val="0"/>
          <w:marBottom w:val="0"/>
          <w:divBdr>
            <w:top w:val="none" w:sz="0" w:space="0" w:color="auto"/>
            <w:left w:val="none" w:sz="0" w:space="0" w:color="auto"/>
            <w:bottom w:val="none" w:sz="0" w:space="0" w:color="auto"/>
            <w:right w:val="none" w:sz="0" w:space="0" w:color="auto"/>
          </w:divBdr>
        </w:div>
        <w:div w:id="880360331">
          <w:marLeft w:val="0"/>
          <w:marRight w:val="0"/>
          <w:marTop w:val="0"/>
          <w:marBottom w:val="0"/>
          <w:divBdr>
            <w:top w:val="none" w:sz="0" w:space="0" w:color="auto"/>
            <w:left w:val="none" w:sz="0" w:space="0" w:color="auto"/>
            <w:bottom w:val="none" w:sz="0" w:space="0" w:color="auto"/>
            <w:right w:val="none" w:sz="0" w:space="0" w:color="auto"/>
          </w:divBdr>
        </w:div>
        <w:div w:id="1271089272">
          <w:marLeft w:val="0"/>
          <w:marRight w:val="0"/>
          <w:marTop w:val="0"/>
          <w:marBottom w:val="0"/>
          <w:divBdr>
            <w:top w:val="none" w:sz="0" w:space="0" w:color="auto"/>
            <w:left w:val="none" w:sz="0" w:space="0" w:color="auto"/>
            <w:bottom w:val="none" w:sz="0" w:space="0" w:color="auto"/>
            <w:right w:val="none" w:sz="0" w:space="0" w:color="auto"/>
          </w:divBdr>
        </w:div>
        <w:div w:id="1220745689">
          <w:marLeft w:val="0"/>
          <w:marRight w:val="0"/>
          <w:marTop w:val="0"/>
          <w:marBottom w:val="0"/>
          <w:divBdr>
            <w:top w:val="none" w:sz="0" w:space="0" w:color="auto"/>
            <w:left w:val="none" w:sz="0" w:space="0" w:color="auto"/>
            <w:bottom w:val="none" w:sz="0" w:space="0" w:color="auto"/>
            <w:right w:val="none" w:sz="0" w:space="0" w:color="auto"/>
          </w:divBdr>
        </w:div>
      </w:divsChild>
    </w:div>
    <w:div w:id="547843501">
      <w:bodyDiv w:val="1"/>
      <w:marLeft w:val="0"/>
      <w:marRight w:val="0"/>
      <w:marTop w:val="0"/>
      <w:marBottom w:val="0"/>
      <w:divBdr>
        <w:top w:val="none" w:sz="0" w:space="0" w:color="auto"/>
        <w:left w:val="none" w:sz="0" w:space="0" w:color="auto"/>
        <w:bottom w:val="none" w:sz="0" w:space="0" w:color="auto"/>
        <w:right w:val="none" w:sz="0" w:space="0" w:color="auto"/>
      </w:divBdr>
    </w:div>
    <w:div w:id="558325975">
      <w:bodyDiv w:val="1"/>
      <w:marLeft w:val="0"/>
      <w:marRight w:val="0"/>
      <w:marTop w:val="0"/>
      <w:marBottom w:val="0"/>
      <w:divBdr>
        <w:top w:val="none" w:sz="0" w:space="0" w:color="auto"/>
        <w:left w:val="none" w:sz="0" w:space="0" w:color="auto"/>
        <w:bottom w:val="none" w:sz="0" w:space="0" w:color="auto"/>
        <w:right w:val="none" w:sz="0" w:space="0" w:color="auto"/>
      </w:divBdr>
    </w:div>
    <w:div w:id="566916798">
      <w:bodyDiv w:val="1"/>
      <w:marLeft w:val="0"/>
      <w:marRight w:val="0"/>
      <w:marTop w:val="0"/>
      <w:marBottom w:val="0"/>
      <w:divBdr>
        <w:top w:val="none" w:sz="0" w:space="0" w:color="auto"/>
        <w:left w:val="none" w:sz="0" w:space="0" w:color="auto"/>
        <w:bottom w:val="none" w:sz="0" w:space="0" w:color="auto"/>
        <w:right w:val="none" w:sz="0" w:space="0" w:color="auto"/>
      </w:divBdr>
      <w:divsChild>
        <w:div w:id="436678315">
          <w:marLeft w:val="0"/>
          <w:marRight w:val="0"/>
          <w:marTop w:val="0"/>
          <w:marBottom w:val="0"/>
          <w:divBdr>
            <w:top w:val="none" w:sz="0" w:space="0" w:color="auto"/>
            <w:left w:val="none" w:sz="0" w:space="0" w:color="auto"/>
            <w:bottom w:val="none" w:sz="0" w:space="0" w:color="auto"/>
            <w:right w:val="none" w:sz="0" w:space="0" w:color="auto"/>
          </w:divBdr>
        </w:div>
        <w:div w:id="1681423529">
          <w:marLeft w:val="0"/>
          <w:marRight w:val="0"/>
          <w:marTop w:val="0"/>
          <w:marBottom w:val="0"/>
          <w:divBdr>
            <w:top w:val="none" w:sz="0" w:space="0" w:color="auto"/>
            <w:left w:val="none" w:sz="0" w:space="0" w:color="auto"/>
            <w:bottom w:val="none" w:sz="0" w:space="0" w:color="auto"/>
            <w:right w:val="none" w:sz="0" w:space="0" w:color="auto"/>
          </w:divBdr>
        </w:div>
        <w:div w:id="490296691">
          <w:marLeft w:val="0"/>
          <w:marRight w:val="0"/>
          <w:marTop w:val="0"/>
          <w:marBottom w:val="0"/>
          <w:divBdr>
            <w:top w:val="none" w:sz="0" w:space="0" w:color="auto"/>
            <w:left w:val="none" w:sz="0" w:space="0" w:color="auto"/>
            <w:bottom w:val="none" w:sz="0" w:space="0" w:color="auto"/>
            <w:right w:val="none" w:sz="0" w:space="0" w:color="auto"/>
          </w:divBdr>
        </w:div>
        <w:div w:id="831142189">
          <w:marLeft w:val="0"/>
          <w:marRight w:val="0"/>
          <w:marTop w:val="0"/>
          <w:marBottom w:val="0"/>
          <w:divBdr>
            <w:top w:val="none" w:sz="0" w:space="0" w:color="auto"/>
            <w:left w:val="none" w:sz="0" w:space="0" w:color="auto"/>
            <w:bottom w:val="none" w:sz="0" w:space="0" w:color="auto"/>
            <w:right w:val="none" w:sz="0" w:space="0" w:color="auto"/>
          </w:divBdr>
        </w:div>
        <w:div w:id="2077512067">
          <w:marLeft w:val="0"/>
          <w:marRight w:val="0"/>
          <w:marTop w:val="0"/>
          <w:marBottom w:val="0"/>
          <w:divBdr>
            <w:top w:val="none" w:sz="0" w:space="0" w:color="auto"/>
            <w:left w:val="none" w:sz="0" w:space="0" w:color="auto"/>
            <w:bottom w:val="none" w:sz="0" w:space="0" w:color="auto"/>
            <w:right w:val="none" w:sz="0" w:space="0" w:color="auto"/>
          </w:divBdr>
        </w:div>
        <w:div w:id="943196256">
          <w:marLeft w:val="0"/>
          <w:marRight w:val="0"/>
          <w:marTop w:val="0"/>
          <w:marBottom w:val="0"/>
          <w:divBdr>
            <w:top w:val="none" w:sz="0" w:space="0" w:color="auto"/>
            <w:left w:val="none" w:sz="0" w:space="0" w:color="auto"/>
            <w:bottom w:val="none" w:sz="0" w:space="0" w:color="auto"/>
            <w:right w:val="none" w:sz="0" w:space="0" w:color="auto"/>
          </w:divBdr>
        </w:div>
        <w:div w:id="1706558706">
          <w:marLeft w:val="0"/>
          <w:marRight w:val="0"/>
          <w:marTop w:val="0"/>
          <w:marBottom w:val="0"/>
          <w:divBdr>
            <w:top w:val="none" w:sz="0" w:space="0" w:color="auto"/>
            <w:left w:val="none" w:sz="0" w:space="0" w:color="auto"/>
            <w:bottom w:val="none" w:sz="0" w:space="0" w:color="auto"/>
            <w:right w:val="none" w:sz="0" w:space="0" w:color="auto"/>
          </w:divBdr>
        </w:div>
        <w:div w:id="831214197">
          <w:marLeft w:val="0"/>
          <w:marRight w:val="0"/>
          <w:marTop w:val="0"/>
          <w:marBottom w:val="0"/>
          <w:divBdr>
            <w:top w:val="none" w:sz="0" w:space="0" w:color="auto"/>
            <w:left w:val="none" w:sz="0" w:space="0" w:color="auto"/>
            <w:bottom w:val="none" w:sz="0" w:space="0" w:color="auto"/>
            <w:right w:val="none" w:sz="0" w:space="0" w:color="auto"/>
          </w:divBdr>
        </w:div>
        <w:div w:id="1672636390">
          <w:marLeft w:val="0"/>
          <w:marRight w:val="0"/>
          <w:marTop w:val="0"/>
          <w:marBottom w:val="0"/>
          <w:divBdr>
            <w:top w:val="none" w:sz="0" w:space="0" w:color="auto"/>
            <w:left w:val="none" w:sz="0" w:space="0" w:color="auto"/>
            <w:bottom w:val="none" w:sz="0" w:space="0" w:color="auto"/>
            <w:right w:val="none" w:sz="0" w:space="0" w:color="auto"/>
          </w:divBdr>
        </w:div>
        <w:div w:id="231505106">
          <w:marLeft w:val="0"/>
          <w:marRight w:val="0"/>
          <w:marTop w:val="0"/>
          <w:marBottom w:val="0"/>
          <w:divBdr>
            <w:top w:val="none" w:sz="0" w:space="0" w:color="auto"/>
            <w:left w:val="none" w:sz="0" w:space="0" w:color="auto"/>
            <w:bottom w:val="none" w:sz="0" w:space="0" w:color="auto"/>
            <w:right w:val="none" w:sz="0" w:space="0" w:color="auto"/>
          </w:divBdr>
        </w:div>
        <w:div w:id="746346526">
          <w:marLeft w:val="0"/>
          <w:marRight w:val="0"/>
          <w:marTop w:val="0"/>
          <w:marBottom w:val="0"/>
          <w:divBdr>
            <w:top w:val="none" w:sz="0" w:space="0" w:color="auto"/>
            <w:left w:val="none" w:sz="0" w:space="0" w:color="auto"/>
            <w:bottom w:val="none" w:sz="0" w:space="0" w:color="auto"/>
            <w:right w:val="none" w:sz="0" w:space="0" w:color="auto"/>
          </w:divBdr>
        </w:div>
        <w:div w:id="563954242">
          <w:marLeft w:val="0"/>
          <w:marRight w:val="0"/>
          <w:marTop w:val="0"/>
          <w:marBottom w:val="0"/>
          <w:divBdr>
            <w:top w:val="none" w:sz="0" w:space="0" w:color="auto"/>
            <w:left w:val="none" w:sz="0" w:space="0" w:color="auto"/>
            <w:bottom w:val="none" w:sz="0" w:space="0" w:color="auto"/>
            <w:right w:val="none" w:sz="0" w:space="0" w:color="auto"/>
          </w:divBdr>
        </w:div>
        <w:div w:id="1814369673">
          <w:marLeft w:val="0"/>
          <w:marRight w:val="0"/>
          <w:marTop w:val="0"/>
          <w:marBottom w:val="0"/>
          <w:divBdr>
            <w:top w:val="none" w:sz="0" w:space="0" w:color="auto"/>
            <w:left w:val="none" w:sz="0" w:space="0" w:color="auto"/>
            <w:bottom w:val="none" w:sz="0" w:space="0" w:color="auto"/>
            <w:right w:val="none" w:sz="0" w:space="0" w:color="auto"/>
          </w:divBdr>
        </w:div>
        <w:div w:id="670570461">
          <w:marLeft w:val="0"/>
          <w:marRight w:val="0"/>
          <w:marTop w:val="0"/>
          <w:marBottom w:val="0"/>
          <w:divBdr>
            <w:top w:val="none" w:sz="0" w:space="0" w:color="auto"/>
            <w:left w:val="none" w:sz="0" w:space="0" w:color="auto"/>
            <w:bottom w:val="none" w:sz="0" w:space="0" w:color="auto"/>
            <w:right w:val="none" w:sz="0" w:space="0" w:color="auto"/>
          </w:divBdr>
        </w:div>
        <w:div w:id="2116944324">
          <w:marLeft w:val="0"/>
          <w:marRight w:val="0"/>
          <w:marTop w:val="0"/>
          <w:marBottom w:val="0"/>
          <w:divBdr>
            <w:top w:val="none" w:sz="0" w:space="0" w:color="auto"/>
            <w:left w:val="none" w:sz="0" w:space="0" w:color="auto"/>
            <w:bottom w:val="none" w:sz="0" w:space="0" w:color="auto"/>
            <w:right w:val="none" w:sz="0" w:space="0" w:color="auto"/>
          </w:divBdr>
        </w:div>
        <w:div w:id="1308582725">
          <w:marLeft w:val="0"/>
          <w:marRight w:val="0"/>
          <w:marTop w:val="0"/>
          <w:marBottom w:val="0"/>
          <w:divBdr>
            <w:top w:val="none" w:sz="0" w:space="0" w:color="auto"/>
            <w:left w:val="none" w:sz="0" w:space="0" w:color="auto"/>
            <w:bottom w:val="none" w:sz="0" w:space="0" w:color="auto"/>
            <w:right w:val="none" w:sz="0" w:space="0" w:color="auto"/>
          </w:divBdr>
        </w:div>
        <w:div w:id="12415141">
          <w:marLeft w:val="0"/>
          <w:marRight w:val="0"/>
          <w:marTop w:val="0"/>
          <w:marBottom w:val="0"/>
          <w:divBdr>
            <w:top w:val="none" w:sz="0" w:space="0" w:color="auto"/>
            <w:left w:val="none" w:sz="0" w:space="0" w:color="auto"/>
            <w:bottom w:val="none" w:sz="0" w:space="0" w:color="auto"/>
            <w:right w:val="none" w:sz="0" w:space="0" w:color="auto"/>
          </w:divBdr>
        </w:div>
        <w:div w:id="252477027">
          <w:marLeft w:val="0"/>
          <w:marRight w:val="0"/>
          <w:marTop w:val="0"/>
          <w:marBottom w:val="0"/>
          <w:divBdr>
            <w:top w:val="none" w:sz="0" w:space="0" w:color="auto"/>
            <w:left w:val="none" w:sz="0" w:space="0" w:color="auto"/>
            <w:bottom w:val="none" w:sz="0" w:space="0" w:color="auto"/>
            <w:right w:val="none" w:sz="0" w:space="0" w:color="auto"/>
          </w:divBdr>
        </w:div>
        <w:div w:id="1535846124">
          <w:marLeft w:val="0"/>
          <w:marRight w:val="0"/>
          <w:marTop w:val="0"/>
          <w:marBottom w:val="0"/>
          <w:divBdr>
            <w:top w:val="none" w:sz="0" w:space="0" w:color="auto"/>
            <w:left w:val="none" w:sz="0" w:space="0" w:color="auto"/>
            <w:bottom w:val="none" w:sz="0" w:space="0" w:color="auto"/>
            <w:right w:val="none" w:sz="0" w:space="0" w:color="auto"/>
          </w:divBdr>
        </w:div>
        <w:div w:id="1277449488">
          <w:marLeft w:val="0"/>
          <w:marRight w:val="0"/>
          <w:marTop w:val="0"/>
          <w:marBottom w:val="0"/>
          <w:divBdr>
            <w:top w:val="none" w:sz="0" w:space="0" w:color="auto"/>
            <w:left w:val="none" w:sz="0" w:space="0" w:color="auto"/>
            <w:bottom w:val="none" w:sz="0" w:space="0" w:color="auto"/>
            <w:right w:val="none" w:sz="0" w:space="0" w:color="auto"/>
          </w:divBdr>
        </w:div>
        <w:div w:id="1858541837">
          <w:marLeft w:val="0"/>
          <w:marRight w:val="0"/>
          <w:marTop w:val="0"/>
          <w:marBottom w:val="0"/>
          <w:divBdr>
            <w:top w:val="none" w:sz="0" w:space="0" w:color="auto"/>
            <w:left w:val="none" w:sz="0" w:space="0" w:color="auto"/>
            <w:bottom w:val="none" w:sz="0" w:space="0" w:color="auto"/>
            <w:right w:val="none" w:sz="0" w:space="0" w:color="auto"/>
          </w:divBdr>
        </w:div>
        <w:div w:id="217280541">
          <w:marLeft w:val="0"/>
          <w:marRight w:val="0"/>
          <w:marTop w:val="0"/>
          <w:marBottom w:val="0"/>
          <w:divBdr>
            <w:top w:val="none" w:sz="0" w:space="0" w:color="auto"/>
            <w:left w:val="none" w:sz="0" w:space="0" w:color="auto"/>
            <w:bottom w:val="none" w:sz="0" w:space="0" w:color="auto"/>
            <w:right w:val="none" w:sz="0" w:space="0" w:color="auto"/>
          </w:divBdr>
        </w:div>
        <w:div w:id="650720810">
          <w:marLeft w:val="0"/>
          <w:marRight w:val="0"/>
          <w:marTop w:val="0"/>
          <w:marBottom w:val="0"/>
          <w:divBdr>
            <w:top w:val="none" w:sz="0" w:space="0" w:color="auto"/>
            <w:left w:val="none" w:sz="0" w:space="0" w:color="auto"/>
            <w:bottom w:val="none" w:sz="0" w:space="0" w:color="auto"/>
            <w:right w:val="none" w:sz="0" w:space="0" w:color="auto"/>
          </w:divBdr>
        </w:div>
        <w:div w:id="2026131728">
          <w:marLeft w:val="0"/>
          <w:marRight w:val="0"/>
          <w:marTop w:val="0"/>
          <w:marBottom w:val="0"/>
          <w:divBdr>
            <w:top w:val="none" w:sz="0" w:space="0" w:color="auto"/>
            <w:left w:val="none" w:sz="0" w:space="0" w:color="auto"/>
            <w:bottom w:val="none" w:sz="0" w:space="0" w:color="auto"/>
            <w:right w:val="none" w:sz="0" w:space="0" w:color="auto"/>
          </w:divBdr>
        </w:div>
        <w:div w:id="1829129950">
          <w:marLeft w:val="0"/>
          <w:marRight w:val="0"/>
          <w:marTop w:val="0"/>
          <w:marBottom w:val="0"/>
          <w:divBdr>
            <w:top w:val="none" w:sz="0" w:space="0" w:color="auto"/>
            <w:left w:val="none" w:sz="0" w:space="0" w:color="auto"/>
            <w:bottom w:val="none" w:sz="0" w:space="0" w:color="auto"/>
            <w:right w:val="none" w:sz="0" w:space="0" w:color="auto"/>
          </w:divBdr>
        </w:div>
        <w:div w:id="793837822">
          <w:marLeft w:val="0"/>
          <w:marRight w:val="0"/>
          <w:marTop w:val="0"/>
          <w:marBottom w:val="0"/>
          <w:divBdr>
            <w:top w:val="none" w:sz="0" w:space="0" w:color="auto"/>
            <w:left w:val="none" w:sz="0" w:space="0" w:color="auto"/>
            <w:bottom w:val="none" w:sz="0" w:space="0" w:color="auto"/>
            <w:right w:val="none" w:sz="0" w:space="0" w:color="auto"/>
          </w:divBdr>
        </w:div>
      </w:divsChild>
    </w:div>
    <w:div w:id="573440565">
      <w:bodyDiv w:val="1"/>
      <w:marLeft w:val="0"/>
      <w:marRight w:val="0"/>
      <w:marTop w:val="0"/>
      <w:marBottom w:val="0"/>
      <w:divBdr>
        <w:top w:val="none" w:sz="0" w:space="0" w:color="auto"/>
        <w:left w:val="none" w:sz="0" w:space="0" w:color="auto"/>
        <w:bottom w:val="none" w:sz="0" w:space="0" w:color="auto"/>
        <w:right w:val="none" w:sz="0" w:space="0" w:color="auto"/>
      </w:divBdr>
      <w:divsChild>
        <w:div w:id="1363364922">
          <w:marLeft w:val="0"/>
          <w:marRight w:val="0"/>
          <w:marTop w:val="0"/>
          <w:marBottom w:val="0"/>
          <w:divBdr>
            <w:top w:val="none" w:sz="0" w:space="0" w:color="auto"/>
            <w:left w:val="none" w:sz="0" w:space="0" w:color="auto"/>
            <w:bottom w:val="none" w:sz="0" w:space="0" w:color="auto"/>
            <w:right w:val="none" w:sz="0" w:space="0" w:color="auto"/>
          </w:divBdr>
        </w:div>
        <w:div w:id="1690064624">
          <w:marLeft w:val="0"/>
          <w:marRight w:val="0"/>
          <w:marTop w:val="0"/>
          <w:marBottom w:val="0"/>
          <w:divBdr>
            <w:top w:val="none" w:sz="0" w:space="0" w:color="auto"/>
            <w:left w:val="none" w:sz="0" w:space="0" w:color="auto"/>
            <w:bottom w:val="none" w:sz="0" w:space="0" w:color="auto"/>
            <w:right w:val="none" w:sz="0" w:space="0" w:color="auto"/>
          </w:divBdr>
        </w:div>
        <w:div w:id="1584071948">
          <w:marLeft w:val="0"/>
          <w:marRight w:val="0"/>
          <w:marTop w:val="0"/>
          <w:marBottom w:val="0"/>
          <w:divBdr>
            <w:top w:val="none" w:sz="0" w:space="0" w:color="auto"/>
            <w:left w:val="none" w:sz="0" w:space="0" w:color="auto"/>
            <w:bottom w:val="none" w:sz="0" w:space="0" w:color="auto"/>
            <w:right w:val="none" w:sz="0" w:space="0" w:color="auto"/>
          </w:divBdr>
        </w:div>
        <w:div w:id="521550789">
          <w:marLeft w:val="0"/>
          <w:marRight w:val="0"/>
          <w:marTop w:val="0"/>
          <w:marBottom w:val="0"/>
          <w:divBdr>
            <w:top w:val="none" w:sz="0" w:space="0" w:color="auto"/>
            <w:left w:val="none" w:sz="0" w:space="0" w:color="auto"/>
            <w:bottom w:val="none" w:sz="0" w:space="0" w:color="auto"/>
            <w:right w:val="none" w:sz="0" w:space="0" w:color="auto"/>
          </w:divBdr>
        </w:div>
        <w:div w:id="225335898">
          <w:marLeft w:val="0"/>
          <w:marRight w:val="0"/>
          <w:marTop w:val="0"/>
          <w:marBottom w:val="0"/>
          <w:divBdr>
            <w:top w:val="none" w:sz="0" w:space="0" w:color="auto"/>
            <w:left w:val="none" w:sz="0" w:space="0" w:color="auto"/>
            <w:bottom w:val="none" w:sz="0" w:space="0" w:color="auto"/>
            <w:right w:val="none" w:sz="0" w:space="0" w:color="auto"/>
          </w:divBdr>
        </w:div>
        <w:div w:id="1208296371">
          <w:marLeft w:val="0"/>
          <w:marRight w:val="0"/>
          <w:marTop w:val="0"/>
          <w:marBottom w:val="0"/>
          <w:divBdr>
            <w:top w:val="none" w:sz="0" w:space="0" w:color="auto"/>
            <w:left w:val="none" w:sz="0" w:space="0" w:color="auto"/>
            <w:bottom w:val="none" w:sz="0" w:space="0" w:color="auto"/>
            <w:right w:val="none" w:sz="0" w:space="0" w:color="auto"/>
          </w:divBdr>
        </w:div>
        <w:div w:id="638539430">
          <w:marLeft w:val="0"/>
          <w:marRight w:val="0"/>
          <w:marTop w:val="0"/>
          <w:marBottom w:val="0"/>
          <w:divBdr>
            <w:top w:val="none" w:sz="0" w:space="0" w:color="auto"/>
            <w:left w:val="none" w:sz="0" w:space="0" w:color="auto"/>
            <w:bottom w:val="none" w:sz="0" w:space="0" w:color="auto"/>
            <w:right w:val="none" w:sz="0" w:space="0" w:color="auto"/>
          </w:divBdr>
        </w:div>
        <w:div w:id="1002006673">
          <w:marLeft w:val="0"/>
          <w:marRight w:val="0"/>
          <w:marTop w:val="0"/>
          <w:marBottom w:val="0"/>
          <w:divBdr>
            <w:top w:val="none" w:sz="0" w:space="0" w:color="auto"/>
            <w:left w:val="none" w:sz="0" w:space="0" w:color="auto"/>
            <w:bottom w:val="none" w:sz="0" w:space="0" w:color="auto"/>
            <w:right w:val="none" w:sz="0" w:space="0" w:color="auto"/>
          </w:divBdr>
        </w:div>
        <w:div w:id="808325964">
          <w:marLeft w:val="0"/>
          <w:marRight w:val="0"/>
          <w:marTop w:val="0"/>
          <w:marBottom w:val="0"/>
          <w:divBdr>
            <w:top w:val="none" w:sz="0" w:space="0" w:color="auto"/>
            <w:left w:val="none" w:sz="0" w:space="0" w:color="auto"/>
            <w:bottom w:val="none" w:sz="0" w:space="0" w:color="auto"/>
            <w:right w:val="none" w:sz="0" w:space="0" w:color="auto"/>
          </w:divBdr>
        </w:div>
        <w:div w:id="1488135927">
          <w:marLeft w:val="0"/>
          <w:marRight w:val="0"/>
          <w:marTop w:val="0"/>
          <w:marBottom w:val="0"/>
          <w:divBdr>
            <w:top w:val="none" w:sz="0" w:space="0" w:color="auto"/>
            <w:left w:val="none" w:sz="0" w:space="0" w:color="auto"/>
            <w:bottom w:val="none" w:sz="0" w:space="0" w:color="auto"/>
            <w:right w:val="none" w:sz="0" w:space="0" w:color="auto"/>
          </w:divBdr>
        </w:div>
        <w:div w:id="1532842978">
          <w:marLeft w:val="0"/>
          <w:marRight w:val="0"/>
          <w:marTop w:val="0"/>
          <w:marBottom w:val="0"/>
          <w:divBdr>
            <w:top w:val="none" w:sz="0" w:space="0" w:color="auto"/>
            <w:left w:val="none" w:sz="0" w:space="0" w:color="auto"/>
            <w:bottom w:val="none" w:sz="0" w:space="0" w:color="auto"/>
            <w:right w:val="none" w:sz="0" w:space="0" w:color="auto"/>
          </w:divBdr>
        </w:div>
        <w:div w:id="516504879">
          <w:marLeft w:val="0"/>
          <w:marRight w:val="0"/>
          <w:marTop w:val="0"/>
          <w:marBottom w:val="0"/>
          <w:divBdr>
            <w:top w:val="none" w:sz="0" w:space="0" w:color="auto"/>
            <w:left w:val="none" w:sz="0" w:space="0" w:color="auto"/>
            <w:bottom w:val="none" w:sz="0" w:space="0" w:color="auto"/>
            <w:right w:val="none" w:sz="0" w:space="0" w:color="auto"/>
          </w:divBdr>
        </w:div>
        <w:div w:id="1263996035">
          <w:marLeft w:val="0"/>
          <w:marRight w:val="0"/>
          <w:marTop w:val="0"/>
          <w:marBottom w:val="0"/>
          <w:divBdr>
            <w:top w:val="none" w:sz="0" w:space="0" w:color="auto"/>
            <w:left w:val="none" w:sz="0" w:space="0" w:color="auto"/>
            <w:bottom w:val="none" w:sz="0" w:space="0" w:color="auto"/>
            <w:right w:val="none" w:sz="0" w:space="0" w:color="auto"/>
          </w:divBdr>
        </w:div>
        <w:div w:id="100801330">
          <w:marLeft w:val="0"/>
          <w:marRight w:val="0"/>
          <w:marTop w:val="0"/>
          <w:marBottom w:val="0"/>
          <w:divBdr>
            <w:top w:val="none" w:sz="0" w:space="0" w:color="auto"/>
            <w:left w:val="none" w:sz="0" w:space="0" w:color="auto"/>
            <w:bottom w:val="none" w:sz="0" w:space="0" w:color="auto"/>
            <w:right w:val="none" w:sz="0" w:space="0" w:color="auto"/>
          </w:divBdr>
        </w:div>
        <w:div w:id="1340891274">
          <w:marLeft w:val="0"/>
          <w:marRight w:val="0"/>
          <w:marTop w:val="0"/>
          <w:marBottom w:val="0"/>
          <w:divBdr>
            <w:top w:val="none" w:sz="0" w:space="0" w:color="auto"/>
            <w:left w:val="none" w:sz="0" w:space="0" w:color="auto"/>
            <w:bottom w:val="none" w:sz="0" w:space="0" w:color="auto"/>
            <w:right w:val="none" w:sz="0" w:space="0" w:color="auto"/>
          </w:divBdr>
        </w:div>
        <w:div w:id="661542193">
          <w:marLeft w:val="0"/>
          <w:marRight w:val="0"/>
          <w:marTop w:val="0"/>
          <w:marBottom w:val="0"/>
          <w:divBdr>
            <w:top w:val="none" w:sz="0" w:space="0" w:color="auto"/>
            <w:left w:val="none" w:sz="0" w:space="0" w:color="auto"/>
            <w:bottom w:val="none" w:sz="0" w:space="0" w:color="auto"/>
            <w:right w:val="none" w:sz="0" w:space="0" w:color="auto"/>
          </w:divBdr>
        </w:div>
        <w:div w:id="1549495300">
          <w:marLeft w:val="0"/>
          <w:marRight w:val="0"/>
          <w:marTop w:val="0"/>
          <w:marBottom w:val="0"/>
          <w:divBdr>
            <w:top w:val="none" w:sz="0" w:space="0" w:color="auto"/>
            <w:left w:val="none" w:sz="0" w:space="0" w:color="auto"/>
            <w:bottom w:val="none" w:sz="0" w:space="0" w:color="auto"/>
            <w:right w:val="none" w:sz="0" w:space="0" w:color="auto"/>
          </w:divBdr>
        </w:div>
        <w:div w:id="1207313">
          <w:marLeft w:val="0"/>
          <w:marRight w:val="0"/>
          <w:marTop w:val="0"/>
          <w:marBottom w:val="0"/>
          <w:divBdr>
            <w:top w:val="none" w:sz="0" w:space="0" w:color="auto"/>
            <w:left w:val="none" w:sz="0" w:space="0" w:color="auto"/>
            <w:bottom w:val="none" w:sz="0" w:space="0" w:color="auto"/>
            <w:right w:val="none" w:sz="0" w:space="0" w:color="auto"/>
          </w:divBdr>
        </w:div>
        <w:div w:id="1761640157">
          <w:marLeft w:val="0"/>
          <w:marRight w:val="0"/>
          <w:marTop w:val="0"/>
          <w:marBottom w:val="0"/>
          <w:divBdr>
            <w:top w:val="none" w:sz="0" w:space="0" w:color="auto"/>
            <w:left w:val="none" w:sz="0" w:space="0" w:color="auto"/>
            <w:bottom w:val="none" w:sz="0" w:space="0" w:color="auto"/>
            <w:right w:val="none" w:sz="0" w:space="0" w:color="auto"/>
          </w:divBdr>
        </w:div>
        <w:div w:id="596720598">
          <w:marLeft w:val="0"/>
          <w:marRight w:val="0"/>
          <w:marTop w:val="0"/>
          <w:marBottom w:val="0"/>
          <w:divBdr>
            <w:top w:val="none" w:sz="0" w:space="0" w:color="auto"/>
            <w:left w:val="none" w:sz="0" w:space="0" w:color="auto"/>
            <w:bottom w:val="none" w:sz="0" w:space="0" w:color="auto"/>
            <w:right w:val="none" w:sz="0" w:space="0" w:color="auto"/>
          </w:divBdr>
        </w:div>
        <w:div w:id="313026059">
          <w:marLeft w:val="0"/>
          <w:marRight w:val="0"/>
          <w:marTop w:val="0"/>
          <w:marBottom w:val="0"/>
          <w:divBdr>
            <w:top w:val="none" w:sz="0" w:space="0" w:color="auto"/>
            <w:left w:val="none" w:sz="0" w:space="0" w:color="auto"/>
            <w:bottom w:val="none" w:sz="0" w:space="0" w:color="auto"/>
            <w:right w:val="none" w:sz="0" w:space="0" w:color="auto"/>
          </w:divBdr>
        </w:div>
        <w:div w:id="1611156278">
          <w:marLeft w:val="0"/>
          <w:marRight w:val="0"/>
          <w:marTop w:val="0"/>
          <w:marBottom w:val="0"/>
          <w:divBdr>
            <w:top w:val="none" w:sz="0" w:space="0" w:color="auto"/>
            <w:left w:val="none" w:sz="0" w:space="0" w:color="auto"/>
            <w:bottom w:val="none" w:sz="0" w:space="0" w:color="auto"/>
            <w:right w:val="none" w:sz="0" w:space="0" w:color="auto"/>
          </w:divBdr>
        </w:div>
        <w:div w:id="1935355313">
          <w:marLeft w:val="0"/>
          <w:marRight w:val="0"/>
          <w:marTop w:val="0"/>
          <w:marBottom w:val="0"/>
          <w:divBdr>
            <w:top w:val="none" w:sz="0" w:space="0" w:color="auto"/>
            <w:left w:val="none" w:sz="0" w:space="0" w:color="auto"/>
            <w:bottom w:val="none" w:sz="0" w:space="0" w:color="auto"/>
            <w:right w:val="none" w:sz="0" w:space="0" w:color="auto"/>
          </w:divBdr>
        </w:div>
        <w:div w:id="86705270">
          <w:marLeft w:val="0"/>
          <w:marRight w:val="0"/>
          <w:marTop w:val="0"/>
          <w:marBottom w:val="0"/>
          <w:divBdr>
            <w:top w:val="none" w:sz="0" w:space="0" w:color="auto"/>
            <w:left w:val="none" w:sz="0" w:space="0" w:color="auto"/>
            <w:bottom w:val="none" w:sz="0" w:space="0" w:color="auto"/>
            <w:right w:val="none" w:sz="0" w:space="0" w:color="auto"/>
          </w:divBdr>
        </w:div>
        <w:div w:id="611940181">
          <w:marLeft w:val="0"/>
          <w:marRight w:val="0"/>
          <w:marTop w:val="0"/>
          <w:marBottom w:val="0"/>
          <w:divBdr>
            <w:top w:val="none" w:sz="0" w:space="0" w:color="auto"/>
            <w:left w:val="none" w:sz="0" w:space="0" w:color="auto"/>
            <w:bottom w:val="none" w:sz="0" w:space="0" w:color="auto"/>
            <w:right w:val="none" w:sz="0" w:space="0" w:color="auto"/>
          </w:divBdr>
        </w:div>
        <w:div w:id="653534149">
          <w:marLeft w:val="0"/>
          <w:marRight w:val="0"/>
          <w:marTop w:val="0"/>
          <w:marBottom w:val="0"/>
          <w:divBdr>
            <w:top w:val="none" w:sz="0" w:space="0" w:color="auto"/>
            <w:left w:val="none" w:sz="0" w:space="0" w:color="auto"/>
            <w:bottom w:val="none" w:sz="0" w:space="0" w:color="auto"/>
            <w:right w:val="none" w:sz="0" w:space="0" w:color="auto"/>
          </w:divBdr>
        </w:div>
        <w:div w:id="1159805874">
          <w:marLeft w:val="0"/>
          <w:marRight w:val="0"/>
          <w:marTop w:val="0"/>
          <w:marBottom w:val="0"/>
          <w:divBdr>
            <w:top w:val="none" w:sz="0" w:space="0" w:color="auto"/>
            <w:left w:val="none" w:sz="0" w:space="0" w:color="auto"/>
            <w:bottom w:val="none" w:sz="0" w:space="0" w:color="auto"/>
            <w:right w:val="none" w:sz="0" w:space="0" w:color="auto"/>
          </w:divBdr>
        </w:div>
        <w:div w:id="782457313">
          <w:marLeft w:val="0"/>
          <w:marRight w:val="0"/>
          <w:marTop w:val="0"/>
          <w:marBottom w:val="0"/>
          <w:divBdr>
            <w:top w:val="none" w:sz="0" w:space="0" w:color="auto"/>
            <w:left w:val="none" w:sz="0" w:space="0" w:color="auto"/>
            <w:bottom w:val="none" w:sz="0" w:space="0" w:color="auto"/>
            <w:right w:val="none" w:sz="0" w:space="0" w:color="auto"/>
          </w:divBdr>
        </w:div>
      </w:divsChild>
    </w:div>
    <w:div w:id="579947078">
      <w:bodyDiv w:val="1"/>
      <w:marLeft w:val="0"/>
      <w:marRight w:val="0"/>
      <w:marTop w:val="0"/>
      <w:marBottom w:val="0"/>
      <w:divBdr>
        <w:top w:val="none" w:sz="0" w:space="0" w:color="auto"/>
        <w:left w:val="none" w:sz="0" w:space="0" w:color="auto"/>
        <w:bottom w:val="none" w:sz="0" w:space="0" w:color="auto"/>
        <w:right w:val="none" w:sz="0" w:space="0" w:color="auto"/>
      </w:divBdr>
    </w:div>
    <w:div w:id="585919442">
      <w:bodyDiv w:val="1"/>
      <w:marLeft w:val="0"/>
      <w:marRight w:val="0"/>
      <w:marTop w:val="0"/>
      <w:marBottom w:val="0"/>
      <w:divBdr>
        <w:top w:val="none" w:sz="0" w:space="0" w:color="auto"/>
        <w:left w:val="none" w:sz="0" w:space="0" w:color="auto"/>
        <w:bottom w:val="none" w:sz="0" w:space="0" w:color="auto"/>
        <w:right w:val="none" w:sz="0" w:space="0" w:color="auto"/>
      </w:divBdr>
    </w:div>
    <w:div w:id="630138168">
      <w:bodyDiv w:val="1"/>
      <w:marLeft w:val="0"/>
      <w:marRight w:val="0"/>
      <w:marTop w:val="0"/>
      <w:marBottom w:val="0"/>
      <w:divBdr>
        <w:top w:val="none" w:sz="0" w:space="0" w:color="auto"/>
        <w:left w:val="none" w:sz="0" w:space="0" w:color="auto"/>
        <w:bottom w:val="none" w:sz="0" w:space="0" w:color="auto"/>
        <w:right w:val="none" w:sz="0" w:space="0" w:color="auto"/>
      </w:divBdr>
    </w:div>
    <w:div w:id="636841449">
      <w:bodyDiv w:val="1"/>
      <w:marLeft w:val="0"/>
      <w:marRight w:val="0"/>
      <w:marTop w:val="0"/>
      <w:marBottom w:val="0"/>
      <w:divBdr>
        <w:top w:val="none" w:sz="0" w:space="0" w:color="auto"/>
        <w:left w:val="none" w:sz="0" w:space="0" w:color="auto"/>
        <w:bottom w:val="none" w:sz="0" w:space="0" w:color="auto"/>
        <w:right w:val="none" w:sz="0" w:space="0" w:color="auto"/>
      </w:divBdr>
      <w:divsChild>
        <w:div w:id="1471749804">
          <w:marLeft w:val="0"/>
          <w:marRight w:val="0"/>
          <w:marTop w:val="0"/>
          <w:marBottom w:val="0"/>
          <w:divBdr>
            <w:top w:val="none" w:sz="0" w:space="0" w:color="auto"/>
            <w:left w:val="none" w:sz="0" w:space="0" w:color="auto"/>
            <w:bottom w:val="none" w:sz="0" w:space="0" w:color="auto"/>
            <w:right w:val="none" w:sz="0" w:space="0" w:color="auto"/>
          </w:divBdr>
        </w:div>
        <w:div w:id="945190045">
          <w:marLeft w:val="0"/>
          <w:marRight w:val="0"/>
          <w:marTop w:val="0"/>
          <w:marBottom w:val="0"/>
          <w:divBdr>
            <w:top w:val="none" w:sz="0" w:space="0" w:color="auto"/>
            <w:left w:val="none" w:sz="0" w:space="0" w:color="auto"/>
            <w:bottom w:val="none" w:sz="0" w:space="0" w:color="auto"/>
            <w:right w:val="none" w:sz="0" w:space="0" w:color="auto"/>
          </w:divBdr>
        </w:div>
        <w:div w:id="1720548894">
          <w:marLeft w:val="0"/>
          <w:marRight w:val="0"/>
          <w:marTop w:val="0"/>
          <w:marBottom w:val="0"/>
          <w:divBdr>
            <w:top w:val="none" w:sz="0" w:space="0" w:color="auto"/>
            <w:left w:val="none" w:sz="0" w:space="0" w:color="auto"/>
            <w:bottom w:val="none" w:sz="0" w:space="0" w:color="auto"/>
            <w:right w:val="none" w:sz="0" w:space="0" w:color="auto"/>
          </w:divBdr>
        </w:div>
        <w:div w:id="1631322567">
          <w:marLeft w:val="0"/>
          <w:marRight w:val="0"/>
          <w:marTop w:val="0"/>
          <w:marBottom w:val="0"/>
          <w:divBdr>
            <w:top w:val="none" w:sz="0" w:space="0" w:color="auto"/>
            <w:left w:val="none" w:sz="0" w:space="0" w:color="auto"/>
            <w:bottom w:val="none" w:sz="0" w:space="0" w:color="auto"/>
            <w:right w:val="none" w:sz="0" w:space="0" w:color="auto"/>
          </w:divBdr>
        </w:div>
        <w:div w:id="867329354">
          <w:marLeft w:val="0"/>
          <w:marRight w:val="0"/>
          <w:marTop w:val="0"/>
          <w:marBottom w:val="0"/>
          <w:divBdr>
            <w:top w:val="none" w:sz="0" w:space="0" w:color="auto"/>
            <w:left w:val="none" w:sz="0" w:space="0" w:color="auto"/>
            <w:bottom w:val="none" w:sz="0" w:space="0" w:color="auto"/>
            <w:right w:val="none" w:sz="0" w:space="0" w:color="auto"/>
          </w:divBdr>
        </w:div>
        <w:div w:id="1687516934">
          <w:marLeft w:val="0"/>
          <w:marRight w:val="0"/>
          <w:marTop w:val="0"/>
          <w:marBottom w:val="0"/>
          <w:divBdr>
            <w:top w:val="none" w:sz="0" w:space="0" w:color="auto"/>
            <w:left w:val="none" w:sz="0" w:space="0" w:color="auto"/>
            <w:bottom w:val="none" w:sz="0" w:space="0" w:color="auto"/>
            <w:right w:val="none" w:sz="0" w:space="0" w:color="auto"/>
          </w:divBdr>
        </w:div>
        <w:div w:id="1274551277">
          <w:marLeft w:val="0"/>
          <w:marRight w:val="0"/>
          <w:marTop w:val="0"/>
          <w:marBottom w:val="0"/>
          <w:divBdr>
            <w:top w:val="none" w:sz="0" w:space="0" w:color="auto"/>
            <w:left w:val="none" w:sz="0" w:space="0" w:color="auto"/>
            <w:bottom w:val="none" w:sz="0" w:space="0" w:color="auto"/>
            <w:right w:val="none" w:sz="0" w:space="0" w:color="auto"/>
          </w:divBdr>
        </w:div>
        <w:div w:id="1692292870">
          <w:marLeft w:val="0"/>
          <w:marRight w:val="0"/>
          <w:marTop w:val="0"/>
          <w:marBottom w:val="0"/>
          <w:divBdr>
            <w:top w:val="none" w:sz="0" w:space="0" w:color="auto"/>
            <w:left w:val="none" w:sz="0" w:space="0" w:color="auto"/>
            <w:bottom w:val="none" w:sz="0" w:space="0" w:color="auto"/>
            <w:right w:val="none" w:sz="0" w:space="0" w:color="auto"/>
          </w:divBdr>
        </w:div>
        <w:div w:id="707461358">
          <w:marLeft w:val="0"/>
          <w:marRight w:val="0"/>
          <w:marTop w:val="0"/>
          <w:marBottom w:val="0"/>
          <w:divBdr>
            <w:top w:val="none" w:sz="0" w:space="0" w:color="auto"/>
            <w:left w:val="none" w:sz="0" w:space="0" w:color="auto"/>
            <w:bottom w:val="none" w:sz="0" w:space="0" w:color="auto"/>
            <w:right w:val="none" w:sz="0" w:space="0" w:color="auto"/>
          </w:divBdr>
        </w:div>
        <w:div w:id="603418947">
          <w:marLeft w:val="0"/>
          <w:marRight w:val="0"/>
          <w:marTop w:val="0"/>
          <w:marBottom w:val="0"/>
          <w:divBdr>
            <w:top w:val="none" w:sz="0" w:space="0" w:color="auto"/>
            <w:left w:val="none" w:sz="0" w:space="0" w:color="auto"/>
            <w:bottom w:val="none" w:sz="0" w:space="0" w:color="auto"/>
            <w:right w:val="none" w:sz="0" w:space="0" w:color="auto"/>
          </w:divBdr>
        </w:div>
        <w:div w:id="909271494">
          <w:marLeft w:val="0"/>
          <w:marRight w:val="0"/>
          <w:marTop w:val="0"/>
          <w:marBottom w:val="0"/>
          <w:divBdr>
            <w:top w:val="none" w:sz="0" w:space="0" w:color="auto"/>
            <w:left w:val="none" w:sz="0" w:space="0" w:color="auto"/>
            <w:bottom w:val="none" w:sz="0" w:space="0" w:color="auto"/>
            <w:right w:val="none" w:sz="0" w:space="0" w:color="auto"/>
          </w:divBdr>
        </w:div>
        <w:div w:id="399056582">
          <w:marLeft w:val="0"/>
          <w:marRight w:val="0"/>
          <w:marTop w:val="0"/>
          <w:marBottom w:val="0"/>
          <w:divBdr>
            <w:top w:val="none" w:sz="0" w:space="0" w:color="auto"/>
            <w:left w:val="none" w:sz="0" w:space="0" w:color="auto"/>
            <w:bottom w:val="none" w:sz="0" w:space="0" w:color="auto"/>
            <w:right w:val="none" w:sz="0" w:space="0" w:color="auto"/>
          </w:divBdr>
        </w:div>
        <w:div w:id="275256579">
          <w:marLeft w:val="0"/>
          <w:marRight w:val="0"/>
          <w:marTop w:val="0"/>
          <w:marBottom w:val="0"/>
          <w:divBdr>
            <w:top w:val="none" w:sz="0" w:space="0" w:color="auto"/>
            <w:left w:val="none" w:sz="0" w:space="0" w:color="auto"/>
            <w:bottom w:val="none" w:sz="0" w:space="0" w:color="auto"/>
            <w:right w:val="none" w:sz="0" w:space="0" w:color="auto"/>
          </w:divBdr>
        </w:div>
        <w:div w:id="781653061">
          <w:marLeft w:val="0"/>
          <w:marRight w:val="0"/>
          <w:marTop w:val="0"/>
          <w:marBottom w:val="0"/>
          <w:divBdr>
            <w:top w:val="none" w:sz="0" w:space="0" w:color="auto"/>
            <w:left w:val="none" w:sz="0" w:space="0" w:color="auto"/>
            <w:bottom w:val="none" w:sz="0" w:space="0" w:color="auto"/>
            <w:right w:val="none" w:sz="0" w:space="0" w:color="auto"/>
          </w:divBdr>
        </w:div>
        <w:div w:id="783811859">
          <w:marLeft w:val="0"/>
          <w:marRight w:val="0"/>
          <w:marTop w:val="0"/>
          <w:marBottom w:val="0"/>
          <w:divBdr>
            <w:top w:val="none" w:sz="0" w:space="0" w:color="auto"/>
            <w:left w:val="none" w:sz="0" w:space="0" w:color="auto"/>
            <w:bottom w:val="none" w:sz="0" w:space="0" w:color="auto"/>
            <w:right w:val="none" w:sz="0" w:space="0" w:color="auto"/>
          </w:divBdr>
        </w:div>
        <w:div w:id="693650235">
          <w:marLeft w:val="0"/>
          <w:marRight w:val="0"/>
          <w:marTop w:val="0"/>
          <w:marBottom w:val="0"/>
          <w:divBdr>
            <w:top w:val="none" w:sz="0" w:space="0" w:color="auto"/>
            <w:left w:val="none" w:sz="0" w:space="0" w:color="auto"/>
            <w:bottom w:val="none" w:sz="0" w:space="0" w:color="auto"/>
            <w:right w:val="none" w:sz="0" w:space="0" w:color="auto"/>
          </w:divBdr>
        </w:div>
        <w:div w:id="1206065682">
          <w:marLeft w:val="0"/>
          <w:marRight w:val="0"/>
          <w:marTop w:val="0"/>
          <w:marBottom w:val="0"/>
          <w:divBdr>
            <w:top w:val="none" w:sz="0" w:space="0" w:color="auto"/>
            <w:left w:val="none" w:sz="0" w:space="0" w:color="auto"/>
            <w:bottom w:val="none" w:sz="0" w:space="0" w:color="auto"/>
            <w:right w:val="none" w:sz="0" w:space="0" w:color="auto"/>
          </w:divBdr>
        </w:div>
        <w:div w:id="1086418736">
          <w:marLeft w:val="0"/>
          <w:marRight w:val="0"/>
          <w:marTop w:val="0"/>
          <w:marBottom w:val="0"/>
          <w:divBdr>
            <w:top w:val="none" w:sz="0" w:space="0" w:color="auto"/>
            <w:left w:val="none" w:sz="0" w:space="0" w:color="auto"/>
            <w:bottom w:val="none" w:sz="0" w:space="0" w:color="auto"/>
            <w:right w:val="none" w:sz="0" w:space="0" w:color="auto"/>
          </w:divBdr>
        </w:div>
        <w:div w:id="1069156447">
          <w:marLeft w:val="0"/>
          <w:marRight w:val="0"/>
          <w:marTop w:val="0"/>
          <w:marBottom w:val="0"/>
          <w:divBdr>
            <w:top w:val="none" w:sz="0" w:space="0" w:color="auto"/>
            <w:left w:val="none" w:sz="0" w:space="0" w:color="auto"/>
            <w:bottom w:val="none" w:sz="0" w:space="0" w:color="auto"/>
            <w:right w:val="none" w:sz="0" w:space="0" w:color="auto"/>
          </w:divBdr>
        </w:div>
        <w:div w:id="535969395">
          <w:marLeft w:val="0"/>
          <w:marRight w:val="0"/>
          <w:marTop w:val="0"/>
          <w:marBottom w:val="0"/>
          <w:divBdr>
            <w:top w:val="none" w:sz="0" w:space="0" w:color="auto"/>
            <w:left w:val="none" w:sz="0" w:space="0" w:color="auto"/>
            <w:bottom w:val="none" w:sz="0" w:space="0" w:color="auto"/>
            <w:right w:val="none" w:sz="0" w:space="0" w:color="auto"/>
          </w:divBdr>
        </w:div>
        <w:div w:id="1661883977">
          <w:marLeft w:val="0"/>
          <w:marRight w:val="0"/>
          <w:marTop w:val="0"/>
          <w:marBottom w:val="0"/>
          <w:divBdr>
            <w:top w:val="none" w:sz="0" w:space="0" w:color="auto"/>
            <w:left w:val="none" w:sz="0" w:space="0" w:color="auto"/>
            <w:bottom w:val="none" w:sz="0" w:space="0" w:color="auto"/>
            <w:right w:val="none" w:sz="0" w:space="0" w:color="auto"/>
          </w:divBdr>
        </w:div>
        <w:div w:id="1112017221">
          <w:marLeft w:val="0"/>
          <w:marRight w:val="0"/>
          <w:marTop w:val="0"/>
          <w:marBottom w:val="0"/>
          <w:divBdr>
            <w:top w:val="none" w:sz="0" w:space="0" w:color="auto"/>
            <w:left w:val="none" w:sz="0" w:space="0" w:color="auto"/>
            <w:bottom w:val="none" w:sz="0" w:space="0" w:color="auto"/>
            <w:right w:val="none" w:sz="0" w:space="0" w:color="auto"/>
          </w:divBdr>
        </w:div>
      </w:divsChild>
    </w:div>
    <w:div w:id="656692685">
      <w:bodyDiv w:val="1"/>
      <w:marLeft w:val="0"/>
      <w:marRight w:val="0"/>
      <w:marTop w:val="0"/>
      <w:marBottom w:val="0"/>
      <w:divBdr>
        <w:top w:val="none" w:sz="0" w:space="0" w:color="auto"/>
        <w:left w:val="none" w:sz="0" w:space="0" w:color="auto"/>
        <w:bottom w:val="none" w:sz="0" w:space="0" w:color="auto"/>
        <w:right w:val="none" w:sz="0" w:space="0" w:color="auto"/>
      </w:divBdr>
    </w:div>
    <w:div w:id="739713225">
      <w:bodyDiv w:val="1"/>
      <w:marLeft w:val="0"/>
      <w:marRight w:val="0"/>
      <w:marTop w:val="0"/>
      <w:marBottom w:val="0"/>
      <w:divBdr>
        <w:top w:val="none" w:sz="0" w:space="0" w:color="auto"/>
        <w:left w:val="none" w:sz="0" w:space="0" w:color="auto"/>
        <w:bottom w:val="none" w:sz="0" w:space="0" w:color="auto"/>
        <w:right w:val="none" w:sz="0" w:space="0" w:color="auto"/>
      </w:divBdr>
    </w:div>
    <w:div w:id="768085824">
      <w:bodyDiv w:val="1"/>
      <w:marLeft w:val="0"/>
      <w:marRight w:val="0"/>
      <w:marTop w:val="0"/>
      <w:marBottom w:val="0"/>
      <w:divBdr>
        <w:top w:val="none" w:sz="0" w:space="0" w:color="auto"/>
        <w:left w:val="none" w:sz="0" w:space="0" w:color="auto"/>
        <w:bottom w:val="none" w:sz="0" w:space="0" w:color="auto"/>
        <w:right w:val="none" w:sz="0" w:space="0" w:color="auto"/>
      </w:divBdr>
    </w:div>
    <w:div w:id="774448420">
      <w:bodyDiv w:val="1"/>
      <w:marLeft w:val="0"/>
      <w:marRight w:val="0"/>
      <w:marTop w:val="0"/>
      <w:marBottom w:val="0"/>
      <w:divBdr>
        <w:top w:val="none" w:sz="0" w:space="0" w:color="auto"/>
        <w:left w:val="none" w:sz="0" w:space="0" w:color="auto"/>
        <w:bottom w:val="none" w:sz="0" w:space="0" w:color="auto"/>
        <w:right w:val="none" w:sz="0" w:space="0" w:color="auto"/>
      </w:divBdr>
    </w:div>
    <w:div w:id="786318746">
      <w:bodyDiv w:val="1"/>
      <w:marLeft w:val="0"/>
      <w:marRight w:val="0"/>
      <w:marTop w:val="0"/>
      <w:marBottom w:val="0"/>
      <w:divBdr>
        <w:top w:val="none" w:sz="0" w:space="0" w:color="auto"/>
        <w:left w:val="none" w:sz="0" w:space="0" w:color="auto"/>
        <w:bottom w:val="none" w:sz="0" w:space="0" w:color="auto"/>
        <w:right w:val="none" w:sz="0" w:space="0" w:color="auto"/>
      </w:divBdr>
    </w:div>
    <w:div w:id="803741804">
      <w:bodyDiv w:val="1"/>
      <w:marLeft w:val="0"/>
      <w:marRight w:val="0"/>
      <w:marTop w:val="0"/>
      <w:marBottom w:val="0"/>
      <w:divBdr>
        <w:top w:val="none" w:sz="0" w:space="0" w:color="auto"/>
        <w:left w:val="none" w:sz="0" w:space="0" w:color="auto"/>
        <w:bottom w:val="none" w:sz="0" w:space="0" w:color="auto"/>
        <w:right w:val="none" w:sz="0" w:space="0" w:color="auto"/>
      </w:divBdr>
      <w:divsChild>
        <w:div w:id="1320888780">
          <w:marLeft w:val="0"/>
          <w:marRight w:val="0"/>
          <w:marTop w:val="0"/>
          <w:marBottom w:val="0"/>
          <w:divBdr>
            <w:top w:val="none" w:sz="0" w:space="0" w:color="auto"/>
            <w:left w:val="none" w:sz="0" w:space="0" w:color="auto"/>
            <w:bottom w:val="none" w:sz="0" w:space="0" w:color="auto"/>
            <w:right w:val="none" w:sz="0" w:space="0" w:color="auto"/>
          </w:divBdr>
        </w:div>
        <w:div w:id="2097945306">
          <w:marLeft w:val="0"/>
          <w:marRight w:val="0"/>
          <w:marTop w:val="0"/>
          <w:marBottom w:val="0"/>
          <w:divBdr>
            <w:top w:val="none" w:sz="0" w:space="0" w:color="auto"/>
            <w:left w:val="none" w:sz="0" w:space="0" w:color="auto"/>
            <w:bottom w:val="none" w:sz="0" w:space="0" w:color="auto"/>
            <w:right w:val="none" w:sz="0" w:space="0" w:color="auto"/>
          </w:divBdr>
        </w:div>
        <w:div w:id="633682173">
          <w:marLeft w:val="0"/>
          <w:marRight w:val="0"/>
          <w:marTop w:val="0"/>
          <w:marBottom w:val="0"/>
          <w:divBdr>
            <w:top w:val="none" w:sz="0" w:space="0" w:color="auto"/>
            <w:left w:val="none" w:sz="0" w:space="0" w:color="auto"/>
            <w:bottom w:val="none" w:sz="0" w:space="0" w:color="auto"/>
            <w:right w:val="none" w:sz="0" w:space="0" w:color="auto"/>
          </w:divBdr>
        </w:div>
        <w:div w:id="1430468452">
          <w:marLeft w:val="0"/>
          <w:marRight w:val="0"/>
          <w:marTop w:val="0"/>
          <w:marBottom w:val="0"/>
          <w:divBdr>
            <w:top w:val="none" w:sz="0" w:space="0" w:color="auto"/>
            <w:left w:val="none" w:sz="0" w:space="0" w:color="auto"/>
            <w:bottom w:val="none" w:sz="0" w:space="0" w:color="auto"/>
            <w:right w:val="none" w:sz="0" w:space="0" w:color="auto"/>
          </w:divBdr>
        </w:div>
        <w:div w:id="369500988">
          <w:marLeft w:val="0"/>
          <w:marRight w:val="0"/>
          <w:marTop w:val="0"/>
          <w:marBottom w:val="0"/>
          <w:divBdr>
            <w:top w:val="none" w:sz="0" w:space="0" w:color="auto"/>
            <w:left w:val="none" w:sz="0" w:space="0" w:color="auto"/>
            <w:bottom w:val="none" w:sz="0" w:space="0" w:color="auto"/>
            <w:right w:val="none" w:sz="0" w:space="0" w:color="auto"/>
          </w:divBdr>
        </w:div>
        <w:div w:id="1429305896">
          <w:marLeft w:val="0"/>
          <w:marRight w:val="0"/>
          <w:marTop w:val="0"/>
          <w:marBottom w:val="0"/>
          <w:divBdr>
            <w:top w:val="none" w:sz="0" w:space="0" w:color="auto"/>
            <w:left w:val="none" w:sz="0" w:space="0" w:color="auto"/>
            <w:bottom w:val="none" w:sz="0" w:space="0" w:color="auto"/>
            <w:right w:val="none" w:sz="0" w:space="0" w:color="auto"/>
          </w:divBdr>
        </w:div>
        <w:div w:id="1790662989">
          <w:marLeft w:val="0"/>
          <w:marRight w:val="0"/>
          <w:marTop w:val="0"/>
          <w:marBottom w:val="0"/>
          <w:divBdr>
            <w:top w:val="none" w:sz="0" w:space="0" w:color="auto"/>
            <w:left w:val="none" w:sz="0" w:space="0" w:color="auto"/>
            <w:bottom w:val="none" w:sz="0" w:space="0" w:color="auto"/>
            <w:right w:val="none" w:sz="0" w:space="0" w:color="auto"/>
          </w:divBdr>
        </w:div>
        <w:div w:id="180552971">
          <w:marLeft w:val="0"/>
          <w:marRight w:val="0"/>
          <w:marTop w:val="0"/>
          <w:marBottom w:val="0"/>
          <w:divBdr>
            <w:top w:val="none" w:sz="0" w:space="0" w:color="auto"/>
            <w:left w:val="none" w:sz="0" w:space="0" w:color="auto"/>
            <w:bottom w:val="none" w:sz="0" w:space="0" w:color="auto"/>
            <w:right w:val="none" w:sz="0" w:space="0" w:color="auto"/>
          </w:divBdr>
        </w:div>
        <w:div w:id="1913657239">
          <w:marLeft w:val="0"/>
          <w:marRight w:val="0"/>
          <w:marTop w:val="0"/>
          <w:marBottom w:val="0"/>
          <w:divBdr>
            <w:top w:val="none" w:sz="0" w:space="0" w:color="auto"/>
            <w:left w:val="none" w:sz="0" w:space="0" w:color="auto"/>
            <w:bottom w:val="none" w:sz="0" w:space="0" w:color="auto"/>
            <w:right w:val="none" w:sz="0" w:space="0" w:color="auto"/>
          </w:divBdr>
        </w:div>
        <w:div w:id="336159324">
          <w:marLeft w:val="0"/>
          <w:marRight w:val="0"/>
          <w:marTop w:val="0"/>
          <w:marBottom w:val="0"/>
          <w:divBdr>
            <w:top w:val="none" w:sz="0" w:space="0" w:color="auto"/>
            <w:left w:val="none" w:sz="0" w:space="0" w:color="auto"/>
            <w:bottom w:val="none" w:sz="0" w:space="0" w:color="auto"/>
            <w:right w:val="none" w:sz="0" w:space="0" w:color="auto"/>
          </w:divBdr>
        </w:div>
        <w:div w:id="2011105515">
          <w:marLeft w:val="0"/>
          <w:marRight w:val="0"/>
          <w:marTop w:val="0"/>
          <w:marBottom w:val="0"/>
          <w:divBdr>
            <w:top w:val="none" w:sz="0" w:space="0" w:color="auto"/>
            <w:left w:val="none" w:sz="0" w:space="0" w:color="auto"/>
            <w:bottom w:val="none" w:sz="0" w:space="0" w:color="auto"/>
            <w:right w:val="none" w:sz="0" w:space="0" w:color="auto"/>
          </w:divBdr>
        </w:div>
        <w:div w:id="698355622">
          <w:marLeft w:val="0"/>
          <w:marRight w:val="0"/>
          <w:marTop w:val="0"/>
          <w:marBottom w:val="0"/>
          <w:divBdr>
            <w:top w:val="none" w:sz="0" w:space="0" w:color="auto"/>
            <w:left w:val="none" w:sz="0" w:space="0" w:color="auto"/>
            <w:bottom w:val="none" w:sz="0" w:space="0" w:color="auto"/>
            <w:right w:val="none" w:sz="0" w:space="0" w:color="auto"/>
          </w:divBdr>
        </w:div>
        <w:div w:id="1482429279">
          <w:marLeft w:val="0"/>
          <w:marRight w:val="0"/>
          <w:marTop w:val="0"/>
          <w:marBottom w:val="0"/>
          <w:divBdr>
            <w:top w:val="none" w:sz="0" w:space="0" w:color="auto"/>
            <w:left w:val="none" w:sz="0" w:space="0" w:color="auto"/>
            <w:bottom w:val="none" w:sz="0" w:space="0" w:color="auto"/>
            <w:right w:val="none" w:sz="0" w:space="0" w:color="auto"/>
          </w:divBdr>
        </w:div>
        <w:div w:id="1031954864">
          <w:marLeft w:val="0"/>
          <w:marRight w:val="0"/>
          <w:marTop w:val="0"/>
          <w:marBottom w:val="0"/>
          <w:divBdr>
            <w:top w:val="none" w:sz="0" w:space="0" w:color="auto"/>
            <w:left w:val="none" w:sz="0" w:space="0" w:color="auto"/>
            <w:bottom w:val="none" w:sz="0" w:space="0" w:color="auto"/>
            <w:right w:val="none" w:sz="0" w:space="0" w:color="auto"/>
          </w:divBdr>
        </w:div>
        <w:div w:id="1314723843">
          <w:marLeft w:val="0"/>
          <w:marRight w:val="0"/>
          <w:marTop w:val="0"/>
          <w:marBottom w:val="0"/>
          <w:divBdr>
            <w:top w:val="none" w:sz="0" w:space="0" w:color="auto"/>
            <w:left w:val="none" w:sz="0" w:space="0" w:color="auto"/>
            <w:bottom w:val="none" w:sz="0" w:space="0" w:color="auto"/>
            <w:right w:val="none" w:sz="0" w:space="0" w:color="auto"/>
          </w:divBdr>
        </w:div>
        <w:div w:id="1099061789">
          <w:marLeft w:val="0"/>
          <w:marRight w:val="0"/>
          <w:marTop w:val="0"/>
          <w:marBottom w:val="0"/>
          <w:divBdr>
            <w:top w:val="none" w:sz="0" w:space="0" w:color="auto"/>
            <w:left w:val="none" w:sz="0" w:space="0" w:color="auto"/>
            <w:bottom w:val="none" w:sz="0" w:space="0" w:color="auto"/>
            <w:right w:val="none" w:sz="0" w:space="0" w:color="auto"/>
          </w:divBdr>
        </w:div>
        <w:div w:id="563682194">
          <w:marLeft w:val="0"/>
          <w:marRight w:val="0"/>
          <w:marTop w:val="0"/>
          <w:marBottom w:val="0"/>
          <w:divBdr>
            <w:top w:val="none" w:sz="0" w:space="0" w:color="auto"/>
            <w:left w:val="none" w:sz="0" w:space="0" w:color="auto"/>
            <w:bottom w:val="none" w:sz="0" w:space="0" w:color="auto"/>
            <w:right w:val="none" w:sz="0" w:space="0" w:color="auto"/>
          </w:divBdr>
        </w:div>
        <w:div w:id="1013344275">
          <w:marLeft w:val="0"/>
          <w:marRight w:val="0"/>
          <w:marTop w:val="0"/>
          <w:marBottom w:val="0"/>
          <w:divBdr>
            <w:top w:val="none" w:sz="0" w:space="0" w:color="auto"/>
            <w:left w:val="none" w:sz="0" w:space="0" w:color="auto"/>
            <w:bottom w:val="none" w:sz="0" w:space="0" w:color="auto"/>
            <w:right w:val="none" w:sz="0" w:space="0" w:color="auto"/>
          </w:divBdr>
        </w:div>
        <w:div w:id="1046485431">
          <w:marLeft w:val="0"/>
          <w:marRight w:val="0"/>
          <w:marTop w:val="0"/>
          <w:marBottom w:val="0"/>
          <w:divBdr>
            <w:top w:val="none" w:sz="0" w:space="0" w:color="auto"/>
            <w:left w:val="none" w:sz="0" w:space="0" w:color="auto"/>
            <w:bottom w:val="none" w:sz="0" w:space="0" w:color="auto"/>
            <w:right w:val="none" w:sz="0" w:space="0" w:color="auto"/>
          </w:divBdr>
        </w:div>
        <w:div w:id="327750905">
          <w:marLeft w:val="0"/>
          <w:marRight w:val="0"/>
          <w:marTop w:val="0"/>
          <w:marBottom w:val="0"/>
          <w:divBdr>
            <w:top w:val="none" w:sz="0" w:space="0" w:color="auto"/>
            <w:left w:val="none" w:sz="0" w:space="0" w:color="auto"/>
            <w:bottom w:val="none" w:sz="0" w:space="0" w:color="auto"/>
            <w:right w:val="none" w:sz="0" w:space="0" w:color="auto"/>
          </w:divBdr>
        </w:div>
        <w:div w:id="847410547">
          <w:marLeft w:val="0"/>
          <w:marRight w:val="0"/>
          <w:marTop w:val="0"/>
          <w:marBottom w:val="0"/>
          <w:divBdr>
            <w:top w:val="none" w:sz="0" w:space="0" w:color="auto"/>
            <w:left w:val="none" w:sz="0" w:space="0" w:color="auto"/>
            <w:bottom w:val="none" w:sz="0" w:space="0" w:color="auto"/>
            <w:right w:val="none" w:sz="0" w:space="0" w:color="auto"/>
          </w:divBdr>
        </w:div>
        <w:div w:id="1734886317">
          <w:marLeft w:val="0"/>
          <w:marRight w:val="0"/>
          <w:marTop w:val="0"/>
          <w:marBottom w:val="0"/>
          <w:divBdr>
            <w:top w:val="none" w:sz="0" w:space="0" w:color="auto"/>
            <w:left w:val="none" w:sz="0" w:space="0" w:color="auto"/>
            <w:bottom w:val="none" w:sz="0" w:space="0" w:color="auto"/>
            <w:right w:val="none" w:sz="0" w:space="0" w:color="auto"/>
          </w:divBdr>
        </w:div>
        <w:div w:id="1625040798">
          <w:marLeft w:val="0"/>
          <w:marRight w:val="0"/>
          <w:marTop w:val="0"/>
          <w:marBottom w:val="0"/>
          <w:divBdr>
            <w:top w:val="none" w:sz="0" w:space="0" w:color="auto"/>
            <w:left w:val="none" w:sz="0" w:space="0" w:color="auto"/>
            <w:bottom w:val="none" w:sz="0" w:space="0" w:color="auto"/>
            <w:right w:val="none" w:sz="0" w:space="0" w:color="auto"/>
          </w:divBdr>
        </w:div>
        <w:div w:id="1563443369">
          <w:marLeft w:val="0"/>
          <w:marRight w:val="0"/>
          <w:marTop w:val="0"/>
          <w:marBottom w:val="0"/>
          <w:divBdr>
            <w:top w:val="none" w:sz="0" w:space="0" w:color="auto"/>
            <w:left w:val="none" w:sz="0" w:space="0" w:color="auto"/>
            <w:bottom w:val="none" w:sz="0" w:space="0" w:color="auto"/>
            <w:right w:val="none" w:sz="0" w:space="0" w:color="auto"/>
          </w:divBdr>
        </w:div>
        <w:div w:id="1096360947">
          <w:marLeft w:val="0"/>
          <w:marRight w:val="0"/>
          <w:marTop w:val="0"/>
          <w:marBottom w:val="0"/>
          <w:divBdr>
            <w:top w:val="none" w:sz="0" w:space="0" w:color="auto"/>
            <w:left w:val="none" w:sz="0" w:space="0" w:color="auto"/>
            <w:bottom w:val="none" w:sz="0" w:space="0" w:color="auto"/>
            <w:right w:val="none" w:sz="0" w:space="0" w:color="auto"/>
          </w:divBdr>
        </w:div>
      </w:divsChild>
    </w:div>
    <w:div w:id="807474814">
      <w:bodyDiv w:val="1"/>
      <w:marLeft w:val="0"/>
      <w:marRight w:val="0"/>
      <w:marTop w:val="0"/>
      <w:marBottom w:val="0"/>
      <w:divBdr>
        <w:top w:val="none" w:sz="0" w:space="0" w:color="auto"/>
        <w:left w:val="none" w:sz="0" w:space="0" w:color="auto"/>
        <w:bottom w:val="none" w:sz="0" w:space="0" w:color="auto"/>
        <w:right w:val="none" w:sz="0" w:space="0" w:color="auto"/>
      </w:divBdr>
    </w:div>
    <w:div w:id="815994647">
      <w:bodyDiv w:val="1"/>
      <w:marLeft w:val="0"/>
      <w:marRight w:val="0"/>
      <w:marTop w:val="0"/>
      <w:marBottom w:val="0"/>
      <w:divBdr>
        <w:top w:val="none" w:sz="0" w:space="0" w:color="auto"/>
        <w:left w:val="none" w:sz="0" w:space="0" w:color="auto"/>
        <w:bottom w:val="none" w:sz="0" w:space="0" w:color="auto"/>
        <w:right w:val="none" w:sz="0" w:space="0" w:color="auto"/>
      </w:divBdr>
      <w:divsChild>
        <w:div w:id="1298488900">
          <w:blockQuote w:val="1"/>
          <w:marLeft w:val="720"/>
          <w:marRight w:val="720"/>
          <w:marTop w:val="100"/>
          <w:marBottom w:val="100"/>
          <w:divBdr>
            <w:top w:val="none" w:sz="0" w:space="0" w:color="auto"/>
            <w:left w:val="none" w:sz="0" w:space="0" w:color="auto"/>
            <w:bottom w:val="none" w:sz="0" w:space="0" w:color="auto"/>
            <w:right w:val="none" w:sz="0" w:space="0" w:color="auto"/>
          </w:divBdr>
        </w:div>
        <w:div w:id="957606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8026606">
      <w:bodyDiv w:val="1"/>
      <w:marLeft w:val="0"/>
      <w:marRight w:val="0"/>
      <w:marTop w:val="0"/>
      <w:marBottom w:val="0"/>
      <w:divBdr>
        <w:top w:val="none" w:sz="0" w:space="0" w:color="auto"/>
        <w:left w:val="none" w:sz="0" w:space="0" w:color="auto"/>
        <w:bottom w:val="none" w:sz="0" w:space="0" w:color="auto"/>
        <w:right w:val="none" w:sz="0" w:space="0" w:color="auto"/>
      </w:divBdr>
    </w:div>
    <w:div w:id="879047525">
      <w:bodyDiv w:val="1"/>
      <w:marLeft w:val="0"/>
      <w:marRight w:val="0"/>
      <w:marTop w:val="0"/>
      <w:marBottom w:val="0"/>
      <w:divBdr>
        <w:top w:val="none" w:sz="0" w:space="0" w:color="auto"/>
        <w:left w:val="none" w:sz="0" w:space="0" w:color="auto"/>
        <w:bottom w:val="none" w:sz="0" w:space="0" w:color="auto"/>
        <w:right w:val="none" w:sz="0" w:space="0" w:color="auto"/>
      </w:divBdr>
    </w:div>
    <w:div w:id="889266849">
      <w:bodyDiv w:val="1"/>
      <w:marLeft w:val="0"/>
      <w:marRight w:val="0"/>
      <w:marTop w:val="0"/>
      <w:marBottom w:val="0"/>
      <w:divBdr>
        <w:top w:val="none" w:sz="0" w:space="0" w:color="auto"/>
        <w:left w:val="none" w:sz="0" w:space="0" w:color="auto"/>
        <w:bottom w:val="none" w:sz="0" w:space="0" w:color="auto"/>
        <w:right w:val="none" w:sz="0" w:space="0" w:color="auto"/>
      </w:divBdr>
      <w:divsChild>
        <w:div w:id="758411280">
          <w:marLeft w:val="0"/>
          <w:marRight w:val="0"/>
          <w:marTop w:val="0"/>
          <w:marBottom w:val="0"/>
          <w:divBdr>
            <w:top w:val="none" w:sz="0" w:space="0" w:color="auto"/>
            <w:left w:val="none" w:sz="0" w:space="0" w:color="auto"/>
            <w:bottom w:val="none" w:sz="0" w:space="0" w:color="auto"/>
            <w:right w:val="none" w:sz="0" w:space="0" w:color="auto"/>
          </w:divBdr>
        </w:div>
        <w:div w:id="1077674078">
          <w:marLeft w:val="0"/>
          <w:marRight w:val="0"/>
          <w:marTop w:val="0"/>
          <w:marBottom w:val="0"/>
          <w:divBdr>
            <w:top w:val="none" w:sz="0" w:space="0" w:color="auto"/>
            <w:left w:val="none" w:sz="0" w:space="0" w:color="auto"/>
            <w:bottom w:val="none" w:sz="0" w:space="0" w:color="auto"/>
            <w:right w:val="none" w:sz="0" w:space="0" w:color="auto"/>
          </w:divBdr>
        </w:div>
        <w:div w:id="290592689">
          <w:marLeft w:val="0"/>
          <w:marRight w:val="0"/>
          <w:marTop w:val="0"/>
          <w:marBottom w:val="0"/>
          <w:divBdr>
            <w:top w:val="none" w:sz="0" w:space="0" w:color="auto"/>
            <w:left w:val="none" w:sz="0" w:space="0" w:color="auto"/>
            <w:bottom w:val="none" w:sz="0" w:space="0" w:color="auto"/>
            <w:right w:val="none" w:sz="0" w:space="0" w:color="auto"/>
          </w:divBdr>
        </w:div>
        <w:div w:id="1971933507">
          <w:marLeft w:val="0"/>
          <w:marRight w:val="0"/>
          <w:marTop w:val="0"/>
          <w:marBottom w:val="0"/>
          <w:divBdr>
            <w:top w:val="none" w:sz="0" w:space="0" w:color="auto"/>
            <w:left w:val="none" w:sz="0" w:space="0" w:color="auto"/>
            <w:bottom w:val="none" w:sz="0" w:space="0" w:color="auto"/>
            <w:right w:val="none" w:sz="0" w:space="0" w:color="auto"/>
          </w:divBdr>
        </w:div>
        <w:div w:id="364213110">
          <w:marLeft w:val="0"/>
          <w:marRight w:val="0"/>
          <w:marTop w:val="0"/>
          <w:marBottom w:val="0"/>
          <w:divBdr>
            <w:top w:val="none" w:sz="0" w:space="0" w:color="auto"/>
            <w:left w:val="none" w:sz="0" w:space="0" w:color="auto"/>
            <w:bottom w:val="none" w:sz="0" w:space="0" w:color="auto"/>
            <w:right w:val="none" w:sz="0" w:space="0" w:color="auto"/>
          </w:divBdr>
        </w:div>
        <w:div w:id="559562685">
          <w:marLeft w:val="0"/>
          <w:marRight w:val="0"/>
          <w:marTop w:val="0"/>
          <w:marBottom w:val="0"/>
          <w:divBdr>
            <w:top w:val="none" w:sz="0" w:space="0" w:color="auto"/>
            <w:left w:val="none" w:sz="0" w:space="0" w:color="auto"/>
            <w:bottom w:val="none" w:sz="0" w:space="0" w:color="auto"/>
            <w:right w:val="none" w:sz="0" w:space="0" w:color="auto"/>
          </w:divBdr>
        </w:div>
        <w:div w:id="1622148297">
          <w:marLeft w:val="0"/>
          <w:marRight w:val="0"/>
          <w:marTop w:val="0"/>
          <w:marBottom w:val="0"/>
          <w:divBdr>
            <w:top w:val="none" w:sz="0" w:space="0" w:color="auto"/>
            <w:left w:val="none" w:sz="0" w:space="0" w:color="auto"/>
            <w:bottom w:val="none" w:sz="0" w:space="0" w:color="auto"/>
            <w:right w:val="none" w:sz="0" w:space="0" w:color="auto"/>
          </w:divBdr>
        </w:div>
        <w:div w:id="474683384">
          <w:marLeft w:val="0"/>
          <w:marRight w:val="0"/>
          <w:marTop w:val="0"/>
          <w:marBottom w:val="0"/>
          <w:divBdr>
            <w:top w:val="none" w:sz="0" w:space="0" w:color="auto"/>
            <w:left w:val="none" w:sz="0" w:space="0" w:color="auto"/>
            <w:bottom w:val="none" w:sz="0" w:space="0" w:color="auto"/>
            <w:right w:val="none" w:sz="0" w:space="0" w:color="auto"/>
          </w:divBdr>
        </w:div>
        <w:div w:id="286736698">
          <w:marLeft w:val="0"/>
          <w:marRight w:val="0"/>
          <w:marTop w:val="0"/>
          <w:marBottom w:val="0"/>
          <w:divBdr>
            <w:top w:val="none" w:sz="0" w:space="0" w:color="auto"/>
            <w:left w:val="none" w:sz="0" w:space="0" w:color="auto"/>
            <w:bottom w:val="none" w:sz="0" w:space="0" w:color="auto"/>
            <w:right w:val="none" w:sz="0" w:space="0" w:color="auto"/>
          </w:divBdr>
        </w:div>
        <w:div w:id="1710178331">
          <w:marLeft w:val="0"/>
          <w:marRight w:val="0"/>
          <w:marTop w:val="0"/>
          <w:marBottom w:val="0"/>
          <w:divBdr>
            <w:top w:val="none" w:sz="0" w:space="0" w:color="auto"/>
            <w:left w:val="none" w:sz="0" w:space="0" w:color="auto"/>
            <w:bottom w:val="none" w:sz="0" w:space="0" w:color="auto"/>
            <w:right w:val="none" w:sz="0" w:space="0" w:color="auto"/>
          </w:divBdr>
        </w:div>
        <w:div w:id="1606578429">
          <w:marLeft w:val="0"/>
          <w:marRight w:val="0"/>
          <w:marTop w:val="0"/>
          <w:marBottom w:val="0"/>
          <w:divBdr>
            <w:top w:val="none" w:sz="0" w:space="0" w:color="auto"/>
            <w:left w:val="none" w:sz="0" w:space="0" w:color="auto"/>
            <w:bottom w:val="none" w:sz="0" w:space="0" w:color="auto"/>
            <w:right w:val="none" w:sz="0" w:space="0" w:color="auto"/>
          </w:divBdr>
        </w:div>
        <w:div w:id="1337152096">
          <w:marLeft w:val="0"/>
          <w:marRight w:val="0"/>
          <w:marTop w:val="0"/>
          <w:marBottom w:val="0"/>
          <w:divBdr>
            <w:top w:val="none" w:sz="0" w:space="0" w:color="auto"/>
            <w:left w:val="none" w:sz="0" w:space="0" w:color="auto"/>
            <w:bottom w:val="none" w:sz="0" w:space="0" w:color="auto"/>
            <w:right w:val="none" w:sz="0" w:space="0" w:color="auto"/>
          </w:divBdr>
        </w:div>
        <w:div w:id="1098598152">
          <w:marLeft w:val="0"/>
          <w:marRight w:val="0"/>
          <w:marTop w:val="0"/>
          <w:marBottom w:val="0"/>
          <w:divBdr>
            <w:top w:val="none" w:sz="0" w:space="0" w:color="auto"/>
            <w:left w:val="none" w:sz="0" w:space="0" w:color="auto"/>
            <w:bottom w:val="none" w:sz="0" w:space="0" w:color="auto"/>
            <w:right w:val="none" w:sz="0" w:space="0" w:color="auto"/>
          </w:divBdr>
        </w:div>
        <w:div w:id="210921237">
          <w:marLeft w:val="0"/>
          <w:marRight w:val="0"/>
          <w:marTop w:val="0"/>
          <w:marBottom w:val="0"/>
          <w:divBdr>
            <w:top w:val="none" w:sz="0" w:space="0" w:color="auto"/>
            <w:left w:val="none" w:sz="0" w:space="0" w:color="auto"/>
            <w:bottom w:val="none" w:sz="0" w:space="0" w:color="auto"/>
            <w:right w:val="none" w:sz="0" w:space="0" w:color="auto"/>
          </w:divBdr>
        </w:div>
        <w:div w:id="1018850317">
          <w:marLeft w:val="0"/>
          <w:marRight w:val="0"/>
          <w:marTop w:val="0"/>
          <w:marBottom w:val="0"/>
          <w:divBdr>
            <w:top w:val="none" w:sz="0" w:space="0" w:color="auto"/>
            <w:left w:val="none" w:sz="0" w:space="0" w:color="auto"/>
            <w:bottom w:val="none" w:sz="0" w:space="0" w:color="auto"/>
            <w:right w:val="none" w:sz="0" w:space="0" w:color="auto"/>
          </w:divBdr>
        </w:div>
        <w:div w:id="1759130558">
          <w:marLeft w:val="0"/>
          <w:marRight w:val="0"/>
          <w:marTop w:val="0"/>
          <w:marBottom w:val="0"/>
          <w:divBdr>
            <w:top w:val="none" w:sz="0" w:space="0" w:color="auto"/>
            <w:left w:val="none" w:sz="0" w:space="0" w:color="auto"/>
            <w:bottom w:val="none" w:sz="0" w:space="0" w:color="auto"/>
            <w:right w:val="none" w:sz="0" w:space="0" w:color="auto"/>
          </w:divBdr>
        </w:div>
        <w:div w:id="314064390">
          <w:marLeft w:val="0"/>
          <w:marRight w:val="0"/>
          <w:marTop w:val="0"/>
          <w:marBottom w:val="0"/>
          <w:divBdr>
            <w:top w:val="none" w:sz="0" w:space="0" w:color="auto"/>
            <w:left w:val="none" w:sz="0" w:space="0" w:color="auto"/>
            <w:bottom w:val="none" w:sz="0" w:space="0" w:color="auto"/>
            <w:right w:val="none" w:sz="0" w:space="0" w:color="auto"/>
          </w:divBdr>
        </w:div>
        <w:div w:id="35127611">
          <w:marLeft w:val="0"/>
          <w:marRight w:val="0"/>
          <w:marTop w:val="0"/>
          <w:marBottom w:val="0"/>
          <w:divBdr>
            <w:top w:val="none" w:sz="0" w:space="0" w:color="auto"/>
            <w:left w:val="none" w:sz="0" w:space="0" w:color="auto"/>
            <w:bottom w:val="none" w:sz="0" w:space="0" w:color="auto"/>
            <w:right w:val="none" w:sz="0" w:space="0" w:color="auto"/>
          </w:divBdr>
        </w:div>
        <w:div w:id="1202287907">
          <w:marLeft w:val="0"/>
          <w:marRight w:val="0"/>
          <w:marTop w:val="0"/>
          <w:marBottom w:val="0"/>
          <w:divBdr>
            <w:top w:val="none" w:sz="0" w:space="0" w:color="auto"/>
            <w:left w:val="none" w:sz="0" w:space="0" w:color="auto"/>
            <w:bottom w:val="none" w:sz="0" w:space="0" w:color="auto"/>
            <w:right w:val="none" w:sz="0" w:space="0" w:color="auto"/>
          </w:divBdr>
        </w:div>
        <w:div w:id="1722679561">
          <w:marLeft w:val="0"/>
          <w:marRight w:val="0"/>
          <w:marTop w:val="0"/>
          <w:marBottom w:val="0"/>
          <w:divBdr>
            <w:top w:val="none" w:sz="0" w:space="0" w:color="auto"/>
            <w:left w:val="none" w:sz="0" w:space="0" w:color="auto"/>
            <w:bottom w:val="none" w:sz="0" w:space="0" w:color="auto"/>
            <w:right w:val="none" w:sz="0" w:space="0" w:color="auto"/>
          </w:divBdr>
        </w:div>
        <w:div w:id="790250637">
          <w:marLeft w:val="0"/>
          <w:marRight w:val="0"/>
          <w:marTop w:val="0"/>
          <w:marBottom w:val="0"/>
          <w:divBdr>
            <w:top w:val="none" w:sz="0" w:space="0" w:color="auto"/>
            <w:left w:val="none" w:sz="0" w:space="0" w:color="auto"/>
            <w:bottom w:val="none" w:sz="0" w:space="0" w:color="auto"/>
            <w:right w:val="none" w:sz="0" w:space="0" w:color="auto"/>
          </w:divBdr>
        </w:div>
        <w:div w:id="1722561592">
          <w:marLeft w:val="0"/>
          <w:marRight w:val="0"/>
          <w:marTop w:val="0"/>
          <w:marBottom w:val="0"/>
          <w:divBdr>
            <w:top w:val="none" w:sz="0" w:space="0" w:color="auto"/>
            <w:left w:val="none" w:sz="0" w:space="0" w:color="auto"/>
            <w:bottom w:val="none" w:sz="0" w:space="0" w:color="auto"/>
            <w:right w:val="none" w:sz="0" w:space="0" w:color="auto"/>
          </w:divBdr>
        </w:div>
        <w:div w:id="1478720194">
          <w:marLeft w:val="0"/>
          <w:marRight w:val="0"/>
          <w:marTop w:val="0"/>
          <w:marBottom w:val="0"/>
          <w:divBdr>
            <w:top w:val="none" w:sz="0" w:space="0" w:color="auto"/>
            <w:left w:val="none" w:sz="0" w:space="0" w:color="auto"/>
            <w:bottom w:val="none" w:sz="0" w:space="0" w:color="auto"/>
            <w:right w:val="none" w:sz="0" w:space="0" w:color="auto"/>
          </w:divBdr>
        </w:div>
        <w:div w:id="208997247">
          <w:marLeft w:val="0"/>
          <w:marRight w:val="0"/>
          <w:marTop w:val="0"/>
          <w:marBottom w:val="0"/>
          <w:divBdr>
            <w:top w:val="none" w:sz="0" w:space="0" w:color="auto"/>
            <w:left w:val="none" w:sz="0" w:space="0" w:color="auto"/>
            <w:bottom w:val="none" w:sz="0" w:space="0" w:color="auto"/>
            <w:right w:val="none" w:sz="0" w:space="0" w:color="auto"/>
          </w:divBdr>
        </w:div>
        <w:div w:id="593783011">
          <w:marLeft w:val="0"/>
          <w:marRight w:val="0"/>
          <w:marTop w:val="0"/>
          <w:marBottom w:val="0"/>
          <w:divBdr>
            <w:top w:val="none" w:sz="0" w:space="0" w:color="auto"/>
            <w:left w:val="none" w:sz="0" w:space="0" w:color="auto"/>
            <w:bottom w:val="none" w:sz="0" w:space="0" w:color="auto"/>
            <w:right w:val="none" w:sz="0" w:space="0" w:color="auto"/>
          </w:divBdr>
        </w:div>
        <w:div w:id="1697195338">
          <w:marLeft w:val="0"/>
          <w:marRight w:val="0"/>
          <w:marTop w:val="0"/>
          <w:marBottom w:val="0"/>
          <w:divBdr>
            <w:top w:val="none" w:sz="0" w:space="0" w:color="auto"/>
            <w:left w:val="none" w:sz="0" w:space="0" w:color="auto"/>
            <w:bottom w:val="none" w:sz="0" w:space="0" w:color="auto"/>
            <w:right w:val="none" w:sz="0" w:space="0" w:color="auto"/>
          </w:divBdr>
        </w:div>
        <w:div w:id="526910591">
          <w:marLeft w:val="0"/>
          <w:marRight w:val="0"/>
          <w:marTop w:val="0"/>
          <w:marBottom w:val="0"/>
          <w:divBdr>
            <w:top w:val="none" w:sz="0" w:space="0" w:color="auto"/>
            <w:left w:val="none" w:sz="0" w:space="0" w:color="auto"/>
            <w:bottom w:val="none" w:sz="0" w:space="0" w:color="auto"/>
            <w:right w:val="none" w:sz="0" w:space="0" w:color="auto"/>
          </w:divBdr>
        </w:div>
        <w:div w:id="1932742379">
          <w:marLeft w:val="0"/>
          <w:marRight w:val="0"/>
          <w:marTop w:val="0"/>
          <w:marBottom w:val="0"/>
          <w:divBdr>
            <w:top w:val="none" w:sz="0" w:space="0" w:color="auto"/>
            <w:left w:val="none" w:sz="0" w:space="0" w:color="auto"/>
            <w:bottom w:val="none" w:sz="0" w:space="0" w:color="auto"/>
            <w:right w:val="none" w:sz="0" w:space="0" w:color="auto"/>
          </w:divBdr>
        </w:div>
      </w:divsChild>
    </w:div>
    <w:div w:id="904224608">
      <w:bodyDiv w:val="1"/>
      <w:marLeft w:val="0"/>
      <w:marRight w:val="0"/>
      <w:marTop w:val="0"/>
      <w:marBottom w:val="0"/>
      <w:divBdr>
        <w:top w:val="none" w:sz="0" w:space="0" w:color="auto"/>
        <w:left w:val="none" w:sz="0" w:space="0" w:color="auto"/>
        <w:bottom w:val="none" w:sz="0" w:space="0" w:color="auto"/>
        <w:right w:val="none" w:sz="0" w:space="0" w:color="auto"/>
      </w:divBdr>
    </w:div>
    <w:div w:id="906690770">
      <w:bodyDiv w:val="1"/>
      <w:marLeft w:val="0"/>
      <w:marRight w:val="0"/>
      <w:marTop w:val="0"/>
      <w:marBottom w:val="0"/>
      <w:divBdr>
        <w:top w:val="none" w:sz="0" w:space="0" w:color="auto"/>
        <w:left w:val="none" w:sz="0" w:space="0" w:color="auto"/>
        <w:bottom w:val="none" w:sz="0" w:space="0" w:color="auto"/>
        <w:right w:val="none" w:sz="0" w:space="0" w:color="auto"/>
      </w:divBdr>
    </w:div>
    <w:div w:id="906764085">
      <w:bodyDiv w:val="1"/>
      <w:marLeft w:val="0"/>
      <w:marRight w:val="0"/>
      <w:marTop w:val="0"/>
      <w:marBottom w:val="0"/>
      <w:divBdr>
        <w:top w:val="none" w:sz="0" w:space="0" w:color="auto"/>
        <w:left w:val="none" w:sz="0" w:space="0" w:color="auto"/>
        <w:bottom w:val="none" w:sz="0" w:space="0" w:color="auto"/>
        <w:right w:val="none" w:sz="0" w:space="0" w:color="auto"/>
      </w:divBdr>
    </w:div>
    <w:div w:id="922450697">
      <w:bodyDiv w:val="1"/>
      <w:marLeft w:val="0"/>
      <w:marRight w:val="0"/>
      <w:marTop w:val="0"/>
      <w:marBottom w:val="0"/>
      <w:divBdr>
        <w:top w:val="none" w:sz="0" w:space="0" w:color="auto"/>
        <w:left w:val="none" w:sz="0" w:space="0" w:color="auto"/>
        <w:bottom w:val="none" w:sz="0" w:space="0" w:color="auto"/>
        <w:right w:val="none" w:sz="0" w:space="0" w:color="auto"/>
      </w:divBdr>
    </w:div>
    <w:div w:id="1120415846">
      <w:bodyDiv w:val="1"/>
      <w:marLeft w:val="0"/>
      <w:marRight w:val="0"/>
      <w:marTop w:val="0"/>
      <w:marBottom w:val="0"/>
      <w:divBdr>
        <w:top w:val="none" w:sz="0" w:space="0" w:color="auto"/>
        <w:left w:val="none" w:sz="0" w:space="0" w:color="auto"/>
        <w:bottom w:val="none" w:sz="0" w:space="0" w:color="auto"/>
        <w:right w:val="none" w:sz="0" w:space="0" w:color="auto"/>
      </w:divBdr>
    </w:div>
    <w:div w:id="1124890525">
      <w:bodyDiv w:val="1"/>
      <w:marLeft w:val="0"/>
      <w:marRight w:val="0"/>
      <w:marTop w:val="0"/>
      <w:marBottom w:val="0"/>
      <w:divBdr>
        <w:top w:val="none" w:sz="0" w:space="0" w:color="auto"/>
        <w:left w:val="none" w:sz="0" w:space="0" w:color="auto"/>
        <w:bottom w:val="none" w:sz="0" w:space="0" w:color="auto"/>
        <w:right w:val="none" w:sz="0" w:space="0" w:color="auto"/>
      </w:divBdr>
    </w:div>
    <w:div w:id="1168247458">
      <w:bodyDiv w:val="1"/>
      <w:marLeft w:val="0"/>
      <w:marRight w:val="0"/>
      <w:marTop w:val="0"/>
      <w:marBottom w:val="0"/>
      <w:divBdr>
        <w:top w:val="none" w:sz="0" w:space="0" w:color="auto"/>
        <w:left w:val="none" w:sz="0" w:space="0" w:color="auto"/>
        <w:bottom w:val="none" w:sz="0" w:space="0" w:color="auto"/>
        <w:right w:val="none" w:sz="0" w:space="0" w:color="auto"/>
      </w:divBdr>
    </w:div>
    <w:div w:id="1181776885">
      <w:bodyDiv w:val="1"/>
      <w:marLeft w:val="0"/>
      <w:marRight w:val="0"/>
      <w:marTop w:val="0"/>
      <w:marBottom w:val="0"/>
      <w:divBdr>
        <w:top w:val="none" w:sz="0" w:space="0" w:color="auto"/>
        <w:left w:val="none" w:sz="0" w:space="0" w:color="auto"/>
        <w:bottom w:val="none" w:sz="0" w:space="0" w:color="auto"/>
        <w:right w:val="none" w:sz="0" w:space="0" w:color="auto"/>
      </w:divBdr>
    </w:div>
    <w:div w:id="1187140119">
      <w:bodyDiv w:val="1"/>
      <w:marLeft w:val="0"/>
      <w:marRight w:val="0"/>
      <w:marTop w:val="0"/>
      <w:marBottom w:val="0"/>
      <w:divBdr>
        <w:top w:val="none" w:sz="0" w:space="0" w:color="auto"/>
        <w:left w:val="none" w:sz="0" w:space="0" w:color="auto"/>
        <w:bottom w:val="none" w:sz="0" w:space="0" w:color="auto"/>
        <w:right w:val="none" w:sz="0" w:space="0" w:color="auto"/>
      </w:divBdr>
    </w:div>
    <w:div w:id="1197767451">
      <w:bodyDiv w:val="1"/>
      <w:marLeft w:val="0"/>
      <w:marRight w:val="0"/>
      <w:marTop w:val="0"/>
      <w:marBottom w:val="0"/>
      <w:divBdr>
        <w:top w:val="none" w:sz="0" w:space="0" w:color="auto"/>
        <w:left w:val="none" w:sz="0" w:space="0" w:color="auto"/>
        <w:bottom w:val="none" w:sz="0" w:space="0" w:color="auto"/>
        <w:right w:val="none" w:sz="0" w:space="0" w:color="auto"/>
      </w:divBdr>
    </w:div>
    <w:div w:id="1215510886">
      <w:bodyDiv w:val="1"/>
      <w:marLeft w:val="0"/>
      <w:marRight w:val="0"/>
      <w:marTop w:val="0"/>
      <w:marBottom w:val="0"/>
      <w:divBdr>
        <w:top w:val="none" w:sz="0" w:space="0" w:color="auto"/>
        <w:left w:val="none" w:sz="0" w:space="0" w:color="auto"/>
        <w:bottom w:val="none" w:sz="0" w:space="0" w:color="auto"/>
        <w:right w:val="none" w:sz="0" w:space="0" w:color="auto"/>
      </w:divBdr>
    </w:div>
    <w:div w:id="1232159348">
      <w:bodyDiv w:val="1"/>
      <w:marLeft w:val="0"/>
      <w:marRight w:val="0"/>
      <w:marTop w:val="0"/>
      <w:marBottom w:val="0"/>
      <w:divBdr>
        <w:top w:val="none" w:sz="0" w:space="0" w:color="auto"/>
        <w:left w:val="none" w:sz="0" w:space="0" w:color="auto"/>
        <w:bottom w:val="none" w:sz="0" w:space="0" w:color="auto"/>
        <w:right w:val="none" w:sz="0" w:space="0" w:color="auto"/>
      </w:divBdr>
    </w:div>
    <w:div w:id="1236473758">
      <w:bodyDiv w:val="1"/>
      <w:marLeft w:val="0"/>
      <w:marRight w:val="0"/>
      <w:marTop w:val="0"/>
      <w:marBottom w:val="0"/>
      <w:divBdr>
        <w:top w:val="none" w:sz="0" w:space="0" w:color="auto"/>
        <w:left w:val="none" w:sz="0" w:space="0" w:color="auto"/>
        <w:bottom w:val="none" w:sz="0" w:space="0" w:color="auto"/>
        <w:right w:val="none" w:sz="0" w:space="0" w:color="auto"/>
      </w:divBdr>
      <w:divsChild>
        <w:div w:id="346639701">
          <w:marLeft w:val="0"/>
          <w:marRight w:val="0"/>
          <w:marTop w:val="0"/>
          <w:marBottom w:val="0"/>
          <w:divBdr>
            <w:top w:val="none" w:sz="0" w:space="0" w:color="auto"/>
            <w:left w:val="none" w:sz="0" w:space="0" w:color="auto"/>
            <w:bottom w:val="none" w:sz="0" w:space="0" w:color="auto"/>
            <w:right w:val="none" w:sz="0" w:space="0" w:color="auto"/>
          </w:divBdr>
        </w:div>
        <w:div w:id="1347442604">
          <w:marLeft w:val="0"/>
          <w:marRight w:val="0"/>
          <w:marTop w:val="0"/>
          <w:marBottom w:val="0"/>
          <w:divBdr>
            <w:top w:val="none" w:sz="0" w:space="0" w:color="auto"/>
            <w:left w:val="none" w:sz="0" w:space="0" w:color="auto"/>
            <w:bottom w:val="none" w:sz="0" w:space="0" w:color="auto"/>
            <w:right w:val="none" w:sz="0" w:space="0" w:color="auto"/>
          </w:divBdr>
        </w:div>
        <w:div w:id="2044549404">
          <w:marLeft w:val="0"/>
          <w:marRight w:val="0"/>
          <w:marTop w:val="0"/>
          <w:marBottom w:val="0"/>
          <w:divBdr>
            <w:top w:val="none" w:sz="0" w:space="0" w:color="auto"/>
            <w:left w:val="none" w:sz="0" w:space="0" w:color="auto"/>
            <w:bottom w:val="none" w:sz="0" w:space="0" w:color="auto"/>
            <w:right w:val="none" w:sz="0" w:space="0" w:color="auto"/>
          </w:divBdr>
        </w:div>
        <w:div w:id="425688903">
          <w:marLeft w:val="0"/>
          <w:marRight w:val="0"/>
          <w:marTop w:val="0"/>
          <w:marBottom w:val="0"/>
          <w:divBdr>
            <w:top w:val="none" w:sz="0" w:space="0" w:color="auto"/>
            <w:left w:val="none" w:sz="0" w:space="0" w:color="auto"/>
            <w:bottom w:val="none" w:sz="0" w:space="0" w:color="auto"/>
            <w:right w:val="none" w:sz="0" w:space="0" w:color="auto"/>
          </w:divBdr>
        </w:div>
        <w:div w:id="57943728">
          <w:marLeft w:val="0"/>
          <w:marRight w:val="0"/>
          <w:marTop w:val="0"/>
          <w:marBottom w:val="0"/>
          <w:divBdr>
            <w:top w:val="none" w:sz="0" w:space="0" w:color="auto"/>
            <w:left w:val="none" w:sz="0" w:space="0" w:color="auto"/>
            <w:bottom w:val="none" w:sz="0" w:space="0" w:color="auto"/>
            <w:right w:val="none" w:sz="0" w:space="0" w:color="auto"/>
          </w:divBdr>
        </w:div>
        <w:div w:id="1267810607">
          <w:marLeft w:val="0"/>
          <w:marRight w:val="0"/>
          <w:marTop w:val="0"/>
          <w:marBottom w:val="0"/>
          <w:divBdr>
            <w:top w:val="none" w:sz="0" w:space="0" w:color="auto"/>
            <w:left w:val="none" w:sz="0" w:space="0" w:color="auto"/>
            <w:bottom w:val="none" w:sz="0" w:space="0" w:color="auto"/>
            <w:right w:val="none" w:sz="0" w:space="0" w:color="auto"/>
          </w:divBdr>
        </w:div>
        <w:div w:id="1338969187">
          <w:marLeft w:val="0"/>
          <w:marRight w:val="0"/>
          <w:marTop w:val="0"/>
          <w:marBottom w:val="0"/>
          <w:divBdr>
            <w:top w:val="none" w:sz="0" w:space="0" w:color="auto"/>
            <w:left w:val="none" w:sz="0" w:space="0" w:color="auto"/>
            <w:bottom w:val="none" w:sz="0" w:space="0" w:color="auto"/>
            <w:right w:val="none" w:sz="0" w:space="0" w:color="auto"/>
          </w:divBdr>
        </w:div>
        <w:div w:id="880484576">
          <w:marLeft w:val="0"/>
          <w:marRight w:val="0"/>
          <w:marTop w:val="0"/>
          <w:marBottom w:val="0"/>
          <w:divBdr>
            <w:top w:val="none" w:sz="0" w:space="0" w:color="auto"/>
            <w:left w:val="none" w:sz="0" w:space="0" w:color="auto"/>
            <w:bottom w:val="none" w:sz="0" w:space="0" w:color="auto"/>
            <w:right w:val="none" w:sz="0" w:space="0" w:color="auto"/>
          </w:divBdr>
        </w:div>
        <w:div w:id="1065685325">
          <w:marLeft w:val="0"/>
          <w:marRight w:val="0"/>
          <w:marTop w:val="0"/>
          <w:marBottom w:val="0"/>
          <w:divBdr>
            <w:top w:val="none" w:sz="0" w:space="0" w:color="auto"/>
            <w:left w:val="none" w:sz="0" w:space="0" w:color="auto"/>
            <w:bottom w:val="none" w:sz="0" w:space="0" w:color="auto"/>
            <w:right w:val="none" w:sz="0" w:space="0" w:color="auto"/>
          </w:divBdr>
        </w:div>
        <w:div w:id="1224679272">
          <w:marLeft w:val="0"/>
          <w:marRight w:val="0"/>
          <w:marTop w:val="0"/>
          <w:marBottom w:val="0"/>
          <w:divBdr>
            <w:top w:val="none" w:sz="0" w:space="0" w:color="auto"/>
            <w:left w:val="none" w:sz="0" w:space="0" w:color="auto"/>
            <w:bottom w:val="none" w:sz="0" w:space="0" w:color="auto"/>
            <w:right w:val="none" w:sz="0" w:space="0" w:color="auto"/>
          </w:divBdr>
        </w:div>
        <w:div w:id="1664043335">
          <w:marLeft w:val="0"/>
          <w:marRight w:val="0"/>
          <w:marTop w:val="0"/>
          <w:marBottom w:val="0"/>
          <w:divBdr>
            <w:top w:val="none" w:sz="0" w:space="0" w:color="auto"/>
            <w:left w:val="none" w:sz="0" w:space="0" w:color="auto"/>
            <w:bottom w:val="none" w:sz="0" w:space="0" w:color="auto"/>
            <w:right w:val="none" w:sz="0" w:space="0" w:color="auto"/>
          </w:divBdr>
        </w:div>
        <w:div w:id="1423598604">
          <w:marLeft w:val="0"/>
          <w:marRight w:val="0"/>
          <w:marTop w:val="0"/>
          <w:marBottom w:val="0"/>
          <w:divBdr>
            <w:top w:val="none" w:sz="0" w:space="0" w:color="auto"/>
            <w:left w:val="none" w:sz="0" w:space="0" w:color="auto"/>
            <w:bottom w:val="none" w:sz="0" w:space="0" w:color="auto"/>
            <w:right w:val="none" w:sz="0" w:space="0" w:color="auto"/>
          </w:divBdr>
        </w:div>
        <w:div w:id="895973603">
          <w:marLeft w:val="0"/>
          <w:marRight w:val="0"/>
          <w:marTop w:val="0"/>
          <w:marBottom w:val="0"/>
          <w:divBdr>
            <w:top w:val="none" w:sz="0" w:space="0" w:color="auto"/>
            <w:left w:val="none" w:sz="0" w:space="0" w:color="auto"/>
            <w:bottom w:val="none" w:sz="0" w:space="0" w:color="auto"/>
            <w:right w:val="none" w:sz="0" w:space="0" w:color="auto"/>
          </w:divBdr>
        </w:div>
        <w:div w:id="1108506411">
          <w:marLeft w:val="0"/>
          <w:marRight w:val="0"/>
          <w:marTop w:val="0"/>
          <w:marBottom w:val="0"/>
          <w:divBdr>
            <w:top w:val="none" w:sz="0" w:space="0" w:color="auto"/>
            <w:left w:val="none" w:sz="0" w:space="0" w:color="auto"/>
            <w:bottom w:val="none" w:sz="0" w:space="0" w:color="auto"/>
            <w:right w:val="none" w:sz="0" w:space="0" w:color="auto"/>
          </w:divBdr>
        </w:div>
        <w:div w:id="1657958700">
          <w:marLeft w:val="0"/>
          <w:marRight w:val="0"/>
          <w:marTop w:val="0"/>
          <w:marBottom w:val="0"/>
          <w:divBdr>
            <w:top w:val="none" w:sz="0" w:space="0" w:color="auto"/>
            <w:left w:val="none" w:sz="0" w:space="0" w:color="auto"/>
            <w:bottom w:val="none" w:sz="0" w:space="0" w:color="auto"/>
            <w:right w:val="none" w:sz="0" w:space="0" w:color="auto"/>
          </w:divBdr>
        </w:div>
        <w:div w:id="1408383015">
          <w:marLeft w:val="0"/>
          <w:marRight w:val="0"/>
          <w:marTop w:val="0"/>
          <w:marBottom w:val="0"/>
          <w:divBdr>
            <w:top w:val="none" w:sz="0" w:space="0" w:color="auto"/>
            <w:left w:val="none" w:sz="0" w:space="0" w:color="auto"/>
            <w:bottom w:val="none" w:sz="0" w:space="0" w:color="auto"/>
            <w:right w:val="none" w:sz="0" w:space="0" w:color="auto"/>
          </w:divBdr>
        </w:div>
        <w:div w:id="1314944460">
          <w:marLeft w:val="0"/>
          <w:marRight w:val="0"/>
          <w:marTop w:val="0"/>
          <w:marBottom w:val="0"/>
          <w:divBdr>
            <w:top w:val="none" w:sz="0" w:space="0" w:color="auto"/>
            <w:left w:val="none" w:sz="0" w:space="0" w:color="auto"/>
            <w:bottom w:val="none" w:sz="0" w:space="0" w:color="auto"/>
            <w:right w:val="none" w:sz="0" w:space="0" w:color="auto"/>
          </w:divBdr>
        </w:div>
        <w:div w:id="845022253">
          <w:marLeft w:val="0"/>
          <w:marRight w:val="0"/>
          <w:marTop w:val="0"/>
          <w:marBottom w:val="0"/>
          <w:divBdr>
            <w:top w:val="none" w:sz="0" w:space="0" w:color="auto"/>
            <w:left w:val="none" w:sz="0" w:space="0" w:color="auto"/>
            <w:bottom w:val="none" w:sz="0" w:space="0" w:color="auto"/>
            <w:right w:val="none" w:sz="0" w:space="0" w:color="auto"/>
          </w:divBdr>
        </w:div>
        <w:div w:id="814178751">
          <w:marLeft w:val="0"/>
          <w:marRight w:val="0"/>
          <w:marTop w:val="0"/>
          <w:marBottom w:val="0"/>
          <w:divBdr>
            <w:top w:val="none" w:sz="0" w:space="0" w:color="auto"/>
            <w:left w:val="none" w:sz="0" w:space="0" w:color="auto"/>
            <w:bottom w:val="none" w:sz="0" w:space="0" w:color="auto"/>
            <w:right w:val="none" w:sz="0" w:space="0" w:color="auto"/>
          </w:divBdr>
        </w:div>
        <w:div w:id="65543159">
          <w:marLeft w:val="0"/>
          <w:marRight w:val="0"/>
          <w:marTop w:val="0"/>
          <w:marBottom w:val="0"/>
          <w:divBdr>
            <w:top w:val="none" w:sz="0" w:space="0" w:color="auto"/>
            <w:left w:val="none" w:sz="0" w:space="0" w:color="auto"/>
            <w:bottom w:val="none" w:sz="0" w:space="0" w:color="auto"/>
            <w:right w:val="none" w:sz="0" w:space="0" w:color="auto"/>
          </w:divBdr>
        </w:div>
        <w:div w:id="1467046400">
          <w:marLeft w:val="0"/>
          <w:marRight w:val="0"/>
          <w:marTop w:val="0"/>
          <w:marBottom w:val="0"/>
          <w:divBdr>
            <w:top w:val="none" w:sz="0" w:space="0" w:color="auto"/>
            <w:left w:val="none" w:sz="0" w:space="0" w:color="auto"/>
            <w:bottom w:val="none" w:sz="0" w:space="0" w:color="auto"/>
            <w:right w:val="none" w:sz="0" w:space="0" w:color="auto"/>
          </w:divBdr>
        </w:div>
        <w:div w:id="1180123667">
          <w:marLeft w:val="0"/>
          <w:marRight w:val="0"/>
          <w:marTop w:val="0"/>
          <w:marBottom w:val="0"/>
          <w:divBdr>
            <w:top w:val="none" w:sz="0" w:space="0" w:color="auto"/>
            <w:left w:val="none" w:sz="0" w:space="0" w:color="auto"/>
            <w:bottom w:val="none" w:sz="0" w:space="0" w:color="auto"/>
            <w:right w:val="none" w:sz="0" w:space="0" w:color="auto"/>
          </w:divBdr>
        </w:div>
        <w:div w:id="1918318401">
          <w:marLeft w:val="0"/>
          <w:marRight w:val="0"/>
          <w:marTop w:val="0"/>
          <w:marBottom w:val="0"/>
          <w:divBdr>
            <w:top w:val="none" w:sz="0" w:space="0" w:color="auto"/>
            <w:left w:val="none" w:sz="0" w:space="0" w:color="auto"/>
            <w:bottom w:val="none" w:sz="0" w:space="0" w:color="auto"/>
            <w:right w:val="none" w:sz="0" w:space="0" w:color="auto"/>
          </w:divBdr>
        </w:div>
        <w:div w:id="1158156029">
          <w:marLeft w:val="0"/>
          <w:marRight w:val="0"/>
          <w:marTop w:val="0"/>
          <w:marBottom w:val="0"/>
          <w:divBdr>
            <w:top w:val="none" w:sz="0" w:space="0" w:color="auto"/>
            <w:left w:val="none" w:sz="0" w:space="0" w:color="auto"/>
            <w:bottom w:val="none" w:sz="0" w:space="0" w:color="auto"/>
            <w:right w:val="none" w:sz="0" w:space="0" w:color="auto"/>
          </w:divBdr>
        </w:div>
        <w:div w:id="310984984">
          <w:marLeft w:val="0"/>
          <w:marRight w:val="0"/>
          <w:marTop w:val="0"/>
          <w:marBottom w:val="0"/>
          <w:divBdr>
            <w:top w:val="none" w:sz="0" w:space="0" w:color="auto"/>
            <w:left w:val="none" w:sz="0" w:space="0" w:color="auto"/>
            <w:bottom w:val="none" w:sz="0" w:space="0" w:color="auto"/>
            <w:right w:val="none" w:sz="0" w:space="0" w:color="auto"/>
          </w:divBdr>
        </w:div>
        <w:div w:id="1466123901">
          <w:marLeft w:val="0"/>
          <w:marRight w:val="0"/>
          <w:marTop w:val="0"/>
          <w:marBottom w:val="0"/>
          <w:divBdr>
            <w:top w:val="none" w:sz="0" w:space="0" w:color="auto"/>
            <w:left w:val="none" w:sz="0" w:space="0" w:color="auto"/>
            <w:bottom w:val="none" w:sz="0" w:space="0" w:color="auto"/>
            <w:right w:val="none" w:sz="0" w:space="0" w:color="auto"/>
          </w:divBdr>
        </w:div>
        <w:div w:id="1403410256">
          <w:marLeft w:val="0"/>
          <w:marRight w:val="0"/>
          <w:marTop w:val="0"/>
          <w:marBottom w:val="0"/>
          <w:divBdr>
            <w:top w:val="none" w:sz="0" w:space="0" w:color="auto"/>
            <w:left w:val="none" w:sz="0" w:space="0" w:color="auto"/>
            <w:bottom w:val="none" w:sz="0" w:space="0" w:color="auto"/>
            <w:right w:val="none" w:sz="0" w:space="0" w:color="auto"/>
          </w:divBdr>
        </w:div>
        <w:div w:id="1218201664">
          <w:marLeft w:val="0"/>
          <w:marRight w:val="0"/>
          <w:marTop w:val="0"/>
          <w:marBottom w:val="0"/>
          <w:divBdr>
            <w:top w:val="none" w:sz="0" w:space="0" w:color="auto"/>
            <w:left w:val="none" w:sz="0" w:space="0" w:color="auto"/>
            <w:bottom w:val="none" w:sz="0" w:space="0" w:color="auto"/>
            <w:right w:val="none" w:sz="0" w:space="0" w:color="auto"/>
          </w:divBdr>
        </w:div>
      </w:divsChild>
    </w:div>
    <w:div w:id="1241911094">
      <w:bodyDiv w:val="1"/>
      <w:marLeft w:val="0"/>
      <w:marRight w:val="0"/>
      <w:marTop w:val="0"/>
      <w:marBottom w:val="0"/>
      <w:divBdr>
        <w:top w:val="none" w:sz="0" w:space="0" w:color="auto"/>
        <w:left w:val="none" w:sz="0" w:space="0" w:color="auto"/>
        <w:bottom w:val="none" w:sz="0" w:space="0" w:color="auto"/>
        <w:right w:val="none" w:sz="0" w:space="0" w:color="auto"/>
      </w:divBdr>
      <w:divsChild>
        <w:div w:id="507448868">
          <w:marLeft w:val="0"/>
          <w:marRight w:val="0"/>
          <w:marTop w:val="0"/>
          <w:marBottom w:val="0"/>
          <w:divBdr>
            <w:top w:val="none" w:sz="0" w:space="0" w:color="auto"/>
            <w:left w:val="none" w:sz="0" w:space="0" w:color="auto"/>
            <w:bottom w:val="none" w:sz="0" w:space="0" w:color="auto"/>
            <w:right w:val="none" w:sz="0" w:space="0" w:color="auto"/>
          </w:divBdr>
        </w:div>
        <w:div w:id="2043942470">
          <w:marLeft w:val="0"/>
          <w:marRight w:val="0"/>
          <w:marTop w:val="0"/>
          <w:marBottom w:val="0"/>
          <w:divBdr>
            <w:top w:val="none" w:sz="0" w:space="0" w:color="auto"/>
            <w:left w:val="none" w:sz="0" w:space="0" w:color="auto"/>
            <w:bottom w:val="none" w:sz="0" w:space="0" w:color="auto"/>
            <w:right w:val="none" w:sz="0" w:space="0" w:color="auto"/>
          </w:divBdr>
        </w:div>
        <w:div w:id="145631054">
          <w:marLeft w:val="0"/>
          <w:marRight w:val="0"/>
          <w:marTop w:val="0"/>
          <w:marBottom w:val="0"/>
          <w:divBdr>
            <w:top w:val="none" w:sz="0" w:space="0" w:color="auto"/>
            <w:left w:val="none" w:sz="0" w:space="0" w:color="auto"/>
            <w:bottom w:val="none" w:sz="0" w:space="0" w:color="auto"/>
            <w:right w:val="none" w:sz="0" w:space="0" w:color="auto"/>
          </w:divBdr>
        </w:div>
        <w:div w:id="1688557990">
          <w:marLeft w:val="0"/>
          <w:marRight w:val="0"/>
          <w:marTop w:val="0"/>
          <w:marBottom w:val="0"/>
          <w:divBdr>
            <w:top w:val="none" w:sz="0" w:space="0" w:color="auto"/>
            <w:left w:val="none" w:sz="0" w:space="0" w:color="auto"/>
            <w:bottom w:val="none" w:sz="0" w:space="0" w:color="auto"/>
            <w:right w:val="none" w:sz="0" w:space="0" w:color="auto"/>
          </w:divBdr>
        </w:div>
        <w:div w:id="1601985469">
          <w:marLeft w:val="0"/>
          <w:marRight w:val="0"/>
          <w:marTop w:val="0"/>
          <w:marBottom w:val="0"/>
          <w:divBdr>
            <w:top w:val="none" w:sz="0" w:space="0" w:color="auto"/>
            <w:left w:val="none" w:sz="0" w:space="0" w:color="auto"/>
            <w:bottom w:val="none" w:sz="0" w:space="0" w:color="auto"/>
            <w:right w:val="none" w:sz="0" w:space="0" w:color="auto"/>
          </w:divBdr>
        </w:div>
        <w:div w:id="108595569">
          <w:marLeft w:val="0"/>
          <w:marRight w:val="0"/>
          <w:marTop w:val="0"/>
          <w:marBottom w:val="0"/>
          <w:divBdr>
            <w:top w:val="none" w:sz="0" w:space="0" w:color="auto"/>
            <w:left w:val="none" w:sz="0" w:space="0" w:color="auto"/>
            <w:bottom w:val="none" w:sz="0" w:space="0" w:color="auto"/>
            <w:right w:val="none" w:sz="0" w:space="0" w:color="auto"/>
          </w:divBdr>
        </w:div>
        <w:div w:id="1315063954">
          <w:marLeft w:val="0"/>
          <w:marRight w:val="0"/>
          <w:marTop w:val="0"/>
          <w:marBottom w:val="0"/>
          <w:divBdr>
            <w:top w:val="none" w:sz="0" w:space="0" w:color="auto"/>
            <w:left w:val="none" w:sz="0" w:space="0" w:color="auto"/>
            <w:bottom w:val="none" w:sz="0" w:space="0" w:color="auto"/>
            <w:right w:val="none" w:sz="0" w:space="0" w:color="auto"/>
          </w:divBdr>
        </w:div>
        <w:div w:id="702053516">
          <w:marLeft w:val="0"/>
          <w:marRight w:val="0"/>
          <w:marTop w:val="0"/>
          <w:marBottom w:val="0"/>
          <w:divBdr>
            <w:top w:val="none" w:sz="0" w:space="0" w:color="auto"/>
            <w:left w:val="none" w:sz="0" w:space="0" w:color="auto"/>
            <w:bottom w:val="none" w:sz="0" w:space="0" w:color="auto"/>
            <w:right w:val="none" w:sz="0" w:space="0" w:color="auto"/>
          </w:divBdr>
        </w:div>
        <w:div w:id="807481772">
          <w:marLeft w:val="0"/>
          <w:marRight w:val="0"/>
          <w:marTop w:val="0"/>
          <w:marBottom w:val="0"/>
          <w:divBdr>
            <w:top w:val="none" w:sz="0" w:space="0" w:color="auto"/>
            <w:left w:val="none" w:sz="0" w:space="0" w:color="auto"/>
            <w:bottom w:val="none" w:sz="0" w:space="0" w:color="auto"/>
            <w:right w:val="none" w:sz="0" w:space="0" w:color="auto"/>
          </w:divBdr>
        </w:div>
        <w:div w:id="698505970">
          <w:marLeft w:val="0"/>
          <w:marRight w:val="0"/>
          <w:marTop w:val="0"/>
          <w:marBottom w:val="0"/>
          <w:divBdr>
            <w:top w:val="none" w:sz="0" w:space="0" w:color="auto"/>
            <w:left w:val="none" w:sz="0" w:space="0" w:color="auto"/>
            <w:bottom w:val="none" w:sz="0" w:space="0" w:color="auto"/>
            <w:right w:val="none" w:sz="0" w:space="0" w:color="auto"/>
          </w:divBdr>
        </w:div>
        <w:div w:id="419911225">
          <w:marLeft w:val="0"/>
          <w:marRight w:val="0"/>
          <w:marTop w:val="0"/>
          <w:marBottom w:val="0"/>
          <w:divBdr>
            <w:top w:val="none" w:sz="0" w:space="0" w:color="auto"/>
            <w:left w:val="none" w:sz="0" w:space="0" w:color="auto"/>
            <w:bottom w:val="none" w:sz="0" w:space="0" w:color="auto"/>
            <w:right w:val="none" w:sz="0" w:space="0" w:color="auto"/>
          </w:divBdr>
        </w:div>
        <w:div w:id="1757555344">
          <w:marLeft w:val="0"/>
          <w:marRight w:val="0"/>
          <w:marTop w:val="0"/>
          <w:marBottom w:val="0"/>
          <w:divBdr>
            <w:top w:val="none" w:sz="0" w:space="0" w:color="auto"/>
            <w:left w:val="none" w:sz="0" w:space="0" w:color="auto"/>
            <w:bottom w:val="none" w:sz="0" w:space="0" w:color="auto"/>
            <w:right w:val="none" w:sz="0" w:space="0" w:color="auto"/>
          </w:divBdr>
        </w:div>
        <w:div w:id="1791046215">
          <w:marLeft w:val="0"/>
          <w:marRight w:val="0"/>
          <w:marTop w:val="0"/>
          <w:marBottom w:val="0"/>
          <w:divBdr>
            <w:top w:val="none" w:sz="0" w:space="0" w:color="auto"/>
            <w:left w:val="none" w:sz="0" w:space="0" w:color="auto"/>
            <w:bottom w:val="none" w:sz="0" w:space="0" w:color="auto"/>
            <w:right w:val="none" w:sz="0" w:space="0" w:color="auto"/>
          </w:divBdr>
        </w:div>
        <w:div w:id="1612324863">
          <w:marLeft w:val="0"/>
          <w:marRight w:val="0"/>
          <w:marTop w:val="0"/>
          <w:marBottom w:val="0"/>
          <w:divBdr>
            <w:top w:val="none" w:sz="0" w:space="0" w:color="auto"/>
            <w:left w:val="none" w:sz="0" w:space="0" w:color="auto"/>
            <w:bottom w:val="none" w:sz="0" w:space="0" w:color="auto"/>
            <w:right w:val="none" w:sz="0" w:space="0" w:color="auto"/>
          </w:divBdr>
        </w:div>
        <w:div w:id="288168252">
          <w:marLeft w:val="0"/>
          <w:marRight w:val="0"/>
          <w:marTop w:val="0"/>
          <w:marBottom w:val="0"/>
          <w:divBdr>
            <w:top w:val="none" w:sz="0" w:space="0" w:color="auto"/>
            <w:left w:val="none" w:sz="0" w:space="0" w:color="auto"/>
            <w:bottom w:val="none" w:sz="0" w:space="0" w:color="auto"/>
            <w:right w:val="none" w:sz="0" w:space="0" w:color="auto"/>
          </w:divBdr>
        </w:div>
        <w:div w:id="486170454">
          <w:marLeft w:val="0"/>
          <w:marRight w:val="0"/>
          <w:marTop w:val="0"/>
          <w:marBottom w:val="0"/>
          <w:divBdr>
            <w:top w:val="none" w:sz="0" w:space="0" w:color="auto"/>
            <w:left w:val="none" w:sz="0" w:space="0" w:color="auto"/>
            <w:bottom w:val="none" w:sz="0" w:space="0" w:color="auto"/>
            <w:right w:val="none" w:sz="0" w:space="0" w:color="auto"/>
          </w:divBdr>
        </w:div>
        <w:div w:id="379481801">
          <w:marLeft w:val="0"/>
          <w:marRight w:val="0"/>
          <w:marTop w:val="0"/>
          <w:marBottom w:val="0"/>
          <w:divBdr>
            <w:top w:val="none" w:sz="0" w:space="0" w:color="auto"/>
            <w:left w:val="none" w:sz="0" w:space="0" w:color="auto"/>
            <w:bottom w:val="none" w:sz="0" w:space="0" w:color="auto"/>
            <w:right w:val="none" w:sz="0" w:space="0" w:color="auto"/>
          </w:divBdr>
        </w:div>
        <w:div w:id="944583009">
          <w:marLeft w:val="0"/>
          <w:marRight w:val="0"/>
          <w:marTop w:val="0"/>
          <w:marBottom w:val="0"/>
          <w:divBdr>
            <w:top w:val="none" w:sz="0" w:space="0" w:color="auto"/>
            <w:left w:val="none" w:sz="0" w:space="0" w:color="auto"/>
            <w:bottom w:val="none" w:sz="0" w:space="0" w:color="auto"/>
            <w:right w:val="none" w:sz="0" w:space="0" w:color="auto"/>
          </w:divBdr>
        </w:div>
        <w:div w:id="1875001459">
          <w:marLeft w:val="0"/>
          <w:marRight w:val="0"/>
          <w:marTop w:val="0"/>
          <w:marBottom w:val="0"/>
          <w:divBdr>
            <w:top w:val="none" w:sz="0" w:space="0" w:color="auto"/>
            <w:left w:val="none" w:sz="0" w:space="0" w:color="auto"/>
            <w:bottom w:val="none" w:sz="0" w:space="0" w:color="auto"/>
            <w:right w:val="none" w:sz="0" w:space="0" w:color="auto"/>
          </w:divBdr>
        </w:div>
        <w:div w:id="673920775">
          <w:marLeft w:val="0"/>
          <w:marRight w:val="0"/>
          <w:marTop w:val="0"/>
          <w:marBottom w:val="0"/>
          <w:divBdr>
            <w:top w:val="none" w:sz="0" w:space="0" w:color="auto"/>
            <w:left w:val="none" w:sz="0" w:space="0" w:color="auto"/>
            <w:bottom w:val="none" w:sz="0" w:space="0" w:color="auto"/>
            <w:right w:val="none" w:sz="0" w:space="0" w:color="auto"/>
          </w:divBdr>
        </w:div>
        <w:div w:id="660157730">
          <w:marLeft w:val="0"/>
          <w:marRight w:val="0"/>
          <w:marTop w:val="0"/>
          <w:marBottom w:val="0"/>
          <w:divBdr>
            <w:top w:val="none" w:sz="0" w:space="0" w:color="auto"/>
            <w:left w:val="none" w:sz="0" w:space="0" w:color="auto"/>
            <w:bottom w:val="none" w:sz="0" w:space="0" w:color="auto"/>
            <w:right w:val="none" w:sz="0" w:space="0" w:color="auto"/>
          </w:divBdr>
        </w:div>
        <w:div w:id="1607342585">
          <w:marLeft w:val="0"/>
          <w:marRight w:val="0"/>
          <w:marTop w:val="0"/>
          <w:marBottom w:val="0"/>
          <w:divBdr>
            <w:top w:val="none" w:sz="0" w:space="0" w:color="auto"/>
            <w:left w:val="none" w:sz="0" w:space="0" w:color="auto"/>
            <w:bottom w:val="none" w:sz="0" w:space="0" w:color="auto"/>
            <w:right w:val="none" w:sz="0" w:space="0" w:color="auto"/>
          </w:divBdr>
        </w:div>
        <w:div w:id="1980645389">
          <w:marLeft w:val="0"/>
          <w:marRight w:val="0"/>
          <w:marTop w:val="0"/>
          <w:marBottom w:val="0"/>
          <w:divBdr>
            <w:top w:val="none" w:sz="0" w:space="0" w:color="auto"/>
            <w:left w:val="none" w:sz="0" w:space="0" w:color="auto"/>
            <w:bottom w:val="none" w:sz="0" w:space="0" w:color="auto"/>
            <w:right w:val="none" w:sz="0" w:space="0" w:color="auto"/>
          </w:divBdr>
        </w:div>
        <w:div w:id="1504664972">
          <w:marLeft w:val="0"/>
          <w:marRight w:val="0"/>
          <w:marTop w:val="0"/>
          <w:marBottom w:val="0"/>
          <w:divBdr>
            <w:top w:val="none" w:sz="0" w:space="0" w:color="auto"/>
            <w:left w:val="none" w:sz="0" w:space="0" w:color="auto"/>
            <w:bottom w:val="none" w:sz="0" w:space="0" w:color="auto"/>
            <w:right w:val="none" w:sz="0" w:space="0" w:color="auto"/>
          </w:divBdr>
        </w:div>
        <w:div w:id="1732000470">
          <w:marLeft w:val="0"/>
          <w:marRight w:val="0"/>
          <w:marTop w:val="0"/>
          <w:marBottom w:val="0"/>
          <w:divBdr>
            <w:top w:val="none" w:sz="0" w:space="0" w:color="auto"/>
            <w:left w:val="none" w:sz="0" w:space="0" w:color="auto"/>
            <w:bottom w:val="none" w:sz="0" w:space="0" w:color="auto"/>
            <w:right w:val="none" w:sz="0" w:space="0" w:color="auto"/>
          </w:divBdr>
        </w:div>
      </w:divsChild>
    </w:div>
    <w:div w:id="1257404999">
      <w:bodyDiv w:val="1"/>
      <w:marLeft w:val="0"/>
      <w:marRight w:val="0"/>
      <w:marTop w:val="0"/>
      <w:marBottom w:val="0"/>
      <w:divBdr>
        <w:top w:val="none" w:sz="0" w:space="0" w:color="auto"/>
        <w:left w:val="none" w:sz="0" w:space="0" w:color="auto"/>
        <w:bottom w:val="none" w:sz="0" w:space="0" w:color="auto"/>
        <w:right w:val="none" w:sz="0" w:space="0" w:color="auto"/>
      </w:divBdr>
      <w:divsChild>
        <w:div w:id="1419785802">
          <w:marLeft w:val="0"/>
          <w:marRight w:val="0"/>
          <w:marTop w:val="0"/>
          <w:marBottom w:val="0"/>
          <w:divBdr>
            <w:top w:val="none" w:sz="0" w:space="0" w:color="auto"/>
            <w:left w:val="none" w:sz="0" w:space="0" w:color="auto"/>
            <w:bottom w:val="none" w:sz="0" w:space="0" w:color="auto"/>
            <w:right w:val="none" w:sz="0" w:space="0" w:color="auto"/>
          </w:divBdr>
          <w:divsChild>
            <w:div w:id="314258815">
              <w:marLeft w:val="0"/>
              <w:marRight w:val="0"/>
              <w:marTop w:val="0"/>
              <w:marBottom w:val="0"/>
              <w:divBdr>
                <w:top w:val="none" w:sz="0" w:space="0" w:color="auto"/>
                <w:left w:val="none" w:sz="0" w:space="0" w:color="auto"/>
                <w:bottom w:val="none" w:sz="0" w:space="0" w:color="auto"/>
                <w:right w:val="none" w:sz="0" w:space="0" w:color="auto"/>
              </w:divBdr>
            </w:div>
            <w:div w:id="1610964294">
              <w:marLeft w:val="0"/>
              <w:marRight w:val="0"/>
              <w:marTop w:val="0"/>
              <w:marBottom w:val="0"/>
              <w:divBdr>
                <w:top w:val="none" w:sz="0" w:space="0" w:color="auto"/>
                <w:left w:val="none" w:sz="0" w:space="0" w:color="auto"/>
                <w:bottom w:val="none" w:sz="0" w:space="0" w:color="auto"/>
                <w:right w:val="none" w:sz="0" w:space="0" w:color="auto"/>
              </w:divBdr>
            </w:div>
            <w:div w:id="134848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056135">
      <w:bodyDiv w:val="1"/>
      <w:marLeft w:val="0"/>
      <w:marRight w:val="0"/>
      <w:marTop w:val="0"/>
      <w:marBottom w:val="0"/>
      <w:divBdr>
        <w:top w:val="none" w:sz="0" w:space="0" w:color="auto"/>
        <w:left w:val="none" w:sz="0" w:space="0" w:color="auto"/>
        <w:bottom w:val="none" w:sz="0" w:space="0" w:color="auto"/>
        <w:right w:val="none" w:sz="0" w:space="0" w:color="auto"/>
      </w:divBdr>
    </w:div>
    <w:div w:id="1280724315">
      <w:bodyDiv w:val="1"/>
      <w:marLeft w:val="0"/>
      <w:marRight w:val="0"/>
      <w:marTop w:val="0"/>
      <w:marBottom w:val="0"/>
      <w:divBdr>
        <w:top w:val="none" w:sz="0" w:space="0" w:color="auto"/>
        <w:left w:val="none" w:sz="0" w:space="0" w:color="auto"/>
        <w:bottom w:val="none" w:sz="0" w:space="0" w:color="auto"/>
        <w:right w:val="none" w:sz="0" w:space="0" w:color="auto"/>
      </w:divBdr>
    </w:div>
    <w:div w:id="1321810445">
      <w:bodyDiv w:val="1"/>
      <w:marLeft w:val="0"/>
      <w:marRight w:val="0"/>
      <w:marTop w:val="0"/>
      <w:marBottom w:val="0"/>
      <w:divBdr>
        <w:top w:val="none" w:sz="0" w:space="0" w:color="auto"/>
        <w:left w:val="none" w:sz="0" w:space="0" w:color="auto"/>
        <w:bottom w:val="none" w:sz="0" w:space="0" w:color="auto"/>
        <w:right w:val="none" w:sz="0" w:space="0" w:color="auto"/>
      </w:divBdr>
      <w:divsChild>
        <w:div w:id="576093859">
          <w:marLeft w:val="0"/>
          <w:marRight w:val="0"/>
          <w:marTop w:val="0"/>
          <w:marBottom w:val="0"/>
          <w:divBdr>
            <w:top w:val="none" w:sz="0" w:space="0" w:color="auto"/>
            <w:left w:val="none" w:sz="0" w:space="0" w:color="auto"/>
            <w:bottom w:val="none" w:sz="0" w:space="0" w:color="auto"/>
            <w:right w:val="none" w:sz="0" w:space="0" w:color="auto"/>
          </w:divBdr>
          <w:divsChild>
            <w:div w:id="2046633506">
              <w:marLeft w:val="0"/>
              <w:marRight w:val="0"/>
              <w:marTop w:val="0"/>
              <w:marBottom w:val="0"/>
              <w:divBdr>
                <w:top w:val="none" w:sz="0" w:space="0" w:color="auto"/>
                <w:left w:val="none" w:sz="0" w:space="0" w:color="auto"/>
                <w:bottom w:val="none" w:sz="0" w:space="0" w:color="auto"/>
                <w:right w:val="none" w:sz="0" w:space="0" w:color="auto"/>
              </w:divBdr>
            </w:div>
            <w:div w:id="1876625019">
              <w:marLeft w:val="0"/>
              <w:marRight w:val="0"/>
              <w:marTop w:val="0"/>
              <w:marBottom w:val="0"/>
              <w:divBdr>
                <w:top w:val="none" w:sz="0" w:space="0" w:color="auto"/>
                <w:left w:val="none" w:sz="0" w:space="0" w:color="auto"/>
                <w:bottom w:val="none" w:sz="0" w:space="0" w:color="auto"/>
                <w:right w:val="none" w:sz="0" w:space="0" w:color="auto"/>
              </w:divBdr>
            </w:div>
            <w:div w:id="104583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914911">
      <w:bodyDiv w:val="1"/>
      <w:marLeft w:val="0"/>
      <w:marRight w:val="0"/>
      <w:marTop w:val="0"/>
      <w:marBottom w:val="0"/>
      <w:divBdr>
        <w:top w:val="none" w:sz="0" w:space="0" w:color="auto"/>
        <w:left w:val="none" w:sz="0" w:space="0" w:color="auto"/>
        <w:bottom w:val="none" w:sz="0" w:space="0" w:color="auto"/>
        <w:right w:val="none" w:sz="0" w:space="0" w:color="auto"/>
      </w:divBdr>
    </w:div>
    <w:div w:id="1400907373">
      <w:bodyDiv w:val="1"/>
      <w:marLeft w:val="0"/>
      <w:marRight w:val="0"/>
      <w:marTop w:val="0"/>
      <w:marBottom w:val="0"/>
      <w:divBdr>
        <w:top w:val="none" w:sz="0" w:space="0" w:color="auto"/>
        <w:left w:val="none" w:sz="0" w:space="0" w:color="auto"/>
        <w:bottom w:val="none" w:sz="0" w:space="0" w:color="auto"/>
        <w:right w:val="none" w:sz="0" w:space="0" w:color="auto"/>
      </w:divBdr>
      <w:divsChild>
        <w:div w:id="1073623077">
          <w:marLeft w:val="0"/>
          <w:marRight w:val="0"/>
          <w:marTop w:val="0"/>
          <w:marBottom w:val="0"/>
          <w:divBdr>
            <w:top w:val="none" w:sz="0" w:space="0" w:color="auto"/>
            <w:left w:val="none" w:sz="0" w:space="0" w:color="auto"/>
            <w:bottom w:val="none" w:sz="0" w:space="0" w:color="auto"/>
            <w:right w:val="none" w:sz="0" w:space="0" w:color="auto"/>
          </w:divBdr>
        </w:div>
        <w:div w:id="261455664">
          <w:marLeft w:val="0"/>
          <w:marRight w:val="0"/>
          <w:marTop w:val="0"/>
          <w:marBottom w:val="0"/>
          <w:divBdr>
            <w:top w:val="none" w:sz="0" w:space="0" w:color="auto"/>
            <w:left w:val="none" w:sz="0" w:space="0" w:color="auto"/>
            <w:bottom w:val="none" w:sz="0" w:space="0" w:color="auto"/>
            <w:right w:val="none" w:sz="0" w:space="0" w:color="auto"/>
          </w:divBdr>
        </w:div>
        <w:div w:id="185365774">
          <w:marLeft w:val="0"/>
          <w:marRight w:val="0"/>
          <w:marTop w:val="0"/>
          <w:marBottom w:val="0"/>
          <w:divBdr>
            <w:top w:val="none" w:sz="0" w:space="0" w:color="auto"/>
            <w:left w:val="none" w:sz="0" w:space="0" w:color="auto"/>
            <w:bottom w:val="none" w:sz="0" w:space="0" w:color="auto"/>
            <w:right w:val="none" w:sz="0" w:space="0" w:color="auto"/>
          </w:divBdr>
        </w:div>
        <w:div w:id="847717747">
          <w:marLeft w:val="0"/>
          <w:marRight w:val="0"/>
          <w:marTop w:val="0"/>
          <w:marBottom w:val="0"/>
          <w:divBdr>
            <w:top w:val="none" w:sz="0" w:space="0" w:color="auto"/>
            <w:left w:val="none" w:sz="0" w:space="0" w:color="auto"/>
            <w:bottom w:val="none" w:sz="0" w:space="0" w:color="auto"/>
            <w:right w:val="none" w:sz="0" w:space="0" w:color="auto"/>
          </w:divBdr>
        </w:div>
        <w:div w:id="897864628">
          <w:marLeft w:val="0"/>
          <w:marRight w:val="0"/>
          <w:marTop w:val="0"/>
          <w:marBottom w:val="0"/>
          <w:divBdr>
            <w:top w:val="none" w:sz="0" w:space="0" w:color="auto"/>
            <w:left w:val="none" w:sz="0" w:space="0" w:color="auto"/>
            <w:bottom w:val="none" w:sz="0" w:space="0" w:color="auto"/>
            <w:right w:val="none" w:sz="0" w:space="0" w:color="auto"/>
          </w:divBdr>
        </w:div>
        <w:div w:id="1034497990">
          <w:marLeft w:val="0"/>
          <w:marRight w:val="0"/>
          <w:marTop w:val="0"/>
          <w:marBottom w:val="0"/>
          <w:divBdr>
            <w:top w:val="none" w:sz="0" w:space="0" w:color="auto"/>
            <w:left w:val="none" w:sz="0" w:space="0" w:color="auto"/>
            <w:bottom w:val="none" w:sz="0" w:space="0" w:color="auto"/>
            <w:right w:val="none" w:sz="0" w:space="0" w:color="auto"/>
          </w:divBdr>
        </w:div>
        <w:div w:id="1527596456">
          <w:marLeft w:val="0"/>
          <w:marRight w:val="0"/>
          <w:marTop w:val="0"/>
          <w:marBottom w:val="0"/>
          <w:divBdr>
            <w:top w:val="none" w:sz="0" w:space="0" w:color="auto"/>
            <w:left w:val="none" w:sz="0" w:space="0" w:color="auto"/>
            <w:bottom w:val="none" w:sz="0" w:space="0" w:color="auto"/>
            <w:right w:val="none" w:sz="0" w:space="0" w:color="auto"/>
          </w:divBdr>
        </w:div>
        <w:div w:id="1800683897">
          <w:marLeft w:val="0"/>
          <w:marRight w:val="0"/>
          <w:marTop w:val="0"/>
          <w:marBottom w:val="0"/>
          <w:divBdr>
            <w:top w:val="none" w:sz="0" w:space="0" w:color="auto"/>
            <w:left w:val="none" w:sz="0" w:space="0" w:color="auto"/>
            <w:bottom w:val="none" w:sz="0" w:space="0" w:color="auto"/>
            <w:right w:val="none" w:sz="0" w:space="0" w:color="auto"/>
          </w:divBdr>
        </w:div>
        <w:div w:id="1293442062">
          <w:marLeft w:val="0"/>
          <w:marRight w:val="0"/>
          <w:marTop w:val="0"/>
          <w:marBottom w:val="0"/>
          <w:divBdr>
            <w:top w:val="none" w:sz="0" w:space="0" w:color="auto"/>
            <w:left w:val="none" w:sz="0" w:space="0" w:color="auto"/>
            <w:bottom w:val="none" w:sz="0" w:space="0" w:color="auto"/>
            <w:right w:val="none" w:sz="0" w:space="0" w:color="auto"/>
          </w:divBdr>
        </w:div>
        <w:div w:id="941958209">
          <w:marLeft w:val="0"/>
          <w:marRight w:val="0"/>
          <w:marTop w:val="0"/>
          <w:marBottom w:val="0"/>
          <w:divBdr>
            <w:top w:val="none" w:sz="0" w:space="0" w:color="auto"/>
            <w:left w:val="none" w:sz="0" w:space="0" w:color="auto"/>
            <w:bottom w:val="none" w:sz="0" w:space="0" w:color="auto"/>
            <w:right w:val="none" w:sz="0" w:space="0" w:color="auto"/>
          </w:divBdr>
        </w:div>
        <w:div w:id="1627854598">
          <w:marLeft w:val="0"/>
          <w:marRight w:val="0"/>
          <w:marTop w:val="0"/>
          <w:marBottom w:val="0"/>
          <w:divBdr>
            <w:top w:val="none" w:sz="0" w:space="0" w:color="auto"/>
            <w:left w:val="none" w:sz="0" w:space="0" w:color="auto"/>
            <w:bottom w:val="none" w:sz="0" w:space="0" w:color="auto"/>
            <w:right w:val="none" w:sz="0" w:space="0" w:color="auto"/>
          </w:divBdr>
        </w:div>
        <w:div w:id="1279677779">
          <w:marLeft w:val="0"/>
          <w:marRight w:val="0"/>
          <w:marTop w:val="0"/>
          <w:marBottom w:val="0"/>
          <w:divBdr>
            <w:top w:val="none" w:sz="0" w:space="0" w:color="auto"/>
            <w:left w:val="none" w:sz="0" w:space="0" w:color="auto"/>
            <w:bottom w:val="none" w:sz="0" w:space="0" w:color="auto"/>
            <w:right w:val="none" w:sz="0" w:space="0" w:color="auto"/>
          </w:divBdr>
        </w:div>
        <w:div w:id="1864243846">
          <w:marLeft w:val="0"/>
          <w:marRight w:val="0"/>
          <w:marTop w:val="0"/>
          <w:marBottom w:val="0"/>
          <w:divBdr>
            <w:top w:val="none" w:sz="0" w:space="0" w:color="auto"/>
            <w:left w:val="none" w:sz="0" w:space="0" w:color="auto"/>
            <w:bottom w:val="none" w:sz="0" w:space="0" w:color="auto"/>
            <w:right w:val="none" w:sz="0" w:space="0" w:color="auto"/>
          </w:divBdr>
        </w:div>
        <w:div w:id="546532548">
          <w:marLeft w:val="0"/>
          <w:marRight w:val="0"/>
          <w:marTop w:val="0"/>
          <w:marBottom w:val="0"/>
          <w:divBdr>
            <w:top w:val="none" w:sz="0" w:space="0" w:color="auto"/>
            <w:left w:val="none" w:sz="0" w:space="0" w:color="auto"/>
            <w:bottom w:val="none" w:sz="0" w:space="0" w:color="auto"/>
            <w:right w:val="none" w:sz="0" w:space="0" w:color="auto"/>
          </w:divBdr>
        </w:div>
        <w:div w:id="977027328">
          <w:marLeft w:val="0"/>
          <w:marRight w:val="0"/>
          <w:marTop w:val="0"/>
          <w:marBottom w:val="0"/>
          <w:divBdr>
            <w:top w:val="none" w:sz="0" w:space="0" w:color="auto"/>
            <w:left w:val="none" w:sz="0" w:space="0" w:color="auto"/>
            <w:bottom w:val="none" w:sz="0" w:space="0" w:color="auto"/>
            <w:right w:val="none" w:sz="0" w:space="0" w:color="auto"/>
          </w:divBdr>
        </w:div>
        <w:div w:id="990062522">
          <w:marLeft w:val="0"/>
          <w:marRight w:val="0"/>
          <w:marTop w:val="0"/>
          <w:marBottom w:val="0"/>
          <w:divBdr>
            <w:top w:val="none" w:sz="0" w:space="0" w:color="auto"/>
            <w:left w:val="none" w:sz="0" w:space="0" w:color="auto"/>
            <w:bottom w:val="none" w:sz="0" w:space="0" w:color="auto"/>
            <w:right w:val="none" w:sz="0" w:space="0" w:color="auto"/>
          </w:divBdr>
        </w:div>
        <w:div w:id="481506673">
          <w:marLeft w:val="0"/>
          <w:marRight w:val="0"/>
          <w:marTop w:val="0"/>
          <w:marBottom w:val="0"/>
          <w:divBdr>
            <w:top w:val="none" w:sz="0" w:space="0" w:color="auto"/>
            <w:left w:val="none" w:sz="0" w:space="0" w:color="auto"/>
            <w:bottom w:val="none" w:sz="0" w:space="0" w:color="auto"/>
            <w:right w:val="none" w:sz="0" w:space="0" w:color="auto"/>
          </w:divBdr>
        </w:div>
        <w:div w:id="1054082417">
          <w:marLeft w:val="0"/>
          <w:marRight w:val="0"/>
          <w:marTop w:val="0"/>
          <w:marBottom w:val="0"/>
          <w:divBdr>
            <w:top w:val="none" w:sz="0" w:space="0" w:color="auto"/>
            <w:left w:val="none" w:sz="0" w:space="0" w:color="auto"/>
            <w:bottom w:val="none" w:sz="0" w:space="0" w:color="auto"/>
            <w:right w:val="none" w:sz="0" w:space="0" w:color="auto"/>
          </w:divBdr>
        </w:div>
        <w:div w:id="983700898">
          <w:marLeft w:val="0"/>
          <w:marRight w:val="0"/>
          <w:marTop w:val="0"/>
          <w:marBottom w:val="0"/>
          <w:divBdr>
            <w:top w:val="none" w:sz="0" w:space="0" w:color="auto"/>
            <w:left w:val="none" w:sz="0" w:space="0" w:color="auto"/>
            <w:bottom w:val="none" w:sz="0" w:space="0" w:color="auto"/>
            <w:right w:val="none" w:sz="0" w:space="0" w:color="auto"/>
          </w:divBdr>
        </w:div>
        <w:div w:id="1677069708">
          <w:marLeft w:val="0"/>
          <w:marRight w:val="0"/>
          <w:marTop w:val="0"/>
          <w:marBottom w:val="0"/>
          <w:divBdr>
            <w:top w:val="none" w:sz="0" w:space="0" w:color="auto"/>
            <w:left w:val="none" w:sz="0" w:space="0" w:color="auto"/>
            <w:bottom w:val="none" w:sz="0" w:space="0" w:color="auto"/>
            <w:right w:val="none" w:sz="0" w:space="0" w:color="auto"/>
          </w:divBdr>
        </w:div>
        <w:div w:id="835610203">
          <w:marLeft w:val="0"/>
          <w:marRight w:val="0"/>
          <w:marTop w:val="0"/>
          <w:marBottom w:val="0"/>
          <w:divBdr>
            <w:top w:val="none" w:sz="0" w:space="0" w:color="auto"/>
            <w:left w:val="none" w:sz="0" w:space="0" w:color="auto"/>
            <w:bottom w:val="none" w:sz="0" w:space="0" w:color="auto"/>
            <w:right w:val="none" w:sz="0" w:space="0" w:color="auto"/>
          </w:divBdr>
        </w:div>
        <w:div w:id="1735810000">
          <w:marLeft w:val="0"/>
          <w:marRight w:val="0"/>
          <w:marTop w:val="0"/>
          <w:marBottom w:val="0"/>
          <w:divBdr>
            <w:top w:val="none" w:sz="0" w:space="0" w:color="auto"/>
            <w:left w:val="none" w:sz="0" w:space="0" w:color="auto"/>
            <w:bottom w:val="none" w:sz="0" w:space="0" w:color="auto"/>
            <w:right w:val="none" w:sz="0" w:space="0" w:color="auto"/>
          </w:divBdr>
        </w:div>
        <w:div w:id="1641422008">
          <w:marLeft w:val="0"/>
          <w:marRight w:val="0"/>
          <w:marTop w:val="0"/>
          <w:marBottom w:val="0"/>
          <w:divBdr>
            <w:top w:val="none" w:sz="0" w:space="0" w:color="auto"/>
            <w:left w:val="none" w:sz="0" w:space="0" w:color="auto"/>
            <w:bottom w:val="none" w:sz="0" w:space="0" w:color="auto"/>
            <w:right w:val="none" w:sz="0" w:space="0" w:color="auto"/>
          </w:divBdr>
        </w:div>
        <w:div w:id="1062406977">
          <w:marLeft w:val="0"/>
          <w:marRight w:val="0"/>
          <w:marTop w:val="0"/>
          <w:marBottom w:val="0"/>
          <w:divBdr>
            <w:top w:val="none" w:sz="0" w:space="0" w:color="auto"/>
            <w:left w:val="none" w:sz="0" w:space="0" w:color="auto"/>
            <w:bottom w:val="none" w:sz="0" w:space="0" w:color="auto"/>
            <w:right w:val="none" w:sz="0" w:space="0" w:color="auto"/>
          </w:divBdr>
        </w:div>
        <w:div w:id="1406994655">
          <w:marLeft w:val="0"/>
          <w:marRight w:val="0"/>
          <w:marTop w:val="0"/>
          <w:marBottom w:val="0"/>
          <w:divBdr>
            <w:top w:val="none" w:sz="0" w:space="0" w:color="auto"/>
            <w:left w:val="none" w:sz="0" w:space="0" w:color="auto"/>
            <w:bottom w:val="none" w:sz="0" w:space="0" w:color="auto"/>
            <w:right w:val="none" w:sz="0" w:space="0" w:color="auto"/>
          </w:divBdr>
        </w:div>
      </w:divsChild>
    </w:div>
    <w:div w:id="1408114151">
      <w:bodyDiv w:val="1"/>
      <w:marLeft w:val="0"/>
      <w:marRight w:val="0"/>
      <w:marTop w:val="0"/>
      <w:marBottom w:val="0"/>
      <w:divBdr>
        <w:top w:val="none" w:sz="0" w:space="0" w:color="auto"/>
        <w:left w:val="none" w:sz="0" w:space="0" w:color="auto"/>
        <w:bottom w:val="none" w:sz="0" w:space="0" w:color="auto"/>
        <w:right w:val="none" w:sz="0" w:space="0" w:color="auto"/>
      </w:divBdr>
    </w:div>
    <w:div w:id="1474906622">
      <w:bodyDiv w:val="1"/>
      <w:marLeft w:val="0"/>
      <w:marRight w:val="0"/>
      <w:marTop w:val="0"/>
      <w:marBottom w:val="0"/>
      <w:divBdr>
        <w:top w:val="none" w:sz="0" w:space="0" w:color="auto"/>
        <w:left w:val="none" w:sz="0" w:space="0" w:color="auto"/>
        <w:bottom w:val="none" w:sz="0" w:space="0" w:color="auto"/>
        <w:right w:val="none" w:sz="0" w:space="0" w:color="auto"/>
      </w:divBdr>
      <w:divsChild>
        <w:div w:id="712925594">
          <w:marLeft w:val="0"/>
          <w:marRight w:val="0"/>
          <w:marTop w:val="0"/>
          <w:marBottom w:val="0"/>
          <w:divBdr>
            <w:top w:val="none" w:sz="0" w:space="0" w:color="auto"/>
            <w:left w:val="none" w:sz="0" w:space="0" w:color="auto"/>
            <w:bottom w:val="none" w:sz="0" w:space="0" w:color="auto"/>
            <w:right w:val="none" w:sz="0" w:space="0" w:color="auto"/>
          </w:divBdr>
        </w:div>
        <w:div w:id="1890334606">
          <w:marLeft w:val="0"/>
          <w:marRight w:val="0"/>
          <w:marTop w:val="0"/>
          <w:marBottom w:val="0"/>
          <w:divBdr>
            <w:top w:val="none" w:sz="0" w:space="0" w:color="auto"/>
            <w:left w:val="none" w:sz="0" w:space="0" w:color="auto"/>
            <w:bottom w:val="none" w:sz="0" w:space="0" w:color="auto"/>
            <w:right w:val="none" w:sz="0" w:space="0" w:color="auto"/>
          </w:divBdr>
        </w:div>
        <w:div w:id="1658414502">
          <w:marLeft w:val="0"/>
          <w:marRight w:val="0"/>
          <w:marTop w:val="0"/>
          <w:marBottom w:val="0"/>
          <w:divBdr>
            <w:top w:val="none" w:sz="0" w:space="0" w:color="auto"/>
            <w:left w:val="none" w:sz="0" w:space="0" w:color="auto"/>
            <w:bottom w:val="none" w:sz="0" w:space="0" w:color="auto"/>
            <w:right w:val="none" w:sz="0" w:space="0" w:color="auto"/>
          </w:divBdr>
        </w:div>
        <w:div w:id="850993351">
          <w:marLeft w:val="0"/>
          <w:marRight w:val="0"/>
          <w:marTop w:val="0"/>
          <w:marBottom w:val="0"/>
          <w:divBdr>
            <w:top w:val="none" w:sz="0" w:space="0" w:color="auto"/>
            <w:left w:val="none" w:sz="0" w:space="0" w:color="auto"/>
            <w:bottom w:val="none" w:sz="0" w:space="0" w:color="auto"/>
            <w:right w:val="none" w:sz="0" w:space="0" w:color="auto"/>
          </w:divBdr>
        </w:div>
        <w:div w:id="2009285177">
          <w:marLeft w:val="0"/>
          <w:marRight w:val="0"/>
          <w:marTop w:val="0"/>
          <w:marBottom w:val="0"/>
          <w:divBdr>
            <w:top w:val="none" w:sz="0" w:space="0" w:color="auto"/>
            <w:left w:val="none" w:sz="0" w:space="0" w:color="auto"/>
            <w:bottom w:val="none" w:sz="0" w:space="0" w:color="auto"/>
            <w:right w:val="none" w:sz="0" w:space="0" w:color="auto"/>
          </w:divBdr>
        </w:div>
        <w:div w:id="486167377">
          <w:marLeft w:val="0"/>
          <w:marRight w:val="0"/>
          <w:marTop w:val="0"/>
          <w:marBottom w:val="0"/>
          <w:divBdr>
            <w:top w:val="none" w:sz="0" w:space="0" w:color="auto"/>
            <w:left w:val="none" w:sz="0" w:space="0" w:color="auto"/>
            <w:bottom w:val="none" w:sz="0" w:space="0" w:color="auto"/>
            <w:right w:val="none" w:sz="0" w:space="0" w:color="auto"/>
          </w:divBdr>
        </w:div>
        <w:div w:id="2060666793">
          <w:marLeft w:val="0"/>
          <w:marRight w:val="0"/>
          <w:marTop w:val="0"/>
          <w:marBottom w:val="0"/>
          <w:divBdr>
            <w:top w:val="none" w:sz="0" w:space="0" w:color="auto"/>
            <w:left w:val="none" w:sz="0" w:space="0" w:color="auto"/>
            <w:bottom w:val="none" w:sz="0" w:space="0" w:color="auto"/>
            <w:right w:val="none" w:sz="0" w:space="0" w:color="auto"/>
          </w:divBdr>
        </w:div>
        <w:div w:id="1028750105">
          <w:marLeft w:val="0"/>
          <w:marRight w:val="0"/>
          <w:marTop w:val="0"/>
          <w:marBottom w:val="0"/>
          <w:divBdr>
            <w:top w:val="none" w:sz="0" w:space="0" w:color="auto"/>
            <w:left w:val="none" w:sz="0" w:space="0" w:color="auto"/>
            <w:bottom w:val="none" w:sz="0" w:space="0" w:color="auto"/>
            <w:right w:val="none" w:sz="0" w:space="0" w:color="auto"/>
          </w:divBdr>
        </w:div>
        <w:div w:id="647901879">
          <w:marLeft w:val="0"/>
          <w:marRight w:val="0"/>
          <w:marTop w:val="0"/>
          <w:marBottom w:val="0"/>
          <w:divBdr>
            <w:top w:val="none" w:sz="0" w:space="0" w:color="auto"/>
            <w:left w:val="none" w:sz="0" w:space="0" w:color="auto"/>
            <w:bottom w:val="none" w:sz="0" w:space="0" w:color="auto"/>
            <w:right w:val="none" w:sz="0" w:space="0" w:color="auto"/>
          </w:divBdr>
        </w:div>
        <w:div w:id="688676194">
          <w:marLeft w:val="0"/>
          <w:marRight w:val="0"/>
          <w:marTop w:val="0"/>
          <w:marBottom w:val="0"/>
          <w:divBdr>
            <w:top w:val="none" w:sz="0" w:space="0" w:color="auto"/>
            <w:left w:val="none" w:sz="0" w:space="0" w:color="auto"/>
            <w:bottom w:val="none" w:sz="0" w:space="0" w:color="auto"/>
            <w:right w:val="none" w:sz="0" w:space="0" w:color="auto"/>
          </w:divBdr>
        </w:div>
        <w:div w:id="385105263">
          <w:marLeft w:val="0"/>
          <w:marRight w:val="0"/>
          <w:marTop w:val="0"/>
          <w:marBottom w:val="0"/>
          <w:divBdr>
            <w:top w:val="none" w:sz="0" w:space="0" w:color="auto"/>
            <w:left w:val="none" w:sz="0" w:space="0" w:color="auto"/>
            <w:bottom w:val="none" w:sz="0" w:space="0" w:color="auto"/>
            <w:right w:val="none" w:sz="0" w:space="0" w:color="auto"/>
          </w:divBdr>
        </w:div>
        <w:div w:id="1964379954">
          <w:marLeft w:val="0"/>
          <w:marRight w:val="0"/>
          <w:marTop w:val="0"/>
          <w:marBottom w:val="0"/>
          <w:divBdr>
            <w:top w:val="none" w:sz="0" w:space="0" w:color="auto"/>
            <w:left w:val="none" w:sz="0" w:space="0" w:color="auto"/>
            <w:bottom w:val="none" w:sz="0" w:space="0" w:color="auto"/>
            <w:right w:val="none" w:sz="0" w:space="0" w:color="auto"/>
          </w:divBdr>
        </w:div>
        <w:div w:id="2112970531">
          <w:marLeft w:val="0"/>
          <w:marRight w:val="0"/>
          <w:marTop w:val="0"/>
          <w:marBottom w:val="0"/>
          <w:divBdr>
            <w:top w:val="none" w:sz="0" w:space="0" w:color="auto"/>
            <w:left w:val="none" w:sz="0" w:space="0" w:color="auto"/>
            <w:bottom w:val="none" w:sz="0" w:space="0" w:color="auto"/>
            <w:right w:val="none" w:sz="0" w:space="0" w:color="auto"/>
          </w:divBdr>
        </w:div>
        <w:div w:id="1640762620">
          <w:marLeft w:val="0"/>
          <w:marRight w:val="0"/>
          <w:marTop w:val="0"/>
          <w:marBottom w:val="0"/>
          <w:divBdr>
            <w:top w:val="none" w:sz="0" w:space="0" w:color="auto"/>
            <w:left w:val="none" w:sz="0" w:space="0" w:color="auto"/>
            <w:bottom w:val="none" w:sz="0" w:space="0" w:color="auto"/>
            <w:right w:val="none" w:sz="0" w:space="0" w:color="auto"/>
          </w:divBdr>
        </w:div>
        <w:div w:id="959995068">
          <w:marLeft w:val="0"/>
          <w:marRight w:val="0"/>
          <w:marTop w:val="0"/>
          <w:marBottom w:val="0"/>
          <w:divBdr>
            <w:top w:val="none" w:sz="0" w:space="0" w:color="auto"/>
            <w:left w:val="none" w:sz="0" w:space="0" w:color="auto"/>
            <w:bottom w:val="none" w:sz="0" w:space="0" w:color="auto"/>
            <w:right w:val="none" w:sz="0" w:space="0" w:color="auto"/>
          </w:divBdr>
        </w:div>
        <w:div w:id="748385618">
          <w:marLeft w:val="0"/>
          <w:marRight w:val="0"/>
          <w:marTop w:val="0"/>
          <w:marBottom w:val="0"/>
          <w:divBdr>
            <w:top w:val="none" w:sz="0" w:space="0" w:color="auto"/>
            <w:left w:val="none" w:sz="0" w:space="0" w:color="auto"/>
            <w:bottom w:val="none" w:sz="0" w:space="0" w:color="auto"/>
            <w:right w:val="none" w:sz="0" w:space="0" w:color="auto"/>
          </w:divBdr>
        </w:div>
        <w:div w:id="2070761406">
          <w:marLeft w:val="0"/>
          <w:marRight w:val="0"/>
          <w:marTop w:val="0"/>
          <w:marBottom w:val="0"/>
          <w:divBdr>
            <w:top w:val="none" w:sz="0" w:space="0" w:color="auto"/>
            <w:left w:val="none" w:sz="0" w:space="0" w:color="auto"/>
            <w:bottom w:val="none" w:sz="0" w:space="0" w:color="auto"/>
            <w:right w:val="none" w:sz="0" w:space="0" w:color="auto"/>
          </w:divBdr>
        </w:div>
        <w:div w:id="1095400391">
          <w:marLeft w:val="0"/>
          <w:marRight w:val="0"/>
          <w:marTop w:val="0"/>
          <w:marBottom w:val="0"/>
          <w:divBdr>
            <w:top w:val="none" w:sz="0" w:space="0" w:color="auto"/>
            <w:left w:val="none" w:sz="0" w:space="0" w:color="auto"/>
            <w:bottom w:val="none" w:sz="0" w:space="0" w:color="auto"/>
            <w:right w:val="none" w:sz="0" w:space="0" w:color="auto"/>
          </w:divBdr>
        </w:div>
        <w:div w:id="504057046">
          <w:marLeft w:val="0"/>
          <w:marRight w:val="0"/>
          <w:marTop w:val="0"/>
          <w:marBottom w:val="0"/>
          <w:divBdr>
            <w:top w:val="none" w:sz="0" w:space="0" w:color="auto"/>
            <w:left w:val="none" w:sz="0" w:space="0" w:color="auto"/>
            <w:bottom w:val="none" w:sz="0" w:space="0" w:color="auto"/>
            <w:right w:val="none" w:sz="0" w:space="0" w:color="auto"/>
          </w:divBdr>
        </w:div>
        <w:div w:id="1288849507">
          <w:marLeft w:val="0"/>
          <w:marRight w:val="0"/>
          <w:marTop w:val="0"/>
          <w:marBottom w:val="0"/>
          <w:divBdr>
            <w:top w:val="none" w:sz="0" w:space="0" w:color="auto"/>
            <w:left w:val="none" w:sz="0" w:space="0" w:color="auto"/>
            <w:bottom w:val="none" w:sz="0" w:space="0" w:color="auto"/>
            <w:right w:val="none" w:sz="0" w:space="0" w:color="auto"/>
          </w:divBdr>
        </w:div>
        <w:div w:id="490367951">
          <w:marLeft w:val="0"/>
          <w:marRight w:val="0"/>
          <w:marTop w:val="0"/>
          <w:marBottom w:val="0"/>
          <w:divBdr>
            <w:top w:val="none" w:sz="0" w:space="0" w:color="auto"/>
            <w:left w:val="none" w:sz="0" w:space="0" w:color="auto"/>
            <w:bottom w:val="none" w:sz="0" w:space="0" w:color="auto"/>
            <w:right w:val="none" w:sz="0" w:space="0" w:color="auto"/>
          </w:divBdr>
        </w:div>
        <w:div w:id="2034571527">
          <w:marLeft w:val="0"/>
          <w:marRight w:val="0"/>
          <w:marTop w:val="0"/>
          <w:marBottom w:val="0"/>
          <w:divBdr>
            <w:top w:val="none" w:sz="0" w:space="0" w:color="auto"/>
            <w:left w:val="none" w:sz="0" w:space="0" w:color="auto"/>
            <w:bottom w:val="none" w:sz="0" w:space="0" w:color="auto"/>
            <w:right w:val="none" w:sz="0" w:space="0" w:color="auto"/>
          </w:divBdr>
        </w:div>
        <w:div w:id="689529728">
          <w:marLeft w:val="0"/>
          <w:marRight w:val="0"/>
          <w:marTop w:val="0"/>
          <w:marBottom w:val="0"/>
          <w:divBdr>
            <w:top w:val="none" w:sz="0" w:space="0" w:color="auto"/>
            <w:left w:val="none" w:sz="0" w:space="0" w:color="auto"/>
            <w:bottom w:val="none" w:sz="0" w:space="0" w:color="auto"/>
            <w:right w:val="none" w:sz="0" w:space="0" w:color="auto"/>
          </w:divBdr>
        </w:div>
        <w:div w:id="1352729857">
          <w:marLeft w:val="0"/>
          <w:marRight w:val="0"/>
          <w:marTop w:val="0"/>
          <w:marBottom w:val="0"/>
          <w:divBdr>
            <w:top w:val="none" w:sz="0" w:space="0" w:color="auto"/>
            <w:left w:val="none" w:sz="0" w:space="0" w:color="auto"/>
            <w:bottom w:val="none" w:sz="0" w:space="0" w:color="auto"/>
            <w:right w:val="none" w:sz="0" w:space="0" w:color="auto"/>
          </w:divBdr>
        </w:div>
        <w:div w:id="39135418">
          <w:marLeft w:val="0"/>
          <w:marRight w:val="0"/>
          <w:marTop w:val="0"/>
          <w:marBottom w:val="0"/>
          <w:divBdr>
            <w:top w:val="none" w:sz="0" w:space="0" w:color="auto"/>
            <w:left w:val="none" w:sz="0" w:space="0" w:color="auto"/>
            <w:bottom w:val="none" w:sz="0" w:space="0" w:color="auto"/>
            <w:right w:val="none" w:sz="0" w:space="0" w:color="auto"/>
          </w:divBdr>
        </w:div>
        <w:div w:id="50352436">
          <w:marLeft w:val="0"/>
          <w:marRight w:val="0"/>
          <w:marTop w:val="0"/>
          <w:marBottom w:val="0"/>
          <w:divBdr>
            <w:top w:val="none" w:sz="0" w:space="0" w:color="auto"/>
            <w:left w:val="none" w:sz="0" w:space="0" w:color="auto"/>
            <w:bottom w:val="none" w:sz="0" w:space="0" w:color="auto"/>
            <w:right w:val="none" w:sz="0" w:space="0" w:color="auto"/>
          </w:divBdr>
        </w:div>
      </w:divsChild>
    </w:div>
    <w:div w:id="1509519894">
      <w:bodyDiv w:val="1"/>
      <w:marLeft w:val="0"/>
      <w:marRight w:val="0"/>
      <w:marTop w:val="0"/>
      <w:marBottom w:val="0"/>
      <w:divBdr>
        <w:top w:val="none" w:sz="0" w:space="0" w:color="auto"/>
        <w:left w:val="none" w:sz="0" w:space="0" w:color="auto"/>
        <w:bottom w:val="none" w:sz="0" w:space="0" w:color="auto"/>
        <w:right w:val="none" w:sz="0" w:space="0" w:color="auto"/>
      </w:divBdr>
    </w:div>
    <w:div w:id="1511604310">
      <w:bodyDiv w:val="1"/>
      <w:marLeft w:val="0"/>
      <w:marRight w:val="0"/>
      <w:marTop w:val="0"/>
      <w:marBottom w:val="0"/>
      <w:divBdr>
        <w:top w:val="none" w:sz="0" w:space="0" w:color="auto"/>
        <w:left w:val="none" w:sz="0" w:space="0" w:color="auto"/>
        <w:bottom w:val="none" w:sz="0" w:space="0" w:color="auto"/>
        <w:right w:val="none" w:sz="0" w:space="0" w:color="auto"/>
      </w:divBdr>
    </w:div>
    <w:div w:id="1525367317">
      <w:bodyDiv w:val="1"/>
      <w:marLeft w:val="0"/>
      <w:marRight w:val="0"/>
      <w:marTop w:val="0"/>
      <w:marBottom w:val="0"/>
      <w:divBdr>
        <w:top w:val="none" w:sz="0" w:space="0" w:color="auto"/>
        <w:left w:val="none" w:sz="0" w:space="0" w:color="auto"/>
        <w:bottom w:val="none" w:sz="0" w:space="0" w:color="auto"/>
        <w:right w:val="none" w:sz="0" w:space="0" w:color="auto"/>
      </w:divBdr>
      <w:divsChild>
        <w:div w:id="1986926937">
          <w:marLeft w:val="0"/>
          <w:marRight w:val="0"/>
          <w:marTop w:val="0"/>
          <w:marBottom w:val="0"/>
          <w:divBdr>
            <w:top w:val="none" w:sz="0" w:space="0" w:color="auto"/>
            <w:left w:val="none" w:sz="0" w:space="0" w:color="auto"/>
            <w:bottom w:val="none" w:sz="0" w:space="0" w:color="auto"/>
            <w:right w:val="none" w:sz="0" w:space="0" w:color="auto"/>
          </w:divBdr>
        </w:div>
        <w:div w:id="137036217">
          <w:marLeft w:val="0"/>
          <w:marRight w:val="0"/>
          <w:marTop w:val="0"/>
          <w:marBottom w:val="0"/>
          <w:divBdr>
            <w:top w:val="none" w:sz="0" w:space="0" w:color="auto"/>
            <w:left w:val="none" w:sz="0" w:space="0" w:color="auto"/>
            <w:bottom w:val="none" w:sz="0" w:space="0" w:color="auto"/>
            <w:right w:val="none" w:sz="0" w:space="0" w:color="auto"/>
          </w:divBdr>
        </w:div>
        <w:div w:id="823736369">
          <w:marLeft w:val="0"/>
          <w:marRight w:val="0"/>
          <w:marTop w:val="0"/>
          <w:marBottom w:val="0"/>
          <w:divBdr>
            <w:top w:val="none" w:sz="0" w:space="0" w:color="auto"/>
            <w:left w:val="none" w:sz="0" w:space="0" w:color="auto"/>
            <w:bottom w:val="none" w:sz="0" w:space="0" w:color="auto"/>
            <w:right w:val="none" w:sz="0" w:space="0" w:color="auto"/>
          </w:divBdr>
        </w:div>
        <w:div w:id="1327322411">
          <w:marLeft w:val="0"/>
          <w:marRight w:val="0"/>
          <w:marTop w:val="0"/>
          <w:marBottom w:val="0"/>
          <w:divBdr>
            <w:top w:val="none" w:sz="0" w:space="0" w:color="auto"/>
            <w:left w:val="none" w:sz="0" w:space="0" w:color="auto"/>
            <w:bottom w:val="none" w:sz="0" w:space="0" w:color="auto"/>
            <w:right w:val="none" w:sz="0" w:space="0" w:color="auto"/>
          </w:divBdr>
        </w:div>
        <w:div w:id="2053072106">
          <w:marLeft w:val="0"/>
          <w:marRight w:val="0"/>
          <w:marTop w:val="0"/>
          <w:marBottom w:val="0"/>
          <w:divBdr>
            <w:top w:val="none" w:sz="0" w:space="0" w:color="auto"/>
            <w:left w:val="none" w:sz="0" w:space="0" w:color="auto"/>
            <w:bottom w:val="none" w:sz="0" w:space="0" w:color="auto"/>
            <w:right w:val="none" w:sz="0" w:space="0" w:color="auto"/>
          </w:divBdr>
        </w:div>
        <w:div w:id="230584950">
          <w:marLeft w:val="0"/>
          <w:marRight w:val="0"/>
          <w:marTop w:val="0"/>
          <w:marBottom w:val="0"/>
          <w:divBdr>
            <w:top w:val="none" w:sz="0" w:space="0" w:color="auto"/>
            <w:left w:val="none" w:sz="0" w:space="0" w:color="auto"/>
            <w:bottom w:val="none" w:sz="0" w:space="0" w:color="auto"/>
            <w:right w:val="none" w:sz="0" w:space="0" w:color="auto"/>
          </w:divBdr>
        </w:div>
        <w:div w:id="883370573">
          <w:marLeft w:val="0"/>
          <w:marRight w:val="0"/>
          <w:marTop w:val="0"/>
          <w:marBottom w:val="0"/>
          <w:divBdr>
            <w:top w:val="none" w:sz="0" w:space="0" w:color="auto"/>
            <w:left w:val="none" w:sz="0" w:space="0" w:color="auto"/>
            <w:bottom w:val="none" w:sz="0" w:space="0" w:color="auto"/>
            <w:right w:val="none" w:sz="0" w:space="0" w:color="auto"/>
          </w:divBdr>
        </w:div>
        <w:div w:id="1393889405">
          <w:marLeft w:val="0"/>
          <w:marRight w:val="0"/>
          <w:marTop w:val="0"/>
          <w:marBottom w:val="0"/>
          <w:divBdr>
            <w:top w:val="none" w:sz="0" w:space="0" w:color="auto"/>
            <w:left w:val="none" w:sz="0" w:space="0" w:color="auto"/>
            <w:bottom w:val="none" w:sz="0" w:space="0" w:color="auto"/>
            <w:right w:val="none" w:sz="0" w:space="0" w:color="auto"/>
          </w:divBdr>
        </w:div>
        <w:div w:id="714701005">
          <w:marLeft w:val="0"/>
          <w:marRight w:val="0"/>
          <w:marTop w:val="0"/>
          <w:marBottom w:val="0"/>
          <w:divBdr>
            <w:top w:val="none" w:sz="0" w:space="0" w:color="auto"/>
            <w:left w:val="none" w:sz="0" w:space="0" w:color="auto"/>
            <w:bottom w:val="none" w:sz="0" w:space="0" w:color="auto"/>
            <w:right w:val="none" w:sz="0" w:space="0" w:color="auto"/>
          </w:divBdr>
        </w:div>
        <w:div w:id="30805119">
          <w:marLeft w:val="0"/>
          <w:marRight w:val="0"/>
          <w:marTop w:val="0"/>
          <w:marBottom w:val="0"/>
          <w:divBdr>
            <w:top w:val="none" w:sz="0" w:space="0" w:color="auto"/>
            <w:left w:val="none" w:sz="0" w:space="0" w:color="auto"/>
            <w:bottom w:val="none" w:sz="0" w:space="0" w:color="auto"/>
            <w:right w:val="none" w:sz="0" w:space="0" w:color="auto"/>
          </w:divBdr>
        </w:div>
        <w:div w:id="1639335540">
          <w:marLeft w:val="0"/>
          <w:marRight w:val="0"/>
          <w:marTop w:val="0"/>
          <w:marBottom w:val="0"/>
          <w:divBdr>
            <w:top w:val="none" w:sz="0" w:space="0" w:color="auto"/>
            <w:left w:val="none" w:sz="0" w:space="0" w:color="auto"/>
            <w:bottom w:val="none" w:sz="0" w:space="0" w:color="auto"/>
            <w:right w:val="none" w:sz="0" w:space="0" w:color="auto"/>
          </w:divBdr>
        </w:div>
        <w:div w:id="2040232920">
          <w:marLeft w:val="0"/>
          <w:marRight w:val="0"/>
          <w:marTop w:val="0"/>
          <w:marBottom w:val="0"/>
          <w:divBdr>
            <w:top w:val="none" w:sz="0" w:space="0" w:color="auto"/>
            <w:left w:val="none" w:sz="0" w:space="0" w:color="auto"/>
            <w:bottom w:val="none" w:sz="0" w:space="0" w:color="auto"/>
            <w:right w:val="none" w:sz="0" w:space="0" w:color="auto"/>
          </w:divBdr>
        </w:div>
        <w:div w:id="1299994073">
          <w:marLeft w:val="0"/>
          <w:marRight w:val="0"/>
          <w:marTop w:val="0"/>
          <w:marBottom w:val="0"/>
          <w:divBdr>
            <w:top w:val="none" w:sz="0" w:space="0" w:color="auto"/>
            <w:left w:val="none" w:sz="0" w:space="0" w:color="auto"/>
            <w:bottom w:val="none" w:sz="0" w:space="0" w:color="auto"/>
            <w:right w:val="none" w:sz="0" w:space="0" w:color="auto"/>
          </w:divBdr>
        </w:div>
        <w:div w:id="340544449">
          <w:marLeft w:val="0"/>
          <w:marRight w:val="0"/>
          <w:marTop w:val="0"/>
          <w:marBottom w:val="0"/>
          <w:divBdr>
            <w:top w:val="none" w:sz="0" w:space="0" w:color="auto"/>
            <w:left w:val="none" w:sz="0" w:space="0" w:color="auto"/>
            <w:bottom w:val="none" w:sz="0" w:space="0" w:color="auto"/>
            <w:right w:val="none" w:sz="0" w:space="0" w:color="auto"/>
          </w:divBdr>
        </w:div>
        <w:div w:id="1262034686">
          <w:marLeft w:val="0"/>
          <w:marRight w:val="0"/>
          <w:marTop w:val="0"/>
          <w:marBottom w:val="0"/>
          <w:divBdr>
            <w:top w:val="none" w:sz="0" w:space="0" w:color="auto"/>
            <w:left w:val="none" w:sz="0" w:space="0" w:color="auto"/>
            <w:bottom w:val="none" w:sz="0" w:space="0" w:color="auto"/>
            <w:right w:val="none" w:sz="0" w:space="0" w:color="auto"/>
          </w:divBdr>
        </w:div>
        <w:div w:id="100079000">
          <w:marLeft w:val="0"/>
          <w:marRight w:val="0"/>
          <w:marTop w:val="0"/>
          <w:marBottom w:val="0"/>
          <w:divBdr>
            <w:top w:val="none" w:sz="0" w:space="0" w:color="auto"/>
            <w:left w:val="none" w:sz="0" w:space="0" w:color="auto"/>
            <w:bottom w:val="none" w:sz="0" w:space="0" w:color="auto"/>
            <w:right w:val="none" w:sz="0" w:space="0" w:color="auto"/>
          </w:divBdr>
        </w:div>
        <w:div w:id="2029210386">
          <w:marLeft w:val="0"/>
          <w:marRight w:val="0"/>
          <w:marTop w:val="0"/>
          <w:marBottom w:val="0"/>
          <w:divBdr>
            <w:top w:val="none" w:sz="0" w:space="0" w:color="auto"/>
            <w:left w:val="none" w:sz="0" w:space="0" w:color="auto"/>
            <w:bottom w:val="none" w:sz="0" w:space="0" w:color="auto"/>
            <w:right w:val="none" w:sz="0" w:space="0" w:color="auto"/>
          </w:divBdr>
        </w:div>
        <w:div w:id="217326137">
          <w:marLeft w:val="0"/>
          <w:marRight w:val="0"/>
          <w:marTop w:val="0"/>
          <w:marBottom w:val="0"/>
          <w:divBdr>
            <w:top w:val="none" w:sz="0" w:space="0" w:color="auto"/>
            <w:left w:val="none" w:sz="0" w:space="0" w:color="auto"/>
            <w:bottom w:val="none" w:sz="0" w:space="0" w:color="auto"/>
            <w:right w:val="none" w:sz="0" w:space="0" w:color="auto"/>
          </w:divBdr>
        </w:div>
        <w:div w:id="2080054979">
          <w:marLeft w:val="0"/>
          <w:marRight w:val="0"/>
          <w:marTop w:val="0"/>
          <w:marBottom w:val="0"/>
          <w:divBdr>
            <w:top w:val="none" w:sz="0" w:space="0" w:color="auto"/>
            <w:left w:val="none" w:sz="0" w:space="0" w:color="auto"/>
            <w:bottom w:val="none" w:sz="0" w:space="0" w:color="auto"/>
            <w:right w:val="none" w:sz="0" w:space="0" w:color="auto"/>
          </w:divBdr>
        </w:div>
        <w:div w:id="908229857">
          <w:marLeft w:val="0"/>
          <w:marRight w:val="0"/>
          <w:marTop w:val="0"/>
          <w:marBottom w:val="0"/>
          <w:divBdr>
            <w:top w:val="none" w:sz="0" w:space="0" w:color="auto"/>
            <w:left w:val="none" w:sz="0" w:space="0" w:color="auto"/>
            <w:bottom w:val="none" w:sz="0" w:space="0" w:color="auto"/>
            <w:right w:val="none" w:sz="0" w:space="0" w:color="auto"/>
          </w:divBdr>
        </w:div>
        <w:div w:id="1953395227">
          <w:marLeft w:val="0"/>
          <w:marRight w:val="0"/>
          <w:marTop w:val="0"/>
          <w:marBottom w:val="0"/>
          <w:divBdr>
            <w:top w:val="none" w:sz="0" w:space="0" w:color="auto"/>
            <w:left w:val="none" w:sz="0" w:space="0" w:color="auto"/>
            <w:bottom w:val="none" w:sz="0" w:space="0" w:color="auto"/>
            <w:right w:val="none" w:sz="0" w:space="0" w:color="auto"/>
          </w:divBdr>
        </w:div>
        <w:div w:id="521237811">
          <w:marLeft w:val="0"/>
          <w:marRight w:val="0"/>
          <w:marTop w:val="0"/>
          <w:marBottom w:val="0"/>
          <w:divBdr>
            <w:top w:val="none" w:sz="0" w:space="0" w:color="auto"/>
            <w:left w:val="none" w:sz="0" w:space="0" w:color="auto"/>
            <w:bottom w:val="none" w:sz="0" w:space="0" w:color="auto"/>
            <w:right w:val="none" w:sz="0" w:space="0" w:color="auto"/>
          </w:divBdr>
        </w:div>
        <w:div w:id="1034814524">
          <w:marLeft w:val="0"/>
          <w:marRight w:val="0"/>
          <w:marTop w:val="0"/>
          <w:marBottom w:val="0"/>
          <w:divBdr>
            <w:top w:val="none" w:sz="0" w:space="0" w:color="auto"/>
            <w:left w:val="none" w:sz="0" w:space="0" w:color="auto"/>
            <w:bottom w:val="none" w:sz="0" w:space="0" w:color="auto"/>
            <w:right w:val="none" w:sz="0" w:space="0" w:color="auto"/>
          </w:divBdr>
        </w:div>
        <w:div w:id="2139715775">
          <w:marLeft w:val="0"/>
          <w:marRight w:val="0"/>
          <w:marTop w:val="0"/>
          <w:marBottom w:val="0"/>
          <w:divBdr>
            <w:top w:val="none" w:sz="0" w:space="0" w:color="auto"/>
            <w:left w:val="none" w:sz="0" w:space="0" w:color="auto"/>
            <w:bottom w:val="none" w:sz="0" w:space="0" w:color="auto"/>
            <w:right w:val="none" w:sz="0" w:space="0" w:color="auto"/>
          </w:divBdr>
        </w:div>
        <w:div w:id="1794052788">
          <w:marLeft w:val="0"/>
          <w:marRight w:val="0"/>
          <w:marTop w:val="0"/>
          <w:marBottom w:val="0"/>
          <w:divBdr>
            <w:top w:val="none" w:sz="0" w:space="0" w:color="auto"/>
            <w:left w:val="none" w:sz="0" w:space="0" w:color="auto"/>
            <w:bottom w:val="none" w:sz="0" w:space="0" w:color="auto"/>
            <w:right w:val="none" w:sz="0" w:space="0" w:color="auto"/>
          </w:divBdr>
        </w:div>
        <w:div w:id="503983773">
          <w:marLeft w:val="0"/>
          <w:marRight w:val="0"/>
          <w:marTop w:val="0"/>
          <w:marBottom w:val="0"/>
          <w:divBdr>
            <w:top w:val="none" w:sz="0" w:space="0" w:color="auto"/>
            <w:left w:val="none" w:sz="0" w:space="0" w:color="auto"/>
            <w:bottom w:val="none" w:sz="0" w:space="0" w:color="auto"/>
            <w:right w:val="none" w:sz="0" w:space="0" w:color="auto"/>
          </w:divBdr>
        </w:div>
      </w:divsChild>
    </w:div>
    <w:div w:id="1538859092">
      <w:bodyDiv w:val="1"/>
      <w:marLeft w:val="0"/>
      <w:marRight w:val="0"/>
      <w:marTop w:val="0"/>
      <w:marBottom w:val="0"/>
      <w:divBdr>
        <w:top w:val="none" w:sz="0" w:space="0" w:color="auto"/>
        <w:left w:val="none" w:sz="0" w:space="0" w:color="auto"/>
        <w:bottom w:val="none" w:sz="0" w:space="0" w:color="auto"/>
        <w:right w:val="none" w:sz="0" w:space="0" w:color="auto"/>
      </w:divBdr>
    </w:div>
    <w:div w:id="1563102712">
      <w:bodyDiv w:val="1"/>
      <w:marLeft w:val="0"/>
      <w:marRight w:val="0"/>
      <w:marTop w:val="0"/>
      <w:marBottom w:val="0"/>
      <w:divBdr>
        <w:top w:val="none" w:sz="0" w:space="0" w:color="auto"/>
        <w:left w:val="none" w:sz="0" w:space="0" w:color="auto"/>
        <w:bottom w:val="none" w:sz="0" w:space="0" w:color="auto"/>
        <w:right w:val="none" w:sz="0" w:space="0" w:color="auto"/>
      </w:divBdr>
    </w:div>
    <w:div w:id="1570071185">
      <w:bodyDiv w:val="1"/>
      <w:marLeft w:val="0"/>
      <w:marRight w:val="0"/>
      <w:marTop w:val="0"/>
      <w:marBottom w:val="0"/>
      <w:divBdr>
        <w:top w:val="none" w:sz="0" w:space="0" w:color="auto"/>
        <w:left w:val="none" w:sz="0" w:space="0" w:color="auto"/>
        <w:bottom w:val="none" w:sz="0" w:space="0" w:color="auto"/>
        <w:right w:val="none" w:sz="0" w:space="0" w:color="auto"/>
      </w:divBdr>
      <w:divsChild>
        <w:div w:id="1727795880">
          <w:marLeft w:val="0"/>
          <w:marRight w:val="0"/>
          <w:marTop w:val="0"/>
          <w:marBottom w:val="0"/>
          <w:divBdr>
            <w:top w:val="none" w:sz="0" w:space="0" w:color="auto"/>
            <w:left w:val="none" w:sz="0" w:space="0" w:color="auto"/>
            <w:bottom w:val="none" w:sz="0" w:space="0" w:color="auto"/>
            <w:right w:val="none" w:sz="0" w:space="0" w:color="auto"/>
          </w:divBdr>
        </w:div>
        <w:div w:id="1022978549">
          <w:marLeft w:val="0"/>
          <w:marRight w:val="0"/>
          <w:marTop w:val="0"/>
          <w:marBottom w:val="0"/>
          <w:divBdr>
            <w:top w:val="none" w:sz="0" w:space="0" w:color="auto"/>
            <w:left w:val="none" w:sz="0" w:space="0" w:color="auto"/>
            <w:bottom w:val="none" w:sz="0" w:space="0" w:color="auto"/>
            <w:right w:val="none" w:sz="0" w:space="0" w:color="auto"/>
          </w:divBdr>
        </w:div>
        <w:div w:id="1914852906">
          <w:marLeft w:val="0"/>
          <w:marRight w:val="0"/>
          <w:marTop w:val="0"/>
          <w:marBottom w:val="0"/>
          <w:divBdr>
            <w:top w:val="none" w:sz="0" w:space="0" w:color="auto"/>
            <w:left w:val="none" w:sz="0" w:space="0" w:color="auto"/>
            <w:bottom w:val="none" w:sz="0" w:space="0" w:color="auto"/>
            <w:right w:val="none" w:sz="0" w:space="0" w:color="auto"/>
          </w:divBdr>
        </w:div>
        <w:div w:id="488911924">
          <w:marLeft w:val="0"/>
          <w:marRight w:val="0"/>
          <w:marTop w:val="0"/>
          <w:marBottom w:val="0"/>
          <w:divBdr>
            <w:top w:val="none" w:sz="0" w:space="0" w:color="auto"/>
            <w:left w:val="none" w:sz="0" w:space="0" w:color="auto"/>
            <w:bottom w:val="none" w:sz="0" w:space="0" w:color="auto"/>
            <w:right w:val="none" w:sz="0" w:space="0" w:color="auto"/>
          </w:divBdr>
        </w:div>
        <w:div w:id="1482623634">
          <w:marLeft w:val="0"/>
          <w:marRight w:val="0"/>
          <w:marTop w:val="0"/>
          <w:marBottom w:val="0"/>
          <w:divBdr>
            <w:top w:val="none" w:sz="0" w:space="0" w:color="auto"/>
            <w:left w:val="none" w:sz="0" w:space="0" w:color="auto"/>
            <w:bottom w:val="none" w:sz="0" w:space="0" w:color="auto"/>
            <w:right w:val="none" w:sz="0" w:space="0" w:color="auto"/>
          </w:divBdr>
        </w:div>
        <w:div w:id="106703919">
          <w:marLeft w:val="0"/>
          <w:marRight w:val="0"/>
          <w:marTop w:val="0"/>
          <w:marBottom w:val="0"/>
          <w:divBdr>
            <w:top w:val="none" w:sz="0" w:space="0" w:color="auto"/>
            <w:left w:val="none" w:sz="0" w:space="0" w:color="auto"/>
            <w:bottom w:val="none" w:sz="0" w:space="0" w:color="auto"/>
            <w:right w:val="none" w:sz="0" w:space="0" w:color="auto"/>
          </w:divBdr>
        </w:div>
        <w:div w:id="493765727">
          <w:marLeft w:val="0"/>
          <w:marRight w:val="0"/>
          <w:marTop w:val="0"/>
          <w:marBottom w:val="0"/>
          <w:divBdr>
            <w:top w:val="none" w:sz="0" w:space="0" w:color="auto"/>
            <w:left w:val="none" w:sz="0" w:space="0" w:color="auto"/>
            <w:bottom w:val="none" w:sz="0" w:space="0" w:color="auto"/>
            <w:right w:val="none" w:sz="0" w:space="0" w:color="auto"/>
          </w:divBdr>
        </w:div>
        <w:div w:id="434252810">
          <w:marLeft w:val="0"/>
          <w:marRight w:val="0"/>
          <w:marTop w:val="0"/>
          <w:marBottom w:val="0"/>
          <w:divBdr>
            <w:top w:val="none" w:sz="0" w:space="0" w:color="auto"/>
            <w:left w:val="none" w:sz="0" w:space="0" w:color="auto"/>
            <w:bottom w:val="none" w:sz="0" w:space="0" w:color="auto"/>
            <w:right w:val="none" w:sz="0" w:space="0" w:color="auto"/>
          </w:divBdr>
        </w:div>
        <w:div w:id="553929650">
          <w:marLeft w:val="0"/>
          <w:marRight w:val="0"/>
          <w:marTop w:val="0"/>
          <w:marBottom w:val="0"/>
          <w:divBdr>
            <w:top w:val="none" w:sz="0" w:space="0" w:color="auto"/>
            <w:left w:val="none" w:sz="0" w:space="0" w:color="auto"/>
            <w:bottom w:val="none" w:sz="0" w:space="0" w:color="auto"/>
            <w:right w:val="none" w:sz="0" w:space="0" w:color="auto"/>
          </w:divBdr>
        </w:div>
        <w:div w:id="387344022">
          <w:marLeft w:val="0"/>
          <w:marRight w:val="0"/>
          <w:marTop w:val="0"/>
          <w:marBottom w:val="0"/>
          <w:divBdr>
            <w:top w:val="none" w:sz="0" w:space="0" w:color="auto"/>
            <w:left w:val="none" w:sz="0" w:space="0" w:color="auto"/>
            <w:bottom w:val="none" w:sz="0" w:space="0" w:color="auto"/>
            <w:right w:val="none" w:sz="0" w:space="0" w:color="auto"/>
          </w:divBdr>
        </w:div>
        <w:div w:id="803739780">
          <w:marLeft w:val="0"/>
          <w:marRight w:val="0"/>
          <w:marTop w:val="0"/>
          <w:marBottom w:val="0"/>
          <w:divBdr>
            <w:top w:val="none" w:sz="0" w:space="0" w:color="auto"/>
            <w:left w:val="none" w:sz="0" w:space="0" w:color="auto"/>
            <w:bottom w:val="none" w:sz="0" w:space="0" w:color="auto"/>
            <w:right w:val="none" w:sz="0" w:space="0" w:color="auto"/>
          </w:divBdr>
        </w:div>
        <w:div w:id="369261853">
          <w:marLeft w:val="0"/>
          <w:marRight w:val="0"/>
          <w:marTop w:val="0"/>
          <w:marBottom w:val="0"/>
          <w:divBdr>
            <w:top w:val="none" w:sz="0" w:space="0" w:color="auto"/>
            <w:left w:val="none" w:sz="0" w:space="0" w:color="auto"/>
            <w:bottom w:val="none" w:sz="0" w:space="0" w:color="auto"/>
            <w:right w:val="none" w:sz="0" w:space="0" w:color="auto"/>
          </w:divBdr>
        </w:div>
        <w:div w:id="1946424680">
          <w:marLeft w:val="0"/>
          <w:marRight w:val="0"/>
          <w:marTop w:val="0"/>
          <w:marBottom w:val="0"/>
          <w:divBdr>
            <w:top w:val="none" w:sz="0" w:space="0" w:color="auto"/>
            <w:left w:val="none" w:sz="0" w:space="0" w:color="auto"/>
            <w:bottom w:val="none" w:sz="0" w:space="0" w:color="auto"/>
            <w:right w:val="none" w:sz="0" w:space="0" w:color="auto"/>
          </w:divBdr>
        </w:div>
        <w:div w:id="1117527602">
          <w:marLeft w:val="0"/>
          <w:marRight w:val="0"/>
          <w:marTop w:val="0"/>
          <w:marBottom w:val="0"/>
          <w:divBdr>
            <w:top w:val="none" w:sz="0" w:space="0" w:color="auto"/>
            <w:left w:val="none" w:sz="0" w:space="0" w:color="auto"/>
            <w:bottom w:val="none" w:sz="0" w:space="0" w:color="auto"/>
            <w:right w:val="none" w:sz="0" w:space="0" w:color="auto"/>
          </w:divBdr>
        </w:div>
        <w:div w:id="1648827407">
          <w:marLeft w:val="0"/>
          <w:marRight w:val="0"/>
          <w:marTop w:val="0"/>
          <w:marBottom w:val="0"/>
          <w:divBdr>
            <w:top w:val="none" w:sz="0" w:space="0" w:color="auto"/>
            <w:left w:val="none" w:sz="0" w:space="0" w:color="auto"/>
            <w:bottom w:val="none" w:sz="0" w:space="0" w:color="auto"/>
            <w:right w:val="none" w:sz="0" w:space="0" w:color="auto"/>
          </w:divBdr>
        </w:div>
        <w:div w:id="2103408658">
          <w:marLeft w:val="0"/>
          <w:marRight w:val="0"/>
          <w:marTop w:val="0"/>
          <w:marBottom w:val="0"/>
          <w:divBdr>
            <w:top w:val="none" w:sz="0" w:space="0" w:color="auto"/>
            <w:left w:val="none" w:sz="0" w:space="0" w:color="auto"/>
            <w:bottom w:val="none" w:sz="0" w:space="0" w:color="auto"/>
            <w:right w:val="none" w:sz="0" w:space="0" w:color="auto"/>
          </w:divBdr>
        </w:div>
        <w:div w:id="2036734576">
          <w:marLeft w:val="0"/>
          <w:marRight w:val="0"/>
          <w:marTop w:val="0"/>
          <w:marBottom w:val="0"/>
          <w:divBdr>
            <w:top w:val="none" w:sz="0" w:space="0" w:color="auto"/>
            <w:left w:val="none" w:sz="0" w:space="0" w:color="auto"/>
            <w:bottom w:val="none" w:sz="0" w:space="0" w:color="auto"/>
            <w:right w:val="none" w:sz="0" w:space="0" w:color="auto"/>
          </w:divBdr>
        </w:div>
        <w:div w:id="1214194619">
          <w:marLeft w:val="0"/>
          <w:marRight w:val="0"/>
          <w:marTop w:val="0"/>
          <w:marBottom w:val="0"/>
          <w:divBdr>
            <w:top w:val="none" w:sz="0" w:space="0" w:color="auto"/>
            <w:left w:val="none" w:sz="0" w:space="0" w:color="auto"/>
            <w:bottom w:val="none" w:sz="0" w:space="0" w:color="auto"/>
            <w:right w:val="none" w:sz="0" w:space="0" w:color="auto"/>
          </w:divBdr>
        </w:div>
        <w:div w:id="1374188411">
          <w:marLeft w:val="0"/>
          <w:marRight w:val="0"/>
          <w:marTop w:val="0"/>
          <w:marBottom w:val="0"/>
          <w:divBdr>
            <w:top w:val="none" w:sz="0" w:space="0" w:color="auto"/>
            <w:left w:val="none" w:sz="0" w:space="0" w:color="auto"/>
            <w:bottom w:val="none" w:sz="0" w:space="0" w:color="auto"/>
            <w:right w:val="none" w:sz="0" w:space="0" w:color="auto"/>
          </w:divBdr>
        </w:div>
        <w:div w:id="1837260780">
          <w:marLeft w:val="0"/>
          <w:marRight w:val="0"/>
          <w:marTop w:val="0"/>
          <w:marBottom w:val="0"/>
          <w:divBdr>
            <w:top w:val="none" w:sz="0" w:space="0" w:color="auto"/>
            <w:left w:val="none" w:sz="0" w:space="0" w:color="auto"/>
            <w:bottom w:val="none" w:sz="0" w:space="0" w:color="auto"/>
            <w:right w:val="none" w:sz="0" w:space="0" w:color="auto"/>
          </w:divBdr>
        </w:div>
        <w:div w:id="407464540">
          <w:marLeft w:val="0"/>
          <w:marRight w:val="0"/>
          <w:marTop w:val="0"/>
          <w:marBottom w:val="0"/>
          <w:divBdr>
            <w:top w:val="none" w:sz="0" w:space="0" w:color="auto"/>
            <w:left w:val="none" w:sz="0" w:space="0" w:color="auto"/>
            <w:bottom w:val="none" w:sz="0" w:space="0" w:color="auto"/>
            <w:right w:val="none" w:sz="0" w:space="0" w:color="auto"/>
          </w:divBdr>
        </w:div>
        <w:div w:id="1722974129">
          <w:marLeft w:val="0"/>
          <w:marRight w:val="0"/>
          <w:marTop w:val="0"/>
          <w:marBottom w:val="0"/>
          <w:divBdr>
            <w:top w:val="none" w:sz="0" w:space="0" w:color="auto"/>
            <w:left w:val="none" w:sz="0" w:space="0" w:color="auto"/>
            <w:bottom w:val="none" w:sz="0" w:space="0" w:color="auto"/>
            <w:right w:val="none" w:sz="0" w:space="0" w:color="auto"/>
          </w:divBdr>
        </w:div>
        <w:div w:id="1206259406">
          <w:marLeft w:val="0"/>
          <w:marRight w:val="0"/>
          <w:marTop w:val="0"/>
          <w:marBottom w:val="0"/>
          <w:divBdr>
            <w:top w:val="none" w:sz="0" w:space="0" w:color="auto"/>
            <w:left w:val="none" w:sz="0" w:space="0" w:color="auto"/>
            <w:bottom w:val="none" w:sz="0" w:space="0" w:color="auto"/>
            <w:right w:val="none" w:sz="0" w:space="0" w:color="auto"/>
          </w:divBdr>
        </w:div>
        <w:div w:id="70853236">
          <w:marLeft w:val="0"/>
          <w:marRight w:val="0"/>
          <w:marTop w:val="0"/>
          <w:marBottom w:val="0"/>
          <w:divBdr>
            <w:top w:val="none" w:sz="0" w:space="0" w:color="auto"/>
            <w:left w:val="none" w:sz="0" w:space="0" w:color="auto"/>
            <w:bottom w:val="none" w:sz="0" w:space="0" w:color="auto"/>
            <w:right w:val="none" w:sz="0" w:space="0" w:color="auto"/>
          </w:divBdr>
        </w:div>
        <w:div w:id="1249578259">
          <w:marLeft w:val="0"/>
          <w:marRight w:val="0"/>
          <w:marTop w:val="0"/>
          <w:marBottom w:val="0"/>
          <w:divBdr>
            <w:top w:val="none" w:sz="0" w:space="0" w:color="auto"/>
            <w:left w:val="none" w:sz="0" w:space="0" w:color="auto"/>
            <w:bottom w:val="none" w:sz="0" w:space="0" w:color="auto"/>
            <w:right w:val="none" w:sz="0" w:space="0" w:color="auto"/>
          </w:divBdr>
        </w:div>
        <w:div w:id="674769935">
          <w:marLeft w:val="0"/>
          <w:marRight w:val="0"/>
          <w:marTop w:val="0"/>
          <w:marBottom w:val="0"/>
          <w:divBdr>
            <w:top w:val="none" w:sz="0" w:space="0" w:color="auto"/>
            <w:left w:val="none" w:sz="0" w:space="0" w:color="auto"/>
            <w:bottom w:val="none" w:sz="0" w:space="0" w:color="auto"/>
            <w:right w:val="none" w:sz="0" w:space="0" w:color="auto"/>
          </w:divBdr>
        </w:div>
        <w:div w:id="1447768163">
          <w:marLeft w:val="0"/>
          <w:marRight w:val="0"/>
          <w:marTop w:val="0"/>
          <w:marBottom w:val="0"/>
          <w:divBdr>
            <w:top w:val="none" w:sz="0" w:space="0" w:color="auto"/>
            <w:left w:val="none" w:sz="0" w:space="0" w:color="auto"/>
            <w:bottom w:val="none" w:sz="0" w:space="0" w:color="auto"/>
            <w:right w:val="none" w:sz="0" w:space="0" w:color="auto"/>
          </w:divBdr>
        </w:div>
        <w:div w:id="1493640410">
          <w:marLeft w:val="0"/>
          <w:marRight w:val="0"/>
          <w:marTop w:val="0"/>
          <w:marBottom w:val="0"/>
          <w:divBdr>
            <w:top w:val="none" w:sz="0" w:space="0" w:color="auto"/>
            <w:left w:val="none" w:sz="0" w:space="0" w:color="auto"/>
            <w:bottom w:val="none" w:sz="0" w:space="0" w:color="auto"/>
            <w:right w:val="none" w:sz="0" w:space="0" w:color="auto"/>
          </w:divBdr>
        </w:div>
      </w:divsChild>
    </w:div>
    <w:div w:id="1642804985">
      <w:bodyDiv w:val="1"/>
      <w:marLeft w:val="0"/>
      <w:marRight w:val="0"/>
      <w:marTop w:val="0"/>
      <w:marBottom w:val="0"/>
      <w:divBdr>
        <w:top w:val="none" w:sz="0" w:space="0" w:color="auto"/>
        <w:left w:val="none" w:sz="0" w:space="0" w:color="auto"/>
        <w:bottom w:val="none" w:sz="0" w:space="0" w:color="auto"/>
        <w:right w:val="none" w:sz="0" w:space="0" w:color="auto"/>
      </w:divBdr>
      <w:divsChild>
        <w:div w:id="811101954">
          <w:marLeft w:val="0"/>
          <w:marRight w:val="0"/>
          <w:marTop w:val="0"/>
          <w:marBottom w:val="0"/>
          <w:divBdr>
            <w:top w:val="none" w:sz="0" w:space="0" w:color="auto"/>
            <w:left w:val="none" w:sz="0" w:space="0" w:color="auto"/>
            <w:bottom w:val="none" w:sz="0" w:space="0" w:color="auto"/>
            <w:right w:val="none" w:sz="0" w:space="0" w:color="auto"/>
          </w:divBdr>
        </w:div>
        <w:div w:id="1029143725">
          <w:marLeft w:val="0"/>
          <w:marRight w:val="0"/>
          <w:marTop w:val="0"/>
          <w:marBottom w:val="0"/>
          <w:divBdr>
            <w:top w:val="none" w:sz="0" w:space="0" w:color="auto"/>
            <w:left w:val="none" w:sz="0" w:space="0" w:color="auto"/>
            <w:bottom w:val="none" w:sz="0" w:space="0" w:color="auto"/>
            <w:right w:val="none" w:sz="0" w:space="0" w:color="auto"/>
          </w:divBdr>
        </w:div>
        <w:div w:id="893735431">
          <w:marLeft w:val="0"/>
          <w:marRight w:val="0"/>
          <w:marTop w:val="0"/>
          <w:marBottom w:val="0"/>
          <w:divBdr>
            <w:top w:val="none" w:sz="0" w:space="0" w:color="auto"/>
            <w:left w:val="none" w:sz="0" w:space="0" w:color="auto"/>
            <w:bottom w:val="none" w:sz="0" w:space="0" w:color="auto"/>
            <w:right w:val="none" w:sz="0" w:space="0" w:color="auto"/>
          </w:divBdr>
        </w:div>
        <w:div w:id="2014991044">
          <w:marLeft w:val="0"/>
          <w:marRight w:val="0"/>
          <w:marTop w:val="0"/>
          <w:marBottom w:val="0"/>
          <w:divBdr>
            <w:top w:val="none" w:sz="0" w:space="0" w:color="auto"/>
            <w:left w:val="none" w:sz="0" w:space="0" w:color="auto"/>
            <w:bottom w:val="none" w:sz="0" w:space="0" w:color="auto"/>
            <w:right w:val="none" w:sz="0" w:space="0" w:color="auto"/>
          </w:divBdr>
        </w:div>
        <w:div w:id="1214586742">
          <w:marLeft w:val="0"/>
          <w:marRight w:val="0"/>
          <w:marTop w:val="0"/>
          <w:marBottom w:val="0"/>
          <w:divBdr>
            <w:top w:val="none" w:sz="0" w:space="0" w:color="auto"/>
            <w:left w:val="none" w:sz="0" w:space="0" w:color="auto"/>
            <w:bottom w:val="none" w:sz="0" w:space="0" w:color="auto"/>
            <w:right w:val="none" w:sz="0" w:space="0" w:color="auto"/>
          </w:divBdr>
        </w:div>
        <w:div w:id="30768513">
          <w:marLeft w:val="0"/>
          <w:marRight w:val="0"/>
          <w:marTop w:val="0"/>
          <w:marBottom w:val="0"/>
          <w:divBdr>
            <w:top w:val="none" w:sz="0" w:space="0" w:color="auto"/>
            <w:left w:val="none" w:sz="0" w:space="0" w:color="auto"/>
            <w:bottom w:val="none" w:sz="0" w:space="0" w:color="auto"/>
            <w:right w:val="none" w:sz="0" w:space="0" w:color="auto"/>
          </w:divBdr>
        </w:div>
        <w:div w:id="2015767150">
          <w:marLeft w:val="0"/>
          <w:marRight w:val="0"/>
          <w:marTop w:val="0"/>
          <w:marBottom w:val="0"/>
          <w:divBdr>
            <w:top w:val="none" w:sz="0" w:space="0" w:color="auto"/>
            <w:left w:val="none" w:sz="0" w:space="0" w:color="auto"/>
            <w:bottom w:val="none" w:sz="0" w:space="0" w:color="auto"/>
            <w:right w:val="none" w:sz="0" w:space="0" w:color="auto"/>
          </w:divBdr>
        </w:div>
        <w:div w:id="1663197752">
          <w:marLeft w:val="0"/>
          <w:marRight w:val="0"/>
          <w:marTop w:val="0"/>
          <w:marBottom w:val="0"/>
          <w:divBdr>
            <w:top w:val="none" w:sz="0" w:space="0" w:color="auto"/>
            <w:left w:val="none" w:sz="0" w:space="0" w:color="auto"/>
            <w:bottom w:val="none" w:sz="0" w:space="0" w:color="auto"/>
            <w:right w:val="none" w:sz="0" w:space="0" w:color="auto"/>
          </w:divBdr>
        </w:div>
        <w:div w:id="778528915">
          <w:marLeft w:val="0"/>
          <w:marRight w:val="0"/>
          <w:marTop w:val="0"/>
          <w:marBottom w:val="0"/>
          <w:divBdr>
            <w:top w:val="none" w:sz="0" w:space="0" w:color="auto"/>
            <w:left w:val="none" w:sz="0" w:space="0" w:color="auto"/>
            <w:bottom w:val="none" w:sz="0" w:space="0" w:color="auto"/>
            <w:right w:val="none" w:sz="0" w:space="0" w:color="auto"/>
          </w:divBdr>
        </w:div>
        <w:div w:id="60447634">
          <w:marLeft w:val="0"/>
          <w:marRight w:val="0"/>
          <w:marTop w:val="0"/>
          <w:marBottom w:val="0"/>
          <w:divBdr>
            <w:top w:val="none" w:sz="0" w:space="0" w:color="auto"/>
            <w:left w:val="none" w:sz="0" w:space="0" w:color="auto"/>
            <w:bottom w:val="none" w:sz="0" w:space="0" w:color="auto"/>
            <w:right w:val="none" w:sz="0" w:space="0" w:color="auto"/>
          </w:divBdr>
        </w:div>
        <w:div w:id="626467946">
          <w:marLeft w:val="0"/>
          <w:marRight w:val="0"/>
          <w:marTop w:val="0"/>
          <w:marBottom w:val="0"/>
          <w:divBdr>
            <w:top w:val="none" w:sz="0" w:space="0" w:color="auto"/>
            <w:left w:val="none" w:sz="0" w:space="0" w:color="auto"/>
            <w:bottom w:val="none" w:sz="0" w:space="0" w:color="auto"/>
            <w:right w:val="none" w:sz="0" w:space="0" w:color="auto"/>
          </w:divBdr>
        </w:div>
        <w:div w:id="301270318">
          <w:marLeft w:val="0"/>
          <w:marRight w:val="0"/>
          <w:marTop w:val="0"/>
          <w:marBottom w:val="0"/>
          <w:divBdr>
            <w:top w:val="none" w:sz="0" w:space="0" w:color="auto"/>
            <w:left w:val="none" w:sz="0" w:space="0" w:color="auto"/>
            <w:bottom w:val="none" w:sz="0" w:space="0" w:color="auto"/>
            <w:right w:val="none" w:sz="0" w:space="0" w:color="auto"/>
          </w:divBdr>
        </w:div>
        <w:div w:id="1217082419">
          <w:marLeft w:val="0"/>
          <w:marRight w:val="0"/>
          <w:marTop w:val="0"/>
          <w:marBottom w:val="0"/>
          <w:divBdr>
            <w:top w:val="none" w:sz="0" w:space="0" w:color="auto"/>
            <w:left w:val="none" w:sz="0" w:space="0" w:color="auto"/>
            <w:bottom w:val="none" w:sz="0" w:space="0" w:color="auto"/>
            <w:right w:val="none" w:sz="0" w:space="0" w:color="auto"/>
          </w:divBdr>
        </w:div>
        <w:div w:id="640580507">
          <w:marLeft w:val="0"/>
          <w:marRight w:val="0"/>
          <w:marTop w:val="0"/>
          <w:marBottom w:val="0"/>
          <w:divBdr>
            <w:top w:val="none" w:sz="0" w:space="0" w:color="auto"/>
            <w:left w:val="none" w:sz="0" w:space="0" w:color="auto"/>
            <w:bottom w:val="none" w:sz="0" w:space="0" w:color="auto"/>
            <w:right w:val="none" w:sz="0" w:space="0" w:color="auto"/>
          </w:divBdr>
        </w:div>
        <w:div w:id="97221126">
          <w:marLeft w:val="0"/>
          <w:marRight w:val="0"/>
          <w:marTop w:val="0"/>
          <w:marBottom w:val="0"/>
          <w:divBdr>
            <w:top w:val="none" w:sz="0" w:space="0" w:color="auto"/>
            <w:left w:val="none" w:sz="0" w:space="0" w:color="auto"/>
            <w:bottom w:val="none" w:sz="0" w:space="0" w:color="auto"/>
            <w:right w:val="none" w:sz="0" w:space="0" w:color="auto"/>
          </w:divBdr>
        </w:div>
      </w:divsChild>
    </w:div>
    <w:div w:id="1675298757">
      <w:bodyDiv w:val="1"/>
      <w:marLeft w:val="0"/>
      <w:marRight w:val="0"/>
      <w:marTop w:val="0"/>
      <w:marBottom w:val="0"/>
      <w:divBdr>
        <w:top w:val="none" w:sz="0" w:space="0" w:color="auto"/>
        <w:left w:val="none" w:sz="0" w:space="0" w:color="auto"/>
        <w:bottom w:val="none" w:sz="0" w:space="0" w:color="auto"/>
        <w:right w:val="none" w:sz="0" w:space="0" w:color="auto"/>
      </w:divBdr>
    </w:div>
    <w:div w:id="1679382942">
      <w:bodyDiv w:val="1"/>
      <w:marLeft w:val="0"/>
      <w:marRight w:val="0"/>
      <w:marTop w:val="0"/>
      <w:marBottom w:val="0"/>
      <w:divBdr>
        <w:top w:val="none" w:sz="0" w:space="0" w:color="auto"/>
        <w:left w:val="none" w:sz="0" w:space="0" w:color="auto"/>
        <w:bottom w:val="none" w:sz="0" w:space="0" w:color="auto"/>
        <w:right w:val="none" w:sz="0" w:space="0" w:color="auto"/>
      </w:divBdr>
      <w:divsChild>
        <w:div w:id="394820072">
          <w:marLeft w:val="0"/>
          <w:marRight w:val="0"/>
          <w:marTop w:val="0"/>
          <w:marBottom w:val="0"/>
          <w:divBdr>
            <w:top w:val="none" w:sz="0" w:space="0" w:color="auto"/>
            <w:left w:val="none" w:sz="0" w:space="0" w:color="auto"/>
            <w:bottom w:val="none" w:sz="0" w:space="0" w:color="auto"/>
            <w:right w:val="none" w:sz="0" w:space="0" w:color="auto"/>
          </w:divBdr>
        </w:div>
        <w:div w:id="1866749765">
          <w:marLeft w:val="0"/>
          <w:marRight w:val="0"/>
          <w:marTop w:val="0"/>
          <w:marBottom w:val="0"/>
          <w:divBdr>
            <w:top w:val="none" w:sz="0" w:space="0" w:color="auto"/>
            <w:left w:val="none" w:sz="0" w:space="0" w:color="auto"/>
            <w:bottom w:val="none" w:sz="0" w:space="0" w:color="auto"/>
            <w:right w:val="none" w:sz="0" w:space="0" w:color="auto"/>
          </w:divBdr>
        </w:div>
        <w:div w:id="273295633">
          <w:marLeft w:val="0"/>
          <w:marRight w:val="0"/>
          <w:marTop w:val="0"/>
          <w:marBottom w:val="0"/>
          <w:divBdr>
            <w:top w:val="none" w:sz="0" w:space="0" w:color="auto"/>
            <w:left w:val="none" w:sz="0" w:space="0" w:color="auto"/>
            <w:bottom w:val="none" w:sz="0" w:space="0" w:color="auto"/>
            <w:right w:val="none" w:sz="0" w:space="0" w:color="auto"/>
          </w:divBdr>
        </w:div>
        <w:div w:id="265623627">
          <w:marLeft w:val="0"/>
          <w:marRight w:val="0"/>
          <w:marTop w:val="0"/>
          <w:marBottom w:val="0"/>
          <w:divBdr>
            <w:top w:val="none" w:sz="0" w:space="0" w:color="auto"/>
            <w:left w:val="none" w:sz="0" w:space="0" w:color="auto"/>
            <w:bottom w:val="none" w:sz="0" w:space="0" w:color="auto"/>
            <w:right w:val="none" w:sz="0" w:space="0" w:color="auto"/>
          </w:divBdr>
        </w:div>
        <w:div w:id="35738117">
          <w:marLeft w:val="0"/>
          <w:marRight w:val="0"/>
          <w:marTop w:val="0"/>
          <w:marBottom w:val="0"/>
          <w:divBdr>
            <w:top w:val="none" w:sz="0" w:space="0" w:color="auto"/>
            <w:left w:val="none" w:sz="0" w:space="0" w:color="auto"/>
            <w:bottom w:val="none" w:sz="0" w:space="0" w:color="auto"/>
            <w:right w:val="none" w:sz="0" w:space="0" w:color="auto"/>
          </w:divBdr>
        </w:div>
        <w:div w:id="974945369">
          <w:marLeft w:val="0"/>
          <w:marRight w:val="0"/>
          <w:marTop w:val="0"/>
          <w:marBottom w:val="0"/>
          <w:divBdr>
            <w:top w:val="none" w:sz="0" w:space="0" w:color="auto"/>
            <w:left w:val="none" w:sz="0" w:space="0" w:color="auto"/>
            <w:bottom w:val="none" w:sz="0" w:space="0" w:color="auto"/>
            <w:right w:val="none" w:sz="0" w:space="0" w:color="auto"/>
          </w:divBdr>
        </w:div>
        <w:div w:id="232669926">
          <w:marLeft w:val="0"/>
          <w:marRight w:val="0"/>
          <w:marTop w:val="0"/>
          <w:marBottom w:val="0"/>
          <w:divBdr>
            <w:top w:val="none" w:sz="0" w:space="0" w:color="auto"/>
            <w:left w:val="none" w:sz="0" w:space="0" w:color="auto"/>
            <w:bottom w:val="none" w:sz="0" w:space="0" w:color="auto"/>
            <w:right w:val="none" w:sz="0" w:space="0" w:color="auto"/>
          </w:divBdr>
        </w:div>
        <w:div w:id="140081926">
          <w:marLeft w:val="0"/>
          <w:marRight w:val="0"/>
          <w:marTop w:val="0"/>
          <w:marBottom w:val="0"/>
          <w:divBdr>
            <w:top w:val="none" w:sz="0" w:space="0" w:color="auto"/>
            <w:left w:val="none" w:sz="0" w:space="0" w:color="auto"/>
            <w:bottom w:val="none" w:sz="0" w:space="0" w:color="auto"/>
            <w:right w:val="none" w:sz="0" w:space="0" w:color="auto"/>
          </w:divBdr>
        </w:div>
        <w:div w:id="847255934">
          <w:marLeft w:val="0"/>
          <w:marRight w:val="0"/>
          <w:marTop w:val="0"/>
          <w:marBottom w:val="0"/>
          <w:divBdr>
            <w:top w:val="none" w:sz="0" w:space="0" w:color="auto"/>
            <w:left w:val="none" w:sz="0" w:space="0" w:color="auto"/>
            <w:bottom w:val="none" w:sz="0" w:space="0" w:color="auto"/>
            <w:right w:val="none" w:sz="0" w:space="0" w:color="auto"/>
          </w:divBdr>
        </w:div>
        <w:div w:id="2110272321">
          <w:marLeft w:val="0"/>
          <w:marRight w:val="0"/>
          <w:marTop w:val="0"/>
          <w:marBottom w:val="0"/>
          <w:divBdr>
            <w:top w:val="none" w:sz="0" w:space="0" w:color="auto"/>
            <w:left w:val="none" w:sz="0" w:space="0" w:color="auto"/>
            <w:bottom w:val="none" w:sz="0" w:space="0" w:color="auto"/>
            <w:right w:val="none" w:sz="0" w:space="0" w:color="auto"/>
          </w:divBdr>
        </w:div>
        <w:div w:id="1840270074">
          <w:marLeft w:val="0"/>
          <w:marRight w:val="0"/>
          <w:marTop w:val="0"/>
          <w:marBottom w:val="0"/>
          <w:divBdr>
            <w:top w:val="none" w:sz="0" w:space="0" w:color="auto"/>
            <w:left w:val="none" w:sz="0" w:space="0" w:color="auto"/>
            <w:bottom w:val="none" w:sz="0" w:space="0" w:color="auto"/>
            <w:right w:val="none" w:sz="0" w:space="0" w:color="auto"/>
          </w:divBdr>
        </w:div>
        <w:div w:id="160581587">
          <w:marLeft w:val="0"/>
          <w:marRight w:val="0"/>
          <w:marTop w:val="0"/>
          <w:marBottom w:val="0"/>
          <w:divBdr>
            <w:top w:val="none" w:sz="0" w:space="0" w:color="auto"/>
            <w:left w:val="none" w:sz="0" w:space="0" w:color="auto"/>
            <w:bottom w:val="none" w:sz="0" w:space="0" w:color="auto"/>
            <w:right w:val="none" w:sz="0" w:space="0" w:color="auto"/>
          </w:divBdr>
        </w:div>
        <w:div w:id="18357165">
          <w:marLeft w:val="0"/>
          <w:marRight w:val="0"/>
          <w:marTop w:val="0"/>
          <w:marBottom w:val="0"/>
          <w:divBdr>
            <w:top w:val="none" w:sz="0" w:space="0" w:color="auto"/>
            <w:left w:val="none" w:sz="0" w:space="0" w:color="auto"/>
            <w:bottom w:val="none" w:sz="0" w:space="0" w:color="auto"/>
            <w:right w:val="none" w:sz="0" w:space="0" w:color="auto"/>
          </w:divBdr>
        </w:div>
        <w:div w:id="1581329370">
          <w:marLeft w:val="0"/>
          <w:marRight w:val="0"/>
          <w:marTop w:val="0"/>
          <w:marBottom w:val="0"/>
          <w:divBdr>
            <w:top w:val="none" w:sz="0" w:space="0" w:color="auto"/>
            <w:left w:val="none" w:sz="0" w:space="0" w:color="auto"/>
            <w:bottom w:val="none" w:sz="0" w:space="0" w:color="auto"/>
            <w:right w:val="none" w:sz="0" w:space="0" w:color="auto"/>
          </w:divBdr>
        </w:div>
        <w:div w:id="1425491954">
          <w:marLeft w:val="0"/>
          <w:marRight w:val="0"/>
          <w:marTop w:val="0"/>
          <w:marBottom w:val="0"/>
          <w:divBdr>
            <w:top w:val="none" w:sz="0" w:space="0" w:color="auto"/>
            <w:left w:val="none" w:sz="0" w:space="0" w:color="auto"/>
            <w:bottom w:val="none" w:sz="0" w:space="0" w:color="auto"/>
            <w:right w:val="none" w:sz="0" w:space="0" w:color="auto"/>
          </w:divBdr>
        </w:div>
        <w:div w:id="874150171">
          <w:marLeft w:val="0"/>
          <w:marRight w:val="0"/>
          <w:marTop w:val="0"/>
          <w:marBottom w:val="0"/>
          <w:divBdr>
            <w:top w:val="none" w:sz="0" w:space="0" w:color="auto"/>
            <w:left w:val="none" w:sz="0" w:space="0" w:color="auto"/>
            <w:bottom w:val="none" w:sz="0" w:space="0" w:color="auto"/>
            <w:right w:val="none" w:sz="0" w:space="0" w:color="auto"/>
          </w:divBdr>
        </w:div>
        <w:div w:id="1016154527">
          <w:marLeft w:val="0"/>
          <w:marRight w:val="0"/>
          <w:marTop w:val="0"/>
          <w:marBottom w:val="0"/>
          <w:divBdr>
            <w:top w:val="none" w:sz="0" w:space="0" w:color="auto"/>
            <w:left w:val="none" w:sz="0" w:space="0" w:color="auto"/>
            <w:bottom w:val="none" w:sz="0" w:space="0" w:color="auto"/>
            <w:right w:val="none" w:sz="0" w:space="0" w:color="auto"/>
          </w:divBdr>
        </w:div>
        <w:div w:id="1900626985">
          <w:marLeft w:val="0"/>
          <w:marRight w:val="0"/>
          <w:marTop w:val="0"/>
          <w:marBottom w:val="0"/>
          <w:divBdr>
            <w:top w:val="none" w:sz="0" w:space="0" w:color="auto"/>
            <w:left w:val="none" w:sz="0" w:space="0" w:color="auto"/>
            <w:bottom w:val="none" w:sz="0" w:space="0" w:color="auto"/>
            <w:right w:val="none" w:sz="0" w:space="0" w:color="auto"/>
          </w:divBdr>
        </w:div>
        <w:div w:id="1942444615">
          <w:marLeft w:val="0"/>
          <w:marRight w:val="0"/>
          <w:marTop w:val="0"/>
          <w:marBottom w:val="0"/>
          <w:divBdr>
            <w:top w:val="none" w:sz="0" w:space="0" w:color="auto"/>
            <w:left w:val="none" w:sz="0" w:space="0" w:color="auto"/>
            <w:bottom w:val="none" w:sz="0" w:space="0" w:color="auto"/>
            <w:right w:val="none" w:sz="0" w:space="0" w:color="auto"/>
          </w:divBdr>
        </w:div>
        <w:div w:id="2133789291">
          <w:marLeft w:val="0"/>
          <w:marRight w:val="0"/>
          <w:marTop w:val="0"/>
          <w:marBottom w:val="0"/>
          <w:divBdr>
            <w:top w:val="none" w:sz="0" w:space="0" w:color="auto"/>
            <w:left w:val="none" w:sz="0" w:space="0" w:color="auto"/>
            <w:bottom w:val="none" w:sz="0" w:space="0" w:color="auto"/>
            <w:right w:val="none" w:sz="0" w:space="0" w:color="auto"/>
          </w:divBdr>
        </w:div>
        <w:div w:id="881212020">
          <w:marLeft w:val="0"/>
          <w:marRight w:val="0"/>
          <w:marTop w:val="0"/>
          <w:marBottom w:val="0"/>
          <w:divBdr>
            <w:top w:val="none" w:sz="0" w:space="0" w:color="auto"/>
            <w:left w:val="none" w:sz="0" w:space="0" w:color="auto"/>
            <w:bottom w:val="none" w:sz="0" w:space="0" w:color="auto"/>
            <w:right w:val="none" w:sz="0" w:space="0" w:color="auto"/>
          </w:divBdr>
        </w:div>
        <w:div w:id="225117256">
          <w:marLeft w:val="0"/>
          <w:marRight w:val="0"/>
          <w:marTop w:val="0"/>
          <w:marBottom w:val="0"/>
          <w:divBdr>
            <w:top w:val="none" w:sz="0" w:space="0" w:color="auto"/>
            <w:left w:val="none" w:sz="0" w:space="0" w:color="auto"/>
            <w:bottom w:val="none" w:sz="0" w:space="0" w:color="auto"/>
            <w:right w:val="none" w:sz="0" w:space="0" w:color="auto"/>
          </w:divBdr>
        </w:div>
        <w:div w:id="1299647314">
          <w:marLeft w:val="0"/>
          <w:marRight w:val="0"/>
          <w:marTop w:val="0"/>
          <w:marBottom w:val="0"/>
          <w:divBdr>
            <w:top w:val="none" w:sz="0" w:space="0" w:color="auto"/>
            <w:left w:val="none" w:sz="0" w:space="0" w:color="auto"/>
            <w:bottom w:val="none" w:sz="0" w:space="0" w:color="auto"/>
            <w:right w:val="none" w:sz="0" w:space="0" w:color="auto"/>
          </w:divBdr>
        </w:div>
        <w:div w:id="1303923148">
          <w:marLeft w:val="0"/>
          <w:marRight w:val="0"/>
          <w:marTop w:val="0"/>
          <w:marBottom w:val="0"/>
          <w:divBdr>
            <w:top w:val="none" w:sz="0" w:space="0" w:color="auto"/>
            <w:left w:val="none" w:sz="0" w:space="0" w:color="auto"/>
            <w:bottom w:val="none" w:sz="0" w:space="0" w:color="auto"/>
            <w:right w:val="none" w:sz="0" w:space="0" w:color="auto"/>
          </w:divBdr>
        </w:div>
        <w:div w:id="908464834">
          <w:marLeft w:val="0"/>
          <w:marRight w:val="0"/>
          <w:marTop w:val="0"/>
          <w:marBottom w:val="0"/>
          <w:divBdr>
            <w:top w:val="none" w:sz="0" w:space="0" w:color="auto"/>
            <w:left w:val="none" w:sz="0" w:space="0" w:color="auto"/>
            <w:bottom w:val="none" w:sz="0" w:space="0" w:color="auto"/>
            <w:right w:val="none" w:sz="0" w:space="0" w:color="auto"/>
          </w:divBdr>
        </w:div>
        <w:div w:id="980765487">
          <w:marLeft w:val="0"/>
          <w:marRight w:val="0"/>
          <w:marTop w:val="0"/>
          <w:marBottom w:val="0"/>
          <w:divBdr>
            <w:top w:val="none" w:sz="0" w:space="0" w:color="auto"/>
            <w:left w:val="none" w:sz="0" w:space="0" w:color="auto"/>
            <w:bottom w:val="none" w:sz="0" w:space="0" w:color="auto"/>
            <w:right w:val="none" w:sz="0" w:space="0" w:color="auto"/>
          </w:divBdr>
        </w:div>
        <w:div w:id="1949652387">
          <w:marLeft w:val="0"/>
          <w:marRight w:val="0"/>
          <w:marTop w:val="0"/>
          <w:marBottom w:val="0"/>
          <w:divBdr>
            <w:top w:val="none" w:sz="0" w:space="0" w:color="auto"/>
            <w:left w:val="none" w:sz="0" w:space="0" w:color="auto"/>
            <w:bottom w:val="none" w:sz="0" w:space="0" w:color="auto"/>
            <w:right w:val="none" w:sz="0" w:space="0" w:color="auto"/>
          </w:divBdr>
        </w:div>
      </w:divsChild>
    </w:div>
    <w:div w:id="1705321742">
      <w:bodyDiv w:val="1"/>
      <w:marLeft w:val="0"/>
      <w:marRight w:val="0"/>
      <w:marTop w:val="0"/>
      <w:marBottom w:val="0"/>
      <w:divBdr>
        <w:top w:val="none" w:sz="0" w:space="0" w:color="auto"/>
        <w:left w:val="none" w:sz="0" w:space="0" w:color="auto"/>
        <w:bottom w:val="none" w:sz="0" w:space="0" w:color="auto"/>
        <w:right w:val="none" w:sz="0" w:space="0" w:color="auto"/>
      </w:divBdr>
    </w:div>
    <w:div w:id="1719087836">
      <w:bodyDiv w:val="1"/>
      <w:marLeft w:val="0"/>
      <w:marRight w:val="0"/>
      <w:marTop w:val="0"/>
      <w:marBottom w:val="0"/>
      <w:divBdr>
        <w:top w:val="none" w:sz="0" w:space="0" w:color="auto"/>
        <w:left w:val="none" w:sz="0" w:space="0" w:color="auto"/>
        <w:bottom w:val="none" w:sz="0" w:space="0" w:color="auto"/>
        <w:right w:val="none" w:sz="0" w:space="0" w:color="auto"/>
      </w:divBdr>
      <w:divsChild>
        <w:div w:id="2099518379">
          <w:marLeft w:val="0"/>
          <w:marRight w:val="0"/>
          <w:marTop w:val="0"/>
          <w:marBottom w:val="0"/>
          <w:divBdr>
            <w:top w:val="none" w:sz="0" w:space="0" w:color="auto"/>
            <w:left w:val="none" w:sz="0" w:space="0" w:color="auto"/>
            <w:bottom w:val="none" w:sz="0" w:space="0" w:color="auto"/>
            <w:right w:val="none" w:sz="0" w:space="0" w:color="auto"/>
          </w:divBdr>
        </w:div>
        <w:div w:id="176384508">
          <w:marLeft w:val="0"/>
          <w:marRight w:val="0"/>
          <w:marTop w:val="0"/>
          <w:marBottom w:val="0"/>
          <w:divBdr>
            <w:top w:val="none" w:sz="0" w:space="0" w:color="auto"/>
            <w:left w:val="none" w:sz="0" w:space="0" w:color="auto"/>
            <w:bottom w:val="none" w:sz="0" w:space="0" w:color="auto"/>
            <w:right w:val="none" w:sz="0" w:space="0" w:color="auto"/>
          </w:divBdr>
        </w:div>
        <w:div w:id="344093853">
          <w:marLeft w:val="0"/>
          <w:marRight w:val="0"/>
          <w:marTop w:val="0"/>
          <w:marBottom w:val="0"/>
          <w:divBdr>
            <w:top w:val="none" w:sz="0" w:space="0" w:color="auto"/>
            <w:left w:val="none" w:sz="0" w:space="0" w:color="auto"/>
            <w:bottom w:val="none" w:sz="0" w:space="0" w:color="auto"/>
            <w:right w:val="none" w:sz="0" w:space="0" w:color="auto"/>
          </w:divBdr>
        </w:div>
      </w:divsChild>
    </w:div>
    <w:div w:id="1721322445">
      <w:bodyDiv w:val="1"/>
      <w:marLeft w:val="0"/>
      <w:marRight w:val="0"/>
      <w:marTop w:val="0"/>
      <w:marBottom w:val="0"/>
      <w:divBdr>
        <w:top w:val="none" w:sz="0" w:space="0" w:color="auto"/>
        <w:left w:val="none" w:sz="0" w:space="0" w:color="auto"/>
        <w:bottom w:val="none" w:sz="0" w:space="0" w:color="auto"/>
        <w:right w:val="none" w:sz="0" w:space="0" w:color="auto"/>
      </w:divBdr>
    </w:div>
    <w:div w:id="1741706535">
      <w:bodyDiv w:val="1"/>
      <w:marLeft w:val="0"/>
      <w:marRight w:val="0"/>
      <w:marTop w:val="0"/>
      <w:marBottom w:val="0"/>
      <w:divBdr>
        <w:top w:val="none" w:sz="0" w:space="0" w:color="auto"/>
        <w:left w:val="none" w:sz="0" w:space="0" w:color="auto"/>
        <w:bottom w:val="none" w:sz="0" w:space="0" w:color="auto"/>
        <w:right w:val="none" w:sz="0" w:space="0" w:color="auto"/>
      </w:divBdr>
      <w:divsChild>
        <w:div w:id="1561404619">
          <w:marLeft w:val="0"/>
          <w:marRight w:val="0"/>
          <w:marTop w:val="0"/>
          <w:marBottom w:val="0"/>
          <w:divBdr>
            <w:top w:val="none" w:sz="0" w:space="0" w:color="auto"/>
            <w:left w:val="none" w:sz="0" w:space="0" w:color="auto"/>
            <w:bottom w:val="none" w:sz="0" w:space="0" w:color="auto"/>
            <w:right w:val="none" w:sz="0" w:space="0" w:color="auto"/>
          </w:divBdr>
        </w:div>
        <w:div w:id="59787476">
          <w:marLeft w:val="0"/>
          <w:marRight w:val="0"/>
          <w:marTop w:val="0"/>
          <w:marBottom w:val="0"/>
          <w:divBdr>
            <w:top w:val="none" w:sz="0" w:space="0" w:color="auto"/>
            <w:left w:val="none" w:sz="0" w:space="0" w:color="auto"/>
            <w:bottom w:val="none" w:sz="0" w:space="0" w:color="auto"/>
            <w:right w:val="none" w:sz="0" w:space="0" w:color="auto"/>
          </w:divBdr>
        </w:div>
        <w:div w:id="117379148">
          <w:marLeft w:val="0"/>
          <w:marRight w:val="0"/>
          <w:marTop w:val="0"/>
          <w:marBottom w:val="0"/>
          <w:divBdr>
            <w:top w:val="none" w:sz="0" w:space="0" w:color="auto"/>
            <w:left w:val="none" w:sz="0" w:space="0" w:color="auto"/>
            <w:bottom w:val="none" w:sz="0" w:space="0" w:color="auto"/>
            <w:right w:val="none" w:sz="0" w:space="0" w:color="auto"/>
          </w:divBdr>
        </w:div>
        <w:div w:id="1183469805">
          <w:marLeft w:val="0"/>
          <w:marRight w:val="0"/>
          <w:marTop w:val="0"/>
          <w:marBottom w:val="0"/>
          <w:divBdr>
            <w:top w:val="none" w:sz="0" w:space="0" w:color="auto"/>
            <w:left w:val="none" w:sz="0" w:space="0" w:color="auto"/>
            <w:bottom w:val="none" w:sz="0" w:space="0" w:color="auto"/>
            <w:right w:val="none" w:sz="0" w:space="0" w:color="auto"/>
          </w:divBdr>
        </w:div>
        <w:div w:id="1144272384">
          <w:marLeft w:val="0"/>
          <w:marRight w:val="0"/>
          <w:marTop w:val="0"/>
          <w:marBottom w:val="0"/>
          <w:divBdr>
            <w:top w:val="none" w:sz="0" w:space="0" w:color="auto"/>
            <w:left w:val="none" w:sz="0" w:space="0" w:color="auto"/>
            <w:bottom w:val="none" w:sz="0" w:space="0" w:color="auto"/>
            <w:right w:val="none" w:sz="0" w:space="0" w:color="auto"/>
          </w:divBdr>
        </w:div>
        <w:div w:id="787116092">
          <w:marLeft w:val="0"/>
          <w:marRight w:val="0"/>
          <w:marTop w:val="0"/>
          <w:marBottom w:val="0"/>
          <w:divBdr>
            <w:top w:val="none" w:sz="0" w:space="0" w:color="auto"/>
            <w:left w:val="none" w:sz="0" w:space="0" w:color="auto"/>
            <w:bottom w:val="none" w:sz="0" w:space="0" w:color="auto"/>
            <w:right w:val="none" w:sz="0" w:space="0" w:color="auto"/>
          </w:divBdr>
        </w:div>
        <w:div w:id="1339818206">
          <w:marLeft w:val="0"/>
          <w:marRight w:val="0"/>
          <w:marTop w:val="0"/>
          <w:marBottom w:val="0"/>
          <w:divBdr>
            <w:top w:val="none" w:sz="0" w:space="0" w:color="auto"/>
            <w:left w:val="none" w:sz="0" w:space="0" w:color="auto"/>
            <w:bottom w:val="none" w:sz="0" w:space="0" w:color="auto"/>
            <w:right w:val="none" w:sz="0" w:space="0" w:color="auto"/>
          </w:divBdr>
        </w:div>
        <w:div w:id="1477995020">
          <w:marLeft w:val="0"/>
          <w:marRight w:val="0"/>
          <w:marTop w:val="0"/>
          <w:marBottom w:val="0"/>
          <w:divBdr>
            <w:top w:val="none" w:sz="0" w:space="0" w:color="auto"/>
            <w:left w:val="none" w:sz="0" w:space="0" w:color="auto"/>
            <w:bottom w:val="none" w:sz="0" w:space="0" w:color="auto"/>
            <w:right w:val="none" w:sz="0" w:space="0" w:color="auto"/>
          </w:divBdr>
        </w:div>
        <w:div w:id="2057272780">
          <w:marLeft w:val="0"/>
          <w:marRight w:val="0"/>
          <w:marTop w:val="0"/>
          <w:marBottom w:val="0"/>
          <w:divBdr>
            <w:top w:val="none" w:sz="0" w:space="0" w:color="auto"/>
            <w:left w:val="none" w:sz="0" w:space="0" w:color="auto"/>
            <w:bottom w:val="none" w:sz="0" w:space="0" w:color="auto"/>
            <w:right w:val="none" w:sz="0" w:space="0" w:color="auto"/>
          </w:divBdr>
        </w:div>
        <w:div w:id="940456727">
          <w:marLeft w:val="0"/>
          <w:marRight w:val="0"/>
          <w:marTop w:val="0"/>
          <w:marBottom w:val="0"/>
          <w:divBdr>
            <w:top w:val="none" w:sz="0" w:space="0" w:color="auto"/>
            <w:left w:val="none" w:sz="0" w:space="0" w:color="auto"/>
            <w:bottom w:val="none" w:sz="0" w:space="0" w:color="auto"/>
            <w:right w:val="none" w:sz="0" w:space="0" w:color="auto"/>
          </w:divBdr>
        </w:div>
        <w:div w:id="1790733713">
          <w:marLeft w:val="0"/>
          <w:marRight w:val="0"/>
          <w:marTop w:val="0"/>
          <w:marBottom w:val="0"/>
          <w:divBdr>
            <w:top w:val="none" w:sz="0" w:space="0" w:color="auto"/>
            <w:left w:val="none" w:sz="0" w:space="0" w:color="auto"/>
            <w:bottom w:val="none" w:sz="0" w:space="0" w:color="auto"/>
            <w:right w:val="none" w:sz="0" w:space="0" w:color="auto"/>
          </w:divBdr>
        </w:div>
        <w:div w:id="1864853842">
          <w:marLeft w:val="0"/>
          <w:marRight w:val="0"/>
          <w:marTop w:val="0"/>
          <w:marBottom w:val="0"/>
          <w:divBdr>
            <w:top w:val="none" w:sz="0" w:space="0" w:color="auto"/>
            <w:left w:val="none" w:sz="0" w:space="0" w:color="auto"/>
            <w:bottom w:val="none" w:sz="0" w:space="0" w:color="auto"/>
            <w:right w:val="none" w:sz="0" w:space="0" w:color="auto"/>
          </w:divBdr>
        </w:div>
        <w:div w:id="342129606">
          <w:marLeft w:val="0"/>
          <w:marRight w:val="0"/>
          <w:marTop w:val="0"/>
          <w:marBottom w:val="0"/>
          <w:divBdr>
            <w:top w:val="none" w:sz="0" w:space="0" w:color="auto"/>
            <w:left w:val="none" w:sz="0" w:space="0" w:color="auto"/>
            <w:bottom w:val="none" w:sz="0" w:space="0" w:color="auto"/>
            <w:right w:val="none" w:sz="0" w:space="0" w:color="auto"/>
          </w:divBdr>
        </w:div>
        <w:div w:id="2135127081">
          <w:marLeft w:val="0"/>
          <w:marRight w:val="0"/>
          <w:marTop w:val="0"/>
          <w:marBottom w:val="0"/>
          <w:divBdr>
            <w:top w:val="none" w:sz="0" w:space="0" w:color="auto"/>
            <w:left w:val="none" w:sz="0" w:space="0" w:color="auto"/>
            <w:bottom w:val="none" w:sz="0" w:space="0" w:color="auto"/>
            <w:right w:val="none" w:sz="0" w:space="0" w:color="auto"/>
          </w:divBdr>
        </w:div>
        <w:div w:id="1952857014">
          <w:marLeft w:val="0"/>
          <w:marRight w:val="0"/>
          <w:marTop w:val="0"/>
          <w:marBottom w:val="0"/>
          <w:divBdr>
            <w:top w:val="none" w:sz="0" w:space="0" w:color="auto"/>
            <w:left w:val="none" w:sz="0" w:space="0" w:color="auto"/>
            <w:bottom w:val="none" w:sz="0" w:space="0" w:color="auto"/>
            <w:right w:val="none" w:sz="0" w:space="0" w:color="auto"/>
          </w:divBdr>
        </w:div>
        <w:div w:id="1440879359">
          <w:marLeft w:val="0"/>
          <w:marRight w:val="0"/>
          <w:marTop w:val="0"/>
          <w:marBottom w:val="0"/>
          <w:divBdr>
            <w:top w:val="none" w:sz="0" w:space="0" w:color="auto"/>
            <w:left w:val="none" w:sz="0" w:space="0" w:color="auto"/>
            <w:bottom w:val="none" w:sz="0" w:space="0" w:color="auto"/>
            <w:right w:val="none" w:sz="0" w:space="0" w:color="auto"/>
          </w:divBdr>
        </w:div>
        <w:div w:id="1328629524">
          <w:marLeft w:val="0"/>
          <w:marRight w:val="0"/>
          <w:marTop w:val="0"/>
          <w:marBottom w:val="0"/>
          <w:divBdr>
            <w:top w:val="none" w:sz="0" w:space="0" w:color="auto"/>
            <w:left w:val="none" w:sz="0" w:space="0" w:color="auto"/>
            <w:bottom w:val="none" w:sz="0" w:space="0" w:color="auto"/>
            <w:right w:val="none" w:sz="0" w:space="0" w:color="auto"/>
          </w:divBdr>
        </w:div>
        <w:div w:id="1749304626">
          <w:marLeft w:val="0"/>
          <w:marRight w:val="0"/>
          <w:marTop w:val="0"/>
          <w:marBottom w:val="0"/>
          <w:divBdr>
            <w:top w:val="none" w:sz="0" w:space="0" w:color="auto"/>
            <w:left w:val="none" w:sz="0" w:space="0" w:color="auto"/>
            <w:bottom w:val="none" w:sz="0" w:space="0" w:color="auto"/>
            <w:right w:val="none" w:sz="0" w:space="0" w:color="auto"/>
          </w:divBdr>
        </w:div>
        <w:div w:id="1037699429">
          <w:marLeft w:val="0"/>
          <w:marRight w:val="0"/>
          <w:marTop w:val="0"/>
          <w:marBottom w:val="0"/>
          <w:divBdr>
            <w:top w:val="none" w:sz="0" w:space="0" w:color="auto"/>
            <w:left w:val="none" w:sz="0" w:space="0" w:color="auto"/>
            <w:bottom w:val="none" w:sz="0" w:space="0" w:color="auto"/>
            <w:right w:val="none" w:sz="0" w:space="0" w:color="auto"/>
          </w:divBdr>
        </w:div>
        <w:div w:id="2102024963">
          <w:marLeft w:val="0"/>
          <w:marRight w:val="0"/>
          <w:marTop w:val="0"/>
          <w:marBottom w:val="0"/>
          <w:divBdr>
            <w:top w:val="none" w:sz="0" w:space="0" w:color="auto"/>
            <w:left w:val="none" w:sz="0" w:space="0" w:color="auto"/>
            <w:bottom w:val="none" w:sz="0" w:space="0" w:color="auto"/>
            <w:right w:val="none" w:sz="0" w:space="0" w:color="auto"/>
          </w:divBdr>
        </w:div>
        <w:div w:id="469175550">
          <w:marLeft w:val="0"/>
          <w:marRight w:val="0"/>
          <w:marTop w:val="0"/>
          <w:marBottom w:val="0"/>
          <w:divBdr>
            <w:top w:val="none" w:sz="0" w:space="0" w:color="auto"/>
            <w:left w:val="none" w:sz="0" w:space="0" w:color="auto"/>
            <w:bottom w:val="none" w:sz="0" w:space="0" w:color="auto"/>
            <w:right w:val="none" w:sz="0" w:space="0" w:color="auto"/>
          </w:divBdr>
        </w:div>
        <w:div w:id="1776901839">
          <w:marLeft w:val="0"/>
          <w:marRight w:val="0"/>
          <w:marTop w:val="0"/>
          <w:marBottom w:val="0"/>
          <w:divBdr>
            <w:top w:val="none" w:sz="0" w:space="0" w:color="auto"/>
            <w:left w:val="none" w:sz="0" w:space="0" w:color="auto"/>
            <w:bottom w:val="none" w:sz="0" w:space="0" w:color="auto"/>
            <w:right w:val="none" w:sz="0" w:space="0" w:color="auto"/>
          </w:divBdr>
        </w:div>
        <w:div w:id="1347756709">
          <w:marLeft w:val="0"/>
          <w:marRight w:val="0"/>
          <w:marTop w:val="0"/>
          <w:marBottom w:val="0"/>
          <w:divBdr>
            <w:top w:val="none" w:sz="0" w:space="0" w:color="auto"/>
            <w:left w:val="none" w:sz="0" w:space="0" w:color="auto"/>
            <w:bottom w:val="none" w:sz="0" w:space="0" w:color="auto"/>
            <w:right w:val="none" w:sz="0" w:space="0" w:color="auto"/>
          </w:divBdr>
        </w:div>
        <w:div w:id="902519509">
          <w:marLeft w:val="0"/>
          <w:marRight w:val="0"/>
          <w:marTop w:val="0"/>
          <w:marBottom w:val="0"/>
          <w:divBdr>
            <w:top w:val="none" w:sz="0" w:space="0" w:color="auto"/>
            <w:left w:val="none" w:sz="0" w:space="0" w:color="auto"/>
            <w:bottom w:val="none" w:sz="0" w:space="0" w:color="auto"/>
            <w:right w:val="none" w:sz="0" w:space="0" w:color="auto"/>
          </w:divBdr>
        </w:div>
        <w:div w:id="1299726390">
          <w:marLeft w:val="0"/>
          <w:marRight w:val="0"/>
          <w:marTop w:val="0"/>
          <w:marBottom w:val="0"/>
          <w:divBdr>
            <w:top w:val="none" w:sz="0" w:space="0" w:color="auto"/>
            <w:left w:val="none" w:sz="0" w:space="0" w:color="auto"/>
            <w:bottom w:val="none" w:sz="0" w:space="0" w:color="auto"/>
            <w:right w:val="none" w:sz="0" w:space="0" w:color="auto"/>
          </w:divBdr>
        </w:div>
      </w:divsChild>
    </w:div>
    <w:div w:id="1789549163">
      <w:bodyDiv w:val="1"/>
      <w:marLeft w:val="0"/>
      <w:marRight w:val="0"/>
      <w:marTop w:val="0"/>
      <w:marBottom w:val="0"/>
      <w:divBdr>
        <w:top w:val="none" w:sz="0" w:space="0" w:color="auto"/>
        <w:left w:val="none" w:sz="0" w:space="0" w:color="auto"/>
        <w:bottom w:val="none" w:sz="0" w:space="0" w:color="auto"/>
        <w:right w:val="none" w:sz="0" w:space="0" w:color="auto"/>
      </w:divBdr>
    </w:div>
    <w:div w:id="1815442481">
      <w:bodyDiv w:val="1"/>
      <w:marLeft w:val="0"/>
      <w:marRight w:val="0"/>
      <w:marTop w:val="0"/>
      <w:marBottom w:val="0"/>
      <w:divBdr>
        <w:top w:val="none" w:sz="0" w:space="0" w:color="auto"/>
        <w:left w:val="none" w:sz="0" w:space="0" w:color="auto"/>
        <w:bottom w:val="none" w:sz="0" w:space="0" w:color="auto"/>
        <w:right w:val="none" w:sz="0" w:space="0" w:color="auto"/>
      </w:divBdr>
    </w:div>
    <w:div w:id="1838568416">
      <w:bodyDiv w:val="1"/>
      <w:marLeft w:val="0"/>
      <w:marRight w:val="0"/>
      <w:marTop w:val="0"/>
      <w:marBottom w:val="0"/>
      <w:divBdr>
        <w:top w:val="none" w:sz="0" w:space="0" w:color="auto"/>
        <w:left w:val="none" w:sz="0" w:space="0" w:color="auto"/>
        <w:bottom w:val="none" w:sz="0" w:space="0" w:color="auto"/>
        <w:right w:val="none" w:sz="0" w:space="0" w:color="auto"/>
      </w:divBdr>
    </w:div>
    <w:div w:id="1859853001">
      <w:bodyDiv w:val="1"/>
      <w:marLeft w:val="0"/>
      <w:marRight w:val="0"/>
      <w:marTop w:val="0"/>
      <w:marBottom w:val="0"/>
      <w:divBdr>
        <w:top w:val="none" w:sz="0" w:space="0" w:color="auto"/>
        <w:left w:val="none" w:sz="0" w:space="0" w:color="auto"/>
        <w:bottom w:val="none" w:sz="0" w:space="0" w:color="auto"/>
        <w:right w:val="none" w:sz="0" w:space="0" w:color="auto"/>
      </w:divBdr>
    </w:div>
    <w:div w:id="1880624591">
      <w:bodyDiv w:val="1"/>
      <w:marLeft w:val="0"/>
      <w:marRight w:val="0"/>
      <w:marTop w:val="0"/>
      <w:marBottom w:val="0"/>
      <w:divBdr>
        <w:top w:val="none" w:sz="0" w:space="0" w:color="auto"/>
        <w:left w:val="none" w:sz="0" w:space="0" w:color="auto"/>
        <w:bottom w:val="none" w:sz="0" w:space="0" w:color="auto"/>
        <w:right w:val="none" w:sz="0" w:space="0" w:color="auto"/>
      </w:divBdr>
    </w:div>
    <w:div w:id="1922181407">
      <w:bodyDiv w:val="1"/>
      <w:marLeft w:val="0"/>
      <w:marRight w:val="0"/>
      <w:marTop w:val="0"/>
      <w:marBottom w:val="0"/>
      <w:divBdr>
        <w:top w:val="none" w:sz="0" w:space="0" w:color="auto"/>
        <w:left w:val="none" w:sz="0" w:space="0" w:color="auto"/>
        <w:bottom w:val="none" w:sz="0" w:space="0" w:color="auto"/>
        <w:right w:val="none" w:sz="0" w:space="0" w:color="auto"/>
      </w:divBdr>
    </w:div>
    <w:div w:id="1989749368">
      <w:bodyDiv w:val="1"/>
      <w:marLeft w:val="0"/>
      <w:marRight w:val="0"/>
      <w:marTop w:val="0"/>
      <w:marBottom w:val="0"/>
      <w:divBdr>
        <w:top w:val="none" w:sz="0" w:space="0" w:color="auto"/>
        <w:left w:val="none" w:sz="0" w:space="0" w:color="auto"/>
        <w:bottom w:val="none" w:sz="0" w:space="0" w:color="auto"/>
        <w:right w:val="none" w:sz="0" w:space="0" w:color="auto"/>
      </w:divBdr>
    </w:div>
    <w:div w:id="1999259264">
      <w:bodyDiv w:val="1"/>
      <w:marLeft w:val="0"/>
      <w:marRight w:val="0"/>
      <w:marTop w:val="0"/>
      <w:marBottom w:val="0"/>
      <w:divBdr>
        <w:top w:val="none" w:sz="0" w:space="0" w:color="auto"/>
        <w:left w:val="none" w:sz="0" w:space="0" w:color="auto"/>
        <w:bottom w:val="none" w:sz="0" w:space="0" w:color="auto"/>
        <w:right w:val="none" w:sz="0" w:space="0" w:color="auto"/>
      </w:divBdr>
    </w:div>
    <w:div w:id="2055612729">
      <w:bodyDiv w:val="1"/>
      <w:marLeft w:val="0"/>
      <w:marRight w:val="0"/>
      <w:marTop w:val="0"/>
      <w:marBottom w:val="0"/>
      <w:divBdr>
        <w:top w:val="none" w:sz="0" w:space="0" w:color="auto"/>
        <w:left w:val="none" w:sz="0" w:space="0" w:color="auto"/>
        <w:bottom w:val="none" w:sz="0" w:space="0" w:color="auto"/>
        <w:right w:val="none" w:sz="0" w:space="0" w:color="auto"/>
      </w:divBdr>
    </w:div>
    <w:div w:id="2060585854">
      <w:bodyDiv w:val="1"/>
      <w:marLeft w:val="0"/>
      <w:marRight w:val="0"/>
      <w:marTop w:val="0"/>
      <w:marBottom w:val="0"/>
      <w:divBdr>
        <w:top w:val="none" w:sz="0" w:space="0" w:color="auto"/>
        <w:left w:val="none" w:sz="0" w:space="0" w:color="auto"/>
        <w:bottom w:val="none" w:sz="0" w:space="0" w:color="auto"/>
        <w:right w:val="none" w:sz="0" w:space="0" w:color="auto"/>
      </w:divBdr>
    </w:div>
    <w:div w:id="2064475214">
      <w:bodyDiv w:val="1"/>
      <w:marLeft w:val="0"/>
      <w:marRight w:val="0"/>
      <w:marTop w:val="0"/>
      <w:marBottom w:val="0"/>
      <w:divBdr>
        <w:top w:val="none" w:sz="0" w:space="0" w:color="auto"/>
        <w:left w:val="none" w:sz="0" w:space="0" w:color="auto"/>
        <w:bottom w:val="none" w:sz="0" w:space="0" w:color="auto"/>
        <w:right w:val="none" w:sz="0" w:space="0" w:color="auto"/>
      </w:divBdr>
    </w:div>
    <w:div w:id="2110076982">
      <w:bodyDiv w:val="1"/>
      <w:marLeft w:val="0"/>
      <w:marRight w:val="0"/>
      <w:marTop w:val="0"/>
      <w:marBottom w:val="0"/>
      <w:divBdr>
        <w:top w:val="none" w:sz="0" w:space="0" w:color="auto"/>
        <w:left w:val="none" w:sz="0" w:space="0" w:color="auto"/>
        <w:bottom w:val="none" w:sz="0" w:space="0" w:color="auto"/>
        <w:right w:val="none" w:sz="0" w:space="0" w:color="auto"/>
      </w:divBdr>
    </w:div>
    <w:div w:id="2132819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23.xml"/><Relationship Id="rId21" Type="http://schemas.openxmlformats.org/officeDocument/2006/relationships/header" Target="header7.xml"/><Relationship Id="rId42" Type="http://schemas.openxmlformats.org/officeDocument/2006/relationships/hyperlink" Target="https://www.geelongaustralia.com.au/common/public/documents/agenda-maps/Chapter_19_Report_Maps.pdf" TargetMode="External"/><Relationship Id="rId63" Type="http://schemas.openxmlformats.org/officeDocument/2006/relationships/hyperlink" Target="http://www.environment.gov.au/cgi-bin/sprat/public/publicshowcommunity.pl?id=42" TargetMode="External"/><Relationship Id="rId84" Type="http://schemas.openxmlformats.org/officeDocument/2006/relationships/hyperlink" Target="https://www.geelongaustralia.com.au/common/public/documents/agenda-maps/Chapter_23_Report_Maps.pdf" TargetMode="External"/><Relationship Id="rId138" Type="http://schemas.openxmlformats.org/officeDocument/2006/relationships/hyperlink" Target="https://www.geelongaustralia.com.au/common/public/documents/agenda-maps/Chapter_19_Report_Maps.pdf" TargetMode="External"/><Relationship Id="rId159" Type="http://schemas.openxmlformats.org/officeDocument/2006/relationships/hyperlink" Target="http://www.environment.gov.au/cgi-bin/sprat/public/publicspecies.pl?taxon_id=26177" TargetMode="External"/><Relationship Id="rId107" Type="http://schemas.openxmlformats.org/officeDocument/2006/relationships/footer" Target="footer29.xml"/><Relationship Id="rId11" Type="http://schemas.openxmlformats.org/officeDocument/2006/relationships/header" Target="header2.xml"/><Relationship Id="rId32" Type="http://schemas.openxmlformats.org/officeDocument/2006/relationships/image" Target="media/image8.png"/><Relationship Id="rId53" Type="http://schemas.openxmlformats.org/officeDocument/2006/relationships/hyperlink" Target="https://www.geelongaustralia.com.au/common/public/documents/agenda-maps/Chapter_19_Report_Maps.pdf" TargetMode="External"/><Relationship Id="rId74" Type="http://schemas.openxmlformats.org/officeDocument/2006/relationships/footer" Target="footer15.xml"/><Relationship Id="rId128" Type="http://schemas.openxmlformats.org/officeDocument/2006/relationships/header" Target="header32.xml"/><Relationship Id="rId149" Type="http://schemas.openxmlformats.org/officeDocument/2006/relationships/hyperlink" Target="https://www.environment.gov.au/cgi-bin/sprat/public/publicspecies.pl?taxon_id=86380" TargetMode="External"/><Relationship Id="rId5" Type="http://schemas.openxmlformats.org/officeDocument/2006/relationships/webSettings" Target="webSettings.xml"/><Relationship Id="rId95" Type="http://schemas.openxmlformats.org/officeDocument/2006/relationships/header" Target="header14.xml"/><Relationship Id="rId160" Type="http://schemas.openxmlformats.org/officeDocument/2006/relationships/hyperlink" Target="https://www.geelongaustralia.com.au/common/public/documents/agenda-maps/Chapter_19_Report_Maps.pdf" TargetMode="External"/><Relationship Id="rId22" Type="http://schemas.openxmlformats.org/officeDocument/2006/relationships/header" Target="header8.xml"/><Relationship Id="rId43" Type="http://schemas.openxmlformats.org/officeDocument/2006/relationships/hyperlink" Target="https://www.geelongaustralia.com.au/common/public/documents/agenda-maps/Chapter_19_Report_Maps.pdf" TargetMode="External"/><Relationship Id="rId64" Type="http://schemas.openxmlformats.org/officeDocument/2006/relationships/hyperlink" Target="https://www.geelongaustralia.com.au/common/public/documents/agenda-maps/Chapter_21_Report_Maps.pdf" TargetMode="External"/><Relationship Id="rId118" Type="http://schemas.openxmlformats.org/officeDocument/2006/relationships/header" Target="header24.xml"/><Relationship Id="rId139" Type="http://schemas.openxmlformats.org/officeDocument/2006/relationships/hyperlink" Target="http://www.environment.gov.au/cgi-bin/sprat/public/publicspecies.pl?taxon_id=862" TargetMode="External"/><Relationship Id="rId85" Type="http://schemas.openxmlformats.org/officeDocument/2006/relationships/hyperlink" Target="https://www.geelongaustralia.com.au/common/public/documents/agenda-maps/Chapter_23_Report_Maps.pdf" TargetMode="External"/><Relationship Id="rId150" Type="http://schemas.openxmlformats.org/officeDocument/2006/relationships/hyperlink" Target="https://www.geelongaustralia.com.au/common/public/documents/agenda-maps/Chapter_19_Report_Maps.pdf" TargetMode="Externa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9.png"/><Relationship Id="rId38" Type="http://schemas.openxmlformats.org/officeDocument/2006/relationships/hyperlink" Target="https://www.geelongaustralia.com.au/common/public/documents/agenda-maps/Chapter_19_Report_Maps.pdf" TargetMode="External"/><Relationship Id="rId59" Type="http://schemas.openxmlformats.org/officeDocument/2006/relationships/hyperlink" Target="https://www.geelongaustralia.com.au/common/public/documents/agenda-maps/Chapter_20_Report_Maps.pdf" TargetMode="External"/><Relationship Id="rId103" Type="http://schemas.openxmlformats.org/officeDocument/2006/relationships/footer" Target="footer25.xml"/><Relationship Id="rId108" Type="http://schemas.openxmlformats.org/officeDocument/2006/relationships/header" Target="header17.xml"/><Relationship Id="rId124" Type="http://schemas.openxmlformats.org/officeDocument/2006/relationships/header" Target="header28.xml"/><Relationship Id="rId129" Type="http://schemas.openxmlformats.org/officeDocument/2006/relationships/hyperlink" Target="http://www.environment.gov.au/cgi-bin/sprat/public/publicspecies.pl?taxon_id=1001" TargetMode="External"/><Relationship Id="rId54" Type="http://schemas.openxmlformats.org/officeDocument/2006/relationships/hyperlink" Target="https://www.geelongaustralia.com.au/common/public/documents/agenda-maps/Chapter_19_Report_Maps.pdf" TargetMode="External"/><Relationship Id="rId70" Type="http://schemas.openxmlformats.org/officeDocument/2006/relationships/hyperlink" Target="https://www.geelongaustralia.com.au/common/public/documents/agenda-maps/Chapter_22_Report_Maps.pdf" TargetMode="External"/><Relationship Id="rId75" Type="http://schemas.openxmlformats.org/officeDocument/2006/relationships/footer" Target="footer16.xml"/><Relationship Id="rId91" Type="http://schemas.openxmlformats.org/officeDocument/2006/relationships/footer" Target="footer20.xml"/><Relationship Id="rId96" Type="http://schemas.openxmlformats.org/officeDocument/2006/relationships/hyperlink" Target="https://www.geelongaustralia.com.au/common/public/documents/agenda-maps/Chapter_23_Report_Maps.pdf" TargetMode="External"/><Relationship Id="rId140" Type="http://schemas.openxmlformats.org/officeDocument/2006/relationships/hyperlink" Target="https://www.geelongaustralia.com.au/common/public/documents/agenda-maps/Chapter_19_Report_Maps.pdf" TargetMode="External"/><Relationship Id="rId145" Type="http://schemas.openxmlformats.org/officeDocument/2006/relationships/hyperlink" Target="http://www.environment.gov.au/cgi-bin/sprat/public/publicspecies.pl?taxon_id=747" TargetMode="External"/><Relationship Id="rId161" Type="http://schemas.openxmlformats.org/officeDocument/2006/relationships/header" Target="header36.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6.xml"/><Relationship Id="rId28" Type="http://schemas.openxmlformats.org/officeDocument/2006/relationships/hyperlink" Target="https://www.geelongaustralia.com.au/common/public/documents/agenda-maps/Chapter_19_Report_Maps.pdf" TargetMode="External"/><Relationship Id="rId49" Type="http://schemas.openxmlformats.org/officeDocument/2006/relationships/hyperlink" Target="https://www.geelongaustralia.com.au/common/public/documents/agenda-maps/Chapter_19_Report_Maps.pdf" TargetMode="External"/><Relationship Id="rId114" Type="http://schemas.openxmlformats.org/officeDocument/2006/relationships/header" Target="header21.xml"/><Relationship Id="rId119" Type="http://schemas.openxmlformats.org/officeDocument/2006/relationships/footer" Target="footer33.xml"/><Relationship Id="rId44" Type="http://schemas.openxmlformats.org/officeDocument/2006/relationships/hyperlink" Target="https://www.geelongaustralia.com.au/common/public/documents/agenda-maps/Chapter_19_Report_Maps.pdf" TargetMode="External"/><Relationship Id="rId60" Type="http://schemas.openxmlformats.org/officeDocument/2006/relationships/hyperlink" Target="https://www.geelongaustralia.com.au/common/public/documents/agenda-maps/Chapter_20_Report_Maps.pdf" TargetMode="External"/><Relationship Id="rId65" Type="http://schemas.openxmlformats.org/officeDocument/2006/relationships/hyperlink" Target="https://www.geelongaustralia.com.au/common/public/documents/agenda-maps/Chapter_21_Report_Maps.pdf" TargetMode="External"/><Relationship Id="rId81" Type="http://schemas.openxmlformats.org/officeDocument/2006/relationships/hyperlink" Target="https://www.geelongaustralia.com.au/common/public/documents/agenda-maps/Chapter_23_Report_Maps.pdf" TargetMode="External"/><Relationship Id="rId86" Type="http://schemas.openxmlformats.org/officeDocument/2006/relationships/hyperlink" Target="https://www.geelongaustralia.com.au/common/public/documents/agenda-maps/Chapter_23_Report_Maps.pdf" TargetMode="External"/><Relationship Id="rId130" Type="http://schemas.openxmlformats.org/officeDocument/2006/relationships/hyperlink" Target="https://www.geelongaustralia.com.au/common/public/documents/agenda-maps/Chapter_19_Report_Maps.pdf" TargetMode="External"/><Relationship Id="rId135" Type="http://schemas.openxmlformats.org/officeDocument/2006/relationships/hyperlink" Target="http://www.environment.gov.au/cgi-bin/sprat/public/publicspecies.pl?taxon_id=856" TargetMode="External"/><Relationship Id="rId151" Type="http://schemas.openxmlformats.org/officeDocument/2006/relationships/header" Target="header33.xml"/><Relationship Id="rId156" Type="http://schemas.openxmlformats.org/officeDocument/2006/relationships/hyperlink" Target="https://www.geelongaustralia.com.au/common/public/documents/agenda-maps/Chapter_19_Report_Maps.pdf" TargetMode="Externa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hyperlink" Target="https://www.geelongaustralia.com.au/common/public/documents/agenda-maps/Chapter_19_Report_Maps.pdf" TargetMode="External"/><Relationship Id="rId109" Type="http://schemas.openxmlformats.org/officeDocument/2006/relationships/footer" Target="footer30.xml"/><Relationship Id="rId34" Type="http://schemas.openxmlformats.org/officeDocument/2006/relationships/hyperlink" Target="https://www.geelongaustralia.com.au/common/public/documents/agenda-maps/Chapter_19_Report_Maps.pdf" TargetMode="External"/><Relationship Id="rId50" Type="http://schemas.openxmlformats.org/officeDocument/2006/relationships/hyperlink" Target="https://www.geelongaustralia.com.au/common/public/documents/agenda-maps/Chapter_19_Report_Maps.pdf" TargetMode="External"/><Relationship Id="rId55" Type="http://schemas.openxmlformats.org/officeDocument/2006/relationships/footer" Target="footer7.xml"/><Relationship Id="rId76" Type="http://schemas.openxmlformats.org/officeDocument/2006/relationships/footer" Target="footer17.xml"/><Relationship Id="rId97" Type="http://schemas.openxmlformats.org/officeDocument/2006/relationships/header" Target="header15.xml"/><Relationship Id="rId104" Type="http://schemas.openxmlformats.org/officeDocument/2006/relationships/footer" Target="footer26.xml"/><Relationship Id="rId120" Type="http://schemas.openxmlformats.org/officeDocument/2006/relationships/header" Target="header25.xml"/><Relationship Id="rId125" Type="http://schemas.openxmlformats.org/officeDocument/2006/relationships/header" Target="header29.xml"/><Relationship Id="rId141" Type="http://schemas.openxmlformats.org/officeDocument/2006/relationships/hyperlink" Target="http://www.environment.gov.au/cgi-bin/sprat/public/publicspecies.pl?taxon_id=877" TargetMode="External"/><Relationship Id="rId146" Type="http://schemas.openxmlformats.org/officeDocument/2006/relationships/hyperlink" Target="https://www.geelongaustralia.com.au/common/public/documents/agenda-maps/Chapter_19_Report_Maps.pdf" TargetMode="External"/><Relationship Id="rId16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yperlink" Target="https://www.geelongaustralia.com.au/common/public/documents/agenda-maps/Chapter_22_Report_Maps.pdf" TargetMode="External"/><Relationship Id="rId92" Type="http://schemas.openxmlformats.org/officeDocument/2006/relationships/header" Target="header12.xml"/><Relationship Id="rId162" Type="http://schemas.openxmlformats.org/officeDocument/2006/relationships/footer" Target="footer36.xml"/><Relationship Id="rId2" Type="http://schemas.openxmlformats.org/officeDocument/2006/relationships/numbering" Target="numbering.xml"/><Relationship Id="rId29" Type="http://schemas.openxmlformats.org/officeDocument/2006/relationships/hyperlink" Target="https://www.geelongaustralia.com.au/common/public/documents/agenda-maps/Chapter_19_Report_Maps.pdf" TargetMode="External"/><Relationship Id="rId24" Type="http://schemas.openxmlformats.org/officeDocument/2006/relationships/hyperlink" Target="https://www.geelongaustralia.com.au/common/public/documents/agenda-maps/Chapter_19_Report_Maps.pdf" TargetMode="External"/><Relationship Id="rId40" Type="http://schemas.openxmlformats.org/officeDocument/2006/relationships/hyperlink" Target="https://www.geelongaustralia.com.au/common/public/documents/agenda-maps/Chapter_3_Report_Maps.pdf" TargetMode="External"/><Relationship Id="rId45" Type="http://schemas.openxmlformats.org/officeDocument/2006/relationships/hyperlink" Target="https://www.geelongaustralia.com.au/common/public/documents/agenda-maps/Chapter_19_Report_Maps.pdf" TargetMode="External"/><Relationship Id="rId66" Type="http://schemas.openxmlformats.org/officeDocument/2006/relationships/footer" Target="footer12.xml"/><Relationship Id="rId87" Type="http://schemas.openxmlformats.org/officeDocument/2006/relationships/header" Target="header9.xml"/><Relationship Id="rId110" Type="http://schemas.openxmlformats.org/officeDocument/2006/relationships/header" Target="header18.xml"/><Relationship Id="rId115" Type="http://schemas.openxmlformats.org/officeDocument/2006/relationships/header" Target="header22.xml"/><Relationship Id="rId131" Type="http://schemas.openxmlformats.org/officeDocument/2006/relationships/hyperlink" Target="http://www.environment.gov.au/cgi-bin/sprat/public/publicspecies.pl?taxon_id=82950" TargetMode="External"/><Relationship Id="rId136" Type="http://schemas.openxmlformats.org/officeDocument/2006/relationships/hyperlink" Target="https://www.geelongaustralia.com.au/common/public/documents/agenda-maps/Chapter_19_Report_Maps.pdf" TargetMode="External"/><Relationship Id="rId157" Type="http://schemas.openxmlformats.org/officeDocument/2006/relationships/hyperlink" Target="https://www.environment.gov.au/cgi-bin/sprat/public/publicspecies.pl?taxon_id=56790" TargetMode="External"/><Relationship Id="rId61" Type="http://schemas.openxmlformats.org/officeDocument/2006/relationships/hyperlink" Target="https://www.geelongaustralia.com.au/common/public/documents/agenda-maps/Chapter_20_Report_Maps.pdf" TargetMode="External"/><Relationship Id="rId82" Type="http://schemas.openxmlformats.org/officeDocument/2006/relationships/hyperlink" Target="https://www.geelongaustralia.com.au/common/public/documents/agenda-maps/Chapter_23_Report_Maps.pdf" TargetMode="External"/><Relationship Id="rId152" Type="http://schemas.openxmlformats.org/officeDocument/2006/relationships/header" Target="header34.xml"/><Relationship Id="rId19" Type="http://schemas.openxmlformats.org/officeDocument/2006/relationships/header" Target="header6.xml"/><Relationship Id="rId14" Type="http://schemas.openxmlformats.org/officeDocument/2006/relationships/header" Target="header4.xml"/><Relationship Id="rId30" Type="http://schemas.openxmlformats.org/officeDocument/2006/relationships/image" Target="media/image6.png"/><Relationship Id="rId35" Type="http://schemas.openxmlformats.org/officeDocument/2006/relationships/hyperlink" Target="https://www.geelongaustralia.com.au/common/public/documents/agenda-maps/Chapter_3_Report_Maps.pdf" TargetMode="External"/><Relationship Id="rId56" Type="http://schemas.openxmlformats.org/officeDocument/2006/relationships/footer" Target="footer8.xml"/><Relationship Id="rId77" Type="http://schemas.openxmlformats.org/officeDocument/2006/relationships/hyperlink" Target="https://www.geelongaustralia.com.au/common/public/documents/agenda-maps/Chapter_23_Report_Maps.pdf" TargetMode="External"/><Relationship Id="rId100" Type="http://schemas.openxmlformats.org/officeDocument/2006/relationships/hyperlink" Target="https://www.geelongaustralia.com.au/common/public/documents/agenda-maps/Chapter_25_Report_Maps.pdf" TargetMode="External"/><Relationship Id="rId105" Type="http://schemas.openxmlformats.org/officeDocument/2006/relationships/footer" Target="footer27.xml"/><Relationship Id="rId126" Type="http://schemas.openxmlformats.org/officeDocument/2006/relationships/header" Target="header30.xml"/><Relationship Id="rId147" Type="http://schemas.openxmlformats.org/officeDocument/2006/relationships/hyperlink" Target="http://www.environment.gov.au/cgi-bin/sprat/public/publicspecies.pl?taxon_id=855" TargetMode="External"/><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geelongaustralia.com.au/common/public/documents/agenda-maps/Chapter_19_Report_Maps.pdf" TargetMode="External"/><Relationship Id="rId72" Type="http://schemas.openxmlformats.org/officeDocument/2006/relationships/hyperlink" Target="https://www.geelongaustralia.com.au/common/public/documents/agenda-maps/Chapter_22_Report_Maps.pdf" TargetMode="External"/><Relationship Id="rId93" Type="http://schemas.openxmlformats.org/officeDocument/2006/relationships/header" Target="header13.xml"/><Relationship Id="rId98" Type="http://schemas.openxmlformats.org/officeDocument/2006/relationships/footer" Target="footer22.xml"/><Relationship Id="rId121" Type="http://schemas.openxmlformats.org/officeDocument/2006/relationships/header" Target="header26.xml"/><Relationship Id="rId142" Type="http://schemas.openxmlformats.org/officeDocument/2006/relationships/hyperlink" Target="https://www.geelongaustralia.com.au/common/public/documents/agenda-maps/Chapter_19_Report_Maps.pdf" TargetMode="External"/><Relationship Id="rId163" Type="http://schemas.openxmlformats.org/officeDocument/2006/relationships/header" Target="header37.xml"/><Relationship Id="rId3" Type="http://schemas.openxmlformats.org/officeDocument/2006/relationships/styles" Target="styles.xml"/><Relationship Id="rId25" Type="http://schemas.openxmlformats.org/officeDocument/2006/relationships/hyperlink" Target="https://www.geelongaustralia.com.au/common/public/documents/agenda-maps/Chapter_19_Report_Maps.pdf" TargetMode="External"/><Relationship Id="rId46" Type="http://schemas.openxmlformats.org/officeDocument/2006/relationships/hyperlink" Target="https://www.geelongaustralia.com.au/common/public/documents/agenda-maps/Chapter_19_Report_Maps.pdf" TargetMode="External"/><Relationship Id="rId67" Type="http://schemas.openxmlformats.org/officeDocument/2006/relationships/hyperlink" Target="https://www.geelongaustralia.com.au/common/public/documents/agenda-maps/Chapter_22_Report_Maps.pdf" TargetMode="External"/><Relationship Id="rId116" Type="http://schemas.openxmlformats.org/officeDocument/2006/relationships/footer" Target="footer32.xml"/><Relationship Id="rId137" Type="http://schemas.openxmlformats.org/officeDocument/2006/relationships/hyperlink" Target="http://www.environment.gov.au/cgi-bin/sprat/public/publicspecies.pl?taxon_id=847" TargetMode="External"/><Relationship Id="rId158" Type="http://schemas.openxmlformats.org/officeDocument/2006/relationships/hyperlink" Target="https://www.geelongaustralia.com.au/common/public/documents/agenda-maps/Chapter_19_Report_Maps.pdf" TargetMode="External"/><Relationship Id="rId20" Type="http://schemas.openxmlformats.org/officeDocument/2006/relationships/footer" Target="footer5.xml"/><Relationship Id="rId41" Type="http://schemas.openxmlformats.org/officeDocument/2006/relationships/hyperlink" Target="https://www.geelongaustralia.com.au/common/public/documents/agenda-maps/Chapter_19_Report_Maps.pdf" TargetMode="External"/><Relationship Id="rId62" Type="http://schemas.openxmlformats.org/officeDocument/2006/relationships/footer" Target="footer11.xml"/><Relationship Id="rId83" Type="http://schemas.openxmlformats.org/officeDocument/2006/relationships/hyperlink" Target="https://www.geelongaustralia.com.au/common/public/documents/agenda-maps/Chapter_23_Report_Maps.pdf" TargetMode="External"/><Relationship Id="rId88" Type="http://schemas.openxmlformats.org/officeDocument/2006/relationships/footer" Target="footer19.xml"/><Relationship Id="rId111" Type="http://schemas.openxmlformats.org/officeDocument/2006/relationships/header" Target="header19.xml"/><Relationship Id="rId132" Type="http://schemas.openxmlformats.org/officeDocument/2006/relationships/hyperlink" Target="https://www.geelongaustralia.com.au/common/public/documents/agenda-maps/Chapter_19_Report_Maps.pdf" TargetMode="External"/><Relationship Id="rId153" Type="http://schemas.openxmlformats.org/officeDocument/2006/relationships/footer" Target="footer35.xml"/><Relationship Id="rId15" Type="http://schemas.openxmlformats.org/officeDocument/2006/relationships/footer" Target="footer2.xml"/><Relationship Id="rId36" Type="http://schemas.openxmlformats.org/officeDocument/2006/relationships/hyperlink" Target="https://www.geelongaustralia.com.au/common/public/documents/agenda-maps/Chapter_19_Report_Maps.pdf" TargetMode="External"/><Relationship Id="rId57" Type="http://schemas.openxmlformats.org/officeDocument/2006/relationships/footer" Target="footer9.xml"/><Relationship Id="rId106" Type="http://schemas.openxmlformats.org/officeDocument/2006/relationships/footer" Target="footer28.xml"/><Relationship Id="rId127" Type="http://schemas.openxmlformats.org/officeDocument/2006/relationships/header" Target="header31.xml"/><Relationship Id="rId10" Type="http://schemas.openxmlformats.org/officeDocument/2006/relationships/header" Target="header1.xml"/><Relationship Id="rId31" Type="http://schemas.openxmlformats.org/officeDocument/2006/relationships/image" Target="media/image7.png"/><Relationship Id="rId52" Type="http://schemas.openxmlformats.org/officeDocument/2006/relationships/hyperlink" Target="https://www.geelongaustralia.com.au/common/public/documents/agenda-maps/Chapter_19_Report_Maps.pdf" TargetMode="External"/><Relationship Id="rId73" Type="http://schemas.openxmlformats.org/officeDocument/2006/relationships/hyperlink" Target="https://www.geelongaustralia.com.au/common/public/documents/agenda-maps/Chapter_22_Report_Maps.pdf" TargetMode="External"/><Relationship Id="rId78" Type="http://schemas.openxmlformats.org/officeDocument/2006/relationships/footer" Target="footer18.xml"/><Relationship Id="rId94" Type="http://schemas.openxmlformats.org/officeDocument/2006/relationships/footer" Target="footer21.xml"/><Relationship Id="rId99" Type="http://schemas.openxmlformats.org/officeDocument/2006/relationships/header" Target="header16.xml"/><Relationship Id="rId101" Type="http://schemas.openxmlformats.org/officeDocument/2006/relationships/footer" Target="footer23.xml"/><Relationship Id="rId122" Type="http://schemas.openxmlformats.org/officeDocument/2006/relationships/header" Target="header27.xml"/><Relationship Id="rId143" Type="http://schemas.openxmlformats.org/officeDocument/2006/relationships/hyperlink" Target="http://www.environment.gov.au/cgi-bin/sprat/public/publicspecies.pl?taxon_id=879" TargetMode="External"/><Relationship Id="rId148" Type="http://schemas.openxmlformats.org/officeDocument/2006/relationships/hyperlink" Target="https://www.geelongaustralia.com.au/common/public/documents/agenda-maps/Chapter_19_Report_Maps.pdf" TargetMode="External"/><Relationship Id="rId164" Type="http://schemas.openxmlformats.org/officeDocument/2006/relationships/header" Target="header38.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hyperlink" Target="https://www.geelongaustralia.com.au/common/public/documents/agenda-maps/Chapter_19_Report_Maps.pdf" TargetMode="External"/><Relationship Id="rId47" Type="http://schemas.openxmlformats.org/officeDocument/2006/relationships/hyperlink" Target="https://www.geelongaustralia.com.au/common/public/documents/agenda-maps/Chapter_19_Report_Maps.pdf" TargetMode="External"/><Relationship Id="rId68" Type="http://schemas.openxmlformats.org/officeDocument/2006/relationships/footer" Target="footer13.xml"/><Relationship Id="rId89" Type="http://schemas.openxmlformats.org/officeDocument/2006/relationships/header" Target="header10.xml"/><Relationship Id="rId112" Type="http://schemas.openxmlformats.org/officeDocument/2006/relationships/footer" Target="footer31.xml"/><Relationship Id="rId133" Type="http://schemas.openxmlformats.org/officeDocument/2006/relationships/hyperlink" Target="http://www.environment.gov.au/cgi-bin/sprat/public/publicspecies.pl?taxon_id=77037" TargetMode="External"/><Relationship Id="rId154" Type="http://schemas.openxmlformats.org/officeDocument/2006/relationships/header" Target="header35.xml"/><Relationship Id="rId16" Type="http://schemas.openxmlformats.org/officeDocument/2006/relationships/footer" Target="footer3.xml"/><Relationship Id="rId37" Type="http://schemas.openxmlformats.org/officeDocument/2006/relationships/hyperlink" Target="https://www.geelongaustralia.com.au/common/public/documents/agenda-maps/Chapter_19_Report_Maps.pdf" TargetMode="External"/><Relationship Id="rId58" Type="http://schemas.openxmlformats.org/officeDocument/2006/relationships/footer" Target="footer10.xml"/><Relationship Id="rId79" Type="http://schemas.openxmlformats.org/officeDocument/2006/relationships/hyperlink" Target="https://www.geelongaustralia.com.au/common/public/documents/agenda-maps/Chapter_23_Report_Maps.pdf" TargetMode="External"/><Relationship Id="rId102" Type="http://schemas.openxmlformats.org/officeDocument/2006/relationships/footer" Target="footer24.xml"/><Relationship Id="rId123" Type="http://schemas.openxmlformats.org/officeDocument/2006/relationships/footer" Target="footer34.xml"/><Relationship Id="rId144" Type="http://schemas.openxmlformats.org/officeDocument/2006/relationships/hyperlink" Target="https://www.geelongaustralia.com.au/common/public/documents/agenda-maps/Chapter_19_Report_Maps.pdf" TargetMode="External"/><Relationship Id="rId90" Type="http://schemas.openxmlformats.org/officeDocument/2006/relationships/header" Target="header11.xml"/><Relationship Id="rId165" Type="http://schemas.openxmlformats.org/officeDocument/2006/relationships/footer" Target="footer37.xml"/><Relationship Id="rId27" Type="http://schemas.openxmlformats.org/officeDocument/2006/relationships/hyperlink" Target="https://www.geelongaustralia.com.au/common/public/documents/agenda-maps/Chapter_19_Report_Maps.pdf" TargetMode="External"/><Relationship Id="rId48" Type="http://schemas.openxmlformats.org/officeDocument/2006/relationships/hyperlink" Target="https://www.geelongaustralia.com.au/common/public/documents/agenda-maps/Chapter_19_Report_Maps.pdf" TargetMode="External"/><Relationship Id="rId69" Type="http://schemas.openxmlformats.org/officeDocument/2006/relationships/footer" Target="footer14.xml"/><Relationship Id="rId113" Type="http://schemas.openxmlformats.org/officeDocument/2006/relationships/header" Target="header20.xml"/><Relationship Id="rId134" Type="http://schemas.openxmlformats.org/officeDocument/2006/relationships/hyperlink" Target="https://www.geelongaustralia.com.au/common/public/documents/agenda-maps/Chapter_19_Report_Maps.pdf" TargetMode="External"/><Relationship Id="rId80" Type="http://schemas.openxmlformats.org/officeDocument/2006/relationships/hyperlink" Target="https://www.geelongaustralia.com.au/common/public/documents/agenda-maps/Chapter_23_Report_Maps.pdf" TargetMode="External"/><Relationship Id="rId155" Type="http://schemas.openxmlformats.org/officeDocument/2006/relationships/hyperlink" Target="https://www.environment.gov.au/cgi-bin/sprat/public/publicspecies.pl?taxon_id=26179" TargetMode="External"/></Relationships>
</file>

<file path=word/_rels/footer10.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2.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3.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wmf"/></Relationships>
</file>

<file path=word/_rels/footer15.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6.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7.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8.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19.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0.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wmf"/></Relationships>
</file>

<file path=word/_rels/footer22.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3.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4.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5.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6.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7.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8.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29.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3" Type="http://schemas.openxmlformats.org/officeDocument/2006/relationships/image" Target="media/image4.wmf"/><Relationship Id="rId2" Type="http://schemas.openxmlformats.org/officeDocument/2006/relationships/image" Target="media/image1.png"/><Relationship Id="rId1" Type="http://schemas.openxmlformats.org/officeDocument/2006/relationships/image" Target="media/image3.wmf"/><Relationship Id="rId4" Type="http://schemas.openxmlformats.org/officeDocument/2006/relationships/image" Target="media/image5.png"/></Relationships>
</file>

<file path=word/_rels/footer30.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32.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33.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34.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35.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36.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37.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w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40AFB3A5-B2F9-7247-BDEC-AB4C62FB9F3E}"/>
      </w:docPartPr>
      <w:docPartBody>
        <w:p w:rsidR="009506D6" w:rsidRDefault="00857580">
          <w:r w:rsidRPr="006C29F5">
            <w:rPr>
              <w:rStyle w:val="PlaceholderText"/>
            </w:rPr>
            <w:t>Click or tap here to enter text.</w:t>
          </w:r>
        </w:p>
      </w:docPartBody>
    </w:docPart>
    <w:docPart>
      <w:docPartPr>
        <w:name w:val="EA492B379251784A8EF33F6B6775C3A8"/>
        <w:category>
          <w:name w:val="General"/>
          <w:gallery w:val="placeholder"/>
        </w:category>
        <w:types>
          <w:type w:val="bbPlcHdr"/>
        </w:types>
        <w:behaviors>
          <w:behavior w:val="content"/>
        </w:behaviors>
        <w:guid w:val="{E1510794-38D4-8449-8BAE-1A59335186B8}"/>
      </w:docPartPr>
      <w:docPartBody>
        <w:p w:rsidR="00000000" w:rsidRDefault="00FB3391" w:rsidP="00FB3391">
          <w:pPr>
            <w:pStyle w:val="EA492B379251784A8EF33F6B6775C3A8"/>
          </w:pPr>
          <w:r w:rsidRPr="006C29F5">
            <w:rPr>
              <w:rStyle w:val="PlaceholderText"/>
            </w:rPr>
            <w:t>Click or tap here to enter text.</w:t>
          </w:r>
        </w:p>
      </w:docPartBody>
    </w:docPart>
    <w:docPart>
      <w:docPartPr>
        <w:name w:val="DAB2BF17DBB6CA42B964E8924C553FEF"/>
        <w:category>
          <w:name w:val="General"/>
          <w:gallery w:val="placeholder"/>
        </w:category>
        <w:types>
          <w:type w:val="bbPlcHdr"/>
        </w:types>
        <w:behaviors>
          <w:behavior w:val="content"/>
        </w:behaviors>
        <w:guid w:val="{3AF4ACA0-1849-3F4F-A59A-3DB104B530E9}"/>
      </w:docPartPr>
      <w:docPartBody>
        <w:p w:rsidR="00000000" w:rsidRDefault="00FB3391" w:rsidP="00FB3391">
          <w:pPr>
            <w:pStyle w:val="DAB2BF17DBB6CA42B964E8924C553FEF"/>
          </w:pPr>
          <w:r w:rsidRPr="006C29F5">
            <w:rPr>
              <w:rStyle w:val="PlaceholderText"/>
            </w:rPr>
            <w:t>Click or tap here to enter text.</w:t>
          </w:r>
        </w:p>
      </w:docPartBody>
    </w:docPart>
    <w:docPart>
      <w:docPartPr>
        <w:name w:val="53263D66753F864BA248D609BD120A46"/>
        <w:category>
          <w:name w:val="General"/>
          <w:gallery w:val="placeholder"/>
        </w:category>
        <w:types>
          <w:type w:val="bbPlcHdr"/>
        </w:types>
        <w:behaviors>
          <w:behavior w:val="content"/>
        </w:behaviors>
        <w:guid w:val="{2B0E1034-F3C9-3647-B742-5DBDF385AFE2}"/>
      </w:docPartPr>
      <w:docPartBody>
        <w:p w:rsidR="00000000" w:rsidRDefault="00FB3391" w:rsidP="00FB3391">
          <w:pPr>
            <w:pStyle w:val="53263D66753F864BA248D609BD120A46"/>
          </w:pPr>
          <w:r w:rsidRPr="006C29F5">
            <w:rPr>
              <w:rStyle w:val="PlaceholderText"/>
            </w:rPr>
            <w:t>Click or tap here to enter text.</w:t>
          </w:r>
        </w:p>
      </w:docPartBody>
    </w:docPart>
    <w:docPart>
      <w:docPartPr>
        <w:name w:val="876264BD2049534F8CE23A3626FE6B36"/>
        <w:category>
          <w:name w:val="General"/>
          <w:gallery w:val="placeholder"/>
        </w:category>
        <w:types>
          <w:type w:val="bbPlcHdr"/>
        </w:types>
        <w:behaviors>
          <w:behavior w:val="content"/>
        </w:behaviors>
        <w:guid w:val="{DF20CD4A-9F63-3D4A-9126-FACE473F2799}"/>
      </w:docPartPr>
      <w:docPartBody>
        <w:p w:rsidR="00000000" w:rsidRDefault="00FB3391" w:rsidP="00FB3391">
          <w:pPr>
            <w:pStyle w:val="876264BD2049534F8CE23A3626FE6B36"/>
          </w:pPr>
          <w:r w:rsidRPr="006C29F5">
            <w:rPr>
              <w:rStyle w:val="PlaceholderText"/>
            </w:rPr>
            <w:t>Click or tap here to enter text.</w:t>
          </w:r>
        </w:p>
      </w:docPartBody>
    </w:docPart>
    <w:docPart>
      <w:docPartPr>
        <w:name w:val="D7FA6FAA39773F49851699A422E06BC1"/>
        <w:category>
          <w:name w:val="General"/>
          <w:gallery w:val="placeholder"/>
        </w:category>
        <w:types>
          <w:type w:val="bbPlcHdr"/>
        </w:types>
        <w:behaviors>
          <w:behavior w:val="content"/>
        </w:behaviors>
        <w:guid w:val="{95F6E875-B744-FB45-B653-0EDE13A16220}"/>
      </w:docPartPr>
      <w:docPartBody>
        <w:p w:rsidR="00000000" w:rsidRDefault="00FB3391" w:rsidP="00FB3391">
          <w:pPr>
            <w:pStyle w:val="D7FA6FAA39773F49851699A422E06BC1"/>
          </w:pPr>
          <w:r w:rsidRPr="006C29F5">
            <w:rPr>
              <w:rStyle w:val="PlaceholderText"/>
            </w:rPr>
            <w:t>Click or tap here to enter text.</w:t>
          </w:r>
        </w:p>
      </w:docPartBody>
    </w:docPart>
    <w:docPart>
      <w:docPartPr>
        <w:name w:val="2A82F144C2471849BDEF9506863450DB"/>
        <w:category>
          <w:name w:val="General"/>
          <w:gallery w:val="placeholder"/>
        </w:category>
        <w:types>
          <w:type w:val="bbPlcHdr"/>
        </w:types>
        <w:behaviors>
          <w:behavior w:val="content"/>
        </w:behaviors>
        <w:guid w:val="{25D76D0A-D1C1-3948-8E30-FB615F695134}"/>
      </w:docPartPr>
      <w:docPartBody>
        <w:p w:rsidR="00000000" w:rsidRDefault="00FB3391" w:rsidP="00FB3391">
          <w:pPr>
            <w:pStyle w:val="2A82F144C2471849BDEF9506863450DB"/>
          </w:pPr>
          <w:r w:rsidRPr="006C29F5">
            <w:rPr>
              <w:rStyle w:val="PlaceholderText"/>
            </w:rPr>
            <w:t>Click or tap here to enter text.</w:t>
          </w:r>
        </w:p>
      </w:docPartBody>
    </w:docPart>
    <w:docPart>
      <w:docPartPr>
        <w:name w:val="339B7D746526864D922760336FCFE603"/>
        <w:category>
          <w:name w:val="General"/>
          <w:gallery w:val="placeholder"/>
        </w:category>
        <w:types>
          <w:type w:val="bbPlcHdr"/>
        </w:types>
        <w:behaviors>
          <w:behavior w:val="content"/>
        </w:behaviors>
        <w:guid w:val="{E53653AF-9F40-9B4C-8ED3-4F4073E2E41F}"/>
      </w:docPartPr>
      <w:docPartBody>
        <w:p w:rsidR="00000000" w:rsidRDefault="00FB3391" w:rsidP="00FB3391">
          <w:pPr>
            <w:pStyle w:val="339B7D746526864D922760336FCFE603"/>
          </w:pPr>
          <w:r w:rsidRPr="006C29F5">
            <w:rPr>
              <w:rStyle w:val="PlaceholderText"/>
            </w:rPr>
            <w:t>Click or tap here to enter text.</w:t>
          </w:r>
        </w:p>
      </w:docPartBody>
    </w:docPart>
    <w:docPart>
      <w:docPartPr>
        <w:name w:val="7A87483195E49548AABB39FF484A13FE"/>
        <w:category>
          <w:name w:val="General"/>
          <w:gallery w:val="placeholder"/>
        </w:category>
        <w:types>
          <w:type w:val="bbPlcHdr"/>
        </w:types>
        <w:behaviors>
          <w:behavior w:val="content"/>
        </w:behaviors>
        <w:guid w:val="{08FE7546-C238-E942-99F0-EFD409317816}"/>
      </w:docPartPr>
      <w:docPartBody>
        <w:p w:rsidR="00000000" w:rsidRDefault="00FB3391" w:rsidP="00FB3391">
          <w:pPr>
            <w:pStyle w:val="7A87483195E49548AABB39FF484A13FE"/>
          </w:pPr>
          <w:r w:rsidRPr="006C29F5">
            <w:rPr>
              <w:rStyle w:val="PlaceholderText"/>
            </w:rPr>
            <w:t>Click or tap here to enter text.</w:t>
          </w:r>
        </w:p>
      </w:docPartBody>
    </w:docPart>
    <w:docPart>
      <w:docPartPr>
        <w:name w:val="5B3E7DA2BF40C5488334A95F4C458904"/>
        <w:category>
          <w:name w:val="General"/>
          <w:gallery w:val="placeholder"/>
        </w:category>
        <w:types>
          <w:type w:val="bbPlcHdr"/>
        </w:types>
        <w:behaviors>
          <w:behavior w:val="content"/>
        </w:behaviors>
        <w:guid w:val="{849C23E1-B952-DC47-A06C-F9EDF601D657}"/>
      </w:docPartPr>
      <w:docPartBody>
        <w:p w:rsidR="00000000" w:rsidRDefault="00FB3391" w:rsidP="00FB3391">
          <w:pPr>
            <w:pStyle w:val="5B3E7DA2BF40C5488334A95F4C458904"/>
          </w:pPr>
          <w:r w:rsidRPr="006C29F5">
            <w:rPr>
              <w:rStyle w:val="PlaceholderText"/>
            </w:rPr>
            <w:t>Click or tap here to enter text.</w:t>
          </w:r>
        </w:p>
      </w:docPartBody>
    </w:docPart>
    <w:docPart>
      <w:docPartPr>
        <w:name w:val="119FB1C23F5BCC408466AD28D7FF4766"/>
        <w:category>
          <w:name w:val="General"/>
          <w:gallery w:val="placeholder"/>
        </w:category>
        <w:types>
          <w:type w:val="bbPlcHdr"/>
        </w:types>
        <w:behaviors>
          <w:behavior w:val="content"/>
        </w:behaviors>
        <w:guid w:val="{627FF813-586F-0646-ADAC-FC6211224C62}"/>
      </w:docPartPr>
      <w:docPartBody>
        <w:p w:rsidR="00000000" w:rsidRDefault="00FB3391" w:rsidP="00FB3391">
          <w:pPr>
            <w:pStyle w:val="119FB1C23F5BCC408466AD28D7FF4766"/>
          </w:pPr>
          <w:r w:rsidRPr="006C29F5">
            <w:rPr>
              <w:rStyle w:val="PlaceholderText"/>
            </w:rPr>
            <w:t>Click or tap here to enter text.</w:t>
          </w:r>
        </w:p>
      </w:docPartBody>
    </w:docPart>
    <w:docPart>
      <w:docPartPr>
        <w:name w:val="0275A44494DB9E4480D434BCB410E89B"/>
        <w:category>
          <w:name w:val="General"/>
          <w:gallery w:val="placeholder"/>
        </w:category>
        <w:types>
          <w:type w:val="bbPlcHdr"/>
        </w:types>
        <w:behaviors>
          <w:behavior w:val="content"/>
        </w:behaviors>
        <w:guid w:val="{F2CDD681-78CE-2241-9C36-FF49B9E90F2D}"/>
      </w:docPartPr>
      <w:docPartBody>
        <w:p w:rsidR="00000000" w:rsidRDefault="00FB3391" w:rsidP="00FB3391">
          <w:pPr>
            <w:pStyle w:val="0275A44494DB9E4480D434BCB410E89B"/>
          </w:pPr>
          <w:r w:rsidRPr="00545C6C">
            <w:rPr>
              <w:rStyle w:val="PlaceholderText"/>
            </w:rPr>
            <w:t>Click or tap here to enter text.</w:t>
          </w:r>
        </w:p>
      </w:docPartBody>
    </w:docPart>
    <w:docPart>
      <w:docPartPr>
        <w:name w:val="191F962966CF9941A2ACD0FFF81A893E"/>
        <w:category>
          <w:name w:val="General"/>
          <w:gallery w:val="placeholder"/>
        </w:category>
        <w:types>
          <w:type w:val="bbPlcHdr"/>
        </w:types>
        <w:behaviors>
          <w:behavior w:val="content"/>
        </w:behaviors>
        <w:guid w:val="{C20676E7-2B42-174B-941E-FAB864443A35}"/>
      </w:docPartPr>
      <w:docPartBody>
        <w:p w:rsidR="00000000" w:rsidRDefault="00FB3391" w:rsidP="00FB3391">
          <w:pPr>
            <w:pStyle w:val="191F962966CF9941A2ACD0FFF81A893E"/>
          </w:pPr>
          <w:r w:rsidRPr="006C29F5">
            <w:rPr>
              <w:rStyle w:val="PlaceholderText"/>
            </w:rPr>
            <w:t>Click or tap here to enter text.</w:t>
          </w:r>
        </w:p>
      </w:docPartBody>
    </w:docPart>
    <w:docPart>
      <w:docPartPr>
        <w:name w:val="097EC8F2588CE14A9DF2BE19059448B0"/>
        <w:category>
          <w:name w:val="General"/>
          <w:gallery w:val="placeholder"/>
        </w:category>
        <w:types>
          <w:type w:val="bbPlcHdr"/>
        </w:types>
        <w:behaviors>
          <w:behavior w:val="content"/>
        </w:behaviors>
        <w:guid w:val="{15E7BCB9-4226-7045-9DC9-E881AF61AA8F}"/>
      </w:docPartPr>
      <w:docPartBody>
        <w:p w:rsidR="00000000" w:rsidRDefault="00FB3391" w:rsidP="00FB3391">
          <w:pPr>
            <w:pStyle w:val="097EC8F2588CE14A9DF2BE19059448B0"/>
          </w:pPr>
          <w:r w:rsidRPr="006C29F5">
            <w:rPr>
              <w:rStyle w:val="PlaceholderText"/>
            </w:rPr>
            <w:t>Click or tap here to enter text.</w:t>
          </w:r>
        </w:p>
      </w:docPartBody>
    </w:docPart>
    <w:docPart>
      <w:docPartPr>
        <w:name w:val="0B82CDD630AEBE45B79B9BD1D35ACF6B"/>
        <w:category>
          <w:name w:val="General"/>
          <w:gallery w:val="placeholder"/>
        </w:category>
        <w:types>
          <w:type w:val="bbPlcHdr"/>
        </w:types>
        <w:behaviors>
          <w:behavior w:val="content"/>
        </w:behaviors>
        <w:guid w:val="{D78889F4-D224-0049-8E7D-6AC47C68D245}"/>
      </w:docPartPr>
      <w:docPartBody>
        <w:p w:rsidR="00000000" w:rsidRDefault="00FB3391" w:rsidP="00FB3391">
          <w:pPr>
            <w:pStyle w:val="0B82CDD630AEBE45B79B9BD1D35ACF6B"/>
          </w:pPr>
          <w:r w:rsidRPr="006C29F5">
            <w:rPr>
              <w:rStyle w:val="PlaceholderText"/>
            </w:rPr>
            <w:t>Click or tap here to enter text.</w:t>
          </w:r>
        </w:p>
      </w:docPartBody>
    </w:docPart>
    <w:docPart>
      <w:docPartPr>
        <w:name w:val="31606378F23A3742800D54C8CCE6F7A4"/>
        <w:category>
          <w:name w:val="General"/>
          <w:gallery w:val="placeholder"/>
        </w:category>
        <w:types>
          <w:type w:val="bbPlcHdr"/>
        </w:types>
        <w:behaviors>
          <w:behavior w:val="content"/>
        </w:behaviors>
        <w:guid w:val="{7F03720C-FE77-3240-A5EE-7A3BF34E10CD}"/>
      </w:docPartPr>
      <w:docPartBody>
        <w:p w:rsidR="00000000" w:rsidRDefault="00FB3391" w:rsidP="00FB3391">
          <w:pPr>
            <w:pStyle w:val="31606378F23A3742800D54C8CCE6F7A4"/>
          </w:pPr>
          <w:r w:rsidRPr="006C29F5">
            <w:rPr>
              <w:rStyle w:val="PlaceholderText"/>
            </w:rPr>
            <w:t>Click or tap here to enter text.</w:t>
          </w:r>
        </w:p>
      </w:docPartBody>
    </w:docPart>
    <w:docPart>
      <w:docPartPr>
        <w:name w:val="5F78DBE152DBCB42BD30336B5DB7FE90"/>
        <w:category>
          <w:name w:val="General"/>
          <w:gallery w:val="placeholder"/>
        </w:category>
        <w:types>
          <w:type w:val="bbPlcHdr"/>
        </w:types>
        <w:behaviors>
          <w:behavior w:val="content"/>
        </w:behaviors>
        <w:guid w:val="{58B7946E-E4C5-744C-AD5A-93C552B007D6}"/>
      </w:docPartPr>
      <w:docPartBody>
        <w:p w:rsidR="00000000" w:rsidRDefault="00FB3391" w:rsidP="00FB3391">
          <w:pPr>
            <w:pStyle w:val="5F78DBE152DBCB42BD30336B5DB7FE90"/>
          </w:pPr>
          <w:r w:rsidRPr="006C29F5">
            <w:rPr>
              <w:rStyle w:val="PlaceholderText"/>
            </w:rPr>
            <w:t>Click or tap here to enter text.</w:t>
          </w:r>
        </w:p>
      </w:docPartBody>
    </w:docPart>
    <w:docPart>
      <w:docPartPr>
        <w:name w:val="8A75EFB8BE1D6C49BFCDB10710C88159"/>
        <w:category>
          <w:name w:val="General"/>
          <w:gallery w:val="placeholder"/>
        </w:category>
        <w:types>
          <w:type w:val="bbPlcHdr"/>
        </w:types>
        <w:behaviors>
          <w:behavior w:val="content"/>
        </w:behaviors>
        <w:guid w:val="{E28700A5-308B-4F40-BCE9-19122A58BF5F}"/>
      </w:docPartPr>
      <w:docPartBody>
        <w:p w:rsidR="00000000" w:rsidRDefault="00FB3391" w:rsidP="00FB3391">
          <w:pPr>
            <w:pStyle w:val="8A75EFB8BE1D6C49BFCDB10710C88159"/>
          </w:pPr>
          <w:r w:rsidRPr="006C29F5">
            <w:rPr>
              <w:rStyle w:val="PlaceholderText"/>
            </w:rPr>
            <w:t>Click or tap here to enter text.</w:t>
          </w:r>
        </w:p>
      </w:docPartBody>
    </w:docPart>
    <w:docPart>
      <w:docPartPr>
        <w:name w:val="FD04FF79EF64374EA0DF2E95F5680540"/>
        <w:category>
          <w:name w:val="General"/>
          <w:gallery w:val="placeholder"/>
        </w:category>
        <w:types>
          <w:type w:val="bbPlcHdr"/>
        </w:types>
        <w:behaviors>
          <w:behavior w:val="content"/>
        </w:behaviors>
        <w:guid w:val="{5C7B5A7A-B93E-B343-88E5-EEBC4D6EB500}"/>
      </w:docPartPr>
      <w:docPartBody>
        <w:p w:rsidR="00000000" w:rsidRDefault="00FB3391" w:rsidP="00FB3391">
          <w:pPr>
            <w:pStyle w:val="FD04FF79EF64374EA0DF2E95F5680540"/>
          </w:pPr>
          <w:r w:rsidRPr="006C29F5">
            <w:rPr>
              <w:rStyle w:val="PlaceholderText"/>
            </w:rPr>
            <w:t>Click or tap here to enter text.</w:t>
          </w:r>
        </w:p>
      </w:docPartBody>
    </w:docPart>
    <w:docPart>
      <w:docPartPr>
        <w:name w:val="0C7C0E164979FF4192CC12BA6F475DAF"/>
        <w:category>
          <w:name w:val="General"/>
          <w:gallery w:val="placeholder"/>
        </w:category>
        <w:types>
          <w:type w:val="bbPlcHdr"/>
        </w:types>
        <w:behaviors>
          <w:behavior w:val="content"/>
        </w:behaviors>
        <w:guid w:val="{ED0FB5FF-B280-1B4A-8652-6545496161B0}"/>
      </w:docPartPr>
      <w:docPartBody>
        <w:p w:rsidR="00000000" w:rsidRDefault="00FB3391" w:rsidP="00FB3391">
          <w:pPr>
            <w:pStyle w:val="0C7C0E164979FF4192CC12BA6F475DAF"/>
          </w:pPr>
          <w:r w:rsidRPr="006C29F5">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Yu Mincho">
    <w:panose1 w:val="02020400000000000000"/>
    <w:charset w:val="80"/>
    <w:family w:val="roman"/>
    <w:pitch w:val="variable"/>
    <w:sig w:usb0="800002E7" w:usb1="2AC7FCFF" w:usb2="00000012" w:usb3="00000000" w:csb0="0002009F" w:csb1="00000000"/>
  </w:font>
  <w:font w:name="Palatino">
    <w:panose1 w:val="00000000000000000000"/>
    <w:charset w:val="4D"/>
    <w:family w:val="auto"/>
    <w:pitch w:val="variable"/>
    <w:sig w:usb0="A00002FF" w:usb1="7800205A" w:usb2="14600000" w:usb3="00000000" w:csb0="00000193" w:csb1="00000000"/>
  </w:font>
  <w:font w:name="Times New Roman (Body CS)">
    <w:altName w:val="Times New Roman"/>
    <w:panose1 w:val="020B0604020202020204"/>
    <w:charset w:val="00"/>
    <w:family w:val="roman"/>
    <w:pitch w:val="default"/>
  </w:font>
  <w:font w:name="Lucida Grande">
    <w:panose1 w:val="020B0600040502020204"/>
    <w:charset w:val="00"/>
    <w:family w:val="swiss"/>
    <w:pitch w:val="variable"/>
    <w:sig w:usb0="E1000AEF" w:usb1="5000A1FF" w:usb2="00000000" w:usb3="00000000" w:csb0="000001BF" w:csb1="00000000"/>
  </w:font>
  <w:font w:name="Open Sans">
    <w:panose1 w:val="020B0606030504020204"/>
    <w:charset w:val="00"/>
    <w:family w:val="swiss"/>
    <w:pitch w:val="variable"/>
    <w:sig w:usb0="E00002EF" w:usb1="4000205B" w:usb2="00000028" w:usb3="00000000" w:csb0="0000019F" w:csb1="00000000"/>
  </w:font>
  <w:font w:name="Open Sans ExtraBold">
    <w:panose1 w:val="020B0906030804020204"/>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7580"/>
    <w:rsid w:val="00416451"/>
    <w:rsid w:val="006153BE"/>
    <w:rsid w:val="006E4896"/>
    <w:rsid w:val="00823432"/>
    <w:rsid w:val="00857580"/>
    <w:rsid w:val="00913D14"/>
    <w:rsid w:val="00920718"/>
    <w:rsid w:val="009506D6"/>
    <w:rsid w:val="009A0656"/>
    <w:rsid w:val="009A0DE8"/>
    <w:rsid w:val="00A9291D"/>
    <w:rsid w:val="00AA1670"/>
    <w:rsid w:val="00BD7C9F"/>
    <w:rsid w:val="00BF02B2"/>
    <w:rsid w:val="00D935F6"/>
    <w:rsid w:val="00DA0D99"/>
    <w:rsid w:val="00DB2EB3"/>
    <w:rsid w:val="00EA055E"/>
    <w:rsid w:val="00FB339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B3391"/>
    <w:rPr>
      <w:color w:val="808080"/>
    </w:rPr>
  </w:style>
  <w:style w:type="paragraph" w:customStyle="1" w:styleId="EA492B379251784A8EF33F6B6775C3A8">
    <w:name w:val="EA492B379251784A8EF33F6B6775C3A8"/>
    <w:rsid w:val="00FB3391"/>
    <w:rPr>
      <w:kern w:val="2"/>
      <w14:ligatures w14:val="standardContextual"/>
    </w:rPr>
  </w:style>
  <w:style w:type="paragraph" w:customStyle="1" w:styleId="DAB2BF17DBB6CA42B964E8924C553FEF">
    <w:name w:val="DAB2BF17DBB6CA42B964E8924C553FEF"/>
    <w:rsid w:val="00FB3391"/>
    <w:rPr>
      <w:kern w:val="2"/>
      <w14:ligatures w14:val="standardContextual"/>
    </w:rPr>
  </w:style>
  <w:style w:type="paragraph" w:customStyle="1" w:styleId="53263D66753F864BA248D609BD120A46">
    <w:name w:val="53263D66753F864BA248D609BD120A46"/>
    <w:rsid w:val="00FB3391"/>
    <w:rPr>
      <w:kern w:val="2"/>
      <w14:ligatures w14:val="standardContextual"/>
    </w:rPr>
  </w:style>
  <w:style w:type="paragraph" w:customStyle="1" w:styleId="876264BD2049534F8CE23A3626FE6B36">
    <w:name w:val="876264BD2049534F8CE23A3626FE6B36"/>
    <w:rsid w:val="00FB3391"/>
    <w:rPr>
      <w:kern w:val="2"/>
      <w14:ligatures w14:val="standardContextual"/>
    </w:rPr>
  </w:style>
  <w:style w:type="paragraph" w:customStyle="1" w:styleId="D7FA6FAA39773F49851699A422E06BC1">
    <w:name w:val="D7FA6FAA39773F49851699A422E06BC1"/>
    <w:rsid w:val="00FB3391"/>
    <w:rPr>
      <w:kern w:val="2"/>
      <w14:ligatures w14:val="standardContextual"/>
    </w:rPr>
  </w:style>
  <w:style w:type="paragraph" w:customStyle="1" w:styleId="2A82F144C2471849BDEF9506863450DB">
    <w:name w:val="2A82F144C2471849BDEF9506863450DB"/>
    <w:rsid w:val="00FB3391"/>
    <w:rPr>
      <w:kern w:val="2"/>
      <w14:ligatures w14:val="standardContextual"/>
    </w:rPr>
  </w:style>
  <w:style w:type="paragraph" w:customStyle="1" w:styleId="339B7D746526864D922760336FCFE603">
    <w:name w:val="339B7D746526864D922760336FCFE603"/>
    <w:rsid w:val="00FB3391"/>
    <w:rPr>
      <w:kern w:val="2"/>
      <w14:ligatures w14:val="standardContextual"/>
    </w:rPr>
  </w:style>
  <w:style w:type="paragraph" w:customStyle="1" w:styleId="7A87483195E49548AABB39FF484A13FE">
    <w:name w:val="7A87483195E49548AABB39FF484A13FE"/>
    <w:rsid w:val="00FB3391"/>
    <w:rPr>
      <w:kern w:val="2"/>
      <w14:ligatures w14:val="standardContextual"/>
    </w:rPr>
  </w:style>
  <w:style w:type="paragraph" w:customStyle="1" w:styleId="5B3E7DA2BF40C5488334A95F4C458904">
    <w:name w:val="5B3E7DA2BF40C5488334A95F4C458904"/>
    <w:rsid w:val="00FB3391"/>
    <w:rPr>
      <w:kern w:val="2"/>
      <w14:ligatures w14:val="standardContextual"/>
    </w:rPr>
  </w:style>
  <w:style w:type="paragraph" w:customStyle="1" w:styleId="119FB1C23F5BCC408466AD28D7FF4766">
    <w:name w:val="119FB1C23F5BCC408466AD28D7FF4766"/>
    <w:rsid w:val="00FB3391"/>
    <w:rPr>
      <w:kern w:val="2"/>
      <w14:ligatures w14:val="standardContextual"/>
    </w:rPr>
  </w:style>
  <w:style w:type="paragraph" w:customStyle="1" w:styleId="0275A44494DB9E4480D434BCB410E89B">
    <w:name w:val="0275A44494DB9E4480D434BCB410E89B"/>
    <w:rsid w:val="00FB3391"/>
    <w:rPr>
      <w:kern w:val="2"/>
      <w14:ligatures w14:val="standardContextual"/>
    </w:rPr>
  </w:style>
  <w:style w:type="paragraph" w:customStyle="1" w:styleId="191F962966CF9941A2ACD0FFF81A893E">
    <w:name w:val="191F962966CF9941A2ACD0FFF81A893E"/>
    <w:rsid w:val="00FB3391"/>
    <w:rPr>
      <w:kern w:val="2"/>
      <w14:ligatures w14:val="standardContextual"/>
    </w:rPr>
  </w:style>
  <w:style w:type="paragraph" w:customStyle="1" w:styleId="097EC8F2588CE14A9DF2BE19059448B0">
    <w:name w:val="097EC8F2588CE14A9DF2BE19059448B0"/>
    <w:rsid w:val="00FB3391"/>
    <w:rPr>
      <w:kern w:val="2"/>
      <w14:ligatures w14:val="standardContextual"/>
    </w:rPr>
  </w:style>
  <w:style w:type="paragraph" w:customStyle="1" w:styleId="0B82CDD630AEBE45B79B9BD1D35ACF6B">
    <w:name w:val="0B82CDD630AEBE45B79B9BD1D35ACF6B"/>
    <w:rsid w:val="00FB3391"/>
    <w:rPr>
      <w:kern w:val="2"/>
      <w14:ligatures w14:val="standardContextual"/>
    </w:rPr>
  </w:style>
  <w:style w:type="paragraph" w:customStyle="1" w:styleId="31606378F23A3742800D54C8CCE6F7A4">
    <w:name w:val="31606378F23A3742800D54C8CCE6F7A4"/>
    <w:rsid w:val="00FB3391"/>
    <w:rPr>
      <w:kern w:val="2"/>
      <w14:ligatures w14:val="standardContextual"/>
    </w:rPr>
  </w:style>
  <w:style w:type="paragraph" w:customStyle="1" w:styleId="5F78DBE152DBCB42BD30336B5DB7FE90">
    <w:name w:val="5F78DBE152DBCB42BD30336B5DB7FE90"/>
    <w:rsid w:val="00FB3391"/>
    <w:rPr>
      <w:kern w:val="2"/>
      <w14:ligatures w14:val="standardContextual"/>
    </w:rPr>
  </w:style>
  <w:style w:type="paragraph" w:customStyle="1" w:styleId="8A75EFB8BE1D6C49BFCDB10710C88159">
    <w:name w:val="8A75EFB8BE1D6C49BFCDB10710C88159"/>
    <w:rsid w:val="00FB3391"/>
    <w:rPr>
      <w:kern w:val="2"/>
      <w14:ligatures w14:val="standardContextual"/>
    </w:rPr>
  </w:style>
  <w:style w:type="paragraph" w:customStyle="1" w:styleId="FD04FF79EF64374EA0DF2E95F5680540">
    <w:name w:val="FD04FF79EF64374EA0DF2E95F5680540"/>
    <w:rsid w:val="00FB3391"/>
    <w:rPr>
      <w:kern w:val="2"/>
      <w14:ligatures w14:val="standardContextual"/>
    </w:rPr>
  </w:style>
  <w:style w:type="paragraph" w:customStyle="1" w:styleId="0C7C0E164979FF4192CC12BA6F475DAF">
    <w:name w:val="0C7C0E164979FF4192CC12BA6F475DAF"/>
    <w:rsid w:val="00FB3391"/>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A8437FC-85AF-CD4D-A647-37E892765D0F}">
  <we:reference id="wa104382081" version="1.55.1.0" store="en-GB" storeType="OMEX"/>
  <we:alternateReferences>
    <we:reference id="wa104382081" version="1.55.1.0" store="" storeType="OMEX"/>
  </we:alternateReferences>
  <we:properties>
    <we:property name="MENDELEY_CITATIONS" value="[{&quot;citationID&quot;:&quot;MENDELEY_CITATION_310ed703-7c97-4243-b77c-012ff075b736&quot;,&quot;properties&quot;:{&quot;noteIndex&quot;:0},&quot;isEdited&quot;:false,&quot;manualOverride&quot;:{&quot;citeprocText&quot;:&quot;(Geelong Region Alliance, 2013)&quot;,&quot;isManuallyOverridden&quot;:false,&quot;manualOverrideText&quot;:&quot;&quot;},&quot;citationTag&quot;:&quot;MENDELEY_CITATION_v3_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&quot;,&quot;citationItems&quot;:[{&quot;id&quot;:&quot;a0b490b1-00a3-5733-8366-2f2620175ff3&quot;,&quot;itemData&quot;:{&quot;author&quot;:[{&quot;dropping-particle&quot;:&quot;&quot;,&quot;family&quot;:&quot;Geelong Region Alliance&quot;,&quot;given&quot;:&quot;&quot;,&quot;non-dropping-particle&quot;:&quot;&quot;,&quot;parse-names&quot;:false,&quot;suffix&quot;:&quot;&quot;}],&quot;id&quot;:&quot;a0b490b1-00a3-5733-8366-2f2620175ff3&quot;,&quot;issue&quot;:&quot;April&quot;,&quot;issued&quot;:{&quot;date-parts&quot;:[[&quot;2013&quot;]]},&quot;page&quot;:&quot;1-62&quot;,&quot;title&quot;:&quot;G21 Regional Growth Plan&quot;,&quot;type&quot;:&quot;article-journal&quot;,&quot;container-title-short&quot;:&quot;&quot;},&quot;uris&quot;:[&quot;http://www.mendeley.com/documents/?uuid=f228beec-6479-4aa9-b60c-921c12110842&quot;],&quot;isTemporary&quot;:false,&quot;legacyDesktopId&quot;:&quot;f228beec-6479-4aa9-b60c-921c12110842&quot;}]},{&quot;citationID&quot;:&quot;MENDELEY_CITATION_5ea44b90-872b-4c98-87af-19fdc8b4c03f&quot;,&quot;properties&quot;:{&quot;noteIndex&quot;:0},&quot;isEdited&quot;:false,&quot;manualOverride&quot;:{&quot;citeprocText&quot;:&quot;(Victoria State Government, 2017)&quot;,&quot;isManuallyOverridden&quot;:false,&quot;manualOverrideText&quot;:&quot;&quot;},&quot;citationTag&quot;:&quot;MENDELEY_CITATION_v3_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&quot;,&quot;citationItems&quot;:[{&quot;id&quot;:&quot;29f3ee42-24cc-5bee-bf66-6188833e9cd6&quot;,&quot;itemData&quot;:{&quot;author&quot;:[{&quot;dropping-particle&quot;:&quot;&quot;,&quot;family&quot;:&quot;Victoria State Government&quot;,&quot;given&quot;:&quot;&quot;,&quot;non-dropping-particle&quot;:&quot;&quot;,&quot;parse-names&quot;:false,&quot;suffix&quot;:&quot;&quot;}],&quot;id&quot;:&quot;29f3ee42-24cc-5bee-bf66-6188833e9cd6&quot;,&quot;issued&quot;:{&quot;date-parts&quot;:[[&quot;2017&quot;]]},&quot;title&quot;:&quot;Plan Melbourne 2017-2050&quot;,&quot;type&quot;:&quot;article&quot;,&quot;container-title-short&quot;:&quot;&quot;},&quot;uris&quot;:[&quot;http://www.mendeley.com/documents/?uuid=458f8da2-e73f-4847-bddf-9361f164476b&quot;],&quot;isTemporary&quot;:false,&quot;legacyDesktopId&quot;:&quot;458f8da2-e73f-4847-bddf-9361f164476b&quot;}]},{&quot;citationID&quot;:&quot;MENDELEY_CITATION_093b17d6-ae1b-48aa-8dd7-c36b2a4794ee&quot;,&quot;properties&quot;:{&quot;noteIndex&quot;:0},&quot;isEdited&quot;:false,&quot;manualOverride&quot;:{&quot;citeprocText&quot;:&quot;(The City of Greater Geelong, 2021)&quot;,&quot;isManuallyOverridden&quot;:false,&quot;manualOverrideText&quot;:&quot;&quot;},&quot;citationTag&quot;:&quot;MENDELEY_CITATION_v3_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&quot;,&quot;citationItems&quot;:[{&quot;id&quot;:&quot;f40bd47a-661f-3c62-8648-3729f88ecd86&quot;,&quot;itemData&quot;:{&quot;type&quot;:&quot;article&quot;,&quot;id&quot;:&quot;f40bd47a-661f-3c62-8648-3729f88ecd86&quot;,&quot;title&quot;:&quot;The Northern and Western Geelong Growth Areas Framework Plan.&quot;,&quot;groupId&quot;:&quot;efbce491-2e14-3d43-a5c9-96f56af41c58&quot;,&quot;author&quot;:[{&quot;family&quot;:&quot;The City of Greater Geelong&quot;,&quot;given&quot;:&quot;&quot;,&quot;parse-names&quot;:false,&quot;dropping-particle&quot;:&quot;&quot;,&quot;non-dropping-particle&quot;:&quot;&quot;}],&quot;issued&quot;:{&quot;date-parts&quot;:[[2021]]}},&quot;isTemporary&quot;:false}]},{&quot;citationID&quot;:&quot;MENDELEY_CITATION_b4635e1e-c9b5-4445-b8ea-1fd76fc73359&quot;,&quot;properties&quot;:{&quot;noteIndex&quot;:0},&quot;isEdited&quot;:false,&quot;manualOverride&quot;:{&quot;citeprocText&quot;:&quot;(EHP, 2021a)&quot;,&quot;isManuallyOverridden&quot;:false,&quot;manualOverrideText&quot;:&quot;&quot;},&quot;citationTag&quot;:&quot;MENDELEY_CITATION_v3_eyJjaXRhdGlvbklEIjoiTUVOREVMRVlfQ0lUQVRJT05fYjQ2MzVlMWUtYzliNS00NDQ1LWI4ZWEtMWZkNzZmYzczMzU5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quot;,&quot;citationItems&quot;:[{&quot;id&quot;:&quot;1f750c95-380c-5f66-aa78-f57be4b2c412&quot;,&quot;itemData&quot;:{&quot;author&quot;:[{&quot;dropping-particle&quot;:&quot;&quot;,&quot;family&quot;:&quot;EHP&quot;,&quot;given&quot;:&quot;&quot;,&quot;non-dropping-particle&quot;:&quot;&quot;,&quot;parse-names&quot;:false,&quot;suffix&quot;:&quot;&quot;}],&quot;id&quot;:&quot;1f750c95-380c-5f66-aa78-f57be4b2c412&quot;,&quot;issued&quot;:{&quot;date-parts&quot;:[[&quot;2021&quot;]]},&quot;title&quot;:&quot;Existing Ecological Conditions: Northern and Western Geelong Growth Areas&quot;,&quot;type&quot;:&quot;report&quot;,&quot;container-title-short&quot;:&quot;&quot;},&quot;uris&quot;:[&quot;http://www.mendeley.com/documents/?uuid=bf747c21-3bef-4877-ad34-742e37146aa2&quot;],&quot;isTemporary&quot;:false,&quot;legacyDesktopId&quot;:&quot;bf747c21-3bef-4877-ad34-742e37146aa2&quot;}]},{&quot;citationID&quot;:&quot;MENDELEY_CITATION_50f70292-448d-4317-9b1a-1545998d062b&quot;,&quot;properties&quot;:{&quot;noteIndex&quot;:0},&quot;isEdited&quot;:false,&quot;manualOverride&quot;:{&quot;citeprocText&quot;:&quot;(Gregory &lt;i&gt;et al.&lt;/i&gt;, 2010)&quot;,&quot;isManuallyOverridden&quot;:false,&quot;manualOverrideText&quot;:&quot;&quot;},&quot;citationTag&quot;:&quot;MENDELEY_CITATION_v3_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&quot;,&quot;citationItems&quot;:[{&quot;id&quot;:&quot;9976e4ef-6334-56a0-bfef-b49b8ef05737&quot;,&quot;itemData&quot;:{&quot;author&quot;:[{&quot;dropping-particle&quot;:&quot;&quot;,&quot;family&quot;:&quot;Gregory&quot;,&quot;given&quot;:&quot;R.&quot;,&quot;non-dropping-particle&quot;:&quot;&quot;,&quot;parse-names&quot;:false,&quot;suffix&quot;:&quot;&quot;},{&quot;dropping-particle&quot;:&quot;&quot;,&quot;family&quot;:&quot;Failing&quot;,&quot;given&quot;:&quot;L.&quot;,&quot;non-dropping-particle&quot;:&quot;&quot;,&quot;parse-names&quot;:false,&quot;suffix&quot;:&quot;&quot;},{&quot;dropping-particle&quot;:&quot;&quot;,&quot;family&quot;:&quot;Harstone&quot;,&quot;given&quot;:&quot;M.&quot;,&quot;non-dropping-particle&quot;:&quot;&quot;,&quot;parse-names&quot;:false,&quot;suffix&quot;:&quot;&quot;},{&quot;dropping-particle&quot;:&quot;&quot;,&quot;family&quot;:&quot;Long&quot;,&quot;given&quot;:&quot;G.&quot;,&quot;non-dropping-particle&quot;:&quot;&quot;,&quot;parse-names&quot;:false,&quot;suffix&quot;:&quot;&quot;},{&quot;dropping-particle&quot;:&quot;&quot;,&quot;family&quot;:&quot;McDaniels&quot;,&quot;given&quot;:&quot;T.&quot;,&quot;non-dropping-particle&quot;:&quot;&quot;,&quot;parse-names&quot;:false,&quot;suffix&quot;:&quot;&quot;},{&quot;dropping-particle&quot;:&quot;&quot;,&quot;family&quot;:&quot;Ohlson&quot;,&quot;given&quot;:&quot;D.&quot;,&quot;non-dropping-particle&quot;:&quot;&quot;,&quot;parse-names&quot;:false,&quot;suffix&quot;:&quot;&quot;}],&quot;id&quot;:&quot;9976e4ef-6334-56a0-bfef-b49b8ef05737&quot;,&quot;issued&quot;:{&quot;date-parts&quot;:[[&quot;2010&quot;]]},&quot;publisher&quot;:&quot;Wiley-Blackwell&quot;,&quot;title&quot;:&quot;Structured Decision Making: A practical guide to environmental management choices&quot;,&quot;type&quot;:&quot;book&quot;,&quot;container-title-short&quot;:&quot;&quot;},&quot;uris&quot;:[&quot;http://www.mendeley.com/documents/?uuid=dce28df4-ee92-44eb-95a2-1d0c9eaa696e&quot;],&quot;isTemporary&quot;:false,&quot;legacyDesktopId&quot;:&quot;dce28df4-ee92-44eb-95a2-1d0c9eaa696e&quot;}]},{&quot;citationID&quot;:&quot;MENDELEY_CITATION_02efc594-4de3-402c-9f83-f3a5b32bccea&quot;,&quot;properties&quot;:{&quot;noteIndex&quot;:0},&quot;isEdited&quot;:false,&quot;manualOverride&quot;:{&quot;citeprocText&quot;:&quot;(Corangamite CMA, 2014)&quot;,&quot;isManuallyOverridden&quot;:false,&quot;manualOverrideText&quot;:&quot;&quot;},&quot;citationTag&quot;:&quot;MENDELEY_CITATION_v3_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&quot;,&quot;citationItems&quot;:[{&quot;id&quot;:&quot;7aa5d846-ccc5-58de-bdd8-c7853c5ec67d&quot;,&quot;itemData&quot;:{&quot;author&quot;:[{&quot;dropping-particle&quot;:&quot;&quot;,&quot;family&quot;:&quot;Corangamite CMA&quot;,&quot;given&quot;:&quot;&quot;,&quot;non-dropping-particle&quot;:&quot;&quot;,&quot;parse-names&quot;:false,&quot;suffix&quot;:&quot;&quot;}],&quot;id&quot;:&quot;7aa5d846-ccc5-58de-bdd8-c7853c5ec67d&quot;,&quot;issued&quot;:{&quot;date-parts&quot;:[[&quot;2014&quot;]]},&quot;title&quot;:&quot;Corangamite Waterway Strategy 2014 - 2022&quot;,&quot;type&quot;:&quot;article&quot;,&quot;container-title-short&quot;:&quot;&quot;},&quot;uris&quot;:[&quot;http://www.mendeley.com/documents/?uuid=db0dfc28-6e08-4b59-9cb3-7c12d0e5f84f&quot;],&quot;isTemporary&quot;:false,&quot;legacyDesktopId&quot;:&quot;db0dfc28-6e08-4b59-9cb3-7c12d0e5f84f&quot;}]},{&quot;citationID&quot;:&quot;MENDELEY_CITATION_c9d0be9a-37cb-4855-9b4a-00c5e0e1e586&quot;,&quot;properties&quot;:{&quot;noteIndex&quot;:0},&quot;isEdited&quot;:false,&quot;manualOverride&quot;:{&quot;citeprocText&quot;:&quot;(Bradley and Altizer, 2007)&quot;,&quot;isManuallyOverridden&quot;:false,&quot;manualOverrideText&quot;:&quot;&quot;},&quot;citationTag&quot;:&quot;MENDELEY_CITATION_v3_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&quot;,&quot;citationItems&quot;:[{&quot;id&quot;:&quot;a2bb2fe1-df54-55c1-a008-b82aebd4609e&quot;,&quot;itemData&quot;:{&quot;author&quot;:[{&quot;dropping-particle&quot;:&quot;&quot;,&quot;family&quot;:&quot;Bradley&quot;,&quot;given&quot;:&quot;C.A.&quot;,&quot;non-dropping-particle&quot;:&quot;&quot;,&quot;parse-names&quot;:false,&quot;suffix&quot;:&quot;&quot;},{&quot;dropping-particle&quot;:&quot;&quot;,&quot;family&quot;:&quot;Altizer&quot;,&quot;given&quot;:&quot;S.&quot;,&quot;non-dropping-particle&quot;:&quot;&quot;,&quot;parse-names&quot;:false,&quot;suffix&quot;:&quot;&quot;}],&quot;container-title&quot;:&quot;Trends in Ecology &amp; Evolution&quot;,&quot;id&quot;:&quot;a2bb2fe1-df54-55c1-a008-b82aebd4609e&quot;,&quot;issue&quot;:&quot;2&quot;,&quot;issued&quot;:{&quot;date-parts&quot;:[[&quot;2007&quot;]]},&quot;page&quot;:&quot;95-102&quot;,&quot;title&quot;:&quot;Urbanization and the ecology of wildlife diseases&quot;,&quot;type&quot;:&quot;article-journal&quot;,&quot;volume&quot;:&quot;22&quot;,&quot;container-title-short&quot;:&quot;Trends Ecol Evol&quot;},&quot;uris&quot;:[&quot;http://www.mendeley.com/documents/?uuid=7d0abf1e-9cb6-4d46-be7c-2f84aa1fc65a&quot;],&quot;isTemporary&quot;:false,&quot;legacyDesktopId&quot;:&quot;7d0abf1e-9cb6-4d46-be7c-2f84aa1fc65a&quot;}]},{&quot;citationID&quot;:&quot;MENDELEY_CITATION_adf3f39a-a5c0-47d1-9161-2ad09d0220d8&quot;,&quot;properties&quot;:{&quot;noteIndex&quot;:0},&quot;isEdited&quot;:false,&quot;manualOverride&quot;:{&quot;citeprocText&quot;:&quot;(EHP, 2021a)&quot;,&quot;isManuallyOverridden&quot;:false,&quot;manualOverrideText&quot;:&quot;&quot;},&quot;citationTag&quot;:&quot;MENDELEY_CITATION_v3_eyJjaXRhdGlvbklEIjoiTUVOREVMRVlfQ0lUQVRJT05fYWRmM2YzOWEtYTVjMC00N2QxLTkxNjEtMmFkMDlkMDIyMGQ4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quot;,&quot;citationItems&quot;:[{&quot;id&quot;:&quot;1f750c95-380c-5f66-aa78-f57be4b2c412&quot;,&quot;itemData&quot;:{&quot;author&quot;:[{&quot;dropping-particle&quot;:&quot;&quot;,&quot;family&quot;:&quot;EHP&quot;,&quot;given&quot;:&quot;&quot;,&quot;non-dropping-particle&quot;:&quot;&quot;,&quot;parse-names&quot;:false,&quot;suffix&quot;:&quot;&quot;}],&quot;id&quot;:&quot;1f750c95-380c-5f66-aa78-f57be4b2c412&quot;,&quot;issued&quot;:{&quot;date-parts&quot;:[[&quot;2021&quot;]]},&quot;title&quot;:&quot;Existing Ecological Conditions: Northern and Western Geelong Growth Areas&quot;,&quot;type&quot;:&quot;report&quot;,&quot;container-title-short&quot;:&quot;&quot;},&quot;uris&quot;:[&quot;http://www.mendeley.com/documents/?uuid=bf747c21-3bef-4877-ad34-742e37146aa2&quot;],&quot;isTemporary&quot;:false,&quot;legacyDesktopId&quot;:&quot;bf747c21-3bef-4877-ad34-742e37146aa2&quot;}]},{&quot;citationID&quot;:&quot;MENDELEY_CITATION_c5976bde-9ec5-4d41-afff-bf5fe84fdd4d&quot;,&quot;properties&quot;:{&quot;noteIndex&quot;:0},&quot;isEdited&quot;:false,&quot;manualOverride&quot;:{&quot;citeprocText&quot;:&quot;(DELWP, 2020)&quot;,&quot;isManuallyOverridden&quot;:false,&quot;manualOverrideText&quot;:&quot;&quot;},&quot;citationTag&quot;:&quot;MENDELEY_CITATION_v3_eyJjaXRhdGlvbklEIjoiTUVOREVMRVlfQ0lUQVRJT05fYzU5NzZiZGUtOWVjNS00ZDQxLWFmZmYtYmY1ZmU4NGZkZDRk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quot;,&quot;citationItems&quot;:[{&quot;id&quot;:&quot;ea906cbe-516a-53e8-8ebd-aeeab51c0b30&quot;,&quot;itemData&quot;:{&quot;author&quot;:[{&quot;dropping-particle&quot;:&quot;&quot;,&quot;family&quot;:&quot;DELWP&quot;,&quot;given&quot;:&quot;&quot;,&quot;non-dropping-particle&quot;:&quot;&quot;,&quot;parse-names&quot;:false,&quot;suffix&quot;:&quot;&quot;}],&quot;id&quot;:&quot;ea906cbe-516a-53e8-8ebd-aeeab51c0b30&quot;,&quot;issued&quot;:{&quot;date-parts&quot;:[[&quot;2020&quot;]]},&quot;publisher&quot;:&quot;Department of Environment, Land, Water and Planning&quot;,&quot;title&quot;:&quot;Port Phillip Bay (Western Shoreline) &amp; Bellarine Peninsula Ramsar Site Ecological Character Description&quot;,&quot;type&quot;:&quot;article&quot;,&quot;container-title-short&quot;:&quot;&quot;},&quot;uris&quot;:[&quot;http://www.mendeley.com/documents/?uuid=7648ab69-c389-4e85-afe2-3f3be03d7a4e&quot;],&quot;isTemporary&quot;:false,&quot;legacyDesktopId&quot;:&quot;7648ab69-c389-4e85-afe2-3f3be03d7a4e&quot;}]},{&quot;citationID&quot;:&quot;MENDELEY_CITATION_ef50dbc8-bde0-48fd-bc15-dfb54be1c72f&quot;,&quot;properties&quot;:{&quot;noteIndex&quot;:0},&quot;isEdited&quot;:false,&quot;manualOverride&quot;:{&quot;citeprocText&quot;:&quot;(EHP, 2021a)&quot;,&quot;isManuallyOverridden&quot;:false,&quot;manualOverrideText&quot;:&quot;&quot;},&quot;citationTag&quot;:&quot;MENDELEY_CITATION_v3_eyJjaXRhdGlvbklEIjoiTUVOREVMRVlfQ0lUQVRJT05fZWY1MGRiYzgtYmRlMC00OGZkLWJjMTUtZGZiNTRiZTFjNzJm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quot;,&quot;citationItems&quot;:[{&quot;id&quot;:&quot;1f750c95-380c-5f66-aa78-f57be4b2c412&quot;,&quot;itemData&quot;:{&quot;author&quot;:[{&quot;dropping-particle&quot;:&quot;&quot;,&quot;family&quot;:&quot;EHP&quot;,&quot;given&quot;:&quot;&quot;,&quot;non-dropping-particle&quot;:&quot;&quot;,&quot;parse-names&quot;:false,&quot;suffix&quot;:&quot;&quot;}],&quot;id&quot;:&quot;1f750c95-380c-5f66-aa78-f57be4b2c412&quot;,&quot;issued&quot;:{&quot;date-parts&quot;:[[&quot;2021&quot;]]},&quot;title&quot;:&quot;Existing Ecological Conditions: Northern and Western Geelong Growth Areas&quot;,&quot;type&quot;:&quot;report&quot;,&quot;container-title-short&quot;:&quot;&quot;},&quot;uris&quot;:[&quot;http://www.mendeley.com/documents/?uuid=bf747c21-3bef-4877-ad34-742e37146aa2&quot;],&quot;isTemporary&quot;:false,&quot;legacyDesktopId&quot;:&quot;bf747c21-3bef-4877-ad34-742e37146aa2&quot;}]},{&quot;citationID&quot;:&quot;MENDELEY_CITATION_6e5adfd8-b07c-49a2-ab8f-d2538a0e550e&quot;,&quot;properties&quot;:{&quot;noteIndex&quot;:0},&quot;isEdited&quot;:false,&quot;manualOverride&quot;:{&quot;citeprocText&quot;:&quot;(DELWP, 2020)&quot;,&quot;isManuallyOverridden&quot;:false,&quot;manualOverrideText&quot;:&quot;&quot;},&quot;citationTag&quot;:&quot;MENDELEY_CITATION_v3_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&quot;,&quot;citationItems&quot;:[{&quot;id&quot;:&quot;ea906cbe-516a-53e8-8ebd-aeeab51c0b30&quot;,&quot;itemData&quot;:{&quot;author&quot;:[{&quot;dropping-particle&quot;:&quot;&quot;,&quot;family&quot;:&quot;DELWP&quot;,&quot;given&quot;:&quot;&quot;,&quot;non-dropping-particle&quot;:&quot;&quot;,&quot;parse-names&quot;:false,&quot;suffix&quot;:&quot;&quot;}],&quot;id&quot;:&quot;ea906cbe-516a-53e8-8ebd-aeeab51c0b30&quot;,&quot;issued&quot;:{&quot;date-parts&quot;:[[&quot;2020&quot;]]},&quot;publisher&quot;:&quot;Department of Environment, Land, Water and Planning&quot;,&quot;title&quot;:&quot;Port Phillip Bay (Western Shoreline) &amp; Bellarine Peninsula Ramsar Site Ecological Character Description&quot;,&quot;type&quot;:&quot;article&quot;,&quot;container-title-short&quot;:&quot;&quot;},&quot;uris&quot;:[&quot;http://www.mendeley.com/documents/?uuid=7648ab69-c389-4e85-afe2-3f3be03d7a4e&quot;],&quot;isTemporary&quot;:false,&quot;legacyDesktopId&quot;:&quot;7648ab69-c389-4e85-afe2-3f3be03d7a4e&quot;}]},{&quot;citationID&quot;:&quot;MENDELEY_CITATION_eee5bbbc-834b-4ddd-b151-d8ccc67200bc&quot;,&quot;properties&quot;:{&quot;noteIndex&quot;:0},&quot;isEdited&quot;:false,&quot;manualOverride&quot;:{&quot;citeprocText&quot;:&quot;(Gaertner &lt;i&gt;et al.&lt;/i&gt;, 2017)&quot;,&quot;isManuallyOverridden&quot;:false,&quot;manualOverrideText&quot;:&quot;&quot;},&quot;citationTag&quot;:&quot;MENDELEY_CITATION_v3_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&quot;,&quot;citationItems&quot;:[{&quot;id&quot;:&quot;3cb390c0-4196-5c78-9f50-02fa47673d4a&quot;,&quot;itemData&quot;:{&quot;DOI&quot;:&quot;10.1007/s10530-017-1598-7&quot;,&quot;ISSN&quot;:&quot;15731464&quot;,&quot;abstract&quot;:&quot;Although urban ecosystems are hotspots for biological invasions, the field of invasion science has given scant attention to invasion dynamics and the challenges facing managers in towns and cities. This paper provides an introduction to the growing challenges of understanding and managing invasive species in urban systems, and the context for a special issue of Biological Invasions, comprising 17 papers, that arose from a workshop on “Non-native species in urban environments: patterns, processes, impacts and challenges” held in Stellenbosch, South Africa, in November 2016. Contributions explore the following key questions: Are patterns and processes of urban invasions different from invasions in other contexts? Why is it important to manage non-native species in urban ecosystems? What are the special management needs in an urban context? How can we bridge the gaps between science, management, and policy with regards to biological invasions in urban ecosystems? The papers in this special issue show that patterns and processes of urban invasions differ in many ways from invasions in other contexts, and that managing invasive species in cities poses unique and increasingly complex challenges. Progress in urban invasion science requires further work to: (1) address key limitations that hinder our understanding of invasion dynamics in cities; (2) clarify whether fundamental concepts in the field of invasion science are appropriate for urban ecosystems; (3) integrate insights from invasion science with those from the burgeoning literature on the “Anthropocene biosphere”, novel ecosystems, social–ecological systems, human–wildlife conflicts, urban green infrastructure, urban planning and design, and ecosystem services/disservices.&quot;,&quot;author&quot;:[{&quot;dropping-particle&quot;:&quot;&quot;,&quot;family&quot;:&quot;Gaertner&quot;,&quot;given&quot;:&quot;Mirijam&quot;,&quot;non-dropping-particle&quot;:&quot;&quot;,&quot;parse-names&quot;:false,&quot;suffix&quot;:&quot;&quot;},{&quot;dropping-particle&quot;:&quot;&quot;,&quot;family&quot;:&quot;Wilson&quot;,&quot;given&quot;:&quot;John R.U.&quot;,&quot;non-dropping-particle&quot;:&quot;&quot;,&quot;parse-names&quot;:false,&quot;suffix&quot;:&quot;&quot;},{&quot;dropping-particle&quot;:&quot;&quot;,&quot;family&quot;:&quot;Cadotte&quot;,&quot;given&quot;:&quot;Marc W.&quot;,&quot;non-dropping-particle&quot;:&quot;&quot;,&quot;parse-names&quot;:false,&quot;suffix&quot;:&quot;&quot;},{&quot;dropping-particle&quot;:&quot;&quot;,&quot;family&quot;:&quot;MacIvor&quot;,&quot;given&quot;:&quot;J. Scott&quot;,&quot;non-dropping-particle&quot;:&quot;&quot;,&quot;parse-names&quot;:false,&quot;suffix&quot;:&quot;&quot;},{&quot;dropping-particle&quot;:&quot;&quot;,&quot;family&quot;:&quot;Zenni&quot;,&quot;given&quot;:&quot;Rafael D.&quot;,&quot;non-dropping-particle&quot;:&quot;&quot;,&quot;parse-names&quot;:false,&quot;suffix&quot;:&quot;&quot;},{&quot;dropping-particle&quot;:&quot;&quot;,&quot;family&quot;:&quot;Richardson&quot;,&quot;given&quot;:&quot;David M.&quot;,&quot;non-dropping-particle&quot;:&quot;&quot;,&quot;parse-names&quot;:false,&quot;suffix&quot;:&quot;&quot;}],&quot;container-title&quot;:&quot;Biological Invasions&quot;,&quot;id&quot;:&quot;3cb390c0-4196-5c78-9f50-02fa47673d4a&quot;,&quot;issue&quot;:&quot;12&quot;,&quot;issued&quot;:{&quot;date-parts&quot;:[[&quot;2017&quot;]]},&quot;page&quot;:&quot;3461-3469&quot;,&quot;title&quot;:&quot;Non-native species in urban environments: patterns, processes, impacts and challenges&quot;,&quot;type&quot;:&quot;article-journal&quot;,&quot;volume&quot;:&quot;19&quot;,&quot;container-title-short&quot;:&quot;Biol Invasions&quot;},&quot;uris&quot;:[&quot;http://www.mendeley.com/documents/?uuid=eef46034-9ea9-48f9-80b7-b68ecb86d95c&quot;],&quot;isTemporary&quot;:false,&quot;legacyDesktopId&quot;:&quot;eef46034-9ea9-48f9-80b7-b68ecb86d95c&quot;}]},{&quot;citationID&quot;:&quot;MENDELEY_CITATION_faa828bd-c16f-457b-afe1-c0a31560b94c&quot;,&quot;properties&quot;:{&quot;noteIndex&quot;:0},&quot;isEdited&quot;:false,&quot;manualOverride&quot;:{&quot;citeprocText&quot;:&quot;(The City of Greater Geelong, 2022)&quot;,&quot;isManuallyOverridden&quot;:false,&quot;manualOverrideText&quot;:&quot;&quot;},&quot;citationTag&quot;:&quot;MENDELEY_CITATION_v3_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&quot;,&quot;citationItems&quot;:[{&quot;id&quot;:&quot;8f62cc42-d712-57c5-a092-a09a01d34564&quot;,&quot;itemData&quot;:{&quot;author&quot;:[{&quot;dropping-particle&quot;:&quot;&quot;,&quot;family&quot;:&quot;The City of Greater Geelong&quot;,&quot;given&quot;:&quot;&quot;,&quot;non-dropping-particle&quot;:&quot;&quot;,&quot;parse-names&quot;:false,&quot;suffix&quot;:&quot;&quot;}],&quot;id&quot;:&quot;8f62cc42-d712-57c5-a092-a09a01d34564&quot;,&quot;issued&quot;:{&quot;date-parts&quot;:[[&quot;2022&quot;]]},&quot;title&quot;:&quot;Domestic animal management plan 2022-2025&quot;,&quot;type&quot;:&quot;article&quot;,&quot;container-title-short&quot;:&quot;&quot;},&quot;uris&quot;:[&quot;http://www.mendeley.com/documents/?uuid=948d3ae1-5564-492e-b31d-531569a6b6f5&quot;],&quot;isTemporary&quot;:false,&quot;legacyDesktopId&quot;:&quot;948d3ae1-5564-492e-b31d-531569a6b6f5&quot;}]},{&quot;citationID&quot;:&quot;MENDELEY_CITATION_730cbe26-97ab-4f30-bfe8-d6edba49b75d&quot;,&quot;properties&quot;:{&quot;noteIndex&quot;:0},&quot;isEdited&quot;:false,&quot;manualOverride&quot;:{&quot;citeprocText&quot;:&quot;(The City of Greater Geelong, 2022)&quot;,&quot;isManuallyOverridden&quot;:false,&quot;manualOverrideText&quot;:&quot;&quot;},&quot;citationTag&quot;:&quot;MENDELEY_CITATION_v3_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&quot;,&quot;citationItems&quot;:[{&quot;id&quot;:&quot;8f62cc42-d712-57c5-a092-a09a01d34564&quot;,&quot;itemData&quot;:{&quot;author&quot;:[{&quot;dropping-particle&quot;:&quot;&quot;,&quot;family&quot;:&quot;The City of Greater Geelong&quot;,&quot;given&quot;:&quot;&quot;,&quot;non-dropping-particle&quot;:&quot;&quot;,&quot;parse-names&quot;:false,&quot;suffix&quot;:&quot;&quot;}],&quot;id&quot;:&quot;8f62cc42-d712-57c5-a092-a09a01d34564&quot;,&quot;issued&quot;:{&quot;date-parts&quot;:[[&quot;2022&quot;]]},&quot;title&quot;:&quot;Domestic animal management plan 2022-2025&quot;,&quot;type&quot;:&quot;article&quot;,&quot;container-title-short&quot;:&quot;&quot;},&quot;uris&quot;:[&quot;http://www.mendeley.com/documents/?uuid=948d3ae1-5564-492e-b31d-531569a6b6f5&quot;],&quot;isTemporary&quot;:false,&quot;legacyDesktopId&quot;:&quot;948d3ae1-5564-492e-b31d-531569a6b6f5&quot;}]},{&quot;citationID&quot;:&quot;MENDELEY_CITATION_120e3c40-b11f-4073-b645-cd1af480c615&quot;,&quot;properties&quot;:{&quot;noteIndex&quot;:0},&quot;isEdited&quot;:false,&quot;manualOverride&quot;:{&quot;citeprocText&quot;:&quot;(Parks Victoria, 2022b)&quot;,&quot;isManuallyOverridden&quot;:false,&quot;manualOverrideText&quot;:&quot;&quot;},&quot;citationTag&quot;:&quot;MENDELEY_CITATION_v3_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pbWVidXJuZXJzLWJheS13aWxkbGlmZS1yZXNlcnZlIiwiaXNzdWVkIjp7ImRhdGUtcGFydHMiOltbMjAyMl1dfSwiY29udGFpbmVyLXRpdGxlLXNob3J0IjoiIn0sImlzVGVtcG9yYXJ5IjpmYWxzZX1dfQ==&quot;,&quot;citationItems&quot;:[{&quot;id&quot;:&quot;21c1ce04-611f-3f29-bb1d-b28b6231db6f&quot;,&quot;itemData&quot;:{&quot;type&quot;:&quot;article&quot;,&quot;id&quot;:&quot;21c1ce04-611f-3f29-bb1d-b28b6231db6f&quot;,&quot;title&quot;:&quot;Limeburners Bay Wildlife Reserve (Limeburners Lagoon (Hovells Creek) Flora and Fauna Reserve)&quot;,&quot;groupId&quot;:&quot;efbce491-2e14-3d43-a5c9-96f56af41c58&quot;,&quot;author&quot;:[{&quot;family&quot;:&quot;Parks Victoria&quot;,&quot;given&quot;:&quot;&quot;,&quot;parse-names&quot;:false,&quot;dropping-particle&quot;:&quot;&quot;,&quot;non-dropping-particle&quot;:&quot;&quot;}],&quot;URL&quot;:&quot;https://www.parks.vic.gov.au/places-to-see/sites/limeburners-bay-wildlife-reserve&quot;,&quot;issued&quot;:{&quot;date-parts&quot;:[[2022]]}},&quot;isTemporary&quot;:false}]},{&quot;citationID&quot;:&quot;MENDELEY_CITATION_6dc4c24d-c17e-4fbf-ab2f-6e7cb845dce1&quot;,&quot;properties&quot;:{&quot;noteIndex&quot;:0},&quot;isEdited&quot;:false,&quot;manualOverride&quot;:{&quot;citeprocText&quot;:&quot;(Parks Victoria, 2022d, 2022b, 2022c, 2022e, 2022a)&quot;,&quot;isManuallyOverridden&quot;:false,&quot;manualOverrideText&quot;:&quot;&quot;},&quot;citationTag&quot;:&quot;MENDELEY_CITATION_v3_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vd2VyLWJhcndvbi1yaXZlci0tLXNoZWVwd2FzaCIsImlzc3VlZCI6eyJkYXRlLXBhcnRzIjpbWzIwMjJdXX0sImNvbnRhaW5lci10aXRsZS1zaG9ydCI6IiJ9LCJpc1RlbXBvcmFyeSI6ZmFsc2V9LHsiaWQiOiIyMWMxY2UwNC02MTFmLTNmMjktYmIxZC1iMjhiNjIzMWRiNmYiLCJpdGVtRGF0YSI6eyJ0eXBlIjoiYXJ0aWNsZSIsImlkIjoiMjFjMWNlMDQtNjExZi0zZjI5LWJiMWQtYjI4YjYyMzFkYjZmIiwidGl0bGUiOiJMaW1lYnVybmVycyBCYXkgV2lsZGxpZmUgUmVzZXJ2ZSAoTGltZWJ1cm5lcnMgTGFnb29uIChIb3ZlbGxzIENyZWVrKSBGbG9yYSBhbmQgRmF1bmE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&quot;,&quot;citationItems&quot;:[{&quot;id&quot;:&quot;f2330536-7451-39c2-8c73-f585fdd837b5&quot;,&quot;itemData&quot;:{&quot;type&quot;:&quot;article&quot;,&quot;id&quot;:&quot;f2330536-7451-39c2-8c73-f585fdd837b5&quot;,&quot;title&quot;:&quot;Lower Barwon River - Sheepwash (Lake Connewarre Wildlife Reserve)&quot;,&quot;groupId&quot;:&quot;efbce491-2e14-3d43-a5c9-96f56af41c58&quot;,&quot;author&quot;:[{&quot;family&quot;:&quot;Parks Victoria&quot;,&quot;given&quot;:&quot;&quot;,&quot;parse-names&quot;:false,&quot;dropping-particle&quot;:&quot;&quot;,&quot;non-dropping-particle&quot;:&quot;&quot;}],&quot;URL&quot;:&quot;https://www.parks.vic.gov.au/places-to-see/sites/lower-barwon-river---sheepwash&quot;,&quot;issued&quot;:{&quot;date-parts&quot;:[[2022]]}},&quot;isTemporary&quot;:false},{&quot;id&quot;:&quot;21c1ce04-611f-3f29-bb1d-b28b6231db6f&quot;,&quot;itemData&quot;:{&quot;type&quot;:&quot;article&quot;,&quot;id&quot;:&quot;21c1ce04-611f-3f29-bb1d-b28b6231db6f&quot;,&quot;title&quot;:&quot;Limeburners Bay Wildlife Reserve (Limeburners Lagoon (Hovells Creek) Flora and Fauna Reserve)&quot;,&quot;groupId&quot;:&quot;efbce491-2e14-3d43-a5c9-96f56af41c58&quot;,&quot;author&quot;:[{&quot;family&quot;:&quot;Parks Victoria&quot;,&quot;given&quot;:&quot;&quot;,&quot;parse-names&quot;:false,&quot;dropping-particle&quot;:&quot;&quot;,&quot;non-dropping-particle&quot;:&quot;&quot;}],&quot;URL&quot;:&quot;https://www.parks.vic.gov.au/places-to-see/sites/limeburners-bay-wildlife-reserve&quot;,&quot;issued&quot;:{&quot;date-parts&quot;:[[2022]]}},&quot;isTemporary&quot;:false},{&quot;id&quot;:&quot;d2efe4ea-e60d-3b56-a54c-599df6b643b7&quot;,&quot;itemData&quot;:{&quot;type&quot;:&quot;article&quot;,&quot;id&quot;:&quot;d2efe4ea-e60d-3b56-a54c-599df6b643b7&quot;,&quot;title&quot;:&quot;Lower Barwon River - Minah Street Day Visitor Area (Lake Connewarre Wildlife Reserve)&quot;,&quot;groupId&quot;:&quot;efbce491-2e14-3d43-a5c9-96f56af41c58&quot;,&quot;author&quot;:[{&quot;family&quot;:&quot;Parks Victoria&quot;,&quot;given&quot;:&quot;&quot;,&quot;parse-names&quot;:false,&quot;dropping-particle&quot;:&quot;&quot;,&quot;non-dropping-particle&quot;:&quot;&quot;}],&quot;URL&quot;:&quot;https://www.parks.vic.gov.au/places-to-see/sites/lower-barwon-river---minah-street-day-visitor-area&quot;,&quot;issued&quot;:{&quot;date-parts&quot;:[[2022]]}},&quot;isTemporary&quot;:false},{&quot;id&quot;:&quot;5ee008a0-7e52-3a96-8325-cdfac71a5b81&quot;,&quot;itemData&quot;:{&quot;type&quot;:&quot;article&quot;,&quot;id&quot;:&quot;5ee008a0-7e52-3a96-8325-cdfac71a5b81&quot;,&quot;title&quot;:&quot;Taits point day visitor area (Lake Connewarre Wildlife Reserve&quot;,&quot;groupId&quot;:&quot;efbce491-2e14-3d43-a5c9-96f56af41c58&quot;,&quot;author&quot;:[{&quot;family&quot;:&quot;Parks Victoria&quot;,&quot;given&quot;:&quot;&quot;,&quot;parse-names&quot;:false,&quot;dropping-particle&quot;:&quot;&quot;,&quot;non-dropping-particle&quot;:&quot;&quot;}],&quot;URL&quot;:&quot;https://www.parks.vic.gov.au/places-to-see/sites/taits-point-day-visitor-area&quot;,&quot;issued&quot;:{&quot;date-parts&quot;:[[2022]]}},&quot;isTemporary&quot;:false},{&quot;id&quot;:&quot;8c174018-3314-3461-84f5-78ab331f63d2&quot;,&quot;itemData&quot;:{&quot;type&quot;:&quot;article&quot;,&quot;id&quot;:&quot;8c174018-3314-3461-84f5-78ab331f63d2&quot;,&quot;title&quot;:&quot;Barwon river estuary walk (Lake Connewarre Wildlife Reserve)&quot;,&quot;groupId&quot;:&quot;efbce491-2e14-3d43-a5c9-96f56af41c58&quot;,&quot;author&quot;:[{&quot;family&quot;:&quot;Parks Victoria&quot;,&quot;given&quot;:&quot;&quot;,&quot;parse-names&quot;:false,&quot;dropping-particle&quot;:&quot;&quot;,&quot;non-dropping-particle&quot;:&quot;&quot;}],&quot;URL&quot;:&quot;https://www.parks.vic.gov.au/places-to-see/sites/barwon-river-estuary-walk&quot;,&quot;issued&quot;:{&quot;date-parts&quot;:[[2022]]}},&quot;isTemporary&quot;:false}]},{&quot;citationID&quot;:&quot;MENDELEY_CITATION_8b9471b6-8726-4ee6-909c-40bf59e4d10d&quot;,&quot;properties&quot;:{&quot;noteIndex&quot;:0},&quot;isEdited&quot;:false,&quot;manualOverride&quot;:{&quot;citeprocText&quot;:&quot;(Parks Victoria, 2022f)&quot;,&quot;isManuallyOverridden&quot;:false,&quot;manualOverrideText&quot;:&quot;&quot;},&quot;citationTag&quot;:&quot;MENDELEY_CITATION_v3_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&quot;,&quot;citationItems&quot;:[{&quot;id&quot;:&quot;77380531-0f97-32c6-a577-dcb392741776&quot;,&quot;itemData&quot;:{&quot;type&quot;:&quot;article&quot;,&quot;id&quot;:&quot;77380531-0f97-32c6-a577-dcb392741776&quot;,&quot;title&quot;:&quot;The spit (Murcaim) (the spit wildlife reserve)&quot;,&quot;groupId&quot;:&quot;efbce491-2e14-3d43-a5c9-96f56af41c58&quot;,&quot;author&quot;:[{&quot;family&quot;:&quot;Parks Victoria&quot;,&quot;given&quot;:&quot;&quot;,&quot;parse-names&quot;:false,&quot;dropping-particle&quot;:&quot;&quot;,&quot;non-dropping-particle&quot;:&quot;&quot;}],&quot;URL&quot;:&quot;https://www.parks.vic.gov.au/places-to-see/sites/the-spit-(murcaim)&quot;,&quot;issued&quot;:{&quot;date-parts&quot;:[[2022]]}},&quot;isTemporary&quot;:false}]},{&quot;citationID&quot;:&quot;MENDELEY_CITATION_b53ca82f-e865-4f3d-9895-d913f57d54eb&quot;,&quot;properties&quot;:{&quot;noteIndex&quot;:0},&quot;isEdited&quot;:false,&quot;manualOverride&quot;:{&quot;citeprocText&quot;:&quot;(Conservation Volunteers Australia, 2022)&quot;,&quot;isManuallyOverridden&quot;:false,&quot;manualOverrideText&quot;:&quot;&quot;},&quot;citationTag&quot;:&quot;MENDELEY_CITATION_v3_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&quot;,&quot;citationItems&quot;:[{&quot;id&quot;:&quot;56498988-a1b4-5034-b174-fa0a852dfda8&quot;,&quot;itemData&quot;:{&quot;URL&quot;:&quot;https://bookings.conservationvolunteers.org/project/the-spit-nature-conservation-reserve-avalon&quot;,&quot;accessed&quot;:{&quot;date-parts&quot;:[[&quot;2022&quot;,&quot;7&quot;,&quot;19&quot;]]},&quot;author&quot;:[{&quot;dropping-particle&quot;:&quot;&quot;,&quot;family&quot;:&quot;Conservation Volunteers Australia&quot;,&quot;given&quot;:&quot;&quot;,&quot;non-dropping-particle&quot;:&quot;&quot;,&quot;parse-names&quot;:false,&quot;suffix&quot;:&quot;&quot;}],&quot;id&quot;:&quot;56498988-a1b4-5034-b174-fa0a852dfda8&quot;,&quot;issued&quot;:{&quot;date-parts&quot;:[[&quot;2022&quot;]]},&quot;title&quot;:&quot;The Spit Nature Conservation Reserve - Avalon&quot;,&quot;type&quot;:&quot;webpage&quot;,&quot;container-title-short&quot;:&quot;&quot;},&quot;uris&quot;:[&quot;http://www.mendeley.com/documents/?uuid=804de83e-1e45-4e94-abb1-8ef55901b05a&quot;],&quot;isTemporary&quot;:false,&quot;legacyDesktopId&quot;:&quot;804de83e-1e45-4e94-abb1-8ef55901b05a&quot;}]},{&quot;citationID&quot;:&quot;MENDELEY_CITATION_ad858202-6506-4f66-9797-f190dd6c2fd6&quot;,&quot;properties&quot;:{&quot;noteIndex&quot;:0},&quot;isEdited&quot;:false,&quot;manualOverride&quot;:{&quot;citeprocText&quot;:&quot;(The Breamlea Association, 2016)&quot;,&quot;isManuallyOverridden&quot;:false,&quot;manualOverrideText&quot;:&quot;&quot;},&quot;citationTag&quot;:&quot;MENDELEY_CITATION_v3_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&quot;,&quot;citationItems&quot;:[{&quot;id&quot;:&quot;060a0f5a-87a9-36d5-936e-07bd56071fe0&quot;,&quot;itemData&quot;:{&quot;type&quot;:&quot;article&quot;,&quot;id&quot;:&quot;060a0f5a-87a9-36d5-936e-07bd56071fe0&quot;,&quot;title&quot;:&quot;Breamlea Fauna and Flora&quot;,&quot;groupId&quot;:&quot;efbce491-2e14-3d43-a5c9-96f56af41c58&quot;,&quot;author&quot;:[{&quot;family&quot;:&quot;The Breamlea Association&quot;,&quot;given&quot;:&quot;&quot;,&quot;parse-names&quot;:false,&quot;dropping-particle&quot;:&quot;&quot;,&quot;non-dropping-particle&quot;:&quot;&quot;}],&quot;URL&quot;:&quot;https://breamlea.com.au/main.asp?_=Flora and Fauna#Breamlea Flora Reserve&quot;,&quot;issued&quot;:{&quot;date-parts&quot;:[[2016]]}},&quot;isTemporary&quot;:false}]},{&quot;citationID&quot;:&quot;MENDELEY_CITATION_5b4d69ca-b2eb-4e55-962f-ab013030f8ce&quot;,&quot;properties&quot;:{&quot;noteIndex&quot;:0},&quot;isEdited&quot;:false,&quot;manualOverride&quot;:{&quot;citeprocText&quot;:&quot;(The Breamlea Association, 2016)&quot;,&quot;isManuallyOverridden&quot;:false,&quot;manualOverrideText&quot;:&quot;&quot;},&quot;citationTag&quot;:&quot;MENDELEY_CITATION_v3_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&quot;,&quot;citationItems&quot;:[{&quot;id&quot;:&quot;060a0f5a-87a9-36d5-936e-07bd56071fe0&quot;,&quot;itemData&quot;:{&quot;type&quot;:&quot;article&quot;,&quot;id&quot;:&quot;060a0f5a-87a9-36d5-936e-07bd56071fe0&quot;,&quot;title&quot;:&quot;Breamlea Fauna and Flora&quot;,&quot;groupId&quot;:&quot;efbce491-2e14-3d43-a5c9-96f56af41c58&quot;,&quot;author&quot;:[{&quot;family&quot;:&quot;The Breamlea Association&quot;,&quot;given&quot;:&quot;&quot;,&quot;parse-names&quot;:false,&quot;dropping-particle&quot;:&quot;&quot;,&quot;non-dropping-particle&quot;:&quot;&quot;}],&quot;URL&quot;:&quot;https://breamlea.com.au/main.asp?_=Flora and Fauna#Breamlea Flora Reserve&quot;,&quot;issued&quot;:{&quot;date-parts&quot;:[[2016]]}},&quot;isTemporary&quot;:false}]},{&quot;citationID&quot;:&quot;MENDELEY_CITATION_cf830a4d-b6c6-4b9d-bb3b-6b19b6602456&quot;,&quot;properties&quot;:{&quot;noteIndex&quot;:0},&quot;isEdited&quot;:false,&quot;manualOverride&quot;:{&quot;citeprocText&quot;:&quot;(DELWP, 2019)&quot;,&quot;isManuallyOverridden&quot;:false,&quot;manualOverrideText&quot;:&quot;&quot;},&quot;citationTag&quot;:&quot;MENDELEY_CITATION_v3_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&quot;,&quot;citationItems&quot;:[{&quot;id&quot;:&quot;a656e01c-cac4-543c-8e16-447f21bac1dd&quot;,&quot;itemData&quot;:{&quot;author&quot;:[{&quot;dropping-particle&quot;:&quot;&quot;,&quot;family&quot;:&quot;DELWP&quot;,&quot;given&quot;:&quot;&quot;,&quot;non-dropping-particle&quot;:&quot;&quot;,&quot;parse-names&quot;:false,&quot;suffix&quot;:&quot;&quot;}],&quot;id&quot;:&quot;a656e01c-cac4-543c-8e16-447f21bac1dd&quot;,&quot;issued&quot;:{&quot;date-parts&quot;:[[&quot;2019&quot;]]},&quot;publisher&quot;:&quot;Department of Environment, Land, Water and Planning&quot;,&quot;title&quot;:&quot;Moolap Coastal Strategic Framework Plan&quot;,&quot;type&quot;:&quot;article&quot;,&quot;container-title-short&quot;:&quot;&quot;},&quot;uris&quot;:[&quot;http://www.mendeley.com/documents/?uuid=0f881728-a308-4ed1-9c11-38a863922c46&quot;],&quot;isTemporary&quot;:false,&quot;legacyDesktopId&quot;:&quot;0f881728-a308-4ed1-9c11-38a863922c46&quot;}]},{&quot;citationID&quot;:&quot;MENDELEY_CITATION_8d461d5a-175c-440a-a319-eecca0a81eff&quot;,&quot;properties&quot;:{&quot;noteIndex&quot;:0},&quot;isEdited&quot;:false,&quot;manualOverride&quot;:{&quot;citeprocText&quot;:&quot;(DoEE, 2016a)&quot;,&quot;isManuallyOverridden&quot;:false,&quot;manualOverrideText&quot;:&quot;&quot;},&quot;citationTag&quot;:&quot;MENDELEY_CITATION_v3_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&quot;,&quot;citationItems&quot;:[{&quot;id&quot;:&quot;453ccdad-fbbb-5037-ab5e-96525e0dfac0&quot;,&quot;itemData&quot;:{&quot;author&quot;:[{&quot;dropping-particle&quot;:&quot;&quot;,&quot;family&quot;:&quot;DoEE&quot;,&quot;given&quot;:&quot;&quot;,&quot;non-dropping-particle&quot;:&quot;&quot;,&quot;parse-names&quot;:false,&quot;suffix&quot;:&quot;&quot;}],&quot;id&quot;:&quot;453ccdad-fbbb-5037-ab5e-96525e0dfac0&quot;,&quot;issued&quot;:{&quot;date-parts&quot;:[[&quot;2016&quot;]]},&quot;publisher&quot;:&quot;Department of Environment and Energy, Canberra&quot;,&quot;title&quot;:&quot;Threat abatement plan for competition and land degradation by rabbits&quot;,&quot;type&quot;:&quot;report&quot;,&quot;container-title-short&quot;:&quot;&quot;},&quot;uris&quot;:[&quot;http://www.mendeley.com/documents/?uuid=e78f6e5a-732a-4f44-987b-d4c7217f5e0a&quot;],&quot;isTemporary&quot;:false,&quot;legacyDesktopId&quot;:&quot;e78f6e5a-732a-4f44-987b-d4c7217f5e0a&quot;}]},{&quot;citationID&quot;:&quot;MENDELEY_CITATION_41c05873-06cc-4a76-bcd0-1dbbd03e227e&quot;,&quot;properties&quot;:{&quot;noteIndex&quot;:0},&quot;isEdited&quot;:false,&quot;manualOverride&quot;:{&quot;citeprocText&quot;:&quot;(DEWHA, 2008a)&quot;,&quot;isManuallyOverridden&quot;:false,&quot;manualOverrideText&quot;:&quot;&quot;},&quot;citationTag&quot;:&quot;MENDELEY_CITATION_v3_eyJjaXRhdGlvbklEIjoiTUVOREVMRVlfQ0lUQVRJT05fNDFjMDU4NzMtMDZjYy00YTc2LWJjZDAtMWRiYmQwM2UyMjdlIiwicHJvcGVydGllcyI6eyJub3RlSW5kZXgiOjB9LCJpc0VkaXRlZCI6ZmFsc2UsIm1hbnVhbE92ZXJyaWRlIjp7ImNpdGVwcm9jVGV4dCI6IihERVdIQSwgMjAwOGE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quot;,&quot;citationItems&quot;:[{&quot;id&quot;:&quot;f733f935-4ec3-5807-aaec-2bd5211fc17b&quot;,&quot;itemData&quot;:{&quot;author&quot;:[{&quot;dropping-particle&quot;:&quot;&quot;,&quot;family&quot;:&quot;DEWHA&quot;,&quot;given&quot;:&quot;&quot;,&quot;non-dropping-particle&quot;:&quot;&quot;,&quot;parse-names&quot;:false,&quot;suffix&quot;:&quot;&quot;}],&quot;id&quot;:&quot;f733f935-4ec3-5807-aaec-2bd5211fc17b&quot;,&quot;issued&quot;:{&quot;date-parts&quot;:[[&quot;2008&quot;]]},&quot;publisher&quot;:&quot;Department of Environment, Water, Heritage and Arts&quot;,&quot;title&quot;:&quot;Threat abatement plan for competition and land degradation by unmanaged goats&quot;,&quot;type&quot;:&quot;article&quot;,&quot;container-title-short&quot;:&quot;&quot;},&quot;uris&quot;:[&quot;http://www.mendeley.com/documents/?uuid=bb82ebb2-1f9e-403f-b01f-01e25dd57328&quot;],&quot;isTemporary&quot;:false,&quot;legacyDesktopId&quot;:&quot;bb82ebb2-1f9e-403f-b01f-01e25dd57328&quot;}]},{&quot;citationID&quot;:&quot;MENDELEY_CITATION_4e0d0459-8f3e-49c7-97b0-5beeda5b1829&quot;,&quot;properties&quot;:{&quot;noteIndex&quot;:0},&quot;isEdited&quot;:false,&quot;manualOverride&quot;:{&quot;citeprocText&quot;:&quot;(DoEE, 2016b)&quot;,&quot;isManuallyOverridden&quot;:false,&quot;manualOverrideText&quot;:&quot;&quot;},&quot;citationTag&quot;:&quot;MENDELEY_CITATION_v3_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&quot;,&quot;citationItems&quot;:[{&quot;id&quot;:&quot;e94fef6f-e9c4-5aa2-bddb-4cf46fe9c5af&quot;,&quot;itemData&quot;:{&quot;author&quot;:[{&quot;dropping-particle&quot;:&quot;&quot;,&quot;family&quot;:&quot;DoEE&quot;,&quot;given&quot;:&quot;&quot;,&quot;non-dropping-particle&quot;:&quot;&quot;,&quot;parse-names&quot;:false,&quot;suffix&quot;:&quot;&quot;}],&quot;id&quot;:&quot;e94fef6f-e9c4-5aa2-bddb-4cf46fe9c5af&quot;,&quot;issued&quot;:{&quot;date-parts&quot;:[[&quot;2016&quot;]]},&quot;publisher&quot;:&quot;Department of Environment and Energy&quot;,&quot;title&quot;:&quot;Threat Abatement Plan for infection of amphibians with chytrid fungus resulting in chytridiomycosis&quot;,&quot;type&quot;:&quot;report&quot;,&quot;container-title-short&quot;:&quot;&quot;},&quot;uris&quot;:[&quot;http://www.mendeley.com/documents/?uuid=dd04c7ab-e720-42e0-861f-507f105152b7&quot;],&quot;isTemporary&quot;:false,&quot;legacyDesktopId&quot;:&quot;dd04c7ab-e720-42e0-861f-507f105152b7&quot;}]},{&quot;citationID&quot;:&quot;MENDELEY_CITATION_ad8a3f08-b18c-4c54-9c9f-89a9e26c1bc1&quot;,&quot;properties&quot;:{&quot;noteIndex&quot;:0},&quot;isEdited&quot;:false,&quot;manualOverride&quot;:{&quot;citeprocText&quot;:&quot;(DoE, 2015)&quot;,&quot;isManuallyOverridden&quot;:false,&quot;manualOverrideText&quot;:&quot;&quot;},&quot;citationTag&quot;:&quot;MENDELEY_CITATION_v3_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&quot;,&quot;citationItems&quot;:[{&quot;id&quot;:&quot;37a6eb77-b353-5f77-853d-af1b2568a5c2&quot;,&quot;itemData&quot;:{&quot;author&quot;:[{&quot;dropping-particle&quot;:&quot;&quot;,&quot;family&quot;:&quot;DoE&quot;,&quot;given&quot;:&quot;&quot;,&quot;non-dropping-particle&quot;:&quot;&quot;,&quot;parse-names&quot;:false,&quot;suffix&quot;:&quot;&quot;}],&quot;id&quot;:&quot;37a6eb77-b353-5f77-853d-af1b2568a5c2&quot;,&quot;issued&quot;:{&quot;date-parts&quot;:[[&quot;2015&quot;]]},&quot;publisher-place&quot;:&quot;Canberra&quot;,&quot;title&quot;:&quot;Threat abatement plan for predation by feral cats&quot;,&quot;type&quot;:&quot;report&quot;,&quot;container-title-short&quot;:&quot;&quot;},&quot;uris&quot;:[&quot;http://www.mendeley.com/documents/?uuid=463a907c-c76d-4802-afcb-362a005182f7&quot;],&quot;isTemporary&quot;:false,&quot;legacyDesktopId&quot;:&quot;463a907c-c76d-4802-afcb-362a005182f7&quot;}]},{&quot;citationID&quot;:&quot;MENDELEY_CITATION_282c93ea-5985-46a0-9ddc-33a4ae53fcd6&quot;,&quot;properties&quot;:{&quot;noteIndex&quot;:0},&quot;isEdited&quot;:false,&quot;manualOverride&quot;:{&quot;citeprocText&quot;:&quot;(DEWHA, 2008b)&quot;,&quot;isManuallyOverridden&quot;:false,&quot;manualOverrideText&quot;:&quot;&quot;},&quot;citationTag&quot;:&quot;MENDELEY_CITATION_v3_eyJjaXRhdGlvbklEIjoiTUVOREVMRVlfQ0lUQVRJT05fMjgyYzkzZWEtNTk4NS00NmEwLTlkZGMtMzNhNGFlNTNmY2Q2IiwicHJvcGVydGllcyI6eyJub3RlSW5kZXgiOjB9LCJpc0VkaXRlZCI6ZmFsc2UsIm1hbnVhbE92ZXJyaWRlIjp7ImNpdGVwcm9jVGV4dCI6IihERVdIQSwgMjAwOGI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quot;,&quot;citationItems&quot;:[{&quot;id&quot;:&quot;475d20e6-da1e-5984-b33f-9b3ef76fc6e8&quot;,&quot;itemData&quot;:{&quot;author&quot;:[{&quot;dropping-particle&quot;:&quot;&quot;,&quot;family&quot;:&quot;DEWHA&quot;,&quot;given&quot;:&quot;&quot;,&quot;non-dropping-particle&quot;:&quot;&quot;,&quot;parse-names&quot;:false,&quot;suffix&quot;:&quot;&quot;}],&quot;id&quot;:&quot;475d20e6-da1e-5984-b33f-9b3ef76fc6e8&quot;,&quot;issued&quot;:{&quot;date-parts&quot;:[[&quot;2008&quot;]]},&quot;language&quot;:&quot;en&quot;,&quot;publisher&quot;:&quot;Dept. of the Environment, Water, Heritage, and the Arts&quot;,&quot;publisher-place&quot;:&quot;Canberra, ACT&quot;,&quot;title&quot;:&quot;Threat abatement plan for predation by the European red fox.&quot;,&quot;type&quot;:&quot;report&quot;,&quot;container-title-short&quot;:&quot;&quot;},&quot;uris&quot;:[&quot;http://www.mendeley.com/documents/?uuid=79ef2a7a-d67e-4379-96c0-d751dfd492a8&quot;],&quot;isTemporary&quot;:false,&quot;legacyDesktopId&quot;:&quot;79ef2a7a-d67e-4379-96c0-d751dfd492a8&quot;}]},{&quot;citationID&quot;:&quot;MENDELEY_CITATION_e629bb26-40c7-4f01-b23c-ac0dc7f75ae4&quot;,&quot;properties&quot;:{&quot;noteIndex&quot;:0},&quot;isEdited&quot;:false,&quot;manualOverride&quot;:{&quot;citeprocText&quot;:&quot;(DoEE, 2017)&quot;,&quot;isManuallyOverridden&quot;:false,&quot;manualOverrideText&quot;:&quot;&quot;},&quot;citationTag&quot;:&quot;MENDELEY_CITATION_v3_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&quot;,&quot;citationItems&quot;:[{&quot;id&quot;:&quot;ea85a323-d0d8-5a9d-9e97-c450ef240658&quot;,&quot;itemData&quot;:{&quot;author&quot;:[{&quot;dropping-particle&quot;:&quot;&quot;,&quot;family&quot;:&quot;DoEE&quot;,&quot;given&quot;:&quot;&quot;,&quot;non-dropping-particle&quot;:&quot;&quot;,&quot;parse-names&quot;:false,&quot;suffix&quot;:&quot;&quot;}],&quot;id&quot;:&quot;ea85a323-d0d8-5a9d-9e97-c450ef240658&quot;,&quot;issued&quot;:{&quot;date-parts&quot;:[[&quot;2017&quot;]]},&quot;language&quot;:&quot;en&quot;,&quot;title&quot;:&quot;Threat Abatement Plan for predation, habitat degradation, competition and disease transmission by feral pigs (Sus scrofa)&quot;,&quot;type&quot;:&quot;report&quot;,&quot;container-title-short&quot;:&quot;&quot;},&quot;uris&quot;:[&quot;http://www.mendeley.com/documents/?uuid=05ad88a5-2d77-4506-a9c2-ea1ec3a64905&quot;],&quot;isTemporary&quot;:false,&quot;legacyDesktopId&quot;:&quot;05ad88a5-2d77-4506-a9c2-ea1ec3a64905&quot;}]},{&quot;citationID&quot;:&quot;MENDELEY_CITATION_d66ac572-aaa8-4305-af37-c9b576a5297a&quot;,&quot;properties&quot;:{&quot;noteIndex&quot;:0},&quot;isEdited&quot;:false,&quot;manualOverride&quot;:{&quot;citeprocText&quot;:&quot;(DoEE, 2016a)&quot;,&quot;isManuallyOverridden&quot;:false,&quot;manualOverrideText&quot;:&quot;&quot;},&quot;citationTag&quot;:&quot;MENDELEY_CITATION_v3_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&quot;,&quot;citationItems&quot;:[{&quot;id&quot;:&quot;453ccdad-fbbb-5037-ab5e-96525e0dfac0&quot;,&quot;itemData&quot;:{&quot;author&quot;:[{&quot;dropping-particle&quot;:&quot;&quot;,&quot;family&quot;:&quot;DoEE&quot;,&quot;given&quot;:&quot;&quot;,&quot;non-dropping-particle&quot;:&quot;&quot;,&quot;parse-names&quot;:false,&quot;suffix&quot;:&quot;&quot;}],&quot;id&quot;:&quot;453ccdad-fbbb-5037-ab5e-96525e0dfac0&quot;,&quot;issued&quot;:{&quot;date-parts&quot;:[[&quot;2016&quot;]]},&quot;publisher&quot;:&quot;Department of Environment and Energy, Canberra&quot;,&quot;title&quot;:&quot;Threat abatement plan for competition and land degradation by rabbits&quot;,&quot;type&quot;:&quot;report&quot;,&quot;container-title-short&quot;:&quot;&quot;},&quot;uris&quot;:[&quot;http://www.mendeley.com/documents/?uuid=e78f6e5a-732a-4f44-987b-d4c7217f5e0a&quot;],&quot;isTemporary&quot;:false,&quot;legacyDesktopId&quot;:&quot;e78f6e5a-732a-4f44-987b-d4c7217f5e0a&quot;}]},{&quot;citationID&quot;:&quot;MENDELEY_CITATION_ac34bc53-7876-45a1-a074-7817acb6f133&quot;,&quot;properties&quot;:{&quot;noteIndex&quot;:0},&quot;isEdited&quot;:false,&quot;manualOverride&quot;:{&quot;citeprocText&quot;:&quot;(DoEE, 2016a)&quot;,&quot;isManuallyOverridden&quot;:false,&quot;manualOverrideText&quot;:&quot;&quot;},&quot;citationTag&quot;:&quot;MENDELEY_CITATION_v3_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&quot;,&quot;citationItems&quot;:[{&quot;id&quot;:&quot;453ccdad-fbbb-5037-ab5e-96525e0dfac0&quot;,&quot;itemData&quot;:{&quot;author&quot;:[{&quot;dropping-particle&quot;:&quot;&quot;,&quot;family&quot;:&quot;DoEE&quot;,&quot;given&quot;:&quot;&quot;,&quot;non-dropping-particle&quot;:&quot;&quot;,&quot;parse-names&quot;:false,&quot;suffix&quot;:&quot;&quot;}],&quot;id&quot;:&quot;453ccdad-fbbb-5037-ab5e-96525e0dfac0&quot;,&quot;issued&quot;:{&quot;date-parts&quot;:[[&quot;2016&quot;]]},&quot;publisher&quot;:&quot;Department of Environment and Energy, Canberra&quot;,&quot;title&quot;:&quot;Threat abatement plan for competition and land degradation by rabbits&quot;,&quot;type&quot;:&quot;report&quot;,&quot;container-title-short&quot;:&quot;&quot;},&quot;uris&quot;:[&quot;http://www.mendeley.com/documents/?uuid=e78f6e5a-732a-4f44-987b-d4c7217f5e0a&quot;],&quot;isTemporary&quot;:false,&quot;legacyDesktopId&quot;:&quot;e78f6e5a-732a-4f44-987b-d4c7217f5e0a&quot;}]},{&quot;citationID&quot;:&quot;MENDELEY_CITATION_0ccc1667-1011-44cd-bb31-6705ca4afd59&quot;,&quot;properties&quot;:{&quot;noteIndex&quot;:0},&quot;isEdited&quot;:false,&quot;manualOverride&quot;:{&quot;citeprocText&quot;:&quot;(EHP, 2021a)&quot;,&quot;isManuallyOverridden&quot;:false,&quot;manualOverrideText&quot;:&quot;&quot;},&quot;citationTag&quot;:&quot;MENDELEY_CITATION_v3_eyJjaXRhdGlvbklEIjoiTUVOREVMRVlfQ0lUQVRJT05fMGNjYzE2NjctMTAxMS00NGNkLWJiMzEtNjcwNWNhNGFmZDU5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quot;,&quot;citationItems&quot;:[{&quot;id&quot;:&quot;1f750c95-380c-5f66-aa78-f57be4b2c412&quot;,&quot;itemData&quot;:{&quot;author&quot;:[{&quot;dropping-particle&quot;:&quot;&quot;,&quot;family&quot;:&quot;EHP&quot;,&quot;given&quot;:&quot;&quot;,&quot;non-dropping-particle&quot;:&quot;&quot;,&quot;parse-names&quot;:false,&quot;suffix&quot;:&quot;&quot;}],&quot;id&quot;:&quot;1f750c95-380c-5f66-aa78-f57be4b2c412&quot;,&quot;issued&quot;:{&quot;date-parts&quot;:[[&quot;2021&quot;]]},&quot;title&quot;:&quot;Existing Ecological Conditions: Northern and Western Geelong Growth Areas&quot;,&quot;type&quot;:&quot;report&quot;,&quot;container-title-short&quot;:&quot;&quot;},&quot;uris&quot;:[&quot;http://www.mendeley.com/documents/?uuid=bf747c21-3bef-4877-ad34-742e37146aa2&quot;],&quot;isTemporary&quot;:false,&quot;legacyDesktopId&quot;:&quot;bf747c21-3bef-4877-ad34-742e37146aa2&quot;}]},{&quot;citationID&quot;:&quot;MENDELEY_CITATION_9e468f9e-59c7-4115-8ac6-ff2560c8f88b&quot;,&quot;properties&quot;:{&quot;noteIndex&quot;:0},&quot;isEdited&quot;:false,&quot;manualOverride&quot;:{&quot;citeprocText&quot;:&quot;(DEWHA, 2008a)&quot;,&quot;isManuallyOverridden&quot;:false,&quot;manualOverrideText&quot;:&quot;&quot;},&quot;citationTag&quot;:&quot;MENDELEY_CITATION_v3_eyJjaXRhdGlvbklEIjoiTUVOREVMRVlfQ0lUQVRJT05fOWU0NjhmOWUtNTljNy00MTE1LThhYzYtZmYyNTYwYzhmODhiIiwicHJvcGVydGllcyI6eyJub3RlSW5kZXgiOjB9LCJpc0VkaXRlZCI6ZmFsc2UsIm1hbnVhbE92ZXJyaWRlIjp7ImNpdGVwcm9jVGV4dCI6IihERVdIQSwgMjAwOGE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quot;,&quot;citationItems&quot;:[{&quot;id&quot;:&quot;f733f935-4ec3-5807-aaec-2bd5211fc17b&quot;,&quot;itemData&quot;:{&quot;author&quot;:[{&quot;dropping-particle&quot;:&quot;&quot;,&quot;family&quot;:&quot;DEWHA&quot;,&quot;given&quot;:&quot;&quot;,&quot;non-dropping-particle&quot;:&quot;&quot;,&quot;parse-names&quot;:false,&quot;suffix&quot;:&quot;&quot;}],&quot;id&quot;:&quot;f733f935-4ec3-5807-aaec-2bd5211fc17b&quot;,&quot;issued&quot;:{&quot;date-parts&quot;:[[&quot;2008&quot;]]},&quot;publisher&quot;:&quot;Department of Environment, Water, Heritage and Arts&quot;,&quot;title&quot;:&quot;Threat abatement plan for competition and land degradation by unmanaged goats&quot;,&quot;type&quot;:&quot;article&quot;,&quot;container-title-short&quot;:&quot;&quot;},&quot;uris&quot;:[&quot;http://www.mendeley.com/documents/?uuid=bb82ebb2-1f9e-403f-b01f-01e25dd57328&quot;],&quot;isTemporary&quot;:false,&quot;legacyDesktopId&quot;:&quot;bb82ebb2-1f9e-403f-b01f-01e25dd57328&quot;}]},{&quot;citationID&quot;:&quot;MENDELEY_CITATION_546c3164-cc94-4c63-a8f6-c1fb7878baa6&quot;,&quot;properties&quot;:{&quot;noteIndex&quot;:0},&quot;isEdited&quot;:false,&quot;manualOverride&quot;:{&quot;citeprocText&quot;:&quot;(DEWHA, 2008a)&quot;,&quot;isManuallyOverridden&quot;:false,&quot;manualOverrideText&quot;:&quot;&quot;},&quot;citationTag&quot;:&quot;MENDELEY_CITATION_v3_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&quot;,&quot;citationItems&quot;:[{&quot;id&quot;:&quot;f733f935-4ec3-5807-aaec-2bd5211fc17b&quot;,&quot;itemData&quot;:{&quot;author&quot;:[{&quot;dropping-particle&quot;:&quot;&quot;,&quot;family&quot;:&quot;DEWHA&quot;,&quot;given&quot;:&quot;&quot;,&quot;non-dropping-particle&quot;:&quot;&quot;,&quot;parse-names&quot;:false,&quot;suffix&quot;:&quot;&quot;}],&quot;id&quot;:&quot;f733f935-4ec3-5807-aaec-2bd5211fc17b&quot;,&quot;issued&quot;:{&quot;date-parts&quot;:[[&quot;2008&quot;]]},&quot;publisher&quot;:&quot;Department of Environment, Water, Heritage and Arts&quot;,&quot;title&quot;:&quot;Threat abatement plan for competition and land degradation by unmanaged goats&quot;,&quot;type&quot;:&quot;article&quot;,&quot;container-title-short&quot;:&quot;&quot;},&quot;uris&quot;:[&quot;http://www.mendeley.com/documents/?uuid=bb82ebb2-1f9e-403f-b01f-01e25dd57328&quot;],&quot;isTemporary&quot;:false,&quot;legacyDesktopId&quot;:&quot;bb82ebb2-1f9e-403f-b01f-01e25dd57328&quot;}]},{&quot;citationID&quot;:&quot;MENDELEY_CITATION_a271a93e-3230-4ccf-8852-2a1ccf198e57&quot;,&quot;properties&quot;:{&quot;noteIndex&quot;:0},&quot;isEdited&quot;:false,&quot;manualOverride&quot;:{&quot;citeprocText&quot;:&quot;(DoEE, 2016b)&quot;,&quot;isManuallyOverridden&quot;:false,&quot;manualOverrideText&quot;:&quot;&quot;},&quot;citationTag&quot;:&quot;MENDELEY_CITATION_v3_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&quot;,&quot;citationItems&quot;:[{&quot;id&quot;:&quot;e94fef6f-e9c4-5aa2-bddb-4cf46fe9c5af&quot;,&quot;itemData&quot;:{&quot;author&quot;:[{&quot;dropping-particle&quot;:&quot;&quot;,&quot;family&quot;:&quot;DoEE&quot;,&quot;given&quot;:&quot;&quot;,&quot;non-dropping-particle&quot;:&quot;&quot;,&quot;parse-names&quot;:false,&quot;suffix&quot;:&quot;&quot;}],&quot;id&quot;:&quot;e94fef6f-e9c4-5aa2-bddb-4cf46fe9c5af&quot;,&quot;issued&quot;:{&quot;date-parts&quot;:[[&quot;2016&quot;]]},&quot;publisher&quot;:&quot;Department of Environment and Energy&quot;,&quot;title&quot;:&quot;Threat Abatement Plan for infection of amphibians with chytrid fungus resulting in chytridiomycosis&quot;,&quot;type&quot;:&quot;report&quot;,&quot;container-title-short&quot;:&quot;&quot;},&quot;uris&quot;:[&quot;http://www.mendeley.com/documents/?uuid=dd04c7ab-e720-42e0-861f-507f105152b7&quot;],&quot;isTemporary&quot;:false,&quot;legacyDesktopId&quot;:&quot;dd04c7ab-e720-42e0-861f-507f105152b7&quot;}]},{&quot;citationID&quot;:&quot;MENDELEY_CITATION_85215365-95c2-4138-9e23-21a42e1048f1&quot;,&quot;properties&quot;:{&quot;noteIndex&quot;:0},&quot;isEdited&quot;:false,&quot;manualOverride&quot;:{&quot;citeprocText&quot;:&quot;(EHP, 2021a)&quot;,&quot;isManuallyOverridden&quot;:false,&quot;manualOverrideText&quot;:&quot;&quot;},&quot;citationTag&quot;:&quot;MENDELEY_CITATION_v3_eyJjaXRhdGlvbklEIjoiTUVOREVMRVlfQ0lUQVRJT05fODUyMTUzNjUtOTVjMi00MTM4LTllMjMtMjFhNDJlMTA0OGYx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quot;,&quot;citationItems&quot;:[{&quot;id&quot;:&quot;1f750c95-380c-5f66-aa78-f57be4b2c412&quot;,&quot;itemData&quot;:{&quot;author&quot;:[{&quot;dropping-particle&quot;:&quot;&quot;,&quot;family&quot;:&quot;EHP&quot;,&quot;given&quot;:&quot;&quot;,&quot;non-dropping-particle&quot;:&quot;&quot;,&quot;parse-names&quot;:false,&quot;suffix&quot;:&quot;&quot;}],&quot;id&quot;:&quot;1f750c95-380c-5f66-aa78-f57be4b2c412&quot;,&quot;issued&quot;:{&quot;date-parts&quot;:[[&quot;2021&quot;]]},&quot;title&quot;:&quot;Existing Ecological Conditions: Northern and Western Geelong Growth Areas&quot;,&quot;type&quot;:&quot;report&quot;,&quot;container-title-short&quot;:&quot;&quot;},&quot;uris&quot;:[&quot;http://www.mendeley.com/documents/?uuid=bf747c21-3bef-4877-ad34-742e37146aa2&quot;],&quot;isTemporary&quot;:false,&quot;legacyDesktopId&quot;:&quot;bf747c21-3bef-4877-ad34-742e37146aa2&quot;}]},{&quot;citationID&quot;:&quot;MENDELEY_CITATION_c61cef35-d0de-49b1-af7c-71a1a82e3ce6&quot;,&quot;properties&quot;:{&quot;noteIndex&quot;:0},&quot;isEdited&quot;:false,&quot;manualOverride&quot;:{&quot;citeprocText&quot;:&quot;(DoE, 2015)&quot;,&quot;isManuallyOverridden&quot;:false,&quot;manualOverrideText&quot;:&quot;&quot;},&quot;citationTag&quot;:&quot;MENDELEY_CITATION_v3_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&quot;,&quot;citationItems&quot;:[{&quot;id&quot;:&quot;37a6eb77-b353-5f77-853d-af1b2568a5c2&quot;,&quot;itemData&quot;:{&quot;author&quot;:[{&quot;dropping-particle&quot;:&quot;&quot;,&quot;family&quot;:&quot;DoE&quot;,&quot;given&quot;:&quot;&quot;,&quot;non-dropping-particle&quot;:&quot;&quot;,&quot;parse-names&quot;:false,&quot;suffix&quot;:&quot;&quot;}],&quot;id&quot;:&quot;37a6eb77-b353-5f77-853d-af1b2568a5c2&quot;,&quot;issued&quot;:{&quot;date-parts&quot;:[[&quot;2015&quot;]]},&quot;publisher-place&quot;:&quot;Canberra&quot;,&quot;title&quot;:&quot;Threat abatement plan for predation by feral cats&quot;,&quot;type&quot;:&quot;report&quot;,&quot;container-title-short&quot;:&quot;&quot;},&quot;uris&quot;:[&quot;http://www.mendeley.com/documents/?uuid=463a907c-c76d-4802-afcb-362a005182f7&quot;],&quot;isTemporary&quot;:false,&quot;legacyDesktopId&quot;:&quot;463a907c-c76d-4802-afcb-362a005182f7&quot;}]},{&quot;citationID&quot;:&quot;MENDELEY_CITATION_9cd388e1-155e-40ea-9db9-3eb0705dcc2e&quot;,&quot;properties&quot;:{&quot;noteIndex&quot;:0},&quot;isEdited&quot;:false,&quot;manualOverride&quot;:{&quot;citeprocText&quot;:&quot;(DEWHA, 2008b)&quot;,&quot;isManuallyOverridden&quot;:false,&quot;manualOverrideText&quot;:&quot;&quot;},&quot;citationTag&quot;:&quot;MENDELEY_CITATION_v3_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&quot;,&quot;citationItems&quot;:[{&quot;id&quot;:&quot;475d20e6-da1e-5984-b33f-9b3ef76fc6e8&quot;,&quot;itemData&quot;:{&quot;author&quot;:[{&quot;dropping-particle&quot;:&quot;&quot;,&quot;family&quot;:&quot;DEWHA&quot;,&quot;given&quot;:&quot;&quot;,&quot;non-dropping-particle&quot;:&quot;&quot;,&quot;parse-names&quot;:false,&quot;suffix&quot;:&quot;&quot;}],&quot;id&quot;:&quot;475d20e6-da1e-5984-b33f-9b3ef76fc6e8&quot;,&quot;issued&quot;:{&quot;date-parts&quot;:[[&quot;2008&quot;]]},&quot;language&quot;:&quot;en&quot;,&quot;publisher&quot;:&quot;Dept. of the Environment, Water, Heritage, and the Arts&quot;,&quot;publisher-place&quot;:&quot;Canberra, ACT&quot;,&quot;title&quot;:&quot;Threat abatement plan for predation by the European red fox.&quot;,&quot;type&quot;:&quot;report&quot;,&quot;container-title-short&quot;:&quot;&quot;},&quot;uris&quot;:[&quot;http://www.mendeley.com/documents/?uuid=79ef2a7a-d67e-4379-96c0-d751dfd492a8&quot;],&quot;isTemporary&quot;:false,&quot;legacyDesktopId&quot;:&quot;79ef2a7a-d67e-4379-96c0-d751dfd492a8&quot;}]},{&quot;citationID&quot;:&quot;MENDELEY_CITATION_a8a542b0-5a29-4d0e-96c4-da9e67c4b6b2&quot;,&quot;properties&quot;:{&quot;noteIndex&quot;:0},&quot;isEdited&quot;:false,&quot;manualOverride&quot;:{&quot;citeprocText&quot;:&quot;(EHP, 2021a)&quot;,&quot;isManuallyOverridden&quot;:false,&quot;manualOverrideText&quot;:&quot;&quot;},&quot;citationTag&quot;:&quot;MENDELEY_CITATION_v3_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&quot;,&quot;citationItems&quot;:[{&quot;id&quot;:&quot;1f750c95-380c-5f66-aa78-f57be4b2c412&quot;,&quot;itemData&quot;:{&quot;author&quot;:[{&quot;dropping-particle&quot;:&quot;&quot;,&quot;family&quot;:&quot;EHP&quot;,&quot;given&quot;:&quot;&quot;,&quot;non-dropping-particle&quot;:&quot;&quot;,&quot;parse-names&quot;:false,&quot;suffix&quot;:&quot;&quot;}],&quot;id&quot;:&quot;1f750c95-380c-5f66-aa78-f57be4b2c412&quot;,&quot;issued&quot;:{&quot;date-parts&quot;:[[&quot;2021&quot;]]},&quot;title&quot;:&quot;Existing Ecological Conditions: Northern and Western Geelong Growth Areas&quot;,&quot;type&quot;:&quot;report&quot;,&quot;container-title-short&quot;:&quot;&quot;},&quot;uris&quot;:[&quot;http://www.mendeley.com/documents/?uuid=bf747c21-3bef-4877-ad34-742e37146aa2&quot;],&quot;isTemporary&quot;:false,&quot;legacyDesktopId&quot;:&quot;bf747c21-3bef-4877-ad34-742e37146aa2&quot;}]},{&quot;citationID&quot;:&quot;MENDELEY_CITATION_726ad2bb-cac4-4dfe-83ea-a2155ae776d7&quot;,&quot;properties&quot;:{&quot;noteIndex&quot;:0},&quot;isEdited&quot;:false,&quot;manualOverride&quot;:{&quot;citeprocText&quot;:&quot;(DoEE, 2017)&quot;,&quot;isManuallyOverridden&quot;:false,&quot;manualOverrideText&quot;:&quot;&quot;},&quot;citationTag&quot;:&quot;MENDELEY_CITATION_v3_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&quot;,&quot;citationItems&quot;:[{&quot;id&quot;:&quot;ea85a323-d0d8-5a9d-9e97-c450ef240658&quot;,&quot;itemData&quot;:{&quot;author&quot;:[{&quot;dropping-particle&quot;:&quot;&quot;,&quot;family&quot;:&quot;DoEE&quot;,&quot;given&quot;:&quot;&quot;,&quot;non-dropping-particle&quot;:&quot;&quot;,&quot;parse-names&quot;:false,&quot;suffix&quot;:&quot;&quot;}],&quot;id&quot;:&quot;ea85a323-d0d8-5a9d-9e97-c450ef240658&quot;,&quot;issued&quot;:{&quot;date-parts&quot;:[[&quot;2017&quot;]]},&quot;language&quot;:&quot;en&quot;,&quot;title&quot;:&quot;Threat Abatement Plan for predation, habitat degradation, competition and disease transmission by feral pigs (Sus scrofa)&quot;,&quot;type&quot;:&quot;report&quot;,&quot;container-title-short&quot;:&quot;&quot;},&quot;uris&quot;:[&quot;http://www.mendeley.com/documents/?uuid=05ad88a5-2d77-4506-a9c2-ea1ec3a64905&quot;],&quot;isTemporary&quot;:false,&quot;legacyDesktopId&quot;:&quot;05ad88a5-2d77-4506-a9c2-ea1ec3a64905&quot;}]},{&quot;citationID&quot;:&quot;MENDELEY_CITATION_e70fc1f8-608b-4435-b675-98bc6c99e08a&quot;,&quot;properties&quot;:{&quot;noteIndex&quot;:0},&quot;isEdited&quot;:false,&quot;manualOverride&quot;:{&quot;citeprocText&quot;:&quot;(DoEE, 2017)&quot;,&quot;isManuallyOverridden&quot;:false,&quot;manualOverrideText&quot;:&quot;&quot;},&quot;citationTag&quot;:&quot;MENDELEY_CITATION_v3_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&quot;,&quot;citationItems&quot;:[{&quot;id&quot;:&quot;ea85a323-d0d8-5a9d-9e97-c450ef240658&quot;,&quot;itemData&quot;:{&quot;author&quot;:[{&quot;dropping-particle&quot;:&quot;&quot;,&quot;family&quot;:&quot;DoEE&quot;,&quot;given&quot;:&quot;&quot;,&quot;non-dropping-particle&quot;:&quot;&quot;,&quot;parse-names&quot;:false,&quot;suffix&quot;:&quot;&quot;}],&quot;id&quot;:&quot;ea85a323-d0d8-5a9d-9e97-c450ef240658&quot;,&quot;issued&quot;:{&quot;date-parts&quot;:[[&quot;2017&quot;]]},&quot;language&quot;:&quot;en&quot;,&quot;title&quot;:&quot;Threat Abatement Plan for predation, habitat degradation, competition and disease transmission by feral pigs (Sus scrofa)&quot;,&quot;type&quot;:&quot;report&quot;,&quot;container-title-short&quot;:&quot;&quot;},&quot;uris&quot;:[&quot;http://www.mendeley.com/documents/?uuid=05ad88a5-2d77-4506-a9c2-ea1ec3a64905&quot;],&quot;isTemporary&quot;:false,&quot;legacyDesktopId&quot;:&quot;05ad88a5-2d77-4506-a9c2-ea1ec3a64905&quot;}]},{&quot;citationID&quot;:&quot;MENDELEY_CITATION_95c6af27-1a54-4b2a-8e4c-2368666a8cd5&quot;,&quot;properties&quot;:{&quot;noteIndex&quot;:0},&quot;isEdited&quot;:false,&quot;manualOverride&quot;:{&quot;isManuallyOverridden&quot;:false,&quot;citeprocText&quot;:&quot;(EHP, 2021b)&quot;,&quot;manualOverrideText&quot;:&quot;&quot;},&quot;citationTag&quot;:&quot;MENDELEY_CITATION_v3_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&quot;,&quot;citationItems&quot;:[{&quot;id&quot;:&quot;76681194-8974-3b76-ad5d-ea42a07837ee&quot;,&quot;itemData&quot;:{&quot;type&quot;:&quot;article&quot;,&quot;id&quot;:&quot;76681194-8974-3b76-ad5d-ea42a07837ee&quot;,&quot;title&quot;:&quot;Existing Ecological Conditions: Northern and Western Geelong Growth Areas&quot;,&quot;groupId&quot;:&quot;efbce491-2e14-3d43-a5c9-96f56af41c58&quot;,&quot;author&quot;:[{&quot;family&quot;:&quot;EHP&quot;,&quot;given&quot;:&quot;&quot;,&quot;parse-names&quot;:false,&quot;dropping-particle&quot;:&quot;&quot;,&quot;non-dropping-particle&quot;:&quot;&quot;}],&quot;issued&quot;:{&quot;date-parts&quot;:[[2021]]},&quot;publisher&quot;:&quot;Prepared for the City of Greater Geelong&quot;,&quot;container-title-short&quot;:&quot;&quot;},&quot;isTemporary&quot;:false}]}]"/>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D0DED5-6E93-714D-9780-509754D71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355</Pages>
  <Words>153406</Words>
  <Characters>874418</Characters>
  <Application>Microsoft Office Word</Application>
  <DocSecurity>0</DocSecurity>
  <Lines>7286</Lines>
  <Paragraphs>2051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1025773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Spragg</dc:creator>
  <cp:keywords/>
  <dc:description/>
  <cp:lastModifiedBy>peter</cp:lastModifiedBy>
  <cp:revision>31</cp:revision>
  <cp:lastPrinted>2018-11-22T09:49:00Z</cp:lastPrinted>
  <dcterms:created xsi:type="dcterms:W3CDTF">2023-03-31T04:36:00Z</dcterms:created>
  <dcterms:modified xsi:type="dcterms:W3CDTF">2023-07-18T01:45:00Z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zotero-version="5.0.85"&gt;&lt;session id="QXJj28IU"/&gt;&lt;style id="http://www.zotero.org/styles/open-lines-standard-format-updated-6" locale="en-US" hasBibliography="1" bibliographyStyleHasBeenSet="1"/&gt;&lt;prefs&gt;&lt;pref name="fieldType" value="F</vt:lpwstr>
  </property>
  <property fmtid="{D5CDD505-2E9C-101B-9397-08002B2CF9AE}" pid="3" name="ZOTERO_PREF_2">
    <vt:lpwstr>ield"/&gt;&lt;pref name="automaticJournalAbbreviations" value="true"/&gt;&lt;/prefs&gt;&lt;/data&gt;</vt:lpwstr>
  </property>
  <property fmtid="{D5CDD505-2E9C-101B-9397-08002B2CF9AE}" pid="4" name="Mendeley Document_1">
    <vt:lpwstr>True</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http://www.zotero.org/styles/harvard-cite-them-right</vt:lpwstr>
  </property>
  <property fmtid="{D5CDD505-2E9C-101B-9397-08002B2CF9AE}" pid="8" name="Mendeley Recent Style Name 1_1">
    <vt:lpwstr>Cite Them Right 10th edition - Harvard</vt:lpwstr>
  </property>
  <property fmtid="{D5CDD505-2E9C-101B-9397-08002B2CF9AE}" pid="9" name="Mendeley Recent Style Id 2_1">
    <vt:lpwstr>http://www.zotero.org/styles/modern-humanities-research-association</vt:lpwstr>
  </property>
  <property fmtid="{D5CDD505-2E9C-101B-9397-08002B2CF9AE}" pid="10" name="Mendeley Recent Style Name 2_1">
    <vt:lpwstr>Modern Humanities Research Association 3rd edition (note with bibliography)</vt:lpwstr>
  </property>
  <property fmtid="{D5CDD505-2E9C-101B-9397-08002B2CF9AE}" pid="11" name="Mendeley Recent Style Id 3_1">
    <vt:lpwstr>http://www.zotero.org/styles/modern-language-association</vt:lpwstr>
  </property>
  <property fmtid="{D5CDD505-2E9C-101B-9397-08002B2CF9AE}" pid="12" name="Mendeley Recent Style Name 3_1">
    <vt:lpwstr>Modern Language Association 8th edition</vt:lpwstr>
  </property>
  <property fmtid="{D5CDD505-2E9C-101B-9397-08002B2CF9AE}" pid="13" name="Mendeley Recent Style Id 4_1">
    <vt:lpwstr>http://www.zotero.org/styles/nature</vt:lpwstr>
  </property>
  <property fmtid="{D5CDD505-2E9C-101B-9397-08002B2CF9AE}" pid="14" name="Mendeley Recent Style Name 4_1">
    <vt:lpwstr>Nature</vt:lpwstr>
  </property>
  <property fmtid="{D5CDD505-2E9C-101B-9397-08002B2CF9AE}" pid="15" name="Mendeley Recent Style Id 5_1">
    <vt:lpwstr>http://www.zotero.org/styles/open-lines-standard-format-updated-6</vt:lpwstr>
  </property>
  <property fmtid="{D5CDD505-2E9C-101B-9397-08002B2CF9AE}" pid="16" name="Mendeley Recent Style Name 5_1">
    <vt:lpwstr>Open Lines standard format updated 6</vt:lpwstr>
  </property>
  <property fmtid="{D5CDD505-2E9C-101B-9397-08002B2CF9AE}" pid="17" name="Mendeley Recent Style Id 6_1">
    <vt:lpwstr>http://csl.mendeley.com/styles/628210041/open-lines-standard-format-updated-8</vt:lpwstr>
  </property>
  <property fmtid="{D5CDD505-2E9C-101B-9397-08002B2CF9AE}" pid="18" name="Mendeley Recent Style Name 6_1">
    <vt:lpwstr>Open Lines standard format updated 7</vt:lpwstr>
  </property>
  <property fmtid="{D5CDD505-2E9C-101B-9397-08002B2CF9AE}" pid="19" name="Mendeley Recent Style Id 7_1">
    <vt:lpwstr>http://csl.mendeley.com/styles/styles/open-lines-standard-format-updated-7</vt:lpwstr>
  </property>
  <property fmtid="{D5CDD505-2E9C-101B-9397-08002B2CF9AE}" pid="20" name="Mendeley Recent Style Name 7_1">
    <vt:lpwstr>Open Lines standard format updated 7</vt:lpwstr>
  </property>
  <property fmtid="{D5CDD505-2E9C-101B-9397-08002B2CF9AE}" pid="21" name="Mendeley Recent Style Id 8_1">
    <vt:lpwstr>https://csl.mendeley.com/styles/628210041/open-lines-standard-format-updated-8</vt:lpwstr>
  </property>
  <property fmtid="{D5CDD505-2E9C-101B-9397-08002B2CF9AE}" pid="22" name="Mendeley Recent Style Name 8_1">
    <vt:lpwstr>Open Lines standard format updated 7</vt:lpwstr>
  </property>
  <property fmtid="{D5CDD505-2E9C-101B-9397-08002B2CF9AE}" pid="23" name="Mendeley Recent Style Id 9_1">
    <vt:lpwstr>http://www.zotero.org/styles/open-lines-standard-format-updated-8</vt:lpwstr>
  </property>
  <property fmtid="{D5CDD505-2E9C-101B-9397-08002B2CF9AE}" pid="24" name="Mendeley Recent Style Name 9_1">
    <vt:lpwstr>Open Lines standard format updated 8</vt:lpwstr>
  </property>
  <property fmtid="{D5CDD505-2E9C-101B-9397-08002B2CF9AE}" pid="25" name="Mendeley Unique User Id_1">
    <vt:lpwstr>38779f88-a985-35ae-ae32-cba173a818c1</vt:lpwstr>
  </property>
  <property fmtid="{D5CDD505-2E9C-101B-9397-08002B2CF9AE}" pid="26" name="Mendeley Citation Style_1">
    <vt:lpwstr>http://www.zotero.org/styles/open-lines-standard-format-updated-6</vt:lpwstr>
  </property>
</Properties>
</file>