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0AB9" w14:textId="77777777" w:rsidR="00C759F9" w:rsidRDefault="004D2DEE" w:rsidP="008143BB">
      <w:pPr>
        <w:pStyle w:val="Title"/>
        <w:tabs>
          <w:tab w:val="right" w:pos="10773"/>
        </w:tabs>
        <w:spacing w:before="800"/>
      </w:pPr>
      <w:r>
        <w:rPr>
          <w:noProof/>
        </w:rPr>
        <w:drawing>
          <wp:anchor distT="0" distB="0" distL="114300" distR="114300" simplePos="0" relativeHeight="251660288" behindDoc="1" locked="0" layoutInCell="1" allowOverlap="1" wp14:anchorId="4964A873" wp14:editId="359F1141">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C759F9">
        <w:t>GEELONG GROWTH AREAS</w:t>
      </w:r>
    </w:p>
    <w:p w14:paraId="7C0D55B4" w14:textId="323E3426" w:rsidR="00113B8E" w:rsidRDefault="00C759F9" w:rsidP="008143BB">
      <w:pPr>
        <w:pStyle w:val="Title"/>
        <w:tabs>
          <w:tab w:val="right" w:pos="10773"/>
        </w:tabs>
        <w:spacing w:before="800"/>
      </w:pPr>
      <w:r>
        <w:t>STRATEGIC ASSESSMENT</w:t>
      </w:r>
      <w:r w:rsidR="008143BB">
        <w:tab/>
      </w:r>
    </w:p>
    <w:p w14:paraId="269DC40B" w14:textId="77777777" w:rsidR="00603066" w:rsidRPr="00603066" w:rsidRDefault="00603066" w:rsidP="00603066"/>
    <w:p w14:paraId="2154B306" w14:textId="461D4E0E" w:rsidR="00603066" w:rsidRDefault="00C759F9" w:rsidP="00C759F9">
      <w:pPr>
        <w:pStyle w:val="Heading1"/>
        <w:spacing w:before="120" w:after="0" w:line="480" w:lineRule="auto"/>
        <w:rPr>
          <w:sz w:val="36"/>
          <w:szCs w:val="36"/>
        </w:rPr>
      </w:pPr>
      <w:r>
        <w:rPr>
          <w:sz w:val="36"/>
          <w:szCs w:val="36"/>
        </w:rPr>
        <w:t>FREQUENTLY ASKED QUESTIONS</w:t>
      </w:r>
    </w:p>
    <w:p w14:paraId="64C2C7CB"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is the Part 10 Strategic Assessment?</w:t>
      </w:r>
    </w:p>
    <w:p w14:paraId="242C57F8" w14:textId="77777777" w:rsidR="00C759F9" w:rsidRPr="000442DC" w:rsidRDefault="00C759F9" w:rsidP="000442DC">
      <w:pPr>
        <w:pStyle w:val="BodyText"/>
        <w:spacing w:before="0" w:after="0" w:line="240" w:lineRule="auto"/>
        <w:rPr>
          <w:rFonts w:cstheme="minorHAnsi"/>
          <w:sz w:val="20"/>
          <w:szCs w:val="20"/>
        </w:rPr>
      </w:pPr>
    </w:p>
    <w:p w14:paraId="1F77A139" w14:textId="24F69E87"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Part 10 Strategic Assessment is an approval pathway under the Environment Protection and Biodiversity Conservation Act 1999 (EPBC Act), which allows for the consideration of multiple Matters of National Environmental Significance (MNES) and/or cumulative impacts to MNES. </w:t>
      </w:r>
    </w:p>
    <w:p w14:paraId="6FEB2144" w14:textId="77777777" w:rsidR="00C759F9" w:rsidRPr="000442DC" w:rsidRDefault="00C759F9" w:rsidP="000442DC">
      <w:pPr>
        <w:pStyle w:val="BodyText"/>
        <w:spacing w:before="0" w:after="0" w:line="240" w:lineRule="auto"/>
        <w:rPr>
          <w:rFonts w:cstheme="minorHAnsi"/>
          <w:sz w:val="20"/>
          <w:szCs w:val="20"/>
        </w:rPr>
      </w:pPr>
    </w:p>
    <w:p w14:paraId="4B70BF74" w14:textId="54377E0A"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It has the capacity to achieve better outcomes for the environment and development through strategic planning across a broader area. Upfront consideration of environmental values and development goals allows for an overarching design and implementation plan which ensures environmental values can be protected and managed in the long-term.</w:t>
      </w:r>
    </w:p>
    <w:p w14:paraId="7A8D8566" w14:textId="77777777" w:rsidR="00C759F9" w:rsidRPr="000442DC" w:rsidRDefault="00C759F9" w:rsidP="000442DC">
      <w:pPr>
        <w:pStyle w:val="BodyText"/>
        <w:spacing w:before="0" w:after="0" w:line="240" w:lineRule="auto"/>
        <w:rPr>
          <w:rFonts w:cstheme="minorHAnsi"/>
          <w:sz w:val="20"/>
          <w:szCs w:val="20"/>
        </w:rPr>
      </w:pPr>
    </w:p>
    <w:p w14:paraId="3F6DA460" w14:textId="2A683387"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Further information on Strategic Assessments under the EPBC Act can be found here:</w:t>
      </w:r>
    </w:p>
    <w:p w14:paraId="5CF8F149" w14:textId="12401B9D" w:rsidR="00C759F9" w:rsidRPr="004A06E4" w:rsidRDefault="004A06E4" w:rsidP="000442DC">
      <w:pPr>
        <w:pStyle w:val="BodyText"/>
        <w:spacing w:before="0" w:after="0" w:line="240" w:lineRule="auto"/>
        <w:rPr>
          <w:rFonts w:cstheme="minorHAnsi"/>
          <w:color w:val="8ACED7" w:themeColor="accent1"/>
          <w:sz w:val="20"/>
          <w:szCs w:val="20"/>
        </w:rPr>
      </w:pPr>
      <w:hyperlink r:id="rId10" w:history="1">
        <w:r w:rsidRPr="004A06E4">
          <w:rPr>
            <w:rStyle w:val="Hyperlink"/>
            <w:rFonts w:cstheme="minorHAnsi"/>
            <w:color w:val="8ACED7" w:themeColor="accent1"/>
            <w:sz w:val="20"/>
            <w:szCs w:val="20"/>
          </w:rPr>
          <w:t>https://www.dcceew.gov.au/environment/epbc/approvals/strategic-assessments</w:t>
        </w:r>
      </w:hyperlink>
      <w:r w:rsidRPr="004A06E4">
        <w:rPr>
          <w:rFonts w:cstheme="minorHAnsi"/>
          <w:color w:val="8ACED7" w:themeColor="accent1"/>
          <w:sz w:val="20"/>
          <w:szCs w:val="20"/>
        </w:rPr>
        <w:t xml:space="preserve"> </w:t>
      </w:r>
    </w:p>
    <w:p w14:paraId="3503551E" w14:textId="5D987C09" w:rsidR="004A06E4" w:rsidRDefault="004A06E4" w:rsidP="000442DC">
      <w:pPr>
        <w:pStyle w:val="BodyText"/>
        <w:spacing w:before="0" w:after="0" w:line="240" w:lineRule="auto"/>
        <w:rPr>
          <w:rFonts w:cstheme="minorHAnsi"/>
          <w:b/>
          <w:bCs/>
          <w:sz w:val="20"/>
          <w:szCs w:val="20"/>
        </w:rPr>
      </w:pPr>
    </w:p>
    <w:p w14:paraId="3DDB3C43" w14:textId="77777777" w:rsidR="004A06E4" w:rsidRPr="000442DC" w:rsidRDefault="004A06E4" w:rsidP="000442DC">
      <w:pPr>
        <w:pStyle w:val="BodyText"/>
        <w:spacing w:before="0" w:after="0" w:line="240" w:lineRule="auto"/>
        <w:rPr>
          <w:rFonts w:cstheme="minorHAnsi"/>
          <w:b/>
          <w:bCs/>
          <w:sz w:val="20"/>
          <w:szCs w:val="20"/>
        </w:rPr>
      </w:pPr>
    </w:p>
    <w:p w14:paraId="71DCFD2D" w14:textId="129799EE"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are Matters of National Environmental Significance?</w:t>
      </w:r>
    </w:p>
    <w:p w14:paraId="1833B446" w14:textId="77777777" w:rsidR="00C759F9" w:rsidRPr="000442DC" w:rsidRDefault="00C759F9" w:rsidP="000442DC">
      <w:pPr>
        <w:pStyle w:val="BodyText"/>
        <w:spacing w:before="0" w:after="0" w:line="240" w:lineRule="auto"/>
        <w:rPr>
          <w:rFonts w:cstheme="minorHAnsi"/>
          <w:sz w:val="20"/>
          <w:szCs w:val="20"/>
        </w:rPr>
      </w:pPr>
    </w:p>
    <w:p w14:paraId="040FF765" w14:textId="77777777" w:rsidR="004A06E4"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EPBC Act makes sure that ‘nationally significant’ animals, plants, </w:t>
      </w:r>
      <w:proofErr w:type="gramStart"/>
      <w:r w:rsidRPr="000442DC">
        <w:rPr>
          <w:rFonts w:cstheme="minorHAnsi"/>
          <w:sz w:val="20"/>
          <w:szCs w:val="20"/>
        </w:rPr>
        <w:t>habitats</w:t>
      </w:r>
      <w:proofErr w:type="gramEnd"/>
      <w:r w:rsidRPr="000442DC">
        <w:rPr>
          <w:rFonts w:cstheme="minorHAnsi"/>
          <w:sz w:val="20"/>
          <w:szCs w:val="20"/>
        </w:rPr>
        <w:t xml:space="preserve"> and places are identified, and any potential negative impacts on them are carefully considered before changes in land use or new developments are approved</w:t>
      </w:r>
      <w:r w:rsidR="000442DC">
        <w:rPr>
          <w:rFonts w:cstheme="minorHAnsi"/>
          <w:sz w:val="20"/>
          <w:szCs w:val="20"/>
        </w:rPr>
        <w:t xml:space="preserve">. </w:t>
      </w:r>
    </w:p>
    <w:p w14:paraId="5B02B755" w14:textId="77777777" w:rsidR="004A06E4" w:rsidRDefault="004A06E4" w:rsidP="000442DC">
      <w:pPr>
        <w:pStyle w:val="BodyText"/>
        <w:spacing w:before="0" w:after="0" w:line="240" w:lineRule="auto"/>
        <w:rPr>
          <w:rFonts w:cstheme="minorHAnsi"/>
          <w:sz w:val="20"/>
          <w:szCs w:val="20"/>
        </w:rPr>
      </w:pPr>
    </w:p>
    <w:p w14:paraId="2B3BB288" w14:textId="73929FA0"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There are nine MNES that come under the EPBC Act:</w:t>
      </w:r>
    </w:p>
    <w:p w14:paraId="18935D41" w14:textId="77777777" w:rsidR="00C759F9" w:rsidRPr="000442DC" w:rsidRDefault="00C759F9" w:rsidP="000442DC">
      <w:pPr>
        <w:pStyle w:val="BodyText"/>
        <w:spacing w:before="0" w:after="0" w:line="240" w:lineRule="auto"/>
        <w:rPr>
          <w:rFonts w:cstheme="minorHAnsi"/>
          <w:sz w:val="20"/>
          <w:szCs w:val="20"/>
        </w:rPr>
      </w:pPr>
    </w:p>
    <w:p w14:paraId="2C3CDA15" w14:textId="2CCA6516"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world heritage properties</w:t>
      </w:r>
    </w:p>
    <w:p w14:paraId="358726D4" w14:textId="1EC6F4B7"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national heritage places</w:t>
      </w:r>
    </w:p>
    <w:p w14:paraId="1CE96CA2" w14:textId="51A6C215"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wetlands of international importance (listed under the Ramsar Convention)</w:t>
      </w:r>
    </w:p>
    <w:p w14:paraId="41F93F9E" w14:textId="057082EA"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listed threatened species and ecological communities</w:t>
      </w:r>
    </w:p>
    <w:p w14:paraId="120A7627" w14:textId="485AF1F8"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migratory species protected under international agreements</w:t>
      </w:r>
    </w:p>
    <w:p w14:paraId="36638345" w14:textId="6401A250"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Commonwealth marine areas</w:t>
      </w:r>
    </w:p>
    <w:p w14:paraId="22AFC463" w14:textId="2DBCD47E"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Great Barrier Reef Marine Park</w:t>
      </w:r>
    </w:p>
    <w:p w14:paraId="4C0DC708" w14:textId="4030C229"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nuclear actions (including uranium mines)</w:t>
      </w:r>
    </w:p>
    <w:p w14:paraId="4799592B" w14:textId="29957750" w:rsidR="00C759F9" w:rsidRPr="000442DC" w:rsidRDefault="00C759F9" w:rsidP="000442DC">
      <w:pPr>
        <w:pStyle w:val="BodyText"/>
        <w:numPr>
          <w:ilvl w:val="0"/>
          <w:numId w:val="27"/>
        </w:numPr>
        <w:spacing w:before="0" w:after="0" w:line="240" w:lineRule="auto"/>
        <w:rPr>
          <w:rFonts w:cstheme="minorHAnsi"/>
          <w:sz w:val="20"/>
          <w:szCs w:val="20"/>
        </w:rPr>
      </w:pPr>
      <w:r w:rsidRPr="000442DC">
        <w:rPr>
          <w:rFonts w:cstheme="minorHAnsi"/>
          <w:sz w:val="20"/>
          <w:szCs w:val="20"/>
        </w:rPr>
        <w:t>a water resource, in relation to coal seam gas development and large coal mining development.</w:t>
      </w:r>
    </w:p>
    <w:p w14:paraId="41FB4EC9" w14:textId="1EA3ABC3" w:rsidR="00C759F9" w:rsidRDefault="00C759F9" w:rsidP="000442DC">
      <w:pPr>
        <w:pStyle w:val="BodyText"/>
        <w:spacing w:before="0" w:after="0" w:line="240" w:lineRule="auto"/>
        <w:rPr>
          <w:rFonts w:cstheme="minorHAnsi"/>
          <w:i/>
          <w:iCs/>
          <w:sz w:val="20"/>
          <w:szCs w:val="20"/>
        </w:rPr>
      </w:pPr>
    </w:p>
    <w:p w14:paraId="08010E04" w14:textId="77777777" w:rsidR="004A06E4" w:rsidRPr="000442DC" w:rsidRDefault="004A06E4" w:rsidP="000442DC">
      <w:pPr>
        <w:pStyle w:val="BodyText"/>
        <w:spacing w:before="0" w:after="0" w:line="240" w:lineRule="auto"/>
        <w:rPr>
          <w:rFonts w:cstheme="minorHAnsi"/>
          <w:i/>
          <w:iCs/>
          <w:sz w:val="20"/>
          <w:szCs w:val="20"/>
        </w:rPr>
      </w:pPr>
    </w:p>
    <w:p w14:paraId="24BD50C3"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Why is the City of Greater Geelong undertaking a Part 10 Strategic Assessment?</w:t>
      </w:r>
    </w:p>
    <w:p w14:paraId="6357E167" w14:textId="77777777" w:rsidR="00C759F9" w:rsidRPr="000442DC" w:rsidRDefault="00C759F9" w:rsidP="000442DC">
      <w:pPr>
        <w:pStyle w:val="BodyText"/>
        <w:spacing w:before="0" w:after="0" w:line="240" w:lineRule="auto"/>
        <w:rPr>
          <w:rFonts w:cstheme="minorHAnsi"/>
          <w:sz w:val="20"/>
          <w:szCs w:val="20"/>
        </w:rPr>
      </w:pPr>
    </w:p>
    <w:p w14:paraId="367B43E5" w14:textId="77777777"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w:t>
      </w:r>
      <w:proofErr w:type="gramStart"/>
      <w:r w:rsidRPr="000442DC">
        <w:rPr>
          <w:rFonts w:cstheme="minorHAnsi"/>
          <w:sz w:val="20"/>
          <w:szCs w:val="20"/>
        </w:rPr>
        <w:t>City</w:t>
      </w:r>
      <w:proofErr w:type="gramEnd"/>
      <w:r w:rsidRPr="000442DC">
        <w:rPr>
          <w:rFonts w:cstheme="minorHAnsi"/>
          <w:sz w:val="20"/>
          <w:szCs w:val="20"/>
        </w:rPr>
        <w:t xml:space="preserve"> of the Greater Geelong (the City) has held detailed discussions on the assessment pathways with the Commonwealth Department of Climate Change, Energy, the Environment and Water (DCCEEW) and the Victorian Department of Energy, Environment and Climate Action (DEECA). </w:t>
      </w:r>
    </w:p>
    <w:p w14:paraId="3BC38D44" w14:textId="77777777" w:rsidR="00C759F9" w:rsidRPr="000442DC" w:rsidRDefault="00C759F9" w:rsidP="000442DC">
      <w:pPr>
        <w:pStyle w:val="BodyText"/>
        <w:spacing w:before="0" w:after="0" w:line="240" w:lineRule="auto"/>
        <w:rPr>
          <w:rFonts w:cstheme="minorHAnsi"/>
          <w:sz w:val="20"/>
          <w:szCs w:val="20"/>
        </w:rPr>
      </w:pPr>
    </w:p>
    <w:p w14:paraId="0DD01E30" w14:textId="48044E14"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Through these discussions, it was collectively agreed that, based on the scale and complexity of the Northern and Western Geelong Growth Areas (NWGGA) project, the Part 10 Strategic Assessment process provides the best outcomes for the environmental values and stakeholder interests, as well as offering time and administrative efficiencies.</w:t>
      </w:r>
    </w:p>
    <w:p w14:paraId="5B48EC8E" w14:textId="77777777" w:rsidR="00C759F9" w:rsidRPr="000442DC" w:rsidRDefault="00C759F9" w:rsidP="000442DC">
      <w:pPr>
        <w:pStyle w:val="BodyText"/>
        <w:spacing w:before="0" w:after="0" w:line="240" w:lineRule="auto"/>
        <w:rPr>
          <w:rFonts w:cstheme="minorHAnsi"/>
          <w:sz w:val="20"/>
          <w:szCs w:val="20"/>
        </w:rPr>
      </w:pPr>
    </w:p>
    <w:p w14:paraId="046256E0" w14:textId="77777777" w:rsid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Multiple MNES have been recorded within the assessment area. The Part 10 Strategic Assessment process enables a coordinated approach to understanding the cumulative impacts that may be posed by development. </w:t>
      </w:r>
    </w:p>
    <w:p w14:paraId="103D3A8C" w14:textId="77777777" w:rsidR="000442DC" w:rsidRDefault="000442DC" w:rsidP="000442DC">
      <w:pPr>
        <w:pStyle w:val="BodyText"/>
        <w:spacing w:before="0" w:after="0" w:line="240" w:lineRule="auto"/>
        <w:rPr>
          <w:rFonts w:cstheme="minorHAnsi"/>
          <w:sz w:val="20"/>
          <w:szCs w:val="20"/>
        </w:rPr>
      </w:pPr>
    </w:p>
    <w:p w14:paraId="2DDD0CD6" w14:textId="4BAB9342"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Strategic Assessment also allows the </w:t>
      </w:r>
      <w:proofErr w:type="gramStart"/>
      <w:r w:rsidRPr="000442DC">
        <w:rPr>
          <w:rFonts w:cstheme="minorHAnsi"/>
          <w:sz w:val="20"/>
          <w:szCs w:val="20"/>
        </w:rPr>
        <w:t>City</w:t>
      </w:r>
      <w:proofErr w:type="gramEnd"/>
      <w:r w:rsidRPr="000442DC">
        <w:rPr>
          <w:rFonts w:cstheme="minorHAnsi"/>
          <w:sz w:val="20"/>
          <w:szCs w:val="20"/>
        </w:rPr>
        <w:t xml:space="preserve"> to provide greater certainty to all stakeholders over future development.</w:t>
      </w:r>
      <w:r w:rsidR="00EA29BB" w:rsidRPr="000442DC">
        <w:rPr>
          <w:rFonts w:cstheme="minorHAnsi"/>
          <w:sz w:val="20"/>
          <w:szCs w:val="20"/>
        </w:rPr>
        <w:t xml:space="preserve"> </w:t>
      </w:r>
      <w:r w:rsidRPr="000442DC">
        <w:rPr>
          <w:rFonts w:cstheme="minorHAnsi"/>
          <w:sz w:val="20"/>
          <w:szCs w:val="20"/>
        </w:rPr>
        <w:t xml:space="preserve">The City is working closely with DEECA to ensure state processes are run in alignment with the federal approvals. </w:t>
      </w:r>
    </w:p>
    <w:p w14:paraId="7290EEC6" w14:textId="77777777" w:rsidR="00C759F9" w:rsidRPr="000442DC" w:rsidRDefault="00C759F9" w:rsidP="000442DC">
      <w:pPr>
        <w:pStyle w:val="BodyText"/>
        <w:spacing w:before="0" w:after="0" w:line="240" w:lineRule="auto"/>
        <w:rPr>
          <w:rFonts w:cstheme="minorHAnsi"/>
          <w:sz w:val="20"/>
          <w:szCs w:val="20"/>
        </w:rPr>
      </w:pPr>
    </w:p>
    <w:p w14:paraId="48D029B4" w14:textId="108A1DFB"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is the process for a Part 10 Strategic Assessment?</w:t>
      </w:r>
    </w:p>
    <w:p w14:paraId="1DACEA26" w14:textId="77777777" w:rsidR="00C759F9" w:rsidRPr="000442DC" w:rsidRDefault="00C759F9" w:rsidP="000442DC">
      <w:pPr>
        <w:pStyle w:val="BodyText"/>
        <w:spacing w:before="0" w:after="0" w:line="240" w:lineRule="auto"/>
        <w:rPr>
          <w:rFonts w:cstheme="minorHAnsi"/>
          <w:sz w:val="20"/>
          <w:szCs w:val="20"/>
        </w:rPr>
      </w:pPr>
    </w:p>
    <w:p w14:paraId="540A304B" w14:textId="32B7B644" w:rsidR="00C759F9" w:rsidRPr="000442DC" w:rsidRDefault="00A478EA" w:rsidP="000442DC">
      <w:pPr>
        <w:pStyle w:val="BodyText"/>
        <w:spacing w:before="0" w:after="0" w:line="240" w:lineRule="auto"/>
        <w:rPr>
          <w:rFonts w:cstheme="minorHAnsi"/>
          <w:sz w:val="20"/>
          <w:szCs w:val="20"/>
        </w:rPr>
      </w:pPr>
      <w:r w:rsidRPr="000442DC">
        <w:rPr>
          <w:rFonts w:cstheme="minorHAnsi"/>
          <w:sz w:val="20"/>
          <w:szCs w:val="20"/>
        </w:rPr>
        <w:t>Following exhibition and finalisation of the Terms of Reference in early 2022, t</w:t>
      </w:r>
      <w:r w:rsidR="00C759F9" w:rsidRPr="000442DC">
        <w:rPr>
          <w:rFonts w:cstheme="minorHAnsi"/>
          <w:sz w:val="20"/>
          <w:szCs w:val="20"/>
        </w:rPr>
        <w:t xml:space="preserve">he City </w:t>
      </w:r>
      <w:r w:rsidRPr="000442DC">
        <w:rPr>
          <w:rFonts w:cstheme="minorHAnsi"/>
          <w:sz w:val="20"/>
          <w:szCs w:val="20"/>
        </w:rPr>
        <w:t>has been preparing</w:t>
      </w:r>
      <w:r w:rsidR="00C759F9" w:rsidRPr="000442DC">
        <w:rPr>
          <w:rFonts w:cstheme="minorHAnsi"/>
          <w:sz w:val="20"/>
          <w:szCs w:val="20"/>
        </w:rPr>
        <w:t xml:space="preserve"> </w:t>
      </w:r>
      <w:r w:rsidRPr="000442DC">
        <w:rPr>
          <w:rFonts w:cstheme="minorHAnsi"/>
          <w:sz w:val="20"/>
          <w:szCs w:val="20"/>
        </w:rPr>
        <w:t>the draft EPBC</w:t>
      </w:r>
      <w:r w:rsidR="00C759F9" w:rsidRPr="000442DC">
        <w:rPr>
          <w:rFonts w:cstheme="minorHAnsi"/>
          <w:sz w:val="20"/>
          <w:szCs w:val="20"/>
        </w:rPr>
        <w:t xml:space="preserve"> Plan and Strategic Assessment Report</w:t>
      </w:r>
      <w:r w:rsidRPr="000442DC">
        <w:rPr>
          <w:rFonts w:cstheme="minorHAnsi"/>
          <w:sz w:val="20"/>
          <w:szCs w:val="20"/>
        </w:rPr>
        <w:t>. The EPBC Plan outlines</w:t>
      </w:r>
      <w:r w:rsidR="00C759F9" w:rsidRPr="000442DC">
        <w:rPr>
          <w:rFonts w:cstheme="minorHAnsi"/>
          <w:sz w:val="20"/>
          <w:szCs w:val="20"/>
        </w:rPr>
        <w:t xml:space="preserve"> how the </w:t>
      </w:r>
      <w:proofErr w:type="gramStart"/>
      <w:r w:rsidR="00C759F9" w:rsidRPr="000442DC">
        <w:rPr>
          <w:rFonts w:cstheme="minorHAnsi"/>
          <w:sz w:val="20"/>
          <w:szCs w:val="20"/>
        </w:rPr>
        <w:t>City</w:t>
      </w:r>
      <w:proofErr w:type="gramEnd"/>
      <w:r w:rsidR="00C759F9" w:rsidRPr="000442DC">
        <w:rPr>
          <w:rFonts w:cstheme="minorHAnsi"/>
          <w:sz w:val="20"/>
          <w:szCs w:val="20"/>
        </w:rPr>
        <w:t xml:space="preserve"> will approach MNES through conservation management </w:t>
      </w:r>
      <w:r w:rsidRPr="000442DC">
        <w:rPr>
          <w:rFonts w:cstheme="minorHAnsi"/>
          <w:sz w:val="20"/>
          <w:szCs w:val="20"/>
        </w:rPr>
        <w:t xml:space="preserve">actions </w:t>
      </w:r>
      <w:r w:rsidR="00C759F9" w:rsidRPr="000442DC">
        <w:rPr>
          <w:rFonts w:cstheme="minorHAnsi"/>
          <w:sz w:val="20"/>
          <w:szCs w:val="20"/>
        </w:rPr>
        <w:t xml:space="preserve">and offsets. </w:t>
      </w:r>
    </w:p>
    <w:p w14:paraId="379073A9" w14:textId="77777777" w:rsidR="00C759F9" w:rsidRPr="000442DC" w:rsidRDefault="00C759F9" w:rsidP="000442DC">
      <w:pPr>
        <w:pStyle w:val="BodyText"/>
        <w:spacing w:before="0" w:after="0" w:line="240" w:lineRule="auto"/>
        <w:rPr>
          <w:rFonts w:cstheme="minorHAnsi"/>
          <w:sz w:val="20"/>
          <w:szCs w:val="20"/>
        </w:rPr>
      </w:pPr>
    </w:p>
    <w:p w14:paraId="6133D1D5" w14:textId="3C23526C" w:rsidR="00C759F9" w:rsidRPr="000442DC" w:rsidRDefault="00A478EA" w:rsidP="000442DC">
      <w:pPr>
        <w:pStyle w:val="BodyText"/>
        <w:spacing w:before="0" w:after="0" w:line="240" w:lineRule="auto"/>
        <w:rPr>
          <w:rFonts w:cstheme="minorHAnsi"/>
          <w:sz w:val="20"/>
          <w:szCs w:val="20"/>
        </w:rPr>
      </w:pPr>
      <w:r w:rsidRPr="000442DC">
        <w:rPr>
          <w:rFonts w:cstheme="minorHAnsi"/>
          <w:sz w:val="20"/>
          <w:szCs w:val="20"/>
        </w:rPr>
        <w:t>Under the EPBC Act, the</w:t>
      </w:r>
      <w:r w:rsidR="00C759F9" w:rsidRPr="000442DC">
        <w:rPr>
          <w:rFonts w:cstheme="minorHAnsi"/>
          <w:sz w:val="20"/>
          <w:szCs w:val="20"/>
        </w:rPr>
        <w:t xml:space="preserve"> </w:t>
      </w:r>
      <w:proofErr w:type="gramStart"/>
      <w:r w:rsidR="00C759F9" w:rsidRPr="000442DC">
        <w:rPr>
          <w:rFonts w:cstheme="minorHAnsi"/>
          <w:sz w:val="20"/>
          <w:szCs w:val="20"/>
        </w:rPr>
        <w:t>City</w:t>
      </w:r>
      <w:proofErr w:type="gramEnd"/>
      <w:r w:rsidR="00C759F9" w:rsidRPr="000442DC">
        <w:rPr>
          <w:rFonts w:cstheme="minorHAnsi"/>
          <w:sz w:val="20"/>
          <w:szCs w:val="20"/>
        </w:rPr>
        <w:t xml:space="preserve"> </w:t>
      </w:r>
      <w:r w:rsidRPr="000442DC">
        <w:rPr>
          <w:rFonts w:cstheme="minorHAnsi"/>
          <w:sz w:val="20"/>
          <w:szCs w:val="20"/>
        </w:rPr>
        <w:t xml:space="preserve">is required to exhibit the draft EPBC Plan and Strategic Assessment Report for public comment prior to their finalisation. </w:t>
      </w:r>
      <w:r w:rsidR="00C759F9" w:rsidRPr="000442DC">
        <w:rPr>
          <w:rFonts w:cstheme="minorHAnsi"/>
          <w:sz w:val="20"/>
          <w:szCs w:val="20"/>
        </w:rPr>
        <w:t xml:space="preserve">Once the documents have been finalised, they will be submitted to DAWE for the formal assessment. If approved, the City will then have a series of conditions and requirements which must be met to enable development to commence. </w:t>
      </w:r>
    </w:p>
    <w:p w14:paraId="6CD08E21" w14:textId="2B836F72" w:rsidR="00C759F9" w:rsidRDefault="00C759F9" w:rsidP="000442DC">
      <w:pPr>
        <w:pStyle w:val="BodyText"/>
        <w:spacing w:before="0" w:after="0" w:line="240" w:lineRule="auto"/>
        <w:rPr>
          <w:rFonts w:cstheme="minorHAnsi"/>
          <w:sz w:val="20"/>
          <w:szCs w:val="20"/>
        </w:rPr>
      </w:pPr>
    </w:p>
    <w:p w14:paraId="6C572088" w14:textId="77777777" w:rsidR="004A06E4" w:rsidRPr="000442DC" w:rsidRDefault="004A06E4" w:rsidP="000442DC">
      <w:pPr>
        <w:pStyle w:val="BodyText"/>
        <w:spacing w:before="0" w:after="0" w:line="240" w:lineRule="auto"/>
        <w:rPr>
          <w:rFonts w:cstheme="minorHAnsi"/>
          <w:sz w:val="20"/>
          <w:szCs w:val="20"/>
        </w:rPr>
      </w:pPr>
    </w:p>
    <w:p w14:paraId="26418A17"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are the Terms of Reference?</w:t>
      </w:r>
    </w:p>
    <w:p w14:paraId="40927F3E" w14:textId="77777777" w:rsidR="00C759F9" w:rsidRPr="000442DC" w:rsidRDefault="00C759F9" w:rsidP="000442DC">
      <w:pPr>
        <w:pStyle w:val="BodyText"/>
        <w:spacing w:before="0" w:after="0" w:line="240" w:lineRule="auto"/>
        <w:rPr>
          <w:rFonts w:cstheme="minorHAnsi"/>
          <w:sz w:val="20"/>
          <w:szCs w:val="20"/>
        </w:rPr>
      </w:pPr>
    </w:p>
    <w:p w14:paraId="38FC1B40" w14:textId="671F7047"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Terms of Reference provide a framework for how the Strategic Assessment documents </w:t>
      </w:r>
      <w:r w:rsidR="00A478EA" w:rsidRPr="000442DC">
        <w:rPr>
          <w:rFonts w:cstheme="minorHAnsi"/>
          <w:sz w:val="20"/>
          <w:szCs w:val="20"/>
        </w:rPr>
        <w:t>will</w:t>
      </w:r>
      <w:r w:rsidRPr="000442DC">
        <w:rPr>
          <w:rFonts w:cstheme="minorHAnsi"/>
          <w:sz w:val="20"/>
          <w:szCs w:val="20"/>
        </w:rPr>
        <w:t xml:space="preserve"> be developed and implemented. While the EPBC Act outlines the requirements for the Strategic Assessment, the Terms of Reference reflect the specific requirements of this assessment. </w:t>
      </w:r>
    </w:p>
    <w:p w14:paraId="516DC89F" w14:textId="6588037B" w:rsidR="00C759F9" w:rsidRDefault="00C759F9" w:rsidP="000442DC">
      <w:pPr>
        <w:pStyle w:val="BodyText"/>
        <w:spacing w:before="0" w:after="0" w:line="240" w:lineRule="auto"/>
        <w:rPr>
          <w:rFonts w:cstheme="minorHAnsi"/>
          <w:sz w:val="20"/>
          <w:szCs w:val="20"/>
        </w:rPr>
      </w:pPr>
    </w:p>
    <w:p w14:paraId="2DFA6C1D" w14:textId="77777777" w:rsidR="004A06E4" w:rsidRPr="000442DC" w:rsidRDefault="004A06E4" w:rsidP="000442DC">
      <w:pPr>
        <w:pStyle w:val="BodyText"/>
        <w:spacing w:before="0" w:after="0" w:line="240" w:lineRule="auto"/>
        <w:rPr>
          <w:rFonts w:cstheme="minorHAnsi"/>
          <w:sz w:val="20"/>
          <w:szCs w:val="20"/>
        </w:rPr>
      </w:pPr>
    </w:p>
    <w:p w14:paraId="46260ED6"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Are there opportunities for comment?</w:t>
      </w:r>
    </w:p>
    <w:p w14:paraId="1F3ACCE2" w14:textId="77777777" w:rsidR="00C759F9" w:rsidRPr="000442DC" w:rsidRDefault="00C759F9" w:rsidP="000442DC">
      <w:pPr>
        <w:pStyle w:val="BodyText"/>
        <w:spacing w:before="0" w:after="0" w:line="240" w:lineRule="auto"/>
        <w:rPr>
          <w:rFonts w:cstheme="minorHAnsi"/>
          <w:sz w:val="20"/>
          <w:szCs w:val="20"/>
        </w:rPr>
      </w:pPr>
    </w:p>
    <w:p w14:paraId="3D13F020" w14:textId="7BB66482"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Yes, there are two formal opportunities for public comment during the Strategic Assessment process. </w:t>
      </w:r>
    </w:p>
    <w:p w14:paraId="4D32788F" w14:textId="77777777" w:rsidR="00C759F9" w:rsidRPr="000442DC" w:rsidRDefault="00C759F9" w:rsidP="000442DC">
      <w:pPr>
        <w:pStyle w:val="BodyText"/>
        <w:spacing w:before="0" w:after="0" w:line="240" w:lineRule="auto"/>
        <w:rPr>
          <w:rFonts w:cstheme="minorHAnsi"/>
          <w:sz w:val="20"/>
          <w:szCs w:val="20"/>
        </w:rPr>
      </w:pPr>
    </w:p>
    <w:p w14:paraId="702120DE" w14:textId="77777777" w:rsidR="006E3168"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Public consultation </w:t>
      </w:r>
      <w:r w:rsidR="006E3168" w:rsidRPr="000442DC">
        <w:rPr>
          <w:rFonts w:cstheme="minorHAnsi"/>
          <w:sz w:val="20"/>
          <w:szCs w:val="20"/>
        </w:rPr>
        <w:t>was held on the draft</w:t>
      </w:r>
      <w:r w:rsidRPr="000442DC">
        <w:rPr>
          <w:rFonts w:cstheme="minorHAnsi"/>
          <w:sz w:val="20"/>
          <w:szCs w:val="20"/>
        </w:rPr>
        <w:t xml:space="preserve"> Terms of Reference </w:t>
      </w:r>
      <w:r w:rsidR="006E3168" w:rsidRPr="000442DC">
        <w:rPr>
          <w:rFonts w:cstheme="minorHAnsi"/>
          <w:sz w:val="20"/>
          <w:szCs w:val="20"/>
        </w:rPr>
        <w:t>in early 2022. This process was managed by DCCEEW. Further information can be found on DCCEEW’s</w:t>
      </w:r>
      <w:r w:rsidRPr="000442DC">
        <w:rPr>
          <w:rFonts w:cstheme="minorHAnsi"/>
          <w:sz w:val="20"/>
          <w:szCs w:val="20"/>
        </w:rPr>
        <w:t xml:space="preserve"> website</w:t>
      </w:r>
      <w:r w:rsidR="006E3168" w:rsidRPr="000442DC">
        <w:rPr>
          <w:rFonts w:cstheme="minorHAnsi"/>
          <w:sz w:val="20"/>
          <w:szCs w:val="20"/>
        </w:rPr>
        <w:t>:</w:t>
      </w:r>
    </w:p>
    <w:p w14:paraId="09E06FD5" w14:textId="0A53BB8E" w:rsidR="00C759F9" w:rsidRPr="000442DC" w:rsidRDefault="00DB4A88" w:rsidP="000442DC">
      <w:pPr>
        <w:pStyle w:val="BodyText"/>
        <w:spacing w:before="0" w:after="0" w:line="240" w:lineRule="auto"/>
        <w:rPr>
          <w:rFonts w:cstheme="minorHAnsi"/>
          <w:sz w:val="20"/>
          <w:szCs w:val="20"/>
        </w:rPr>
      </w:pPr>
      <w:hyperlink r:id="rId11" w:history="1">
        <w:r w:rsidR="006E3168" w:rsidRPr="004A06E4">
          <w:rPr>
            <w:rStyle w:val="Hyperlink"/>
            <w:rFonts w:cstheme="minorHAnsi"/>
            <w:color w:val="8ACED7" w:themeColor="accent1"/>
            <w:sz w:val="20"/>
            <w:szCs w:val="20"/>
          </w:rPr>
          <w:t>https://www.dcceew.gov.au/environment/epbc/approvals/strategic-assessments/geelong-growth-areas</w:t>
        </w:r>
      </w:hyperlink>
      <w:r w:rsidR="006E3168" w:rsidRPr="004A06E4">
        <w:rPr>
          <w:rFonts w:cstheme="minorHAnsi"/>
          <w:color w:val="8ACED7" w:themeColor="accent1"/>
          <w:sz w:val="20"/>
          <w:szCs w:val="20"/>
        </w:rPr>
        <w:t xml:space="preserve"> </w:t>
      </w:r>
    </w:p>
    <w:p w14:paraId="378E2124" w14:textId="77777777" w:rsidR="006E3168" w:rsidRPr="000442DC" w:rsidRDefault="006E3168" w:rsidP="000442DC">
      <w:pPr>
        <w:pStyle w:val="BodyText"/>
        <w:spacing w:before="0" w:after="0" w:line="240" w:lineRule="auto"/>
        <w:rPr>
          <w:rFonts w:cstheme="minorHAnsi"/>
          <w:sz w:val="20"/>
          <w:szCs w:val="20"/>
        </w:rPr>
      </w:pPr>
    </w:p>
    <w:p w14:paraId="48C96B56" w14:textId="2A97CC6C" w:rsidR="00C759F9" w:rsidRPr="000442DC" w:rsidRDefault="006E3168" w:rsidP="000442DC">
      <w:pPr>
        <w:pStyle w:val="BodyText"/>
        <w:spacing w:before="0" w:after="0" w:line="240" w:lineRule="auto"/>
        <w:rPr>
          <w:rFonts w:cstheme="minorHAnsi"/>
          <w:sz w:val="20"/>
          <w:szCs w:val="20"/>
        </w:rPr>
      </w:pPr>
      <w:r w:rsidRPr="000442DC">
        <w:rPr>
          <w:rFonts w:cstheme="minorHAnsi"/>
          <w:sz w:val="20"/>
          <w:szCs w:val="20"/>
        </w:rPr>
        <w:t xml:space="preserve">Following preparation of the </w:t>
      </w:r>
      <w:r w:rsidR="00C759F9" w:rsidRPr="000442DC">
        <w:rPr>
          <w:rFonts w:cstheme="minorHAnsi"/>
          <w:sz w:val="20"/>
          <w:szCs w:val="20"/>
        </w:rPr>
        <w:t xml:space="preserve">draft </w:t>
      </w:r>
      <w:r w:rsidRPr="000442DC">
        <w:rPr>
          <w:rFonts w:cstheme="minorHAnsi"/>
          <w:sz w:val="20"/>
          <w:szCs w:val="20"/>
        </w:rPr>
        <w:t>S</w:t>
      </w:r>
      <w:r w:rsidR="00C759F9" w:rsidRPr="000442DC">
        <w:rPr>
          <w:rFonts w:cstheme="minorHAnsi"/>
          <w:sz w:val="20"/>
          <w:szCs w:val="20"/>
        </w:rPr>
        <w:t xml:space="preserve">trategic </w:t>
      </w:r>
      <w:r w:rsidRPr="000442DC">
        <w:rPr>
          <w:rFonts w:cstheme="minorHAnsi"/>
          <w:sz w:val="20"/>
          <w:szCs w:val="20"/>
        </w:rPr>
        <w:t>A</w:t>
      </w:r>
      <w:r w:rsidR="00C759F9" w:rsidRPr="000442DC">
        <w:rPr>
          <w:rFonts w:cstheme="minorHAnsi"/>
          <w:sz w:val="20"/>
          <w:szCs w:val="20"/>
        </w:rPr>
        <w:t>ssessment documents,</w:t>
      </w:r>
      <w:r w:rsidRPr="000442DC">
        <w:rPr>
          <w:rFonts w:cstheme="minorHAnsi"/>
          <w:sz w:val="20"/>
          <w:szCs w:val="20"/>
        </w:rPr>
        <w:t xml:space="preserve"> a public exhibition process will be managed by the </w:t>
      </w:r>
      <w:proofErr w:type="gramStart"/>
      <w:r w:rsidRPr="000442DC">
        <w:rPr>
          <w:rFonts w:cstheme="minorHAnsi"/>
          <w:sz w:val="20"/>
          <w:szCs w:val="20"/>
        </w:rPr>
        <w:t>City</w:t>
      </w:r>
      <w:proofErr w:type="gramEnd"/>
      <w:r w:rsidR="00C759F9" w:rsidRPr="000442DC">
        <w:rPr>
          <w:rFonts w:cstheme="minorHAnsi"/>
          <w:sz w:val="20"/>
          <w:szCs w:val="20"/>
        </w:rPr>
        <w:t xml:space="preserve"> for a period of approximately </w:t>
      </w:r>
      <w:r w:rsidRPr="000442DC">
        <w:rPr>
          <w:rFonts w:cstheme="minorHAnsi"/>
          <w:sz w:val="20"/>
          <w:szCs w:val="20"/>
        </w:rPr>
        <w:t>two months</w:t>
      </w:r>
      <w:r w:rsidR="00C759F9" w:rsidRPr="000442DC">
        <w:rPr>
          <w:rFonts w:cstheme="minorHAnsi"/>
          <w:sz w:val="20"/>
          <w:szCs w:val="20"/>
        </w:rPr>
        <w:t>. Comments received during this period will be review</w:t>
      </w:r>
      <w:r w:rsidRPr="000442DC">
        <w:rPr>
          <w:rFonts w:cstheme="minorHAnsi"/>
          <w:sz w:val="20"/>
          <w:szCs w:val="20"/>
        </w:rPr>
        <w:t>ed</w:t>
      </w:r>
      <w:r w:rsidR="00C759F9" w:rsidRPr="000442DC">
        <w:rPr>
          <w:rFonts w:cstheme="minorHAnsi"/>
          <w:sz w:val="20"/>
          <w:szCs w:val="20"/>
        </w:rPr>
        <w:t xml:space="preserve"> and considered in the final </w:t>
      </w:r>
      <w:r w:rsidRPr="000442DC">
        <w:rPr>
          <w:rFonts w:cstheme="minorHAnsi"/>
          <w:sz w:val="20"/>
          <w:szCs w:val="20"/>
        </w:rPr>
        <w:t>S</w:t>
      </w:r>
      <w:r w:rsidR="00C759F9" w:rsidRPr="000442DC">
        <w:rPr>
          <w:rFonts w:cstheme="minorHAnsi"/>
          <w:sz w:val="20"/>
          <w:szCs w:val="20"/>
        </w:rPr>
        <w:t xml:space="preserve">trategic </w:t>
      </w:r>
      <w:r w:rsidRPr="000442DC">
        <w:rPr>
          <w:rFonts w:cstheme="minorHAnsi"/>
          <w:sz w:val="20"/>
          <w:szCs w:val="20"/>
        </w:rPr>
        <w:t>A</w:t>
      </w:r>
      <w:r w:rsidR="00C759F9" w:rsidRPr="000442DC">
        <w:rPr>
          <w:rFonts w:cstheme="minorHAnsi"/>
          <w:sz w:val="20"/>
          <w:szCs w:val="20"/>
        </w:rPr>
        <w:t xml:space="preserve">ssessment documents. </w:t>
      </w:r>
    </w:p>
    <w:p w14:paraId="667C1335" w14:textId="7B12539F" w:rsidR="00C759F9" w:rsidRDefault="00C759F9" w:rsidP="000442DC">
      <w:pPr>
        <w:pStyle w:val="BodyText"/>
        <w:spacing w:before="0" w:after="0" w:line="240" w:lineRule="auto"/>
        <w:rPr>
          <w:rFonts w:cstheme="minorHAnsi"/>
          <w:sz w:val="20"/>
          <w:szCs w:val="20"/>
        </w:rPr>
      </w:pPr>
    </w:p>
    <w:p w14:paraId="091EF8B8" w14:textId="77777777" w:rsidR="004A06E4" w:rsidRPr="000442DC" w:rsidRDefault="004A06E4" w:rsidP="000442DC">
      <w:pPr>
        <w:pStyle w:val="BodyText"/>
        <w:spacing w:before="0" w:after="0" w:line="240" w:lineRule="auto"/>
        <w:rPr>
          <w:rFonts w:cstheme="minorHAnsi"/>
          <w:sz w:val="20"/>
          <w:szCs w:val="20"/>
        </w:rPr>
      </w:pPr>
    </w:p>
    <w:p w14:paraId="7708875D" w14:textId="77777777" w:rsidR="00C759F9" w:rsidRPr="004A06E4" w:rsidRDefault="00C759F9" w:rsidP="000442DC">
      <w:pPr>
        <w:pStyle w:val="BodyText"/>
        <w:spacing w:before="0" w:after="0" w:line="240" w:lineRule="auto"/>
        <w:rPr>
          <w:rFonts w:cstheme="minorHAnsi"/>
          <w:b/>
          <w:bCs/>
          <w:i/>
          <w:iCs/>
          <w:color w:val="003263" w:themeColor="text2"/>
          <w:sz w:val="20"/>
          <w:szCs w:val="20"/>
        </w:rPr>
      </w:pPr>
      <w:r w:rsidRPr="004A06E4">
        <w:rPr>
          <w:rFonts w:cstheme="minorHAnsi"/>
          <w:b/>
          <w:bCs/>
          <w:i/>
          <w:iCs/>
          <w:color w:val="003263" w:themeColor="text2"/>
          <w:sz w:val="22"/>
          <w:szCs w:val="22"/>
        </w:rPr>
        <w:t>Where does the mapped information come from?</w:t>
      </w:r>
    </w:p>
    <w:p w14:paraId="48FDD430" w14:textId="77777777" w:rsidR="00C759F9" w:rsidRPr="000442DC" w:rsidRDefault="00C759F9" w:rsidP="000442DC">
      <w:pPr>
        <w:pStyle w:val="BodyText"/>
        <w:spacing w:before="0" w:after="0" w:line="240" w:lineRule="auto"/>
        <w:rPr>
          <w:rFonts w:cstheme="minorHAnsi"/>
          <w:sz w:val="20"/>
          <w:szCs w:val="20"/>
        </w:rPr>
      </w:pPr>
    </w:p>
    <w:p w14:paraId="656C5D07" w14:textId="77777777" w:rsidR="00EA29BB"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w:t>
      </w:r>
      <w:proofErr w:type="gramStart"/>
      <w:r w:rsidRPr="000442DC">
        <w:rPr>
          <w:rFonts w:cstheme="minorHAnsi"/>
          <w:sz w:val="20"/>
          <w:szCs w:val="20"/>
        </w:rPr>
        <w:t>City</w:t>
      </w:r>
      <w:proofErr w:type="gramEnd"/>
      <w:r w:rsidRPr="000442DC">
        <w:rPr>
          <w:rFonts w:cstheme="minorHAnsi"/>
          <w:sz w:val="20"/>
          <w:szCs w:val="20"/>
        </w:rPr>
        <w:t xml:space="preserve"> undertook multiple years of on-ground assessments within the Northern and Western Geelong Growth Areas (NWGGA) to determine environmental values and the extent of native vegetation. </w:t>
      </w:r>
    </w:p>
    <w:p w14:paraId="06298758" w14:textId="77777777" w:rsidR="00EA29BB" w:rsidRPr="000442DC" w:rsidRDefault="00EA29BB" w:rsidP="000442DC">
      <w:pPr>
        <w:pStyle w:val="BodyText"/>
        <w:spacing w:before="0" w:after="0" w:line="240" w:lineRule="auto"/>
        <w:rPr>
          <w:rFonts w:cstheme="minorHAnsi"/>
          <w:sz w:val="20"/>
          <w:szCs w:val="20"/>
        </w:rPr>
      </w:pPr>
    </w:p>
    <w:p w14:paraId="6C9C1B9F" w14:textId="0939B6E1"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For the assessed properties, a report has been prepared and is being used as the basis for the state and federal government approvals. The report has been reviewed by </w:t>
      </w:r>
      <w:r w:rsidR="00904D4E" w:rsidRPr="000442DC">
        <w:rPr>
          <w:rFonts w:cstheme="minorHAnsi"/>
          <w:sz w:val="20"/>
          <w:szCs w:val="20"/>
        </w:rPr>
        <w:t>DEECA</w:t>
      </w:r>
      <w:r w:rsidRPr="000442DC">
        <w:rPr>
          <w:rFonts w:cstheme="minorHAnsi"/>
          <w:sz w:val="20"/>
          <w:szCs w:val="20"/>
        </w:rPr>
        <w:t xml:space="preserve"> and D</w:t>
      </w:r>
      <w:r w:rsidR="00904D4E" w:rsidRPr="000442DC">
        <w:rPr>
          <w:rFonts w:cstheme="minorHAnsi"/>
          <w:sz w:val="20"/>
          <w:szCs w:val="20"/>
        </w:rPr>
        <w:t>CCEEW</w:t>
      </w:r>
      <w:r w:rsidRPr="000442DC">
        <w:rPr>
          <w:rFonts w:cstheme="minorHAnsi"/>
          <w:sz w:val="20"/>
          <w:szCs w:val="20"/>
        </w:rPr>
        <w:t xml:space="preserve"> to ensure the assessment have met the required state and federal assessment guidelines</w:t>
      </w:r>
      <w:r w:rsidR="00EA29BB" w:rsidRPr="000442DC">
        <w:rPr>
          <w:rFonts w:cstheme="minorHAnsi"/>
          <w:sz w:val="20"/>
          <w:szCs w:val="20"/>
        </w:rPr>
        <w:t xml:space="preserve">. </w:t>
      </w:r>
    </w:p>
    <w:p w14:paraId="22BA9D4B" w14:textId="6C3106FB" w:rsidR="00EA29BB" w:rsidRPr="000442DC" w:rsidRDefault="00EA29BB" w:rsidP="000442DC">
      <w:pPr>
        <w:pStyle w:val="BodyText"/>
        <w:spacing w:before="0" w:after="0" w:line="240" w:lineRule="auto"/>
        <w:rPr>
          <w:rFonts w:cstheme="minorHAnsi"/>
          <w:sz w:val="20"/>
          <w:szCs w:val="20"/>
        </w:rPr>
      </w:pPr>
    </w:p>
    <w:p w14:paraId="472EA774" w14:textId="5BADDB67" w:rsidR="00EA29BB" w:rsidRPr="000442DC" w:rsidRDefault="00EA29BB" w:rsidP="000442DC">
      <w:pPr>
        <w:pStyle w:val="BodyText"/>
        <w:spacing w:before="0" w:after="0" w:line="240" w:lineRule="auto"/>
        <w:rPr>
          <w:rFonts w:cstheme="minorHAnsi"/>
          <w:sz w:val="20"/>
          <w:szCs w:val="20"/>
        </w:rPr>
      </w:pPr>
      <w:r w:rsidRPr="000442DC">
        <w:rPr>
          <w:rFonts w:cstheme="minorHAnsi"/>
          <w:sz w:val="20"/>
          <w:szCs w:val="20"/>
        </w:rPr>
        <w:t xml:space="preserve">Unsurveyed properties </w:t>
      </w:r>
      <w:r w:rsidRPr="000442DC">
        <w:rPr>
          <w:rFonts w:cstheme="minorHAnsi"/>
          <w:sz w:val="20"/>
          <w:szCs w:val="20"/>
        </w:rPr>
        <w:t xml:space="preserve">generally </w:t>
      </w:r>
      <w:r w:rsidRPr="000442DC">
        <w:rPr>
          <w:rFonts w:cstheme="minorHAnsi"/>
          <w:sz w:val="20"/>
          <w:szCs w:val="20"/>
        </w:rPr>
        <w:t>include</w:t>
      </w:r>
      <w:r w:rsidRPr="000442DC">
        <w:rPr>
          <w:rFonts w:cstheme="minorHAnsi"/>
          <w:sz w:val="20"/>
          <w:szCs w:val="20"/>
        </w:rPr>
        <w:t xml:space="preserve"> small, </w:t>
      </w:r>
      <w:r w:rsidRPr="000442DC">
        <w:rPr>
          <w:rFonts w:cstheme="minorHAnsi"/>
          <w:sz w:val="20"/>
          <w:szCs w:val="20"/>
        </w:rPr>
        <w:t xml:space="preserve">fragmented </w:t>
      </w:r>
      <w:r w:rsidRPr="000442DC">
        <w:rPr>
          <w:rFonts w:cstheme="minorHAnsi"/>
          <w:sz w:val="20"/>
          <w:szCs w:val="20"/>
        </w:rPr>
        <w:t xml:space="preserve">rural residential </w:t>
      </w:r>
      <w:r w:rsidRPr="000442DC">
        <w:rPr>
          <w:rFonts w:cstheme="minorHAnsi"/>
          <w:sz w:val="20"/>
          <w:szCs w:val="20"/>
        </w:rPr>
        <w:t>with a higher percentage</w:t>
      </w:r>
      <w:r w:rsidRPr="000442DC">
        <w:rPr>
          <w:rFonts w:cstheme="minorHAnsi"/>
          <w:sz w:val="20"/>
          <w:szCs w:val="20"/>
        </w:rPr>
        <w:t xml:space="preserve"> of land use for dwellings and driveways. The environment within these unsurveyed areas tends to be more modified or degraded as a result.</w:t>
      </w:r>
      <w:r w:rsidRPr="000442DC">
        <w:rPr>
          <w:rFonts w:cstheme="minorHAnsi"/>
          <w:sz w:val="20"/>
          <w:szCs w:val="20"/>
        </w:rPr>
        <w:t xml:space="preserve"> </w:t>
      </w:r>
    </w:p>
    <w:p w14:paraId="37C6E479" w14:textId="77777777" w:rsidR="000442DC" w:rsidRPr="000442DC" w:rsidRDefault="000442DC" w:rsidP="000442DC">
      <w:pPr>
        <w:pStyle w:val="BodyText"/>
        <w:spacing w:before="0" w:after="0" w:line="240" w:lineRule="auto"/>
        <w:rPr>
          <w:rFonts w:cstheme="minorHAnsi"/>
          <w:sz w:val="20"/>
          <w:szCs w:val="20"/>
        </w:rPr>
      </w:pPr>
    </w:p>
    <w:p w14:paraId="527F18B2" w14:textId="113B48DE" w:rsidR="000442DC" w:rsidRPr="000442DC" w:rsidRDefault="00EA29BB" w:rsidP="000442DC">
      <w:pPr>
        <w:pStyle w:val="BodyText"/>
        <w:spacing w:before="0" w:after="0" w:line="240" w:lineRule="auto"/>
        <w:rPr>
          <w:rFonts w:cstheme="minorHAnsi"/>
          <w:sz w:val="20"/>
          <w:szCs w:val="20"/>
        </w:rPr>
      </w:pPr>
      <w:r w:rsidRPr="000442DC">
        <w:rPr>
          <w:rFonts w:cstheme="minorHAnsi"/>
          <w:sz w:val="20"/>
          <w:szCs w:val="20"/>
        </w:rPr>
        <w:t>T</w:t>
      </w:r>
      <w:r w:rsidRPr="000442DC">
        <w:rPr>
          <w:rFonts w:cstheme="minorHAnsi"/>
          <w:sz w:val="20"/>
          <w:szCs w:val="20"/>
        </w:rPr>
        <w:t>he baseline dataset</w:t>
      </w:r>
      <w:r w:rsidRPr="000442DC">
        <w:rPr>
          <w:rFonts w:cstheme="minorHAnsi"/>
          <w:sz w:val="20"/>
          <w:szCs w:val="20"/>
        </w:rPr>
        <w:t xml:space="preserve"> </w:t>
      </w:r>
      <w:r w:rsidRPr="000442DC">
        <w:rPr>
          <w:rFonts w:cstheme="minorHAnsi"/>
          <w:sz w:val="20"/>
          <w:szCs w:val="20"/>
        </w:rPr>
        <w:t>used to provide an indication of potential habitat for threatened species within these unsurveyed areas was developed using over-the-fence observations, historical species records and Habitat Importan</w:t>
      </w:r>
      <w:r w:rsidR="00200645">
        <w:rPr>
          <w:rFonts w:cstheme="minorHAnsi"/>
          <w:sz w:val="20"/>
          <w:szCs w:val="20"/>
        </w:rPr>
        <w:t>ce</w:t>
      </w:r>
      <w:r w:rsidRPr="000442DC">
        <w:rPr>
          <w:rFonts w:cstheme="minorHAnsi"/>
          <w:sz w:val="20"/>
          <w:szCs w:val="20"/>
        </w:rPr>
        <w:t xml:space="preserve"> Models (HIMs) and EVC modelling. </w:t>
      </w:r>
    </w:p>
    <w:p w14:paraId="18E36D57" w14:textId="04386B5C" w:rsidR="000442DC" w:rsidRDefault="000442DC" w:rsidP="000442DC">
      <w:pPr>
        <w:pStyle w:val="BodyText"/>
        <w:spacing w:before="0" w:after="0" w:line="240" w:lineRule="auto"/>
        <w:rPr>
          <w:rFonts w:cstheme="minorHAnsi"/>
          <w:sz w:val="20"/>
          <w:szCs w:val="20"/>
        </w:rPr>
      </w:pPr>
    </w:p>
    <w:p w14:paraId="037B6AF6" w14:textId="77777777" w:rsidR="004A06E4" w:rsidRPr="000442DC" w:rsidRDefault="004A06E4" w:rsidP="000442DC">
      <w:pPr>
        <w:pStyle w:val="BodyText"/>
        <w:spacing w:before="0" w:after="0" w:line="240" w:lineRule="auto"/>
        <w:rPr>
          <w:rFonts w:cstheme="minorHAnsi"/>
          <w:sz w:val="20"/>
          <w:szCs w:val="20"/>
        </w:rPr>
      </w:pPr>
    </w:p>
    <w:p w14:paraId="3D813657" w14:textId="1CD27FD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do the different areas on the map mean?</w:t>
      </w:r>
    </w:p>
    <w:p w14:paraId="7827408D" w14:textId="77777777" w:rsidR="00C759F9" w:rsidRPr="000442DC" w:rsidRDefault="00C759F9" w:rsidP="000442DC">
      <w:pPr>
        <w:pStyle w:val="BodyText"/>
        <w:spacing w:before="0" w:after="0" w:line="240" w:lineRule="auto"/>
        <w:rPr>
          <w:rFonts w:cstheme="minorHAnsi"/>
          <w:sz w:val="20"/>
          <w:szCs w:val="20"/>
        </w:rPr>
      </w:pPr>
    </w:p>
    <w:p w14:paraId="210E8E7C" w14:textId="7E7F1A57"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advertised map shows the full scope of the project including the development areas outlined in the Framework Plan, as well as the area needed to upgrade services and roads. The area shown on the map is broader than the project area to allow us to consider direct and </w:t>
      </w:r>
      <w:r w:rsidR="00904D4E" w:rsidRPr="000442DC">
        <w:rPr>
          <w:rFonts w:cstheme="minorHAnsi"/>
          <w:sz w:val="20"/>
          <w:szCs w:val="20"/>
        </w:rPr>
        <w:t xml:space="preserve">indirect </w:t>
      </w:r>
      <w:r w:rsidRPr="000442DC">
        <w:rPr>
          <w:rFonts w:cstheme="minorHAnsi"/>
          <w:sz w:val="20"/>
          <w:szCs w:val="20"/>
        </w:rPr>
        <w:t>impacts to MNES from the project.</w:t>
      </w:r>
    </w:p>
    <w:p w14:paraId="4D43EA0A" w14:textId="77777777" w:rsidR="00C759F9" w:rsidRPr="000442DC" w:rsidRDefault="00C759F9" w:rsidP="000442DC">
      <w:pPr>
        <w:pStyle w:val="BodyText"/>
        <w:spacing w:before="0" w:after="0" w:line="240" w:lineRule="auto"/>
        <w:rPr>
          <w:rFonts w:cstheme="minorHAnsi"/>
          <w:sz w:val="20"/>
          <w:szCs w:val="20"/>
        </w:rPr>
      </w:pPr>
    </w:p>
    <w:p w14:paraId="467CED95" w14:textId="6D2281F3" w:rsidR="00C759F9" w:rsidRPr="000442DC" w:rsidRDefault="00C759F9" w:rsidP="000442DC">
      <w:pPr>
        <w:pStyle w:val="BodyText"/>
        <w:spacing w:before="0" w:after="0" w:line="240" w:lineRule="auto"/>
        <w:rPr>
          <w:rFonts w:cstheme="minorHAnsi"/>
          <w:sz w:val="20"/>
          <w:szCs w:val="20"/>
        </w:rPr>
      </w:pPr>
      <w:r w:rsidRPr="000442DC">
        <w:rPr>
          <w:rFonts w:cstheme="minorHAnsi"/>
          <w:i/>
          <w:iCs/>
          <w:sz w:val="20"/>
          <w:szCs w:val="20"/>
        </w:rPr>
        <w:t>Key Development Area</w:t>
      </w:r>
      <w:r w:rsidRPr="000442DC">
        <w:rPr>
          <w:rFonts w:cstheme="minorHAnsi"/>
          <w:sz w:val="20"/>
          <w:szCs w:val="20"/>
        </w:rPr>
        <w:t xml:space="preserve"> – The areas nominated for development under the NWGGA Framework Plan C395</w:t>
      </w:r>
      <w:r w:rsidR="00904D4E" w:rsidRPr="000442DC">
        <w:rPr>
          <w:rFonts w:cstheme="minorHAnsi"/>
          <w:sz w:val="20"/>
          <w:szCs w:val="20"/>
        </w:rPr>
        <w:t>.</w:t>
      </w:r>
    </w:p>
    <w:p w14:paraId="7705A661" w14:textId="77777777" w:rsidR="006E3168" w:rsidRPr="000442DC" w:rsidRDefault="006E3168" w:rsidP="000442DC">
      <w:pPr>
        <w:pStyle w:val="BodyText"/>
        <w:spacing w:before="0" w:after="0" w:line="240" w:lineRule="auto"/>
        <w:rPr>
          <w:rFonts w:cstheme="minorHAnsi"/>
          <w:sz w:val="20"/>
          <w:szCs w:val="20"/>
        </w:rPr>
      </w:pPr>
    </w:p>
    <w:p w14:paraId="41B3525B" w14:textId="5FE03B57" w:rsidR="00C759F9" w:rsidRPr="000442DC" w:rsidRDefault="00C759F9" w:rsidP="000442DC">
      <w:pPr>
        <w:pStyle w:val="BodyText"/>
        <w:spacing w:before="0" w:after="0" w:line="240" w:lineRule="auto"/>
        <w:rPr>
          <w:rFonts w:cstheme="minorHAnsi"/>
          <w:sz w:val="20"/>
          <w:szCs w:val="20"/>
        </w:rPr>
      </w:pPr>
      <w:r w:rsidRPr="000442DC">
        <w:rPr>
          <w:rFonts w:cstheme="minorHAnsi"/>
          <w:i/>
          <w:iCs/>
          <w:sz w:val="20"/>
          <w:szCs w:val="20"/>
        </w:rPr>
        <w:t>Transport</w:t>
      </w:r>
      <w:r w:rsidRPr="000442DC">
        <w:rPr>
          <w:rFonts w:cstheme="minorHAnsi"/>
          <w:sz w:val="20"/>
          <w:szCs w:val="20"/>
        </w:rPr>
        <w:t xml:space="preserve"> – Known and potential road upgrades that fall outside of the Key Development Area</w:t>
      </w:r>
      <w:r w:rsidR="00904D4E" w:rsidRPr="000442DC">
        <w:rPr>
          <w:rFonts w:cstheme="minorHAnsi"/>
          <w:sz w:val="20"/>
          <w:szCs w:val="20"/>
        </w:rPr>
        <w:t>.</w:t>
      </w:r>
    </w:p>
    <w:p w14:paraId="00D41A02" w14:textId="77777777" w:rsidR="006E3168" w:rsidRPr="000442DC" w:rsidRDefault="006E3168" w:rsidP="000442DC">
      <w:pPr>
        <w:pStyle w:val="BodyText"/>
        <w:spacing w:before="0" w:after="0" w:line="240" w:lineRule="auto"/>
        <w:rPr>
          <w:rFonts w:cstheme="minorHAnsi"/>
          <w:sz w:val="20"/>
          <w:szCs w:val="20"/>
        </w:rPr>
      </w:pPr>
    </w:p>
    <w:p w14:paraId="176B561C" w14:textId="2ECCC5FC" w:rsidR="00C759F9" w:rsidRPr="000442DC" w:rsidRDefault="00C759F9" w:rsidP="000442DC">
      <w:pPr>
        <w:pStyle w:val="BodyText"/>
        <w:spacing w:before="0" w:after="0" w:line="240" w:lineRule="auto"/>
        <w:rPr>
          <w:rFonts w:cstheme="minorHAnsi"/>
          <w:sz w:val="20"/>
          <w:szCs w:val="20"/>
        </w:rPr>
      </w:pPr>
      <w:r w:rsidRPr="000442DC">
        <w:rPr>
          <w:rFonts w:cstheme="minorHAnsi"/>
          <w:i/>
          <w:iCs/>
          <w:sz w:val="20"/>
          <w:szCs w:val="20"/>
        </w:rPr>
        <w:lastRenderedPageBreak/>
        <w:t>Strategic Assessment Area</w:t>
      </w:r>
      <w:r w:rsidRPr="000442DC">
        <w:rPr>
          <w:rFonts w:cstheme="minorHAnsi"/>
          <w:sz w:val="20"/>
          <w:szCs w:val="20"/>
        </w:rPr>
        <w:t xml:space="preserve"> – the area which needs to be considered under the Part 10 Strategic Assessment which includes all development and associated infrastructure. </w:t>
      </w:r>
    </w:p>
    <w:p w14:paraId="02B88D59" w14:textId="77777777" w:rsidR="006E3168" w:rsidRPr="000442DC" w:rsidRDefault="006E3168" w:rsidP="000442DC">
      <w:pPr>
        <w:pStyle w:val="BodyText"/>
        <w:spacing w:before="0" w:after="0" w:line="240" w:lineRule="auto"/>
        <w:rPr>
          <w:rFonts w:cstheme="minorHAnsi"/>
          <w:sz w:val="20"/>
          <w:szCs w:val="20"/>
        </w:rPr>
      </w:pPr>
    </w:p>
    <w:p w14:paraId="0BD33CFA" w14:textId="63F680D0" w:rsidR="00C759F9" w:rsidRPr="000442DC" w:rsidRDefault="00C759F9" w:rsidP="000442DC">
      <w:pPr>
        <w:pStyle w:val="BodyText"/>
        <w:spacing w:before="0" w:after="0" w:line="240" w:lineRule="auto"/>
        <w:rPr>
          <w:rFonts w:cstheme="minorHAnsi"/>
          <w:sz w:val="20"/>
          <w:szCs w:val="20"/>
        </w:rPr>
      </w:pPr>
      <w:r w:rsidRPr="000442DC">
        <w:rPr>
          <w:rFonts w:cstheme="minorHAnsi"/>
          <w:i/>
          <w:iCs/>
          <w:sz w:val="20"/>
          <w:szCs w:val="20"/>
        </w:rPr>
        <w:t>Water and Infrastructure</w:t>
      </w:r>
      <w:r w:rsidRPr="000442DC">
        <w:rPr>
          <w:rFonts w:cstheme="minorHAnsi"/>
          <w:sz w:val="20"/>
          <w:szCs w:val="20"/>
        </w:rPr>
        <w:t xml:space="preserve"> – The investigation area for potential upgrades or new alignment for services such as water and electricity, and managing </w:t>
      </w:r>
    </w:p>
    <w:p w14:paraId="41D6FD44" w14:textId="104ABE5D" w:rsidR="00C759F9" w:rsidRPr="000442DC" w:rsidRDefault="00C759F9" w:rsidP="000442DC">
      <w:pPr>
        <w:pStyle w:val="BodyText"/>
        <w:spacing w:before="0" w:after="0" w:line="240" w:lineRule="auto"/>
        <w:rPr>
          <w:rFonts w:cstheme="minorHAnsi"/>
          <w:sz w:val="20"/>
          <w:szCs w:val="20"/>
        </w:rPr>
      </w:pPr>
    </w:p>
    <w:p w14:paraId="1E75B4A7" w14:textId="77777777" w:rsidR="00C759F9" w:rsidRPr="000442DC" w:rsidRDefault="00C759F9" w:rsidP="000442DC">
      <w:pPr>
        <w:pStyle w:val="BodyText"/>
        <w:spacing w:before="0" w:after="0" w:line="240" w:lineRule="auto"/>
        <w:rPr>
          <w:rFonts w:cstheme="minorHAnsi"/>
          <w:sz w:val="20"/>
          <w:szCs w:val="20"/>
        </w:rPr>
      </w:pPr>
    </w:p>
    <w:p w14:paraId="6FBEE740" w14:textId="41765866"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How are state matters being considered?</w:t>
      </w:r>
    </w:p>
    <w:p w14:paraId="742A27EE" w14:textId="77777777" w:rsidR="00C759F9" w:rsidRPr="000442DC" w:rsidRDefault="00C759F9" w:rsidP="000442DC">
      <w:pPr>
        <w:pStyle w:val="BodyText"/>
        <w:spacing w:before="0" w:after="0" w:line="240" w:lineRule="auto"/>
        <w:rPr>
          <w:rFonts w:cstheme="minorHAnsi"/>
          <w:sz w:val="20"/>
          <w:szCs w:val="20"/>
        </w:rPr>
      </w:pPr>
    </w:p>
    <w:p w14:paraId="09BA8262" w14:textId="374A46FC"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w:t>
      </w:r>
      <w:proofErr w:type="gramStart"/>
      <w:r w:rsidRPr="000442DC">
        <w:rPr>
          <w:rFonts w:cstheme="minorHAnsi"/>
          <w:sz w:val="20"/>
          <w:szCs w:val="20"/>
        </w:rPr>
        <w:t>City</w:t>
      </w:r>
      <w:proofErr w:type="gramEnd"/>
      <w:r w:rsidRPr="000442DC">
        <w:rPr>
          <w:rFonts w:cstheme="minorHAnsi"/>
          <w:sz w:val="20"/>
          <w:szCs w:val="20"/>
        </w:rPr>
        <w:t xml:space="preserve"> committed to developing a Biodiversity Conservation Strategy (BCS) as part of the Framework Plan which recently went through a Planning Scheme Amendment (C395). The BCS will be a holistic document which identifies how environmental values will be linked to local, regional, state, and federal plans and policies and will include waterways, and how new communities will incorporate biodiversity through detailed precinct planning.</w:t>
      </w:r>
    </w:p>
    <w:p w14:paraId="37920B16" w14:textId="77777777" w:rsidR="008B06DF" w:rsidRPr="000442DC" w:rsidRDefault="008B06DF" w:rsidP="000442DC">
      <w:pPr>
        <w:pStyle w:val="BodyText"/>
        <w:spacing w:before="0" w:after="0" w:line="240" w:lineRule="auto"/>
        <w:rPr>
          <w:rFonts w:cstheme="minorHAnsi"/>
          <w:sz w:val="20"/>
          <w:szCs w:val="20"/>
        </w:rPr>
      </w:pPr>
    </w:p>
    <w:p w14:paraId="30984DE8" w14:textId="62F534F9" w:rsidR="00EA29BB"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The BCS will give guidance on environmental matters for any Precinct Structure Plans (PSP) and Native Vegetation Precinct Plans (NVPP) developed for NWGGA. </w:t>
      </w:r>
      <w:r w:rsidR="000442DC" w:rsidRPr="000442DC">
        <w:rPr>
          <w:rFonts w:cstheme="minorHAnsi"/>
          <w:sz w:val="20"/>
          <w:szCs w:val="20"/>
        </w:rPr>
        <w:t>A NVPP provides for the strategic management of native vegetation for a defined area or precinct. A NVPP is established via a planning scheme amendment that incorporates the plan and lists it in the schedule to Clause 52.16</w:t>
      </w:r>
      <w:r w:rsidR="000442DC" w:rsidRPr="000442DC">
        <w:rPr>
          <w:rFonts w:cstheme="minorHAnsi"/>
          <w:sz w:val="20"/>
          <w:szCs w:val="20"/>
        </w:rPr>
        <w:t xml:space="preserve">. </w:t>
      </w:r>
    </w:p>
    <w:p w14:paraId="1442DFD9" w14:textId="77777777" w:rsidR="00EA29BB" w:rsidRPr="000442DC" w:rsidRDefault="00EA29BB" w:rsidP="000442DC">
      <w:pPr>
        <w:pStyle w:val="BodyText"/>
        <w:spacing w:before="0" w:after="0" w:line="240" w:lineRule="auto"/>
        <w:rPr>
          <w:rFonts w:cstheme="minorHAnsi"/>
          <w:sz w:val="20"/>
          <w:szCs w:val="20"/>
        </w:rPr>
      </w:pPr>
    </w:p>
    <w:p w14:paraId="55DFF3CD" w14:textId="5DF17C85"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The State Planning Policy Framework (SPPF) outlines Victoria’s policy objectives and strategies relating to the protection and management of native vegetation. Specifically, the following clauses give policy context and inform decision making:</w:t>
      </w:r>
    </w:p>
    <w:p w14:paraId="414D2905" w14:textId="77777777" w:rsidR="00904D4E" w:rsidRPr="000442DC" w:rsidRDefault="00904D4E" w:rsidP="000442DC">
      <w:pPr>
        <w:pStyle w:val="BodyText"/>
        <w:spacing w:before="0" w:after="0" w:line="240" w:lineRule="auto"/>
        <w:rPr>
          <w:rFonts w:cstheme="minorHAnsi"/>
          <w:sz w:val="20"/>
          <w:szCs w:val="20"/>
        </w:rPr>
      </w:pPr>
    </w:p>
    <w:p w14:paraId="0B98EB73" w14:textId="115BE977"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12.01 Biodiversity</w:t>
      </w:r>
    </w:p>
    <w:p w14:paraId="048D4471" w14:textId="46FA19BD"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12.04 Significant environment and landscapes</w:t>
      </w:r>
    </w:p>
    <w:p w14:paraId="3A87563A" w14:textId="03BA3284"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13.03 Soil degradation</w:t>
      </w:r>
    </w:p>
    <w:p w14:paraId="7503CB3B" w14:textId="1930B70A"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13.05 Bushfire</w:t>
      </w:r>
    </w:p>
    <w:p w14:paraId="2D98804F" w14:textId="7CEAC03D"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14.02 Water</w:t>
      </w:r>
    </w:p>
    <w:p w14:paraId="4E7F2380" w14:textId="54DDDA8C" w:rsidR="00C759F9" w:rsidRPr="000442DC" w:rsidRDefault="00C759F9" w:rsidP="000442DC">
      <w:pPr>
        <w:pStyle w:val="BodyText"/>
        <w:numPr>
          <w:ilvl w:val="0"/>
          <w:numId w:val="30"/>
        </w:numPr>
        <w:spacing w:before="0" w:after="0" w:line="240" w:lineRule="auto"/>
        <w:rPr>
          <w:rFonts w:cstheme="minorHAnsi"/>
          <w:sz w:val="20"/>
          <w:szCs w:val="20"/>
        </w:rPr>
      </w:pPr>
      <w:r w:rsidRPr="000442DC">
        <w:rPr>
          <w:rFonts w:cstheme="minorHAnsi"/>
          <w:sz w:val="20"/>
          <w:szCs w:val="20"/>
        </w:rPr>
        <w:t>15.03 Heritage (includes Aboriginal cultural heritage)</w:t>
      </w:r>
    </w:p>
    <w:p w14:paraId="2BDE01F4" w14:textId="30C31E3C" w:rsidR="001753A3" w:rsidRDefault="001753A3" w:rsidP="000442DC">
      <w:pPr>
        <w:pStyle w:val="BodyText"/>
        <w:spacing w:before="0" w:after="0" w:line="240" w:lineRule="auto"/>
        <w:rPr>
          <w:rFonts w:cstheme="minorHAnsi"/>
          <w:sz w:val="20"/>
          <w:szCs w:val="20"/>
        </w:rPr>
      </w:pPr>
    </w:p>
    <w:p w14:paraId="486BA67C" w14:textId="77777777" w:rsidR="004A06E4" w:rsidRPr="000442DC" w:rsidRDefault="004A06E4" w:rsidP="000442DC">
      <w:pPr>
        <w:pStyle w:val="BodyText"/>
        <w:spacing w:before="0" w:after="0" w:line="240" w:lineRule="auto"/>
        <w:rPr>
          <w:rFonts w:cstheme="minorHAnsi"/>
          <w:sz w:val="20"/>
          <w:szCs w:val="20"/>
        </w:rPr>
      </w:pPr>
    </w:p>
    <w:p w14:paraId="68844F3C" w14:textId="508F0480" w:rsidR="001753A3" w:rsidRPr="004A06E4" w:rsidRDefault="001753A3"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 xml:space="preserve">How does the Strategic Assessment </w:t>
      </w:r>
      <w:r w:rsidR="000442DC" w:rsidRPr="004A06E4">
        <w:rPr>
          <w:rFonts w:cstheme="minorHAnsi"/>
          <w:b/>
          <w:bCs/>
          <w:i/>
          <w:iCs/>
          <w:color w:val="003263" w:themeColor="text2"/>
          <w:sz w:val="22"/>
          <w:szCs w:val="22"/>
        </w:rPr>
        <w:t>account for</w:t>
      </w:r>
      <w:r w:rsidRPr="004A06E4">
        <w:rPr>
          <w:rFonts w:cstheme="minorHAnsi"/>
          <w:b/>
          <w:bCs/>
          <w:i/>
          <w:iCs/>
          <w:color w:val="003263" w:themeColor="text2"/>
          <w:sz w:val="22"/>
          <w:szCs w:val="22"/>
        </w:rPr>
        <w:t xml:space="preserve"> the recent rediscovery of the Victorian Grassland Earless Dragon (</w:t>
      </w:r>
      <w:proofErr w:type="spellStart"/>
      <w:r w:rsidRPr="004A06E4">
        <w:rPr>
          <w:rFonts w:cstheme="minorHAnsi"/>
          <w:b/>
          <w:bCs/>
          <w:i/>
          <w:iCs/>
          <w:color w:val="003263" w:themeColor="text2"/>
          <w:sz w:val="22"/>
          <w:szCs w:val="22"/>
        </w:rPr>
        <w:t>Tympanocryptis</w:t>
      </w:r>
      <w:proofErr w:type="spellEnd"/>
      <w:r w:rsidRPr="004A06E4">
        <w:rPr>
          <w:rFonts w:cstheme="minorHAnsi"/>
          <w:b/>
          <w:bCs/>
          <w:i/>
          <w:iCs/>
          <w:color w:val="003263" w:themeColor="text2"/>
          <w:sz w:val="22"/>
          <w:szCs w:val="22"/>
        </w:rPr>
        <w:t xml:space="preserve"> </w:t>
      </w:r>
      <w:proofErr w:type="spellStart"/>
      <w:r w:rsidRPr="004A06E4">
        <w:rPr>
          <w:rFonts w:cstheme="minorHAnsi"/>
          <w:b/>
          <w:bCs/>
          <w:i/>
          <w:iCs/>
          <w:color w:val="003263" w:themeColor="text2"/>
          <w:sz w:val="22"/>
          <w:szCs w:val="22"/>
        </w:rPr>
        <w:t>pinguicolla</w:t>
      </w:r>
      <w:proofErr w:type="spellEnd"/>
      <w:r w:rsidRPr="004A06E4">
        <w:rPr>
          <w:rFonts w:cstheme="minorHAnsi"/>
          <w:b/>
          <w:bCs/>
          <w:i/>
          <w:iCs/>
          <w:color w:val="003263" w:themeColor="text2"/>
          <w:sz w:val="22"/>
          <w:szCs w:val="22"/>
        </w:rPr>
        <w:t>)?</w:t>
      </w:r>
    </w:p>
    <w:p w14:paraId="6069D2EB" w14:textId="0BCCDEC3" w:rsidR="001753A3" w:rsidRPr="00917073" w:rsidRDefault="001753A3" w:rsidP="000442DC">
      <w:pPr>
        <w:pStyle w:val="BodyText"/>
        <w:spacing w:before="0" w:after="0" w:line="240" w:lineRule="auto"/>
        <w:rPr>
          <w:rFonts w:cstheme="minorHAnsi"/>
          <w:sz w:val="20"/>
          <w:szCs w:val="20"/>
        </w:rPr>
      </w:pPr>
    </w:p>
    <w:p w14:paraId="5A69B269" w14:textId="3D553148" w:rsidR="00917073" w:rsidRPr="00917073" w:rsidRDefault="00917073" w:rsidP="00917073">
      <w:pPr>
        <w:pStyle w:val="BodyText"/>
        <w:spacing w:before="0" w:after="0" w:line="240" w:lineRule="auto"/>
        <w:rPr>
          <w:rFonts w:cstheme="minorHAnsi"/>
          <w:sz w:val="20"/>
          <w:szCs w:val="20"/>
        </w:rPr>
      </w:pPr>
      <w:r w:rsidRPr="00917073">
        <w:rPr>
          <w:rFonts w:cstheme="minorHAnsi"/>
          <w:sz w:val="20"/>
          <w:szCs w:val="20"/>
        </w:rPr>
        <w:t>A</w:t>
      </w:r>
      <w:r w:rsidRPr="00917073">
        <w:rPr>
          <w:rFonts w:cstheme="minorHAnsi"/>
          <w:sz w:val="20"/>
          <w:szCs w:val="20"/>
        </w:rPr>
        <w:t xml:space="preserve">n announcement was made </w:t>
      </w:r>
      <w:r w:rsidRPr="00917073">
        <w:rPr>
          <w:rFonts w:cstheme="minorHAnsi"/>
          <w:sz w:val="20"/>
          <w:szCs w:val="20"/>
        </w:rPr>
        <w:t>in June 2023</w:t>
      </w:r>
      <w:r w:rsidRPr="00917073">
        <w:rPr>
          <w:rFonts w:cstheme="minorHAnsi"/>
          <w:sz w:val="20"/>
          <w:szCs w:val="20"/>
        </w:rPr>
        <w:t xml:space="preserve"> about the significant rediscovery of the Victorian Grassland Earless Dragon (VGED). The VGED was previously thought to be extinct, with the last recorded sighting in Victoria in 1969.</w:t>
      </w:r>
      <w:r>
        <w:rPr>
          <w:rFonts w:cstheme="minorHAnsi"/>
          <w:sz w:val="20"/>
          <w:szCs w:val="20"/>
        </w:rPr>
        <w:t xml:space="preserve"> </w:t>
      </w:r>
      <w:r w:rsidRPr="00917073">
        <w:rPr>
          <w:rFonts w:cstheme="minorHAnsi"/>
          <w:sz w:val="20"/>
          <w:szCs w:val="20"/>
        </w:rPr>
        <w:t xml:space="preserve">Updated conservation advice and habitat modelling from </w:t>
      </w:r>
      <w:r w:rsidR="004A06E4">
        <w:rPr>
          <w:rFonts w:cstheme="minorHAnsi"/>
          <w:sz w:val="20"/>
          <w:szCs w:val="20"/>
        </w:rPr>
        <w:t xml:space="preserve">DCCEEW </w:t>
      </w:r>
      <w:r w:rsidRPr="00917073">
        <w:rPr>
          <w:rFonts w:cstheme="minorHAnsi"/>
          <w:sz w:val="20"/>
          <w:szCs w:val="20"/>
        </w:rPr>
        <w:t xml:space="preserve">notes that the species or species habitat </w:t>
      </w:r>
      <w:r>
        <w:rPr>
          <w:rFonts w:cstheme="minorHAnsi"/>
          <w:sz w:val="20"/>
          <w:szCs w:val="20"/>
        </w:rPr>
        <w:t>is known or likely to</w:t>
      </w:r>
      <w:r w:rsidRPr="00917073">
        <w:rPr>
          <w:rFonts w:cstheme="minorHAnsi"/>
          <w:sz w:val="20"/>
          <w:szCs w:val="20"/>
        </w:rPr>
        <w:t xml:space="preserve"> occur within NWGGA. </w:t>
      </w:r>
    </w:p>
    <w:p w14:paraId="23EE417C" w14:textId="77777777" w:rsidR="00917073" w:rsidRPr="00917073" w:rsidRDefault="00917073" w:rsidP="00917073">
      <w:pPr>
        <w:pStyle w:val="BodyText"/>
        <w:spacing w:before="0" w:after="0" w:line="240" w:lineRule="auto"/>
        <w:rPr>
          <w:rFonts w:cstheme="minorHAnsi"/>
          <w:sz w:val="20"/>
          <w:szCs w:val="20"/>
        </w:rPr>
      </w:pPr>
    </w:p>
    <w:p w14:paraId="4B8CCD91" w14:textId="6E8D9AC4" w:rsidR="00917073" w:rsidRDefault="00917073" w:rsidP="000442DC">
      <w:pPr>
        <w:pStyle w:val="BodyText"/>
        <w:spacing w:before="0" w:after="0" w:line="240" w:lineRule="auto"/>
        <w:rPr>
          <w:rFonts w:cstheme="minorHAnsi"/>
          <w:sz w:val="20"/>
          <w:szCs w:val="20"/>
        </w:rPr>
      </w:pPr>
      <w:r w:rsidRPr="00917073">
        <w:rPr>
          <w:rFonts w:cstheme="minorHAnsi"/>
          <w:sz w:val="20"/>
          <w:szCs w:val="20"/>
        </w:rPr>
        <w:t xml:space="preserve">Consistent with other projects across Victoria, the baseline dataset for the </w:t>
      </w:r>
      <w:r w:rsidR="004A06E4">
        <w:rPr>
          <w:rFonts w:cstheme="minorHAnsi"/>
          <w:sz w:val="20"/>
          <w:szCs w:val="20"/>
        </w:rPr>
        <w:t>S</w:t>
      </w:r>
      <w:r w:rsidRPr="00917073">
        <w:rPr>
          <w:rFonts w:cstheme="minorHAnsi"/>
          <w:sz w:val="20"/>
          <w:szCs w:val="20"/>
        </w:rPr>
        <w:t xml:space="preserve">trategic Assessment recognised that the growth areas support general habitat features preferred by the </w:t>
      </w:r>
      <w:r>
        <w:rPr>
          <w:rFonts w:cstheme="minorHAnsi"/>
          <w:sz w:val="20"/>
          <w:szCs w:val="20"/>
        </w:rPr>
        <w:t>VGED</w:t>
      </w:r>
      <w:r w:rsidRPr="00917073">
        <w:rPr>
          <w:rFonts w:cstheme="minorHAnsi"/>
          <w:sz w:val="20"/>
          <w:szCs w:val="20"/>
        </w:rPr>
        <w:t xml:space="preserve"> but did not include targeted surveys, as the species was presumed to be extinct at the time.</w:t>
      </w:r>
      <w:r>
        <w:rPr>
          <w:rFonts w:cstheme="minorHAnsi"/>
          <w:sz w:val="20"/>
          <w:szCs w:val="20"/>
        </w:rPr>
        <w:t xml:space="preserve"> </w:t>
      </w:r>
    </w:p>
    <w:p w14:paraId="508892E2" w14:textId="77777777" w:rsidR="00917073" w:rsidRDefault="00917073" w:rsidP="000442DC">
      <w:pPr>
        <w:pStyle w:val="BodyText"/>
        <w:spacing w:before="0" w:after="0" w:line="240" w:lineRule="auto"/>
        <w:rPr>
          <w:rFonts w:cstheme="minorHAnsi"/>
          <w:sz w:val="20"/>
          <w:szCs w:val="20"/>
        </w:rPr>
      </w:pPr>
    </w:p>
    <w:p w14:paraId="0B726D07" w14:textId="549D00C4" w:rsidR="000442DC" w:rsidRPr="000442DC" w:rsidRDefault="000442DC" w:rsidP="000442DC">
      <w:pPr>
        <w:pStyle w:val="BodyText"/>
        <w:spacing w:before="0" w:after="0" w:line="240" w:lineRule="auto"/>
        <w:rPr>
          <w:rFonts w:cstheme="minorHAnsi"/>
          <w:sz w:val="20"/>
          <w:szCs w:val="20"/>
        </w:rPr>
      </w:pPr>
      <w:r w:rsidRPr="000442DC">
        <w:rPr>
          <w:rFonts w:cstheme="minorHAnsi"/>
          <w:sz w:val="20"/>
          <w:szCs w:val="20"/>
        </w:rPr>
        <w:t xml:space="preserve">The </w:t>
      </w:r>
      <w:proofErr w:type="gramStart"/>
      <w:r w:rsidRPr="000442DC">
        <w:rPr>
          <w:rFonts w:cstheme="minorHAnsi"/>
          <w:sz w:val="20"/>
          <w:szCs w:val="20"/>
        </w:rPr>
        <w:t>City</w:t>
      </w:r>
      <w:proofErr w:type="gramEnd"/>
      <w:r w:rsidRPr="000442DC">
        <w:rPr>
          <w:rFonts w:cstheme="minorHAnsi"/>
          <w:sz w:val="20"/>
          <w:szCs w:val="20"/>
        </w:rPr>
        <w:t xml:space="preserve"> has also been working with regulators to address gaps </w:t>
      </w:r>
      <w:r w:rsidR="00917073">
        <w:rPr>
          <w:rFonts w:cstheme="minorHAnsi"/>
          <w:sz w:val="20"/>
          <w:szCs w:val="20"/>
        </w:rPr>
        <w:t>and hopes to progress with</w:t>
      </w:r>
      <w:r w:rsidRPr="000442DC">
        <w:rPr>
          <w:rFonts w:cstheme="minorHAnsi"/>
          <w:sz w:val="20"/>
          <w:szCs w:val="20"/>
        </w:rPr>
        <w:t xml:space="preserve"> a targeted surveying effort in summer 2023/24.</w:t>
      </w:r>
      <w:r w:rsidR="00917073">
        <w:rPr>
          <w:rFonts w:cstheme="minorHAnsi"/>
          <w:sz w:val="20"/>
          <w:szCs w:val="20"/>
        </w:rPr>
        <w:t xml:space="preserve"> The final Strategic Assessment documents will respond to the outcomes of this targeted surveying. </w:t>
      </w:r>
    </w:p>
    <w:p w14:paraId="4C9A8109" w14:textId="64DEAFD9" w:rsidR="00C759F9" w:rsidRDefault="00C759F9" w:rsidP="000442DC">
      <w:pPr>
        <w:pStyle w:val="BodyText"/>
        <w:spacing w:before="0" w:after="0" w:line="240" w:lineRule="auto"/>
        <w:rPr>
          <w:rFonts w:cstheme="minorHAnsi"/>
          <w:sz w:val="20"/>
          <w:szCs w:val="20"/>
        </w:rPr>
      </w:pPr>
    </w:p>
    <w:p w14:paraId="4E0CF8A4" w14:textId="77777777" w:rsidR="004A06E4" w:rsidRPr="000442DC" w:rsidRDefault="004A06E4" w:rsidP="000442DC">
      <w:pPr>
        <w:pStyle w:val="BodyText"/>
        <w:spacing w:before="0" w:after="0" w:line="240" w:lineRule="auto"/>
        <w:rPr>
          <w:rFonts w:cstheme="minorHAnsi"/>
          <w:sz w:val="20"/>
          <w:szCs w:val="20"/>
        </w:rPr>
      </w:pPr>
    </w:p>
    <w:p w14:paraId="31522D15"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offsets are likely to be required?</w:t>
      </w:r>
    </w:p>
    <w:p w14:paraId="7E3B6C27" w14:textId="77777777" w:rsidR="00C759F9" w:rsidRPr="000442DC" w:rsidRDefault="00C759F9" w:rsidP="000442DC">
      <w:pPr>
        <w:pStyle w:val="BodyText"/>
        <w:spacing w:before="0" w:after="0" w:line="240" w:lineRule="auto"/>
        <w:rPr>
          <w:rFonts w:cstheme="minorHAnsi"/>
          <w:sz w:val="20"/>
          <w:szCs w:val="20"/>
        </w:rPr>
      </w:pPr>
    </w:p>
    <w:p w14:paraId="38985ACB" w14:textId="1EFBE276"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Through the detailed ecological assessments</w:t>
      </w:r>
      <w:r w:rsidR="000442DC">
        <w:rPr>
          <w:rFonts w:cstheme="minorHAnsi"/>
          <w:sz w:val="20"/>
          <w:szCs w:val="20"/>
        </w:rPr>
        <w:t>,</w:t>
      </w:r>
      <w:r w:rsidRPr="000442DC">
        <w:rPr>
          <w:rFonts w:cstheme="minorHAnsi"/>
          <w:sz w:val="20"/>
          <w:szCs w:val="20"/>
        </w:rPr>
        <w:t xml:space="preserve"> the </w:t>
      </w:r>
      <w:proofErr w:type="gramStart"/>
      <w:r w:rsidRPr="000442DC">
        <w:rPr>
          <w:rFonts w:cstheme="minorHAnsi"/>
          <w:sz w:val="20"/>
          <w:szCs w:val="20"/>
        </w:rPr>
        <w:t>City</w:t>
      </w:r>
      <w:proofErr w:type="gramEnd"/>
      <w:r w:rsidRPr="000442DC">
        <w:rPr>
          <w:rFonts w:cstheme="minorHAnsi"/>
          <w:sz w:val="20"/>
          <w:szCs w:val="20"/>
        </w:rPr>
        <w:t xml:space="preserve"> has identified areas of native vegetation and threatened species habitat. If any of these areas are proposed for removal through the planning process, the loss will be required to be offset in accordance with the relevant state and/or federal policy requirements. At a </w:t>
      </w:r>
      <w:r w:rsidR="000442DC">
        <w:rPr>
          <w:rFonts w:cstheme="minorHAnsi"/>
          <w:sz w:val="20"/>
          <w:szCs w:val="20"/>
        </w:rPr>
        <w:t>s</w:t>
      </w:r>
      <w:r w:rsidRPr="000442DC">
        <w:rPr>
          <w:rFonts w:cstheme="minorHAnsi"/>
          <w:sz w:val="20"/>
          <w:szCs w:val="20"/>
        </w:rPr>
        <w:t xml:space="preserve">tate level, general offsets and species offsets may be required. </w:t>
      </w:r>
    </w:p>
    <w:p w14:paraId="3B0AD92F" w14:textId="77777777" w:rsidR="001753A3" w:rsidRPr="000442DC" w:rsidRDefault="001753A3" w:rsidP="000442DC">
      <w:pPr>
        <w:pStyle w:val="BodyText"/>
        <w:spacing w:before="0" w:after="0" w:line="240" w:lineRule="auto"/>
        <w:rPr>
          <w:rFonts w:cstheme="minorHAnsi"/>
          <w:sz w:val="20"/>
          <w:szCs w:val="20"/>
        </w:rPr>
      </w:pPr>
    </w:p>
    <w:p w14:paraId="47DFE142" w14:textId="727DC163"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Through the Part 10 Strategic Assessment the City will develop an Offset Strategy which will outline the commitments and requirements for meeting the federal offsets dependent on the proposed impacts to </w:t>
      </w:r>
      <w:r w:rsidR="000442DC">
        <w:rPr>
          <w:rFonts w:cstheme="minorHAnsi"/>
          <w:sz w:val="20"/>
          <w:szCs w:val="20"/>
        </w:rPr>
        <w:t>MNES</w:t>
      </w:r>
      <w:r w:rsidRPr="000442DC">
        <w:rPr>
          <w:rFonts w:cstheme="minorHAnsi"/>
          <w:sz w:val="20"/>
          <w:szCs w:val="20"/>
        </w:rPr>
        <w:t>.</w:t>
      </w:r>
    </w:p>
    <w:p w14:paraId="71FC824D" w14:textId="62AB7921" w:rsidR="008B06DF" w:rsidRDefault="008B06DF" w:rsidP="000442DC">
      <w:pPr>
        <w:pStyle w:val="BodyText"/>
        <w:spacing w:before="0" w:after="0" w:line="240" w:lineRule="auto"/>
        <w:rPr>
          <w:rFonts w:cstheme="minorHAnsi"/>
          <w:sz w:val="20"/>
          <w:szCs w:val="20"/>
        </w:rPr>
      </w:pPr>
    </w:p>
    <w:p w14:paraId="6752C0C0" w14:textId="77777777" w:rsidR="004A06E4" w:rsidRPr="000442DC" w:rsidRDefault="004A06E4" w:rsidP="000442DC">
      <w:pPr>
        <w:pStyle w:val="BodyText"/>
        <w:spacing w:before="0" w:after="0" w:line="240" w:lineRule="auto"/>
        <w:rPr>
          <w:rFonts w:cstheme="minorHAnsi"/>
          <w:sz w:val="20"/>
          <w:szCs w:val="20"/>
        </w:rPr>
      </w:pPr>
    </w:p>
    <w:p w14:paraId="5D45BF4A"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Is it illegal to remove native vegetation?</w:t>
      </w:r>
    </w:p>
    <w:p w14:paraId="43A33CE8" w14:textId="77777777" w:rsidR="00C759F9" w:rsidRPr="000442DC" w:rsidRDefault="00C759F9" w:rsidP="000442DC">
      <w:pPr>
        <w:pStyle w:val="BodyText"/>
        <w:spacing w:before="0" w:after="0" w:line="240" w:lineRule="auto"/>
        <w:rPr>
          <w:rFonts w:cstheme="minorHAnsi"/>
          <w:sz w:val="20"/>
          <w:szCs w:val="20"/>
        </w:rPr>
      </w:pPr>
    </w:p>
    <w:p w14:paraId="57C8530C" w14:textId="592003F4"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 xml:space="preserve">In Victoria, a permit under the Planning and Environment Act </w:t>
      </w:r>
      <w:r w:rsidR="004A06E4">
        <w:rPr>
          <w:rFonts w:cstheme="minorHAnsi"/>
          <w:sz w:val="20"/>
          <w:szCs w:val="20"/>
        </w:rPr>
        <w:t>(</w:t>
      </w:r>
      <w:r w:rsidRPr="000442DC">
        <w:rPr>
          <w:rFonts w:cstheme="minorHAnsi"/>
          <w:sz w:val="20"/>
          <w:szCs w:val="20"/>
        </w:rPr>
        <w:t>1987</w:t>
      </w:r>
      <w:r w:rsidR="004A06E4">
        <w:rPr>
          <w:rFonts w:cstheme="minorHAnsi"/>
          <w:sz w:val="20"/>
          <w:szCs w:val="20"/>
        </w:rPr>
        <w:t>)</w:t>
      </w:r>
      <w:r w:rsidRPr="000442DC">
        <w:rPr>
          <w:rFonts w:cstheme="minorHAnsi"/>
          <w:sz w:val="20"/>
          <w:szCs w:val="20"/>
        </w:rPr>
        <w:t xml:space="preserve"> is generally required from your local Council to remove native vegetation, including native grasslands.</w:t>
      </w:r>
    </w:p>
    <w:p w14:paraId="7D320CA5" w14:textId="77777777" w:rsidR="008B06DF" w:rsidRPr="000442DC" w:rsidRDefault="008B06DF" w:rsidP="000442DC">
      <w:pPr>
        <w:pStyle w:val="BodyText"/>
        <w:spacing w:before="0" w:after="0" w:line="240" w:lineRule="auto"/>
        <w:rPr>
          <w:rFonts w:cstheme="minorHAnsi"/>
          <w:sz w:val="20"/>
          <w:szCs w:val="20"/>
        </w:rPr>
      </w:pPr>
    </w:p>
    <w:p w14:paraId="5B7B251C" w14:textId="09E41CA8" w:rsidR="00C759F9" w:rsidRDefault="00C759F9" w:rsidP="000442DC">
      <w:pPr>
        <w:pStyle w:val="BodyText"/>
        <w:spacing w:before="0" w:after="0" w:line="240" w:lineRule="auto"/>
        <w:rPr>
          <w:rFonts w:cstheme="minorHAnsi"/>
          <w:sz w:val="20"/>
          <w:szCs w:val="20"/>
        </w:rPr>
      </w:pPr>
      <w:r w:rsidRPr="000442DC">
        <w:rPr>
          <w:rFonts w:cstheme="minorHAnsi"/>
          <w:sz w:val="20"/>
          <w:szCs w:val="20"/>
        </w:rPr>
        <w:lastRenderedPageBreak/>
        <w:t xml:space="preserve">Grasslands and some other endangered vegetation types are also protected under the Commonwealth </w:t>
      </w:r>
      <w:r w:rsidR="00904D4E" w:rsidRPr="000442DC">
        <w:rPr>
          <w:rFonts w:cstheme="minorHAnsi"/>
          <w:sz w:val="20"/>
          <w:szCs w:val="20"/>
        </w:rPr>
        <w:t>EPBC</w:t>
      </w:r>
      <w:r w:rsidRPr="000442DC">
        <w:rPr>
          <w:rFonts w:cstheme="minorHAnsi"/>
          <w:sz w:val="20"/>
          <w:szCs w:val="20"/>
        </w:rPr>
        <w:t xml:space="preserve"> Act. </w:t>
      </w:r>
      <w:r w:rsidR="00904D4E" w:rsidRPr="000442DC">
        <w:rPr>
          <w:rFonts w:cstheme="minorHAnsi"/>
          <w:sz w:val="20"/>
          <w:szCs w:val="20"/>
        </w:rPr>
        <w:t>F</w:t>
      </w:r>
      <w:r w:rsidRPr="000442DC">
        <w:rPr>
          <w:rFonts w:cstheme="minorHAnsi"/>
          <w:sz w:val="20"/>
          <w:szCs w:val="20"/>
        </w:rPr>
        <w:t xml:space="preserve">ailure to obtain necessary permits can incur heavy penalties. </w:t>
      </w:r>
    </w:p>
    <w:p w14:paraId="0F2C11AE" w14:textId="28AEFFFA" w:rsidR="004A06E4" w:rsidRDefault="004A06E4" w:rsidP="000442DC">
      <w:pPr>
        <w:pStyle w:val="BodyText"/>
        <w:spacing w:before="0" w:after="0" w:line="240" w:lineRule="auto"/>
        <w:rPr>
          <w:rFonts w:cstheme="minorHAnsi"/>
          <w:sz w:val="20"/>
          <w:szCs w:val="20"/>
        </w:rPr>
      </w:pPr>
    </w:p>
    <w:p w14:paraId="5686A821" w14:textId="356BAB99" w:rsidR="004A06E4" w:rsidRPr="000442DC" w:rsidRDefault="004A06E4" w:rsidP="004A06E4">
      <w:pPr>
        <w:pStyle w:val="BodyText"/>
        <w:spacing w:before="0" w:after="0" w:line="240" w:lineRule="auto"/>
        <w:rPr>
          <w:rFonts w:cstheme="minorHAnsi"/>
          <w:sz w:val="20"/>
          <w:szCs w:val="20"/>
        </w:rPr>
      </w:pPr>
      <w:r w:rsidRPr="000442DC">
        <w:rPr>
          <w:rFonts w:cstheme="minorHAnsi"/>
          <w:sz w:val="20"/>
          <w:szCs w:val="20"/>
        </w:rPr>
        <w:t xml:space="preserve">Please refer to the </w:t>
      </w:r>
      <w:r>
        <w:rPr>
          <w:rFonts w:cstheme="minorHAnsi"/>
          <w:sz w:val="20"/>
          <w:szCs w:val="20"/>
        </w:rPr>
        <w:t>DEECA</w:t>
      </w:r>
      <w:r w:rsidRPr="000442DC">
        <w:rPr>
          <w:rFonts w:cstheme="minorHAnsi"/>
          <w:sz w:val="20"/>
          <w:szCs w:val="20"/>
        </w:rPr>
        <w:t xml:space="preserve"> Native Vegetation webpage for further information on Victoria’s native vegetation</w:t>
      </w:r>
      <w:r>
        <w:rPr>
          <w:rFonts w:cstheme="minorHAnsi"/>
          <w:sz w:val="20"/>
          <w:szCs w:val="20"/>
        </w:rPr>
        <w:t>:</w:t>
      </w:r>
    </w:p>
    <w:p w14:paraId="06ECDF4C" w14:textId="77777777" w:rsidR="004A06E4" w:rsidRPr="004A06E4" w:rsidRDefault="004A06E4" w:rsidP="004A06E4">
      <w:pPr>
        <w:pStyle w:val="BodyText"/>
        <w:spacing w:before="0" w:after="0" w:line="240" w:lineRule="auto"/>
        <w:rPr>
          <w:rFonts w:cstheme="minorHAnsi"/>
          <w:color w:val="8ACED7" w:themeColor="accent1"/>
          <w:sz w:val="20"/>
          <w:szCs w:val="20"/>
        </w:rPr>
      </w:pPr>
      <w:hyperlink r:id="rId12" w:history="1">
        <w:r w:rsidRPr="004A06E4">
          <w:rPr>
            <w:rStyle w:val="Hyperlink"/>
            <w:rFonts w:cstheme="minorHAnsi"/>
            <w:color w:val="8ACED7" w:themeColor="accent1"/>
            <w:sz w:val="20"/>
            <w:szCs w:val="20"/>
          </w:rPr>
          <w:t>https://www.environment.vic.gov.au/native-vegetation/native-vege</w:t>
        </w:r>
        <w:r w:rsidRPr="004A06E4">
          <w:rPr>
            <w:rStyle w:val="Hyperlink"/>
            <w:rFonts w:cstheme="minorHAnsi"/>
            <w:color w:val="8ACED7" w:themeColor="accent1"/>
            <w:sz w:val="20"/>
            <w:szCs w:val="20"/>
          </w:rPr>
          <w:t>t</w:t>
        </w:r>
        <w:r w:rsidRPr="004A06E4">
          <w:rPr>
            <w:rStyle w:val="Hyperlink"/>
            <w:rFonts w:cstheme="minorHAnsi"/>
            <w:color w:val="8ACED7" w:themeColor="accent1"/>
            <w:sz w:val="20"/>
            <w:szCs w:val="20"/>
          </w:rPr>
          <w:t>ation</w:t>
        </w:r>
      </w:hyperlink>
      <w:r w:rsidRPr="004A06E4">
        <w:rPr>
          <w:rFonts w:cstheme="minorHAnsi"/>
          <w:color w:val="8ACED7" w:themeColor="accent1"/>
          <w:sz w:val="20"/>
          <w:szCs w:val="20"/>
        </w:rPr>
        <w:t xml:space="preserve">  </w:t>
      </w:r>
    </w:p>
    <w:p w14:paraId="1F3839C8" w14:textId="6CB976D0" w:rsidR="008B06DF" w:rsidRDefault="008B06DF" w:rsidP="000442DC">
      <w:pPr>
        <w:pStyle w:val="BodyText"/>
        <w:spacing w:before="0" w:after="0" w:line="240" w:lineRule="auto"/>
        <w:rPr>
          <w:rFonts w:cstheme="minorHAnsi"/>
          <w:sz w:val="20"/>
          <w:szCs w:val="20"/>
        </w:rPr>
      </w:pPr>
    </w:p>
    <w:p w14:paraId="22100D70" w14:textId="77777777" w:rsidR="004A06E4" w:rsidRPr="000442DC" w:rsidRDefault="004A06E4" w:rsidP="000442DC">
      <w:pPr>
        <w:pStyle w:val="BodyText"/>
        <w:spacing w:before="0" w:after="0" w:line="240" w:lineRule="auto"/>
        <w:rPr>
          <w:rFonts w:cstheme="minorHAnsi"/>
          <w:sz w:val="20"/>
          <w:szCs w:val="20"/>
        </w:rPr>
      </w:pPr>
    </w:p>
    <w:p w14:paraId="54888569" w14:textId="77777777"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What if I want make changes to my property now?</w:t>
      </w:r>
    </w:p>
    <w:p w14:paraId="074644A4" w14:textId="77777777" w:rsidR="008B06DF" w:rsidRPr="000442DC" w:rsidRDefault="008B06DF" w:rsidP="000442DC">
      <w:pPr>
        <w:pStyle w:val="BodyText"/>
        <w:spacing w:before="0" w:after="0" w:line="240" w:lineRule="auto"/>
        <w:rPr>
          <w:rFonts w:cstheme="minorHAnsi"/>
          <w:sz w:val="20"/>
          <w:szCs w:val="20"/>
        </w:rPr>
      </w:pPr>
    </w:p>
    <w:p w14:paraId="5F9B55C0" w14:textId="6BB916B9" w:rsidR="008B06DF" w:rsidRPr="000442DC" w:rsidRDefault="00C759F9" w:rsidP="000442DC">
      <w:pPr>
        <w:pStyle w:val="BodyText"/>
        <w:spacing w:before="0" w:after="0" w:line="240" w:lineRule="auto"/>
        <w:rPr>
          <w:rFonts w:cstheme="minorHAnsi"/>
          <w:sz w:val="20"/>
          <w:szCs w:val="20"/>
        </w:rPr>
      </w:pPr>
      <w:r w:rsidRPr="000442DC">
        <w:rPr>
          <w:rFonts w:cstheme="minorHAnsi"/>
          <w:sz w:val="20"/>
          <w:szCs w:val="20"/>
        </w:rPr>
        <w:t>If you are looking to make changes to your property prior to development, a planning permit may be required. Please refer to the below website to get more information about planning permits, when a planning permit is required, and the application process</w:t>
      </w:r>
      <w:r w:rsidR="008B06DF" w:rsidRPr="000442DC">
        <w:rPr>
          <w:rFonts w:cstheme="minorHAnsi"/>
          <w:sz w:val="20"/>
          <w:szCs w:val="20"/>
        </w:rPr>
        <w:t>:</w:t>
      </w:r>
      <w:r w:rsidRPr="000442DC">
        <w:rPr>
          <w:rFonts w:cstheme="minorHAnsi"/>
          <w:sz w:val="20"/>
          <w:szCs w:val="20"/>
        </w:rPr>
        <w:t xml:space="preserve"> </w:t>
      </w:r>
    </w:p>
    <w:p w14:paraId="39280E46" w14:textId="28AA2563" w:rsidR="00C759F9" w:rsidRPr="004A06E4" w:rsidRDefault="00DB4A88" w:rsidP="000442DC">
      <w:pPr>
        <w:pStyle w:val="BodyText"/>
        <w:spacing w:before="0" w:after="0" w:line="240" w:lineRule="auto"/>
        <w:rPr>
          <w:rFonts w:cstheme="minorHAnsi"/>
          <w:color w:val="8ACED7" w:themeColor="accent1"/>
          <w:sz w:val="20"/>
          <w:szCs w:val="20"/>
        </w:rPr>
      </w:pPr>
      <w:hyperlink r:id="rId13" w:history="1">
        <w:r w:rsidR="008B06DF" w:rsidRPr="004A06E4">
          <w:rPr>
            <w:rStyle w:val="Hyperlink"/>
            <w:rFonts w:cstheme="minorHAnsi"/>
            <w:color w:val="8ACED7" w:themeColor="accent1"/>
            <w:sz w:val="20"/>
            <w:szCs w:val="20"/>
          </w:rPr>
          <w:t>https://www.geelongaustralia.co</w:t>
        </w:r>
        <w:r w:rsidR="008B06DF" w:rsidRPr="004A06E4">
          <w:rPr>
            <w:rStyle w:val="Hyperlink"/>
            <w:rFonts w:cstheme="minorHAnsi"/>
            <w:color w:val="8ACED7" w:themeColor="accent1"/>
            <w:sz w:val="20"/>
            <w:szCs w:val="20"/>
          </w:rPr>
          <w:t>m</w:t>
        </w:r>
        <w:r w:rsidR="008B06DF" w:rsidRPr="004A06E4">
          <w:rPr>
            <w:rStyle w:val="Hyperlink"/>
            <w:rFonts w:cstheme="minorHAnsi"/>
            <w:color w:val="8ACED7" w:themeColor="accent1"/>
            <w:sz w:val="20"/>
            <w:szCs w:val="20"/>
          </w:rPr>
          <w:t>.au/planning/permit/default.aspx</w:t>
        </w:r>
      </w:hyperlink>
      <w:r w:rsidR="008B06DF" w:rsidRPr="004A06E4">
        <w:rPr>
          <w:rFonts w:cstheme="minorHAnsi"/>
          <w:color w:val="8ACED7" w:themeColor="accent1"/>
          <w:sz w:val="20"/>
          <w:szCs w:val="20"/>
        </w:rPr>
        <w:t xml:space="preserve"> </w:t>
      </w:r>
    </w:p>
    <w:p w14:paraId="0AF5D10C" w14:textId="77777777" w:rsidR="008B06DF" w:rsidRPr="000442DC" w:rsidRDefault="008B06DF" w:rsidP="000442DC">
      <w:pPr>
        <w:pStyle w:val="BodyText"/>
        <w:spacing w:before="0" w:after="0" w:line="240" w:lineRule="auto"/>
        <w:rPr>
          <w:rFonts w:cstheme="minorHAnsi"/>
          <w:sz w:val="20"/>
          <w:szCs w:val="20"/>
        </w:rPr>
      </w:pPr>
    </w:p>
    <w:p w14:paraId="50B86F97" w14:textId="282D546F" w:rsidR="00C759F9" w:rsidRPr="000442DC" w:rsidRDefault="00C759F9" w:rsidP="000442DC">
      <w:pPr>
        <w:pStyle w:val="BodyText"/>
        <w:spacing w:before="0" w:after="0" w:line="240" w:lineRule="auto"/>
        <w:rPr>
          <w:rFonts w:cstheme="minorHAnsi"/>
          <w:sz w:val="20"/>
          <w:szCs w:val="20"/>
        </w:rPr>
      </w:pPr>
      <w:r w:rsidRPr="000442DC">
        <w:rPr>
          <w:rFonts w:cstheme="minorHAnsi"/>
          <w:sz w:val="20"/>
          <w:szCs w:val="20"/>
        </w:rPr>
        <w:t>Consideration may also need to be given to potential approval requirements under the EPBC Act if known or potential values occur on your land. Please refer to the below EPBC Act website for more information</w:t>
      </w:r>
      <w:r w:rsidR="008B06DF" w:rsidRPr="000442DC">
        <w:rPr>
          <w:rFonts w:cstheme="minorHAnsi"/>
          <w:sz w:val="20"/>
          <w:szCs w:val="20"/>
        </w:rPr>
        <w:t>:</w:t>
      </w:r>
      <w:r w:rsidRPr="000442DC">
        <w:rPr>
          <w:rFonts w:cstheme="minorHAnsi"/>
          <w:sz w:val="20"/>
          <w:szCs w:val="20"/>
        </w:rPr>
        <w:t xml:space="preserve"> </w:t>
      </w:r>
    </w:p>
    <w:p w14:paraId="19501BAA" w14:textId="61D4B19D" w:rsidR="00C759F9" w:rsidRPr="004A06E4" w:rsidRDefault="004A06E4" w:rsidP="000442DC">
      <w:pPr>
        <w:pStyle w:val="BodyText"/>
        <w:spacing w:before="0" w:after="0" w:line="240" w:lineRule="auto"/>
        <w:rPr>
          <w:rFonts w:cstheme="minorHAnsi"/>
          <w:color w:val="8ACED7" w:themeColor="accent1"/>
          <w:sz w:val="20"/>
          <w:szCs w:val="20"/>
        </w:rPr>
      </w:pPr>
      <w:hyperlink r:id="rId14" w:history="1">
        <w:r w:rsidRPr="004A06E4">
          <w:rPr>
            <w:rStyle w:val="Hyperlink"/>
            <w:rFonts w:cstheme="minorHAnsi"/>
            <w:color w:val="8ACED7" w:themeColor="accent1"/>
            <w:sz w:val="20"/>
            <w:szCs w:val="20"/>
          </w:rPr>
          <w:t>https://www.dcceew.gov.au/environment/epbc/do-you-need-approval</w:t>
        </w:r>
      </w:hyperlink>
      <w:r w:rsidRPr="004A06E4">
        <w:rPr>
          <w:rFonts w:cstheme="minorHAnsi"/>
          <w:color w:val="8ACED7" w:themeColor="accent1"/>
          <w:sz w:val="20"/>
          <w:szCs w:val="20"/>
        </w:rPr>
        <w:t xml:space="preserve"> </w:t>
      </w:r>
    </w:p>
    <w:p w14:paraId="5D33FDF9" w14:textId="5CE04F89" w:rsidR="004A06E4" w:rsidRDefault="004A06E4" w:rsidP="000442DC">
      <w:pPr>
        <w:pStyle w:val="BodyText"/>
        <w:spacing w:before="0" w:after="0" w:line="240" w:lineRule="auto"/>
        <w:rPr>
          <w:rFonts w:cstheme="minorHAnsi"/>
          <w:sz w:val="20"/>
          <w:szCs w:val="20"/>
        </w:rPr>
      </w:pPr>
    </w:p>
    <w:p w14:paraId="24583069" w14:textId="77777777" w:rsidR="004A06E4" w:rsidRPr="000442DC" w:rsidRDefault="004A06E4" w:rsidP="000442DC">
      <w:pPr>
        <w:pStyle w:val="BodyText"/>
        <w:spacing w:before="0" w:after="0" w:line="240" w:lineRule="auto"/>
        <w:rPr>
          <w:rFonts w:cstheme="minorHAnsi"/>
          <w:sz w:val="20"/>
          <w:szCs w:val="20"/>
        </w:rPr>
      </w:pPr>
    </w:p>
    <w:p w14:paraId="292F5FAF" w14:textId="4BF28925"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 xml:space="preserve">Glossary </w:t>
      </w:r>
    </w:p>
    <w:p w14:paraId="7101892A" w14:textId="77777777" w:rsidR="008B06DF" w:rsidRPr="000442DC" w:rsidRDefault="008B06DF" w:rsidP="000442DC">
      <w:pPr>
        <w:pStyle w:val="BodyText"/>
        <w:spacing w:before="0" w:after="0" w:line="240" w:lineRule="auto"/>
        <w:rPr>
          <w:rFonts w:cstheme="minorHAnsi"/>
          <w:sz w:val="20"/>
          <w:szCs w:val="20"/>
        </w:rPr>
      </w:pPr>
    </w:p>
    <w:p w14:paraId="1976888E" w14:textId="163B5C29" w:rsidR="00C759F9" w:rsidRPr="000442DC" w:rsidRDefault="00C759F9" w:rsidP="000442DC">
      <w:pPr>
        <w:pStyle w:val="BodyText"/>
        <w:spacing w:before="0" w:after="0" w:line="240" w:lineRule="auto"/>
        <w:rPr>
          <w:rFonts w:cstheme="minorHAnsi"/>
          <w:sz w:val="20"/>
          <w:szCs w:val="20"/>
        </w:rPr>
      </w:pPr>
      <w:r w:rsidRPr="004A06E4">
        <w:rPr>
          <w:rFonts w:cstheme="minorHAnsi"/>
          <w:b/>
          <w:bCs/>
          <w:i/>
          <w:iCs/>
          <w:sz w:val="20"/>
          <w:szCs w:val="20"/>
        </w:rPr>
        <w:t>Extent of native vegetation</w:t>
      </w:r>
      <w:r w:rsidRPr="000442DC">
        <w:rPr>
          <w:rFonts w:cstheme="minorHAnsi"/>
          <w:sz w:val="20"/>
          <w:szCs w:val="20"/>
        </w:rPr>
        <w:t xml:space="preserve"> – The area of land covered by a patch and/or a scattered tree, measured in hectares</w:t>
      </w:r>
      <w:r w:rsidR="008B06DF" w:rsidRPr="000442DC">
        <w:rPr>
          <w:rFonts w:cstheme="minorHAnsi"/>
          <w:sz w:val="20"/>
          <w:szCs w:val="20"/>
        </w:rPr>
        <w:t>.</w:t>
      </w:r>
    </w:p>
    <w:p w14:paraId="7669984C" w14:textId="77777777" w:rsidR="008B06DF" w:rsidRPr="000442DC" w:rsidRDefault="008B06DF" w:rsidP="000442DC">
      <w:pPr>
        <w:pStyle w:val="BodyText"/>
        <w:spacing w:before="0" w:after="0" w:line="240" w:lineRule="auto"/>
        <w:rPr>
          <w:rFonts w:cstheme="minorHAnsi"/>
          <w:sz w:val="20"/>
          <w:szCs w:val="20"/>
        </w:rPr>
      </w:pPr>
    </w:p>
    <w:p w14:paraId="73616A1A" w14:textId="6CF4623C" w:rsidR="00C759F9" w:rsidRPr="000442DC" w:rsidRDefault="00C759F9" w:rsidP="000442DC">
      <w:pPr>
        <w:pStyle w:val="BodyText"/>
        <w:spacing w:before="0" w:after="0" w:line="240" w:lineRule="auto"/>
        <w:rPr>
          <w:rFonts w:cstheme="minorHAnsi"/>
          <w:sz w:val="20"/>
          <w:szCs w:val="20"/>
        </w:rPr>
      </w:pPr>
      <w:r w:rsidRPr="004A06E4">
        <w:rPr>
          <w:rFonts w:cstheme="minorHAnsi"/>
          <w:b/>
          <w:bCs/>
          <w:i/>
          <w:iCs/>
          <w:sz w:val="20"/>
          <w:szCs w:val="20"/>
        </w:rPr>
        <w:t>General offset</w:t>
      </w:r>
      <w:r w:rsidRPr="000442DC">
        <w:rPr>
          <w:rFonts w:cstheme="minorHAnsi"/>
          <w:sz w:val="20"/>
          <w:szCs w:val="20"/>
        </w:rPr>
        <w:t xml:space="preserve"> – An offset requirement specified in general habitat units to compensate for the biodiversity loss from native vegetation removal.</w:t>
      </w:r>
    </w:p>
    <w:p w14:paraId="65116C61" w14:textId="77777777" w:rsidR="008B06DF" w:rsidRPr="000442DC" w:rsidRDefault="008B06DF" w:rsidP="000442DC">
      <w:pPr>
        <w:pStyle w:val="BodyText"/>
        <w:spacing w:before="0" w:after="0" w:line="240" w:lineRule="auto"/>
        <w:rPr>
          <w:rFonts w:cstheme="minorHAnsi"/>
          <w:sz w:val="20"/>
          <w:szCs w:val="20"/>
        </w:rPr>
      </w:pPr>
    </w:p>
    <w:p w14:paraId="7B306253" w14:textId="4C04893B" w:rsidR="00C759F9" w:rsidRPr="000442DC" w:rsidRDefault="00C759F9" w:rsidP="000442DC">
      <w:pPr>
        <w:pStyle w:val="BodyText"/>
        <w:spacing w:before="0" w:after="0" w:line="240" w:lineRule="auto"/>
        <w:rPr>
          <w:rFonts w:cstheme="minorHAnsi"/>
          <w:sz w:val="20"/>
          <w:szCs w:val="20"/>
        </w:rPr>
      </w:pPr>
      <w:r w:rsidRPr="004A06E4">
        <w:rPr>
          <w:rFonts w:cstheme="minorHAnsi"/>
          <w:b/>
          <w:bCs/>
          <w:i/>
          <w:iCs/>
          <w:sz w:val="20"/>
          <w:szCs w:val="20"/>
        </w:rPr>
        <w:t>Native vegetation</w:t>
      </w:r>
      <w:r w:rsidRPr="000442DC">
        <w:rPr>
          <w:rFonts w:cstheme="minorHAnsi"/>
          <w:i/>
          <w:iCs/>
          <w:sz w:val="20"/>
          <w:szCs w:val="20"/>
        </w:rPr>
        <w:t xml:space="preserve"> </w:t>
      </w:r>
      <w:r w:rsidRPr="000442DC">
        <w:rPr>
          <w:rFonts w:cstheme="minorHAnsi"/>
          <w:sz w:val="20"/>
          <w:szCs w:val="20"/>
        </w:rPr>
        <w:t xml:space="preserve">– Native vegetation is defined in Clause 72 of the Victoria Planning Provisions and all local planning schemes as ‘plants that are indigenous to Victoria, including trees, shrubs, </w:t>
      </w:r>
      <w:proofErr w:type="gramStart"/>
      <w:r w:rsidRPr="000442DC">
        <w:rPr>
          <w:rFonts w:cstheme="minorHAnsi"/>
          <w:sz w:val="20"/>
          <w:szCs w:val="20"/>
        </w:rPr>
        <w:t>herbs</w:t>
      </w:r>
      <w:proofErr w:type="gramEnd"/>
      <w:r w:rsidRPr="000442DC">
        <w:rPr>
          <w:rFonts w:cstheme="minorHAnsi"/>
          <w:sz w:val="20"/>
          <w:szCs w:val="20"/>
        </w:rPr>
        <w:t xml:space="preserve"> and grasses</w:t>
      </w:r>
    </w:p>
    <w:p w14:paraId="54C77E44" w14:textId="77777777" w:rsidR="008B06DF" w:rsidRPr="000442DC" w:rsidRDefault="008B06DF" w:rsidP="000442DC">
      <w:pPr>
        <w:pStyle w:val="BodyText"/>
        <w:spacing w:before="0" w:after="0" w:line="240" w:lineRule="auto"/>
        <w:rPr>
          <w:rFonts w:cstheme="minorHAnsi"/>
          <w:sz w:val="20"/>
          <w:szCs w:val="20"/>
        </w:rPr>
      </w:pPr>
    </w:p>
    <w:p w14:paraId="0A39062A" w14:textId="09AFC5A3" w:rsidR="00C759F9" w:rsidRPr="000442DC" w:rsidRDefault="00C759F9" w:rsidP="000442DC">
      <w:pPr>
        <w:pStyle w:val="BodyText"/>
        <w:spacing w:before="0" w:after="0" w:line="240" w:lineRule="auto"/>
        <w:rPr>
          <w:rFonts w:cstheme="minorHAnsi"/>
          <w:sz w:val="20"/>
          <w:szCs w:val="20"/>
        </w:rPr>
      </w:pPr>
      <w:r w:rsidRPr="004A06E4">
        <w:rPr>
          <w:rFonts w:cstheme="minorHAnsi"/>
          <w:b/>
          <w:bCs/>
          <w:i/>
          <w:iCs/>
          <w:sz w:val="20"/>
          <w:szCs w:val="20"/>
        </w:rPr>
        <w:t>Planning permit</w:t>
      </w:r>
      <w:r w:rsidRPr="000442DC">
        <w:rPr>
          <w:rFonts w:cstheme="minorHAnsi"/>
          <w:sz w:val="20"/>
          <w:szCs w:val="20"/>
        </w:rPr>
        <w:t xml:space="preserve"> </w:t>
      </w:r>
      <w:r w:rsidR="00AB1C16" w:rsidRPr="000442DC">
        <w:rPr>
          <w:rFonts w:cstheme="minorHAnsi"/>
          <w:sz w:val="20"/>
          <w:szCs w:val="20"/>
        </w:rPr>
        <w:t>–</w:t>
      </w:r>
      <w:r w:rsidRPr="000442DC">
        <w:rPr>
          <w:rFonts w:cstheme="minorHAnsi"/>
          <w:sz w:val="20"/>
          <w:szCs w:val="20"/>
        </w:rPr>
        <w:t xml:space="preserve"> A planning permit is a legal document that gives permission for a use, </w:t>
      </w:r>
      <w:proofErr w:type="gramStart"/>
      <w:r w:rsidRPr="000442DC">
        <w:rPr>
          <w:rFonts w:cstheme="minorHAnsi"/>
          <w:sz w:val="20"/>
          <w:szCs w:val="20"/>
        </w:rPr>
        <w:t>development</w:t>
      </w:r>
      <w:proofErr w:type="gramEnd"/>
      <w:r w:rsidRPr="000442DC">
        <w:rPr>
          <w:rFonts w:cstheme="minorHAnsi"/>
          <w:sz w:val="20"/>
          <w:szCs w:val="20"/>
        </w:rPr>
        <w:t xml:space="preserve"> or subdivision on a piece of land. </w:t>
      </w:r>
    </w:p>
    <w:p w14:paraId="3AFCFB24" w14:textId="77777777" w:rsidR="008B06DF" w:rsidRPr="000442DC" w:rsidRDefault="008B06DF" w:rsidP="000442DC">
      <w:pPr>
        <w:pStyle w:val="BodyText"/>
        <w:spacing w:before="0" w:after="0" w:line="240" w:lineRule="auto"/>
        <w:rPr>
          <w:rFonts w:cstheme="minorHAnsi"/>
          <w:sz w:val="20"/>
          <w:szCs w:val="20"/>
        </w:rPr>
      </w:pPr>
    </w:p>
    <w:p w14:paraId="48AE1E0C" w14:textId="0443E035" w:rsidR="00C759F9" w:rsidRPr="004A06E4" w:rsidRDefault="00C759F9" w:rsidP="000442DC">
      <w:pPr>
        <w:pStyle w:val="BodyText"/>
        <w:spacing w:before="0" w:after="0" w:line="240" w:lineRule="auto"/>
        <w:rPr>
          <w:rFonts w:cstheme="minorHAnsi"/>
          <w:sz w:val="20"/>
          <w:szCs w:val="20"/>
        </w:rPr>
      </w:pPr>
      <w:r w:rsidRPr="004A06E4">
        <w:rPr>
          <w:rFonts w:cstheme="minorHAnsi"/>
          <w:b/>
          <w:bCs/>
          <w:i/>
          <w:iCs/>
          <w:sz w:val="20"/>
          <w:szCs w:val="20"/>
        </w:rPr>
        <w:t>Species offset</w:t>
      </w:r>
      <w:r w:rsidRPr="004A06E4">
        <w:rPr>
          <w:rFonts w:cstheme="minorHAnsi"/>
          <w:sz w:val="20"/>
          <w:szCs w:val="20"/>
        </w:rPr>
        <w:t xml:space="preserve"> – An offset requirement specified in species habitat units to compensate for the impact on a rare or threatened species habitat from native vegetation removal.</w:t>
      </w:r>
    </w:p>
    <w:p w14:paraId="61A2105B" w14:textId="6645E65D" w:rsidR="008B06DF" w:rsidRPr="004A06E4" w:rsidRDefault="008B06DF" w:rsidP="000442DC">
      <w:pPr>
        <w:pStyle w:val="BodyText"/>
        <w:spacing w:before="0" w:after="0" w:line="240" w:lineRule="auto"/>
        <w:rPr>
          <w:rFonts w:cstheme="minorHAnsi"/>
          <w:sz w:val="20"/>
          <w:szCs w:val="20"/>
        </w:rPr>
      </w:pPr>
    </w:p>
    <w:p w14:paraId="22A35CCC" w14:textId="77777777" w:rsidR="004A06E4" w:rsidRPr="004A06E4" w:rsidRDefault="004A06E4" w:rsidP="000442DC">
      <w:pPr>
        <w:pStyle w:val="BodyText"/>
        <w:spacing w:before="0" w:after="0" w:line="240" w:lineRule="auto"/>
        <w:rPr>
          <w:rFonts w:cstheme="minorHAnsi"/>
          <w:sz w:val="20"/>
          <w:szCs w:val="20"/>
        </w:rPr>
      </w:pPr>
    </w:p>
    <w:p w14:paraId="1BF765EA" w14:textId="62F8109C" w:rsidR="00C759F9" w:rsidRPr="004A06E4" w:rsidRDefault="00C759F9" w:rsidP="000442DC">
      <w:pPr>
        <w:pStyle w:val="BodyText"/>
        <w:spacing w:before="0" w:after="0" w:line="240" w:lineRule="auto"/>
        <w:rPr>
          <w:rFonts w:cstheme="minorHAnsi"/>
          <w:b/>
          <w:bCs/>
          <w:i/>
          <w:iCs/>
          <w:color w:val="003263" w:themeColor="text2"/>
          <w:sz w:val="22"/>
          <w:szCs w:val="22"/>
        </w:rPr>
      </w:pPr>
      <w:r w:rsidRPr="004A06E4">
        <w:rPr>
          <w:rFonts w:cstheme="minorHAnsi"/>
          <w:b/>
          <w:bCs/>
          <w:i/>
          <w:iCs/>
          <w:color w:val="003263" w:themeColor="text2"/>
          <w:sz w:val="22"/>
          <w:szCs w:val="22"/>
        </w:rPr>
        <w:t>References</w:t>
      </w:r>
    </w:p>
    <w:p w14:paraId="2002C834" w14:textId="77777777" w:rsidR="008B06DF" w:rsidRPr="004A06E4" w:rsidRDefault="008B06DF" w:rsidP="000442DC">
      <w:pPr>
        <w:pStyle w:val="BodyText"/>
        <w:spacing w:before="0" w:after="0" w:line="240" w:lineRule="auto"/>
        <w:rPr>
          <w:rFonts w:cstheme="minorHAnsi"/>
          <w:sz w:val="20"/>
          <w:szCs w:val="20"/>
        </w:rPr>
      </w:pPr>
    </w:p>
    <w:p w14:paraId="46408F6B" w14:textId="77777777" w:rsidR="008B06DF" w:rsidRPr="004A06E4" w:rsidRDefault="00C759F9" w:rsidP="000442DC">
      <w:pPr>
        <w:pStyle w:val="BodyText"/>
        <w:spacing w:before="0" w:after="0" w:line="240" w:lineRule="auto"/>
        <w:rPr>
          <w:rFonts w:cstheme="minorHAnsi"/>
          <w:sz w:val="20"/>
          <w:szCs w:val="20"/>
        </w:rPr>
      </w:pPr>
      <w:r w:rsidRPr="004A06E4">
        <w:rPr>
          <w:rFonts w:cstheme="minorHAnsi"/>
          <w:sz w:val="20"/>
          <w:szCs w:val="20"/>
        </w:rPr>
        <w:t>City of Greater Geelong</w:t>
      </w:r>
      <w:r w:rsidR="008B06DF" w:rsidRPr="004A06E4">
        <w:rPr>
          <w:rFonts w:cstheme="minorHAnsi"/>
          <w:sz w:val="20"/>
          <w:szCs w:val="20"/>
        </w:rPr>
        <w:t xml:space="preserve"> –</w:t>
      </w:r>
      <w:r w:rsidRPr="004A06E4">
        <w:rPr>
          <w:rFonts w:cstheme="minorHAnsi"/>
          <w:sz w:val="20"/>
          <w:szCs w:val="20"/>
        </w:rPr>
        <w:t xml:space="preserve"> Planning Permits </w:t>
      </w:r>
    </w:p>
    <w:p w14:paraId="7D0D9387" w14:textId="707103AD" w:rsidR="00C759F9" w:rsidRPr="004A06E4" w:rsidRDefault="00DB4A88" w:rsidP="000442DC">
      <w:pPr>
        <w:pStyle w:val="BodyText"/>
        <w:spacing w:before="0" w:after="0" w:line="240" w:lineRule="auto"/>
        <w:rPr>
          <w:rFonts w:cstheme="minorHAnsi"/>
          <w:color w:val="8ACED7" w:themeColor="accent1"/>
          <w:sz w:val="20"/>
          <w:szCs w:val="20"/>
        </w:rPr>
      </w:pPr>
      <w:hyperlink r:id="rId15" w:history="1">
        <w:r w:rsidR="008B06DF" w:rsidRPr="004A06E4">
          <w:rPr>
            <w:rStyle w:val="Hyperlink"/>
            <w:rFonts w:cstheme="minorHAnsi"/>
            <w:color w:val="8ACED7" w:themeColor="accent1"/>
            <w:sz w:val="20"/>
            <w:szCs w:val="20"/>
          </w:rPr>
          <w:t>https://www.geelongaustralia.com.au/planning/permit/default.aspx</w:t>
        </w:r>
      </w:hyperlink>
      <w:r w:rsidR="004A06E4" w:rsidRPr="004A06E4">
        <w:rPr>
          <w:rStyle w:val="Hyperlink"/>
          <w:rFonts w:cstheme="minorHAnsi"/>
          <w:color w:val="8ACED7" w:themeColor="accent1"/>
          <w:sz w:val="20"/>
          <w:szCs w:val="20"/>
        </w:rPr>
        <w:t xml:space="preserve"> </w:t>
      </w:r>
      <w:r w:rsidR="008B06DF" w:rsidRPr="004A06E4">
        <w:rPr>
          <w:rFonts w:cstheme="minorHAnsi"/>
          <w:color w:val="8ACED7" w:themeColor="accent1"/>
          <w:sz w:val="20"/>
          <w:szCs w:val="20"/>
        </w:rPr>
        <w:t xml:space="preserve"> </w:t>
      </w:r>
      <w:r w:rsidR="00C759F9" w:rsidRPr="004A06E4">
        <w:rPr>
          <w:rFonts w:cstheme="minorHAnsi"/>
          <w:color w:val="8ACED7" w:themeColor="accent1"/>
          <w:sz w:val="20"/>
          <w:szCs w:val="20"/>
        </w:rPr>
        <w:t xml:space="preserve"> </w:t>
      </w:r>
    </w:p>
    <w:p w14:paraId="2CC9514D" w14:textId="77777777" w:rsidR="008B06DF" w:rsidRPr="004A06E4" w:rsidRDefault="008B06DF" w:rsidP="000442DC">
      <w:pPr>
        <w:pStyle w:val="BodyText"/>
        <w:spacing w:before="0" w:after="0" w:line="240" w:lineRule="auto"/>
        <w:rPr>
          <w:rFonts w:cstheme="minorHAnsi"/>
          <w:sz w:val="20"/>
          <w:szCs w:val="20"/>
        </w:rPr>
      </w:pPr>
    </w:p>
    <w:p w14:paraId="5C756E13" w14:textId="77777777" w:rsidR="004A06E4" w:rsidRPr="004A06E4" w:rsidRDefault="00C759F9" w:rsidP="000442DC">
      <w:pPr>
        <w:pStyle w:val="BodyText"/>
        <w:spacing w:before="0" w:after="0" w:line="240" w:lineRule="auto"/>
        <w:rPr>
          <w:rFonts w:cstheme="minorHAnsi"/>
          <w:sz w:val="20"/>
          <w:szCs w:val="20"/>
        </w:rPr>
      </w:pPr>
      <w:r w:rsidRPr="004A06E4">
        <w:rPr>
          <w:rFonts w:cstheme="minorHAnsi"/>
          <w:sz w:val="20"/>
          <w:szCs w:val="20"/>
        </w:rPr>
        <w:t>D</w:t>
      </w:r>
      <w:r w:rsidR="004A06E4" w:rsidRPr="004A06E4">
        <w:rPr>
          <w:rFonts w:cstheme="minorHAnsi"/>
          <w:sz w:val="20"/>
          <w:szCs w:val="20"/>
        </w:rPr>
        <w:t xml:space="preserve">CCEEW </w:t>
      </w:r>
      <w:r w:rsidR="008B06DF" w:rsidRPr="004A06E4">
        <w:rPr>
          <w:rFonts w:cstheme="minorHAnsi"/>
          <w:sz w:val="20"/>
          <w:szCs w:val="20"/>
        </w:rPr>
        <w:t xml:space="preserve">– </w:t>
      </w:r>
      <w:r w:rsidRPr="004A06E4">
        <w:rPr>
          <w:rFonts w:cstheme="minorHAnsi"/>
          <w:sz w:val="20"/>
          <w:szCs w:val="20"/>
        </w:rPr>
        <w:t xml:space="preserve">What does the EPBC Act protect? </w:t>
      </w:r>
    </w:p>
    <w:p w14:paraId="480B361A" w14:textId="6380D1BB" w:rsidR="008B06DF" w:rsidRPr="004A06E4" w:rsidRDefault="004A06E4" w:rsidP="000442DC">
      <w:pPr>
        <w:pStyle w:val="BodyText"/>
        <w:spacing w:before="0" w:after="0" w:line="240" w:lineRule="auto"/>
        <w:rPr>
          <w:rFonts w:cstheme="minorHAnsi"/>
          <w:color w:val="8ACED7" w:themeColor="accent1"/>
          <w:sz w:val="20"/>
          <w:szCs w:val="20"/>
        </w:rPr>
      </w:pPr>
      <w:hyperlink r:id="rId16" w:history="1">
        <w:r w:rsidRPr="004A06E4">
          <w:rPr>
            <w:rStyle w:val="Hyperlink"/>
            <w:rFonts w:cstheme="minorHAnsi"/>
            <w:color w:val="8ACED7" w:themeColor="accent1"/>
            <w:sz w:val="20"/>
            <w:szCs w:val="20"/>
          </w:rPr>
          <w:t>https://www.dcceew.gov.au/environment/epbc/our-role/what-is-protected</w:t>
        </w:r>
      </w:hyperlink>
    </w:p>
    <w:p w14:paraId="16A48A7B" w14:textId="77777777" w:rsidR="004A06E4" w:rsidRPr="004A06E4" w:rsidRDefault="004A06E4" w:rsidP="000442DC">
      <w:pPr>
        <w:pStyle w:val="BodyText"/>
        <w:spacing w:before="0" w:after="0" w:line="240" w:lineRule="auto"/>
        <w:rPr>
          <w:rFonts w:cstheme="minorHAnsi"/>
          <w:sz w:val="20"/>
          <w:szCs w:val="20"/>
        </w:rPr>
      </w:pPr>
    </w:p>
    <w:p w14:paraId="1C0127A7" w14:textId="282A0D82" w:rsidR="008B06DF" w:rsidRPr="004A06E4" w:rsidRDefault="004A06E4" w:rsidP="000442DC">
      <w:pPr>
        <w:pStyle w:val="BodyText"/>
        <w:spacing w:before="0" w:after="0" w:line="240" w:lineRule="auto"/>
        <w:rPr>
          <w:rFonts w:cstheme="minorHAnsi"/>
          <w:sz w:val="20"/>
          <w:szCs w:val="20"/>
        </w:rPr>
      </w:pPr>
      <w:r w:rsidRPr="004A06E4">
        <w:rPr>
          <w:rFonts w:cstheme="minorHAnsi"/>
          <w:sz w:val="20"/>
          <w:szCs w:val="20"/>
        </w:rPr>
        <w:t>DEECA</w:t>
      </w:r>
      <w:r w:rsidR="00C759F9" w:rsidRPr="004A06E4">
        <w:rPr>
          <w:rFonts w:cstheme="minorHAnsi"/>
          <w:sz w:val="20"/>
          <w:szCs w:val="20"/>
        </w:rPr>
        <w:t xml:space="preserve"> </w:t>
      </w:r>
      <w:r w:rsidR="008B06DF" w:rsidRPr="004A06E4">
        <w:rPr>
          <w:rFonts w:cstheme="minorHAnsi"/>
          <w:sz w:val="20"/>
          <w:szCs w:val="20"/>
        </w:rPr>
        <w:t xml:space="preserve">– </w:t>
      </w:r>
      <w:r w:rsidR="00C759F9" w:rsidRPr="004A06E4">
        <w:rPr>
          <w:rFonts w:cstheme="minorHAnsi"/>
          <w:sz w:val="20"/>
          <w:szCs w:val="20"/>
        </w:rPr>
        <w:t xml:space="preserve">Guidelines for the removal, destruction or lopping of native vegetation </w:t>
      </w:r>
      <w:r w:rsidRPr="004A06E4">
        <w:rPr>
          <w:rFonts w:cstheme="minorHAnsi"/>
          <w:sz w:val="20"/>
          <w:szCs w:val="20"/>
        </w:rPr>
        <w:t>(</w:t>
      </w:r>
      <w:r w:rsidR="00C759F9" w:rsidRPr="004A06E4">
        <w:rPr>
          <w:rFonts w:cstheme="minorHAnsi"/>
          <w:sz w:val="20"/>
          <w:szCs w:val="20"/>
        </w:rPr>
        <w:t>2017</w:t>
      </w:r>
      <w:r w:rsidRPr="004A06E4">
        <w:rPr>
          <w:rFonts w:cstheme="minorHAnsi"/>
          <w:sz w:val="20"/>
          <w:szCs w:val="20"/>
        </w:rPr>
        <w:t>)</w:t>
      </w:r>
      <w:r w:rsidR="00C759F9" w:rsidRPr="004A06E4">
        <w:rPr>
          <w:rFonts w:cstheme="minorHAnsi"/>
          <w:sz w:val="20"/>
          <w:szCs w:val="20"/>
        </w:rPr>
        <w:t xml:space="preserve">  </w:t>
      </w:r>
    </w:p>
    <w:p w14:paraId="44F23577" w14:textId="4024AE08" w:rsidR="00C759F9" w:rsidRPr="004A06E4" w:rsidRDefault="00DB4A88" w:rsidP="000442DC">
      <w:pPr>
        <w:pStyle w:val="BodyText"/>
        <w:spacing w:before="0" w:after="0" w:line="240" w:lineRule="auto"/>
        <w:rPr>
          <w:rFonts w:cstheme="minorHAnsi"/>
          <w:color w:val="8ACED7" w:themeColor="accent1"/>
          <w:sz w:val="20"/>
          <w:szCs w:val="20"/>
        </w:rPr>
      </w:pPr>
      <w:hyperlink r:id="rId17" w:history="1">
        <w:r w:rsidR="008B06DF" w:rsidRPr="004A06E4">
          <w:rPr>
            <w:rStyle w:val="Hyperlink"/>
            <w:rFonts w:cstheme="minorHAnsi"/>
            <w:color w:val="8ACED7" w:themeColor="accent1"/>
            <w:sz w:val="20"/>
            <w:szCs w:val="20"/>
          </w:rPr>
          <w:t>https://www.environment.vic.gov.au/__data/assets/pdf_file/0021/91146/Guidelines-for-the-removal,-destruction-or-lopping-of-native-vegetation,-20</w:t>
        </w:r>
        <w:r w:rsidR="008B06DF" w:rsidRPr="004A06E4">
          <w:rPr>
            <w:rStyle w:val="Hyperlink"/>
            <w:rFonts w:cstheme="minorHAnsi"/>
            <w:color w:val="8ACED7" w:themeColor="accent1"/>
            <w:sz w:val="20"/>
            <w:szCs w:val="20"/>
          </w:rPr>
          <w:t>1</w:t>
        </w:r>
        <w:r w:rsidR="008B06DF" w:rsidRPr="004A06E4">
          <w:rPr>
            <w:rStyle w:val="Hyperlink"/>
            <w:rFonts w:cstheme="minorHAnsi"/>
            <w:color w:val="8ACED7" w:themeColor="accent1"/>
            <w:sz w:val="20"/>
            <w:szCs w:val="20"/>
          </w:rPr>
          <w:t>7.pdf</w:t>
        </w:r>
      </w:hyperlink>
      <w:r w:rsidR="008B06DF" w:rsidRPr="004A06E4">
        <w:rPr>
          <w:rFonts w:cstheme="minorHAnsi"/>
          <w:color w:val="8ACED7" w:themeColor="accent1"/>
          <w:sz w:val="20"/>
          <w:szCs w:val="20"/>
        </w:rPr>
        <w:t xml:space="preserve"> </w:t>
      </w:r>
      <w:r w:rsidR="00C759F9" w:rsidRPr="004A06E4">
        <w:rPr>
          <w:rFonts w:cstheme="minorHAnsi"/>
          <w:color w:val="8ACED7" w:themeColor="accent1"/>
          <w:sz w:val="20"/>
          <w:szCs w:val="20"/>
        </w:rPr>
        <w:t xml:space="preserve"> </w:t>
      </w:r>
    </w:p>
    <w:p w14:paraId="0DD0CF98" w14:textId="77777777" w:rsidR="008B06DF" w:rsidRPr="004A06E4" w:rsidRDefault="008B06DF" w:rsidP="000442DC">
      <w:pPr>
        <w:pStyle w:val="BodyText"/>
        <w:spacing w:before="0" w:after="0" w:line="240" w:lineRule="auto"/>
        <w:rPr>
          <w:rFonts w:cstheme="minorHAnsi"/>
          <w:sz w:val="20"/>
          <w:szCs w:val="20"/>
        </w:rPr>
      </w:pPr>
    </w:p>
    <w:p w14:paraId="05CB3979" w14:textId="77777777" w:rsidR="004A06E4" w:rsidRPr="004A06E4" w:rsidRDefault="004A06E4" w:rsidP="000442DC">
      <w:pPr>
        <w:pStyle w:val="BodyText"/>
        <w:spacing w:before="0" w:after="0" w:line="240" w:lineRule="auto"/>
        <w:rPr>
          <w:rFonts w:cstheme="minorHAnsi"/>
          <w:sz w:val="20"/>
          <w:szCs w:val="20"/>
        </w:rPr>
      </w:pPr>
      <w:r w:rsidRPr="004A06E4">
        <w:rPr>
          <w:rFonts w:cstheme="minorHAnsi"/>
          <w:sz w:val="20"/>
          <w:szCs w:val="20"/>
        </w:rPr>
        <w:t>DEECA</w:t>
      </w:r>
      <w:r w:rsidR="008B06DF" w:rsidRPr="004A06E4">
        <w:rPr>
          <w:rFonts w:cstheme="minorHAnsi"/>
          <w:sz w:val="20"/>
          <w:szCs w:val="20"/>
        </w:rPr>
        <w:t xml:space="preserve"> – </w:t>
      </w:r>
      <w:r w:rsidR="00C759F9" w:rsidRPr="004A06E4">
        <w:rPr>
          <w:rFonts w:cstheme="minorHAnsi"/>
          <w:sz w:val="20"/>
          <w:szCs w:val="20"/>
        </w:rPr>
        <w:t>Time-stamping native vegetation data</w:t>
      </w:r>
      <w:r w:rsidR="008B06DF" w:rsidRPr="004A06E4">
        <w:rPr>
          <w:rFonts w:cstheme="minorHAnsi"/>
          <w:sz w:val="20"/>
          <w:szCs w:val="20"/>
        </w:rPr>
        <w:t xml:space="preserve"> </w:t>
      </w:r>
      <w:r w:rsidRPr="004A06E4">
        <w:rPr>
          <w:rFonts w:cstheme="minorHAnsi"/>
          <w:sz w:val="20"/>
          <w:szCs w:val="20"/>
        </w:rPr>
        <w:t>(</w:t>
      </w:r>
      <w:r w:rsidR="008B06DF" w:rsidRPr="004A06E4">
        <w:rPr>
          <w:rFonts w:cstheme="minorHAnsi"/>
          <w:sz w:val="20"/>
          <w:szCs w:val="20"/>
        </w:rPr>
        <w:t>2011</w:t>
      </w:r>
      <w:r w:rsidRPr="004A06E4">
        <w:rPr>
          <w:rFonts w:cstheme="minorHAnsi"/>
          <w:sz w:val="20"/>
          <w:szCs w:val="20"/>
        </w:rPr>
        <w:t>)</w:t>
      </w:r>
      <w:r w:rsidR="00C759F9" w:rsidRPr="004A06E4">
        <w:rPr>
          <w:rFonts w:cstheme="minorHAnsi"/>
          <w:sz w:val="20"/>
          <w:szCs w:val="20"/>
        </w:rPr>
        <w:t xml:space="preserve"> </w:t>
      </w:r>
    </w:p>
    <w:p w14:paraId="6D484FAB" w14:textId="4051CF93" w:rsidR="00C759F9" w:rsidRPr="004A06E4" w:rsidRDefault="004A06E4" w:rsidP="000442DC">
      <w:pPr>
        <w:pStyle w:val="BodyText"/>
        <w:spacing w:before="0" w:after="0" w:line="240" w:lineRule="auto"/>
        <w:rPr>
          <w:rFonts w:cstheme="minorHAnsi"/>
          <w:color w:val="8ACED7" w:themeColor="accent1"/>
          <w:sz w:val="20"/>
          <w:szCs w:val="20"/>
        </w:rPr>
      </w:pPr>
      <w:hyperlink r:id="rId18" w:history="1">
        <w:r w:rsidRPr="004A06E4">
          <w:rPr>
            <w:rStyle w:val="Hyperlink"/>
            <w:rFonts w:cstheme="minorHAnsi"/>
            <w:color w:val="8ACED7" w:themeColor="accent1"/>
            <w:sz w:val="20"/>
            <w:szCs w:val="20"/>
          </w:rPr>
          <w:t>https://www.vgls.vic.gov.au/client/en_AU/sear</w:t>
        </w:r>
        <w:r w:rsidRPr="004A06E4">
          <w:rPr>
            <w:rStyle w:val="Hyperlink"/>
            <w:rFonts w:cstheme="minorHAnsi"/>
            <w:color w:val="8ACED7" w:themeColor="accent1"/>
            <w:sz w:val="20"/>
            <w:szCs w:val="20"/>
          </w:rPr>
          <w:t>c</w:t>
        </w:r>
        <w:r w:rsidRPr="004A06E4">
          <w:rPr>
            <w:rStyle w:val="Hyperlink"/>
            <w:rFonts w:cstheme="minorHAnsi"/>
            <w:color w:val="8ACED7" w:themeColor="accent1"/>
            <w:sz w:val="20"/>
            <w:szCs w:val="20"/>
          </w:rPr>
          <w:t>h/asset/1147282/</w:t>
        </w:r>
      </w:hyperlink>
      <w:r w:rsidR="008B06DF" w:rsidRPr="004A06E4">
        <w:rPr>
          <w:rFonts w:cstheme="minorHAnsi"/>
          <w:color w:val="8ACED7" w:themeColor="accent1"/>
          <w:sz w:val="20"/>
          <w:szCs w:val="20"/>
        </w:rPr>
        <w:t xml:space="preserve"> </w:t>
      </w:r>
    </w:p>
    <w:sectPr w:rsidR="00C759F9" w:rsidRPr="004A06E4" w:rsidSect="00861F48">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22" w:right="567"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661E" w14:textId="77777777" w:rsidR="00C759F9" w:rsidRDefault="00C759F9" w:rsidP="00CE604F">
      <w:r>
        <w:separator/>
      </w:r>
    </w:p>
    <w:p w14:paraId="74453B5A" w14:textId="77777777" w:rsidR="00C759F9" w:rsidRDefault="00C759F9" w:rsidP="00CE604F"/>
    <w:p w14:paraId="1F02DD37" w14:textId="77777777" w:rsidR="00C759F9" w:rsidRDefault="00C759F9" w:rsidP="00CE604F"/>
    <w:p w14:paraId="4BED41A6" w14:textId="77777777" w:rsidR="00C759F9" w:rsidRDefault="00C759F9" w:rsidP="00CE604F"/>
  </w:endnote>
  <w:endnote w:type="continuationSeparator" w:id="0">
    <w:p w14:paraId="57F2893D" w14:textId="77777777" w:rsidR="00C759F9" w:rsidRDefault="00C759F9" w:rsidP="00CE604F">
      <w:r>
        <w:continuationSeparator/>
      </w:r>
    </w:p>
    <w:p w14:paraId="0E87DB5B" w14:textId="77777777" w:rsidR="00C759F9" w:rsidRDefault="00C759F9" w:rsidP="00CE604F"/>
    <w:p w14:paraId="0CF6DEA5" w14:textId="77777777" w:rsidR="00C759F9" w:rsidRDefault="00C759F9" w:rsidP="00CE604F"/>
    <w:p w14:paraId="75C81656" w14:textId="77777777" w:rsidR="00C759F9" w:rsidRDefault="00C759F9"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 r:id="rId1" w:subsetted="1" w:fontKey="{ABA1CC07-E7A6-40C1-A7A6-A91D1B84295F}"/>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DAF5" w14:textId="77777777" w:rsidR="00C759F9" w:rsidRDefault="00C7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5531" w14:textId="6F38DA9E" w:rsidR="004D2DEE" w:rsidRDefault="008143BB" w:rsidP="008143BB">
    <w:pPr>
      <w:pStyle w:val="Footer"/>
      <w:jc w:val="center"/>
    </w:pPr>
    <w:r>
      <w:rPr>
        <w:noProof/>
      </w:rPr>
      <w:drawing>
        <wp:anchor distT="0" distB="0" distL="114300" distR="114300" simplePos="0" relativeHeight="251658240" behindDoc="1" locked="0" layoutInCell="1" allowOverlap="1" wp14:anchorId="0BA1F876" wp14:editId="5FC57A57">
          <wp:simplePos x="361950" y="9610725"/>
          <wp:positionH relativeFrom="page">
            <wp:align>left</wp:align>
          </wp:positionH>
          <wp:positionV relativeFrom="page">
            <wp:align>bottom</wp:align>
          </wp:positionV>
          <wp:extent cx="7553960" cy="666750"/>
          <wp:effectExtent l="0" t="0" r="0" b="0"/>
          <wp:wrapNone/>
          <wp:docPr id="6"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A88">
      <w:fldChar w:fldCharType="begin"/>
    </w:r>
    <w:r w:rsidR="00DB4A88">
      <w:instrText xml:space="preserve"> DOCPROPERTY TRIM-recNumber \* MERGEFORMAT </w:instrText>
    </w:r>
    <w:r w:rsidR="00DB4A88">
      <w:fldChar w:fldCharType="separate"/>
    </w:r>
    <w:r w:rsidR="00DB4A88">
      <w:t>Record Number</w:t>
    </w:r>
    <w:r w:rsidR="00DB4A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0DA2" w14:textId="77777777" w:rsidR="00C759F9" w:rsidRDefault="00C7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BD69" w14:textId="77777777" w:rsidR="00C759F9" w:rsidRDefault="00C759F9" w:rsidP="00CE604F">
      <w:r>
        <w:separator/>
      </w:r>
    </w:p>
    <w:p w14:paraId="042033F9" w14:textId="77777777" w:rsidR="00C759F9" w:rsidRDefault="00C759F9" w:rsidP="00CE604F"/>
    <w:p w14:paraId="62768E3A" w14:textId="77777777" w:rsidR="00C759F9" w:rsidRDefault="00C759F9" w:rsidP="00CE604F"/>
    <w:p w14:paraId="793B3ECD" w14:textId="77777777" w:rsidR="00C759F9" w:rsidRDefault="00C759F9" w:rsidP="00CE604F"/>
  </w:footnote>
  <w:footnote w:type="continuationSeparator" w:id="0">
    <w:p w14:paraId="27237344" w14:textId="77777777" w:rsidR="00C759F9" w:rsidRDefault="00C759F9" w:rsidP="00CE604F">
      <w:r>
        <w:continuationSeparator/>
      </w:r>
    </w:p>
    <w:p w14:paraId="1609C901" w14:textId="77777777" w:rsidR="00C759F9" w:rsidRDefault="00C759F9" w:rsidP="00CE604F"/>
    <w:p w14:paraId="1070E1EA" w14:textId="77777777" w:rsidR="00C759F9" w:rsidRDefault="00C759F9" w:rsidP="00CE604F"/>
    <w:p w14:paraId="55978A79" w14:textId="77777777" w:rsidR="00C759F9" w:rsidRDefault="00C759F9"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ECB2" w14:textId="77777777" w:rsidR="00C759F9" w:rsidRDefault="00C75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6F55" w14:textId="77777777" w:rsidR="00C759F9" w:rsidRDefault="00C75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8AAA" w14:textId="77777777" w:rsidR="00C759F9" w:rsidRDefault="00C7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F3120A"/>
    <w:multiLevelType w:val="hybridMultilevel"/>
    <w:tmpl w:val="7A822AE8"/>
    <w:lvl w:ilvl="0" w:tplc="CBFC04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1344"/>
    <w:multiLevelType w:val="hybridMultilevel"/>
    <w:tmpl w:val="B7FCA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F7046D3"/>
    <w:multiLevelType w:val="hybridMultilevel"/>
    <w:tmpl w:val="E8825E1E"/>
    <w:lvl w:ilvl="0" w:tplc="FB42C58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42C7E"/>
    <w:multiLevelType w:val="hybridMultilevel"/>
    <w:tmpl w:val="293C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186477198">
    <w:abstractNumId w:val="14"/>
  </w:num>
  <w:num w:numId="2" w16cid:durableId="1587302813">
    <w:abstractNumId w:val="11"/>
  </w:num>
  <w:num w:numId="3" w16cid:durableId="1027609224">
    <w:abstractNumId w:val="22"/>
  </w:num>
  <w:num w:numId="4" w16cid:durableId="1597443326">
    <w:abstractNumId w:val="15"/>
  </w:num>
  <w:num w:numId="5" w16cid:durableId="401680318">
    <w:abstractNumId w:val="10"/>
  </w:num>
  <w:num w:numId="6" w16cid:durableId="636224672">
    <w:abstractNumId w:val="19"/>
  </w:num>
  <w:num w:numId="7" w16cid:durableId="2036955944">
    <w:abstractNumId w:val="3"/>
  </w:num>
  <w:num w:numId="8" w16cid:durableId="1928732594">
    <w:abstractNumId w:val="9"/>
  </w:num>
  <w:num w:numId="9" w16cid:durableId="619191768">
    <w:abstractNumId w:val="8"/>
  </w:num>
  <w:num w:numId="10" w16cid:durableId="1171143824">
    <w:abstractNumId w:val="2"/>
  </w:num>
  <w:num w:numId="11" w16cid:durableId="788163470">
    <w:abstractNumId w:val="13"/>
  </w:num>
  <w:num w:numId="12" w16cid:durableId="603925146">
    <w:abstractNumId w:val="18"/>
  </w:num>
  <w:num w:numId="13" w16cid:durableId="795565938">
    <w:abstractNumId w:val="7"/>
  </w:num>
  <w:num w:numId="14" w16cid:durableId="1720737175">
    <w:abstractNumId w:val="6"/>
  </w:num>
  <w:num w:numId="15" w16cid:durableId="453214147">
    <w:abstractNumId w:val="9"/>
    <w:lvlOverride w:ilvl="0">
      <w:startOverride w:val="1"/>
    </w:lvlOverride>
  </w:num>
  <w:num w:numId="16" w16cid:durableId="59720714">
    <w:abstractNumId w:val="18"/>
  </w:num>
  <w:num w:numId="17" w16cid:durableId="820461472">
    <w:abstractNumId w:val="18"/>
  </w:num>
  <w:num w:numId="18" w16cid:durableId="1787962181">
    <w:abstractNumId w:val="18"/>
  </w:num>
  <w:num w:numId="19" w16cid:durableId="1147697551">
    <w:abstractNumId w:val="13"/>
  </w:num>
  <w:num w:numId="20" w16cid:durableId="1605188263">
    <w:abstractNumId w:val="13"/>
  </w:num>
  <w:num w:numId="21" w16cid:durableId="865826548">
    <w:abstractNumId w:val="13"/>
  </w:num>
  <w:num w:numId="22" w16cid:durableId="1640108136">
    <w:abstractNumId w:val="5"/>
  </w:num>
  <w:num w:numId="23" w16cid:durableId="203560377">
    <w:abstractNumId w:val="4"/>
  </w:num>
  <w:num w:numId="24" w16cid:durableId="1581136966">
    <w:abstractNumId w:val="1"/>
  </w:num>
  <w:num w:numId="25" w16cid:durableId="250164620">
    <w:abstractNumId w:val="0"/>
  </w:num>
  <w:num w:numId="26" w16cid:durableId="131483995">
    <w:abstractNumId w:val="12"/>
  </w:num>
  <w:num w:numId="27" w16cid:durableId="1641686182">
    <w:abstractNumId w:val="17"/>
  </w:num>
  <w:num w:numId="28" w16cid:durableId="1644043725">
    <w:abstractNumId w:val="20"/>
  </w:num>
  <w:num w:numId="29" w16cid:durableId="163321179">
    <w:abstractNumId w:val="21"/>
  </w:num>
  <w:num w:numId="30" w16cid:durableId="145228188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9"/>
    <w:rsid w:val="0000578C"/>
    <w:rsid w:val="00010362"/>
    <w:rsid w:val="00012493"/>
    <w:rsid w:val="00015395"/>
    <w:rsid w:val="00015489"/>
    <w:rsid w:val="00021629"/>
    <w:rsid w:val="000340A9"/>
    <w:rsid w:val="00035765"/>
    <w:rsid w:val="00035E23"/>
    <w:rsid w:val="00041675"/>
    <w:rsid w:val="000442DC"/>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52FE"/>
    <w:rsid w:val="000F71C6"/>
    <w:rsid w:val="00103137"/>
    <w:rsid w:val="00104560"/>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753A3"/>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0645"/>
    <w:rsid w:val="00206A5B"/>
    <w:rsid w:val="002108F8"/>
    <w:rsid w:val="00210D17"/>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5B0E"/>
    <w:rsid w:val="0027603E"/>
    <w:rsid w:val="00283B16"/>
    <w:rsid w:val="00284A44"/>
    <w:rsid w:val="002862A5"/>
    <w:rsid w:val="002877DD"/>
    <w:rsid w:val="002900A6"/>
    <w:rsid w:val="002914EA"/>
    <w:rsid w:val="002922E2"/>
    <w:rsid w:val="00294100"/>
    <w:rsid w:val="002A29EE"/>
    <w:rsid w:val="002A5BE4"/>
    <w:rsid w:val="002B3442"/>
    <w:rsid w:val="002C3604"/>
    <w:rsid w:val="002C3D86"/>
    <w:rsid w:val="002C720A"/>
    <w:rsid w:val="002D2753"/>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57C3"/>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6A5F"/>
    <w:rsid w:val="004735CE"/>
    <w:rsid w:val="0048346E"/>
    <w:rsid w:val="00484C6E"/>
    <w:rsid w:val="004853D9"/>
    <w:rsid w:val="0048747B"/>
    <w:rsid w:val="00487805"/>
    <w:rsid w:val="00490898"/>
    <w:rsid w:val="0049166C"/>
    <w:rsid w:val="0049315B"/>
    <w:rsid w:val="00494757"/>
    <w:rsid w:val="00495432"/>
    <w:rsid w:val="004A06E4"/>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608C0"/>
    <w:rsid w:val="00662EC6"/>
    <w:rsid w:val="0067249B"/>
    <w:rsid w:val="00676B87"/>
    <w:rsid w:val="00677EE0"/>
    <w:rsid w:val="00680DFB"/>
    <w:rsid w:val="0068456E"/>
    <w:rsid w:val="0068762B"/>
    <w:rsid w:val="00692792"/>
    <w:rsid w:val="006A0287"/>
    <w:rsid w:val="006A1C58"/>
    <w:rsid w:val="006A2BF7"/>
    <w:rsid w:val="006B5921"/>
    <w:rsid w:val="006B5B56"/>
    <w:rsid w:val="006C059A"/>
    <w:rsid w:val="006C596B"/>
    <w:rsid w:val="006D39B9"/>
    <w:rsid w:val="006E3168"/>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7673"/>
    <w:rsid w:val="007207EC"/>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F3"/>
    <w:rsid w:val="00861F48"/>
    <w:rsid w:val="00862661"/>
    <w:rsid w:val="00864767"/>
    <w:rsid w:val="0087344F"/>
    <w:rsid w:val="008832AA"/>
    <w:rsid w:val="008B06DF"/>
    <w:rsid w:val="008B12C3"/>
    <w:rsid w:val="008B1448"/>
    <w:rsid w:val="008B2A9A"/>
    <w:rsid w:val="008D5F8A"/>
    <w:rsid w:val="008E13E8"/>
    <w:rsid w:val="008E31E1"/>
    <w:rsid w:val="008F3B94"/>
    <w:rsid w:val="008F5002"/>
    <w:rsid w:val="008F6661"/>
    <w:rsid w:val="00903687"/>
    <w:rsid w:val="00904D4E"/>
    <w:rsid w:val="00910D31"/>
    <w:rsid w:val="009115AB"/>
    <w:rsid w:val="00912336"/>
    <w:rsid w:val="00917073"/>
    <w:rsid w:val="009172F6"/>
    <w:rsid w:val="00922F59"/>
    <w:rsid w:val="00930869"/>
    <w:rsid w:val="0093235E"/>
    <w:rsid w:val="00937703"/>
    <w:rsid w:val="0093771A"/>
    <w:rsid w:val="0094605E"/>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478EA"/>
    <w:rsid w:val="00A529E9"/>
    <w:rsid w:val="00A54310"/>
    <w:rsid w:val="00A61E23"/>
    <w:rsid w:val="00A75C29"/>
    <w:rsid w:val="00A82BB2"/>
    <w:rsid w:val="00A83926"/>
    <w:rsid w:val="00A855D3"/>
    <w:rsid w:val="00A93988"/>
    <w:rsid w:val="00A93C0B"/>
    <w:rsid w:val="00A94C7E"/>
    <w:rsid w:val="00A97124"/>
    <w:rsid w:val="00AA751F"/>
    <w:rsid w:val="00AB1C16"/>
    <w:rsid w:val="00AB458A"/>
    <w:rsid w:val="00AB4A85"/>
    <w:rsid w:val="00AB5839"/>
    <w:rsid w:val="00AC0510"/>
    <w:rsid w:val="00AC1E0E"/>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73186"/>
    <w:rsid w:val="00C73616"/>
    <w:rsid w:val="00C7497D"/>
    <w:rsid w:val="00C759F9"/>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6389"/>
    <w:rsid w:val="00D2719A"/>
    <w:rsid w:val="00D30873"/>
    <w:rsid w:val="00D3557F"/>
    <w:rsid w:val="00D37654"/>
    <w:rsid w:val="00D42FA1"/>
    <w:rsid w:val="00D46BB0"/>
    <w:rsid w:val="00D51C03"/>
    <w:rsid w:val="00D52465"/>
    <w:rsid w:val="00D64540"/>
    <w:rsid w:val="00D6642E"/>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4A88"/>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29BB"/>
    <w:rsid w:val="00EA40AC"/>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C93F7"/>
  <w15:docId w15:val="{BD1CBA1D-C929-4695-B85C-17CB4E86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character" w:styleId="Hyperlink">
    <w:name w:val="Hyperlink"/>
    <w:basedOn w:val="DefaultParagraphFont"/>
    <w:unhideWhenUsed/>
    <w:rsid w:val="00C759F9"/>
    <w:rPr>
      <w:color w:val="231F20" w:themeColor="hyperlink"/>
      <w:u w:val="single"/>
    </w:rPr>
  </w:style>
  <w:style w:type="character" w:styleId="UnresolvedMention">
    <w:name w:val="Unresolved Mention"/>
    <w:basedOn w:val="DefaultParagraphFont"/>
    <w:uiPriority w:val="99"/>
    <w:semiHidden/>
    <w:unhideWhenUsed/>
    <w:rsid w:val="00C759F9"/>
    <w:rPr>
      <w:color w:val="605E5C"/>
      <w:shd w:val="clear" w:color="auto" w:fill="E1DFDD"/>
    </w:rPr>
  </w:style>
  <w:style w:type="character" w:styleId="FollowedHyperlink">
    <w:name w:val="FollowedHyperlink"/>
    <w:basedOn w:val="DefaultParagraphFont"/>
    <w:semiHidden/>
    <w:unhideWhenUsed/>
    <w:rsid w:val="004A06E4"/>
    <w:rPr>
      <w:color w:val="8ACED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elongaustralia.com.au/planning/permit/default.aspx" TargetMode="External"/><Relationship Id="rId18" Type="http://schemas.openxmlformats.org/officeDocument/2006/relationships/hyperlink" Target="https://www.vgls.vic.gov.au/client/en_AU/search/asset/114728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nvironment.vic.gov.au/native-vegetation/native-vegetation" TargetMode="External"/><Relationship Id="rId17" Type="http://schemas.openxmlformats.org/officeDocument/2006/relationships/hyperlink" Target="https://www.environment.vic.gov.au/__data/assets/pdf_file/0021/91146/Guidelines-for-the-removal,-destruction-or-lopping-of-native-vegetation,-2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cceew.gov.au/environment/epbc/our-role/what-is-protect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ceew.gov.au/environment/epbc/approvals/strategic-assessments/geelong-growth-area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eelongaustralia.com.au/planning/permit/default.aspx" TargetMode="External"/><Relationship Id="rId23" Type="http://schemas.openxmlformats.org/officeDocument/2006/relationships/header" Target="header3.xml"/><Relationship Id="rId10" Type="http://schemas.openxmlformats.org/officeDocument/2006/relationships/hyperlink" Target="https://www.dcceew.gov.au/environment/epbc/approvals/strategic-assess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cceew.gov.au/environment/epbc/do-you-need-approval"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14447\AppData\Roaming\Microsoft\Templates\TRIM\Corporate%20Templates\COGG%20Info%20Sheet%20Template.DOTX" TargetMode="External"/></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9D1E1F7-5AF4-4CB2-ADEE-6E6A0368A583}">
  <ds:schemaRefs>
    <ds:schemaRef ds:uri="http://schemas.openxmlformats.org/officeDocument/2006/bibliography"/>
  </ds:schemaRefs>
</ds:datastoreItem>
</file>

<file path=customXml/itemProps2.xml><?xml version="1.0" encoding="utf-8"?>
<ds:datastoreItem xmlns:ds="http://schemas.openxmlformats.org/officeDocument/2006/customXml" ds:itemID="{3CD28249-E580-4E23-8F95-63C6D75617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Info Sheet Template.DOTX</Template>
  <TotalTime>342</TotalTime>
  <Pages>4</Pages>
  <Words>1688</Words>
  <Characters>11163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Jayden Holmes</dc:creator>
  <cp:lastModifiedBy>Jayden Holmes</cp:lastModifiedBy>
  <cp:revision>11</cp:revision>
  <cp:lastPrinted>2023-07-18T08:45:00Z</cp:lastPrinted>
  <dcterms:created xsi:type="dcterms:W3CDTF">2023-07-12T08:51:00Z</dcterms:created>
  <dcterms:modified xsi:type="dcterms:W3CDTF">2023-07-18T08:46:00Z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